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4EA69">
      <w:pPr>
        <w:tabs>
          <w:tab w:val="left" w:pos="993"/>
          <w:tab w:val="left" w:pos="1134"/>
          <w:tab w:val="left" w:pos="1418"/>
        </w:tabs>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简体" w:hAnsi="方正小标宋简体" w:eastAsia="方正小标宋简体" w:cs="仿宋"/>
          <w:color w:val="000000"/>
          <w:kern w:val="0"/>
          <w:sz w:val="72"/>
          <w:szCs w:val="72"/>
          <w:lang w:val="en-US" w:eastAsia="zh-CN"/>
        </w:rPr>
        <w:t xml:space="preserve"> </w:t>
      </w:r>
      <w:r>
        <w:rPr>
          <w:rFonts w:hint="eastAsia" w:ascii="仿宋_GB2312" w:hAnsi="仿宋_GB2312" w:eastAsia="仿宋_GB2312" w:cs="仿宋_GB2312"/>
          <w:sz w:val="32"/>
          <w:szCs w:val="32"/>
          <w:lang w:val="en-US" w:eastAsia="zh-CN"/>
        </w:rPr>
        <w:t xml:space="preserve"> </w:t>
      </w:r>
    </w:p>
    <w:p w14:paraId="19323187">
      <w:pPr>
        <w:spacing w:line="360" w:lineRule="auto"/>
        <w:rPr>
          <w:rFonts w:ascii="Times New Roman" w:hAnsi="Times New Roman" w:eastAsia="宋体" w:cs="Times New Roman"/>
          <w:sz w:val="36"/>
        </w:rPr>
      </w:pPr>
    </w:p>
    <w:p w14:paraId="260E12C0">
      <w:pPr>
        <w:spacing w:before="312" w:beforeLines="100" w:line="360" w:lineRule="auto"/>
        <w:ind w:right="-108"/>
        <w:jc w:val="center"/>
        <w:rPr>
          <w:rFonts w:ascii="宋体" w:hAnsi="宋体"/>
          <w:b/>
          <w:color w:val="000000"/>
          <w:sz w:val="44"/>
          <w:szCs w:val="44"/>
        </w:rPr>
      </w:pPr>
      <w:r>
        <w:rPr>
          <w:rFonts w:hint="eastAsia" w:ascii="宋体" w:hAnsi="宋体"/>
          <w:b/>
          <w:color w:val="000000"/>
          <w:sz w:val="44"/>
          <w:szCs w:val="44"/>
        </w:rPr>
        <w:t>国家体育总局手曲棒垒球运动</w:t>
      </w:r>
    </w:p>
    <w:p w14:paraId="64199304">
      <w:pPr>
        <w:spacing w:before="312" w:beforeLines="100" w:line="360" w:lineRule="auto"/>
        <w:ind w:right="-108"/>
        <w:jc w:val="center"/>
        <w:rPr>
          <w:rFonts w:ascii="宋体" w:hAnsi="宋体"/>
          <w:b/>
          <w:color w:val="000000"/>
          <w:sz w:val="52"/>
          <w:szCs w:val="52"/>
        </w:rPr>
      </w:pPr>
      <w:r>
        <w:rPr>
          <w:rFonts w:hint="eastAsia" w:ascii="宋体" w:hAnsi="宋体"/>
          <w:b/>
          <w:color w:val="000000"/>
          <w:sz w:val="44"/>
          <w:szCs w:val="44"/>
        </w:rPr>
        <w:t>管理中心棒球百城千队系列赛项目执行服务</w:t>
      </w:r>
    </w:p>
    <w:p w14:paraId="48549061">
      <w:pPr>
        <w:snapToGrid w:val="0"/>
        <w:spacing w:line="480" w:lineRule="auto"/>
        <w:ind w:firstLine="880" w:firstLineChars="200"/>
        <w:jc w:val="center"/>
        <w:outlineLvl w:val="0"/>
        <w:rPr>
          <w:rFonts w:ascii="宋体"/>
          <w:sz w:val="44"/>
          <w:szCs w:val="44"/>
        </w:rPr>
      </w:pPr>
    </w:p>
    <w:p w14:paraId="7FFB9482">
      <w:pPr>
        <w:snapToGrid w:val="0"/>
        <w:spacing w:line="480" w:lineRule="auto"/>
        <w:ind w:firstLine="1320" w:firstLineChars="300"/>
        <w:jc w:val="left"/>
        <w:rPr>
          <w:rFonts w:hint="eastAsia" w:ascii="Times New Roman" w:hAnsi="Times New Roman" w:eastAsia="宋体" w:cs="Times New Roman"/>
          <w:sz w:val="44"/>
          <w:szCs w:val="44"/>
          <w:highlight w:val="yellow"/>
          <w:lang w:val="en-US" w:eastAsia="zh-CN"/>
        </w:rPr>
      </w:pPr>
      <w:r>
        <w:rPr>
          <w:rFonts w:ascii="Times New Roman" w:hAnsi="宋体" w:eastAsia="宋体" w:cs="Times New Roman"/>
          <w:sz w:val="44"/>
          <w:szCs w:val="44"/>
        </w:rPr>
        <w:t>项目编号：</w:t>
      </w:r>
      <w:r>
        <w:rPr>
          <w:rFonts w:ascii="Times New Roman" w:hAnsi="Times New Roman" w:eastAsia="宋体" w:cs="Times New Roman"/>
          <w:sz w:val="44"/>
          <w:szCs w:val="44"/>
          <w:highlight w:val="none"/>
        </w:rPr>
        <w:t>CS</w:t>
      </w:r>
      <w:r>
        <w:rPr>
          <w:rFonts w:hint="eastAsia" w:ascii="Times New Roman" w:hAnsi="Times New Roman" w:eastAsia="宋体" w:cs="Times New Roman"/>
          <w:sz w:val="44"/>
          <w:szCs w:val="44"/>
          <w:highlight w:val="none"/>
        </w:rPr>
        <w:t>CY2</w:t>
      </w:r>
      <w:r>
        <w:rPr>
          <w:rFonts w:hint="eastAsia" w:ascii="Times New Roman" w:hAnsi="Times New Roman" w:cs="Times New Roman"/>
          <w:sz w:val="44"/>
          <w:szCs w:val="44"/>
          <w:highlight w:val="none"/>
          <w:lang w:val="en-US" w:eastAsia="zh-CN"/>
        </w:rPr>
        <w:t>5</w:t>
      </w:r>
      <w:r>
        <w:rPr>
          <w:rFonts w:hint="eastAsia" w:ascii="Times New Roman" w:hAnsi="Times New Roman" w:eastAsia="宋体" w:cs="Times New Roman"/>
          <w:sz w:val="44"/>
          <w:szCs w:val="44"/>
          <w:highlight w:val="none"/>
        </w:rPr>
        <w:t>-0</w:t>
      </w:r>
      <w:r>
        <w:rPr>
          <w:rFonts w:hint="eastAsia" w:ascii="Times New Roman" w:hAnsi="Times New Roman" w:cs="Times New Roman"/>
          <w:sz w:val="44"/>
          <w:szCs w:val="44"/>
          <w:highlight w:val="none"/>
          <w:lang w:val="en-US" w:eastAsia="zh-CN"/>
        </w:rPr>
        <w:t>3</w:t>
      </w:r>
      <w:r>
        <w:rPr>
          <w:rFonts w:hint="eastAsia" w:ascii="Times New Roman" w:hAnsi="Times New Roman" w:eastAsia="宋体" w:cs="Times New Roman"/>
          <w:sz w:val="44"/>
          <w:szCs w:val="44"/>
          <w:highlight w:val="none"/>
          <w:lang w:val="en-US" w:eastAsia="zh-CN"/>
        </w:rPr>
        <w:t xml:space="preserve"> </w:t>
      </w:r>
    </w:p>
    <w:p w14:paraId="0E6F8E03">
      <w:pPr>
        <w:spacing w:line="440" w:lineRule="exact"/>
        <w:ind w:firstLine="2880" w:firstLineChars="900"/>
        <w:rPr>
          <w:rFonts w:ascii="Times New Roman" w:hAnsi="Times New Roman" w:eastAsia="宋体" w:cs="Times New Roman"/>
          <w:sz w:val="32"/>
        </w:rPr>
      </w:pPr>
    </w:p>
    <w:p w14:paraId="7459C200">
      <w:pPr>
        <w:spacing w:line="440" w:lineRule="exact"/>
        <w:ind w:firstLine="2880" w:firstLineChars="900"/>
        <w:rPr>
          <w:rFonts w:ascii="Times New Roman" w:hAnsi="Times New Roman" w:eastAsia="宋体" w:cs="Times New Roman"/>
          <w:sz w:val="32"/>
        </w:rPr>
      </w:pPr>
    </w:p>
    <w:p w14:paraId="409C3333">
      <w:pPr>
        <w:spacing w:line="440" w:lineRule="exact"/>
        <w:ind w:firstLine="2880" w:firstLineChars="900"/>
        <w:rPr>
          <w:rFonts w:ascii="Times New Roman" w:hAnsi="Times New Roman" w:eastAsia="宋体" w:cs="Times New Roman"/>
          <w:sz w:val="32"/>
        </w:rPr>
      </w:pPr>
    </w:p>
    <w:p w14:paraId="3AEF5300">
      <w:pPr>
        <w:spacing w:line="440" w:lineRule="exact"/>
        <w:ind w:firstLine="2880" w:firstLineChars="900"/>
        <w:rPr>
          <w:rFonts w:ascii="Times New Roman" w:hAnsi="Times New Roman" w:eastAsia="宋体" w:cs="Times New Roman"/>
          <w:sz w:val="32"/>
        </w:rPr>
      </w:pPr>
    </w:p>
    <w:p w14:paraId="228A3CC9">
      <w:pPr>
        <w:spacing w:line="440" w:lineRule="exact"/>
        <w:ind w:firstLine="2880" w:firstLineChars="900"/>
        <w:rPr>
          <w:rFonts w:ascii="Times New Roman" w:hAnsi="Times New Roman" w:eastAsia="宋体" w:cs="Times New Roman"/>
          <w:sz w:val="32"/>
        </w:rPr>
      </w:pPr>
    </w:p>
    <w:p w14:paraId="50F2C56C">
      <w:pPr>
        <w:spacing w:line="440" w:lineRule="exact"/>
        <w:ind w:firstLine="2880" w:firstLineChars="900"/>
        <w:rPr>
          <w:rFonts w:ascii="Times New Roman" w:hAnsi="Times New Roman" w:eastAsia="宋体" w:cs="Times New Roman"/>
          <w:sz w:val="32"/>
        </w:rPr>
      </w:pPr>
    </w:p>
    <w:p w14:paraId="6E6389BC">
      <w:pPr>
        <w:spacing w:line="440" w:lineRule="exact"/>
        <w:ind w:firstLine="2880" w:firstLineChars="900"/>
        <w:rPr>
          <w:rFonts w:ascii="Times New Roman" w:hAnsi="Times New Roman" w:eastAsia="宋体" w:cs="Times New Roman"/>
          <w:sz w:val="32"/>
        </w:rPr>
      </w:pPr>
    </w:p>
    <w:p w14:paraId="333BC254">
      <w:pPr>
        <w:spacing w:line="440" w:lineRule="exact"/>
        <w:ind w:firstLine="2880" w:firstLineChars="900"/>
        <w:rPr>
          <w:rFonts w:ascii="Times New Roman" w:hAnsi="Times New Roman" w:eastAsia="宋体" w:cs="Times New Roman"/>
          <w:sz w:val="32"/>
        </w:rPr>
      </w:pPr>
    </w:p>
    <w:p w14:paraId="12915CC0">
      <w:pPr>
        <w:spacing w:line="440" w:lineRule="exact"/>
        <w:ind w:firstLine="2880" w:firstLineChars="900"/>
        <w:rPr>
          <w:rFonts w:ascii="Times New Roman" w:hAnsi="Times New Roman" w:eastAsia="宋体" w:cs="Times New Roman"/>
          <w:sz w:val="32"/>
        </w:rPr>
      </w:pPr>
    </w:p>
    <w:p w14:paraId="566B5C0E">
      <w:pPr>
        <w:pStyle w:val="7"/>
        <w:spacing w:line="440" w:lineRule="exact"/>
        <w:ind w:firstLine="0"/>
        <w:jc w:val="both"/>
        <w:rPr>
          <w:rFonts w:ascii="Times New Roman" w:hAnsi="Times New Roman" w:eastAsia="宋体" w:cs="Times New Roman"/>
          <w:b/>
          <w:bCs/>
        </w:rPr>
      </w:pPr>
    </w:p>
    <w:p w14:paraId="6CC880B6">
      <w:pPr>
        <w:pStyle w:val="7"/>
        <w:spacing w:line="440" w:lineRule="exact"/>
        <w:ind w:firstLine="0"/>
        <w:jc w:val="both"/>
        <w:rPr>
          <w:rFonts w:ascii="Times New Roman" w:hAnsi="Times New Roman" w:eastAsia="宋体" w:cs="Times New Roman"/>
          <w:b/>
          <w:bCs/>
        </w:rPr>
      </w:pPr>
    </w:p>
    <w:p w14:paraId="46A1366F">
      <w:pPr>
        <w:pStyle w:val="7"/>
        <w:spacing w:line="440" w:lineRule="exact"/>
        <w:ind w:firstLine="0"/>
        <w:jc w:val="both"/>
        <w:rPr>
          <w:rFonts w:ascii="Times New Roman" w:hAnsi="Times New Roman" w:eastAsia="宋体" w:cs="Times New Roman"/>
          <w:b/>
          <w:bCs/>
        </w:rPr>
      </w:pPr>
    </w:p>
    <w:p w14:paraId="40B9F434">
      <w:pPr>
        <w:pStyle w:val="7"/>
        <w:spacing w:line="480" w:lineRule="auto"/>
        <w:rPr>
          <w:rFonts w:ascii="Times New Roman" w:hAnsi="宋体" w:eastAsia="宋体" w:cs="Times New Roman"/>
          <w:b/>
          <w:bCs/>
          <w:sz w:val="30"/>
        </w:rPr>
      </w:pPr>
      <w:r>
        <w:rPr>
          <w:rFonts w:ascii="Times New Roman" w:hAnsi="宋体" w:eastAsia="宋体" w:cs="Times New Roman"/>
          <w:b/>
          <w:bCs/>
          <w:sz w:val="30"/>
        </w:rPr>
        <w:t>采</w:t>
      </w:r>
      <w:r>
        <w:rPr>
          <w:rFonts w:hint="eastAsia" w:ascii="Times New Roman" w:hAnsi="宋体" w:eastAsia="宋体" w:cs="Times New Roman"/>
          <w:b/>
          <w:bCs/>
          <w:sz w:val="30"/>
        </w:rPr>
        <w:t xml:space="preserve"> </w:t>
      </w:r>
      <w:r>
        <w:rPr>
          <w:rFonts w:ascii="Times New Roman" w:hAnsi="宋体" w:eastAsia="宋体" w:cs="Times New Roman"/>
          <w:b/>
          <w:bCs/>
          <w:sz w:val="30"/>
        </w:rPr>
        <w:t>购</w:t>
      </w:r>
      <w:r>
        <w:rPr>
          <w:rFonts w:hint="eastAsia" w:ascii="Times New Roman" w:hAnsi="宋体" w:eastAsia="宋体" w:cs="Times New Roman"/>
          <w:b/>
          <w:bCs/>
          <w:sz w:val="30"/>
        </w:rPr>
        <w:t xml:space="preserve"> </w:t>
      </w:r>
      <w:r>
        <w:rPr>
          <w:rFonts w:ascii="Times New Roman" w:hAnsi="宋体" w:eastAsia="宋体" w:cs="Times New Roman"/>
          <w:b/>
          <w:bCs/>
          <w:sz w:val="30"/>
        </w:rPr>
        <w:t>人：</w:t>
      </w:r>
      <w:r>
        <w:rPr>
          <w:rFonts w:hint="eastAsia" w:ascii="Times New Roman" w:hAnsi="宋体" w:eastAsia="宋体" w:cs="Times New Roman"/>
          <w:b/>
          <w:bCs/>
          <w:sz w:val="30"/>
        </w:rPr>
        <w:t>国家体育总局手曲棒垒球运动管理中心</w:t>
      </w:r>
    </w:p>
    <w:p w14:paraId="6CA3F01E">
      <w:pPr>
        <w:pStyle w:val="7"/>
        <w:spacing w:line="480" w:lineRule="auto"/>
        <w:rPr>
          <w:rFonts w:ascii="Times New Roman" w:hAnsi="Times New Roman" w:eastAsia="宋体" w:cs="Times New Roman"/>
          <w:b/>
          <w:bCs/>
          <w:sz w:val="30"/>
        </w:rPr>
      </w:pPr>
      <w:r>
        <w:rPr>
          <w:rFonts w:ascii="Times New Roman" w:hAnsi="宋体" w:eastAsia="宋体" w:cs="Times New Roman"/>
          <w:b/>
          <w:bCs/>
          <w:sz w:val="30"/>
        </w:rPr>
        <w:t>采购单位</w:t>
      </w:r>
      <w:r>
        <w:rPr>
          <w:rFonts w:hint="eastAsia" w:ascii="Times New Roman" w:hAnsi="宋体" w:eastAsia="宋体" w:cs="Times New Roman"/>
          <w:b/>
          <w:bCs/>
          <w:sz w:val="30"/>
        </w:rPr>
        <w:t>：</w:t>
      </w:r>
      <w:r>
        <w:rPr>
          <w:rFonts w:ascii="Times New Roman" w:hAnsi="宋体" w:eastAsia="宋体" w:cs="Times New Roman"/>
          <w:b/>
          <w:bCs/>
          <w:sz w:val="30"/>
        </w:rPr>
        <w:t>国家体育总局体育器材装备中心</w:t>
      </w:r>
    </w:p>
    <w:p w14:paraId="2AD327CA">
      <w:pPr>
        <w:pStyle w:val="7"/>
        <w:spacing w:line="480" w:lineRule="auto"/>
        <w:rPr>
          <w:rFonts w:ascii="Times New Roman" w:hAnsi="宋体" w:eastAsia="宋体" w:cs="Times New Roman"/>
          <w:b/>
          <w:bCs/>
          <w:sz w:val="30"/>
        </w:rPr>
      </w:pPr>
      <w:r>
        <w:rPr>
          <w:rFonts w:ascii="Times New Roman" w:hAnsi="宋体" w:eastAsia="宋体" w:cs="Times New Roman"/>
          <w:b/>
          <w:bCs/>
          <w:sz w:val="30"/>
        </w:rPr>
        <w:t>日</w:t>
      </w:r>
      <w:r>
        <w:rPr>
          <w:rFonts w:hint="eastAsia" w:ascii="Times New Roman" w:hAnsi="宋体" w:eastAsia="宋体" w:cs="Times New Roman"/>
          <w:b/>
          <w:bCs/>
          <w:sz w:val="30"/>
        </w:rPr>
        <w:t xml:space="preserve">    </w:t>
      </w:r>
      <w:r>
        <w:rPr>
          <w:rFonts w:ascii="Times New Roman" w:hAnsi="宋体" w:eastAsia="宋体" w:cs="Times New Roman"/>
          <w:b/>
          <w:bCs/>
          <w:sz w:val="30"/>
        </w:rPr>
        <w:t>期：</w:t>
      </w:r>
      <w:r>
        <w:rPr>
          <w:rFonts w:ascii="Times New Roman" w:hAnsi="Times New Roman" w:eastAsia="宋体" w:cs="Times New Roman"/>
          <w:b/>
          <w:bCs/>
          <w:sz w:val="30"/>
          <w:highlight w:val="none"/>
        </w:rPr>
        <w:t>20</w:t>
      </w:r>
      <w:r>
        <w:rPr>
          <w:rFonts w:hint="eastAsia" w:ascii="Times New Roman" w:hAnsi="Times New Roman" w:eastAsia="宋体" w:cs="Times New Roman"/>
          <w:b/>
          <w:bCs/>
          <w:sz w:val="30"/>
          <w:highlight w:val="none"/>
        </w:rPr>
        <w:t>2</w:t>
      </w:r>
      <w:r>
        <w:rPr>
          <w:rFonts w:hint="eastAsia" w:ascii="Times New Roman" w:hAnsi="Times New Roman" w:eastAsia="宋体" w:cs="Times New Roman"/>
          <w:b/>
          <w:bCs/>
          <w:sz w:val="30"/>
          <w:highlight w:val="none"/>
          <w:lang w:val="en-US" w:eastAsia="zh-CN"/>
        </w:rPr>
        <w:t>5</w:t>
      </w:r>
      <w:r>
        <w:rPr>
          <w:rFonts w:ascii="Times New Roman" w:hAnsi="宋体" w:eastAsia="宋体" w:cs="Times New Roman"/>
          <w:b/>
          <w:bCs/>
          <w:sz w:val="30"/>
          <w:highlight w:val="none"/>
        </w:rPr>
        <w:t>年</w:t>
      </w:r>
      <w:r>
        <w:rPr>
          <w:rFonts w:hint="eastAsia" w:ascii="Times New Roman" w:hAnsi="宋体" w:cs="Times New Roman"/>
          <w:b/>
          <w:bCs/>
          <w:sz w:val="30"/>
          <w:highlight w:val="none"/>
          <w:lang w:val="en-US" w:eastAsia="zh-CN"/>
        </w:rPr>
        <w:t>4</w:t>
      </w:r>
      <w:r>
        <w:rPr>
          <w:rFonts w:ascii="Times New Roman" w:hAnsi="宋体" w:eastAsia="宋体" w:cs="Times New Roman"/>
          <w:b/>
          <w:bCs/>
          <w:sz w:val="30"/>
          <w:highlight w:val="none"/>
        </w:rPr>
        <w:t>月</w:t>
      </w:r>
    </w:p>
    <w:p w14:paraId="1FF9B267">
      <w:pPr>
        <w:pStyle w:val="7"/>
        <w:spacing w:line="480" w:lineRule="auto"/>
        <w:ind w:firstLine="1864" w:firstLineChars="619"/>
        <w:rPr>
          <w:rFonts w:ascii="Times New Roman" w:hAnsi="宋体" w:eastAsia="宋体" w:cs="Times New Roman"/>
          <w:b/>
          <w:bCs/>
          <w:sz w:val="30"/>
        </w:rPr>
      </w:pPr>
    </w:p>
    <w:p w14:paraId="2EFD0825">
      <w:pPr>
        <w:pStyle w:val="7"/>
        <w:spacing w:line="480" w:lineRule="auto"/>
        <w:ind w:firstLine="1864" w:firstLineChars="619"/>
        <w:rPr>
          <w:rFonts w:ascii="Times New Roman" w:hAnsi="宋体" w:eastAsia="宋体" w:cs="Times New Roman"/>
          <w:b/>
          <w:bCs/>
          <w:sz w:val="30"/>
        </w:rPr>
      </w:pPr>
    </w:p>
    <w:p w14:paraId="29A5E77E">
      <w:pPr>
        <w:pStyle w:val="7"/>
        <w:spacing w:line="480" w:lineRule="auto"/>
        <w:ind w:firstLine="1864" w:firstLineChars="619"/>
        <w:rPr>
          <w:rFonts w:ascii="Times New Roman" w:hAnsi="宋体" w:eastAsia="宋体" w:cs="Times New Roman"/>
          <w:b/>
          <w:bCs/>
          <w:sz w:val="30"/>
        </w:rPr>
      </w:pPr>
    </w:p>
    <w:p w14:paraId="73773DE2">
      <w:pPr>
        <w:pStyle w:val="7"/>
        <w:spacing w:line="480" w:lineRule="auto"/>
        <w:ind w:firstLine="1864" w:firstLineChars="619"/>
        <w:rPr>
          <w:rFonts w:ascii="Times New Roman" w:hAnsi="宋体" w:eastAsia="宋体" w:cs="Times New Roman"/>
          <w:b/>
          <w:bCs/>
          <w:sz w:val="30"/>
        </w:rPr>
      </w:pPr>
    </w:p>
    <w:p w14:paraId="36DAFC84">
      <w:pPr>
        <w:pStyle w:val="7"/>
        <w:spacing w:line="480" w:lineRule="auto"/>
        <w:ind w:firstLine="1864" w:firstLineChars="619"/>
        <w:rPr>
          <w:rFonts w:ascii="Times New Roman" w:hAnsi="宋体" w:eastAsia="宋体" w:cs="Times New Roman"/>
          <w:b/>
          <w:bCs/>
          <w:sz w:val="30"/>
        </w:rPr>
      </w:pPr>
    </w:p>
    <w:p w14:paraId="5790EA8D">
      <w:pPr>
        <w:spacing w:line="440" w:lineRule="exact"/>
        <w:jc w:val="center"/>
        <w:rPr>
          <w:rFonts w:ascii="Times New Roman" w:hAnsi="宋体" w:eastAsia="宋体" w:cs="Times New Roman"/>
          <w:b/>
          <w:sz w:val="24"/>
          <w:szCs w:val="28"/>
        </w:rPr>
      </w:pPr>
    </w:p>
    <w:p w14:paraId="4C9C27FB">
      <w:pPr>
        <w:spacing w:line="440" w:lineRule="exact"/>
        <w:jc w:val="center"/>
        <w:rPr>
          <w:rFonts w:ascii="Times New Roman" w:hAnsi="Times New Roman" w:eastAsia="宋体" w:cs="Times New Roman"/>
          <w:sz w:val="24"/>
        </w:rPr>
      </w:pPr>
      <w:r>
        <w:rPr>
          <w:rFonts w:ascii="Times New Roman" w:hAnsi="宋体" w:eastAsia="宋体" w:cs="Times New Roman"/>
          <w:b/>
          <w:sz w:val="24"/>
          <w:szCs w:val="28"/>
        </w:rPr>
        <w:t>目录</w:t>
      </w:r>
    </w:p>
    <w:p w14:paraId="36CFA1D1">
      <w:pPr>
        <w:pStyle w:val="13"/>
        <w:tabs>
          <w:tab w:val="right" w:leader="dot" w:pos="8630"/>
        </w:tabs>
        <w:rPr>
          <w:b w:val="0"/>
          <w:bCs w:val="0"/>
          <w:caps w:val="0"/>
          <w:szCs w:val="22"/>
        </w:rPr>
      </w:pPr>
      <w:r>
        <w:rPr>
          <w:rFonts w:ascii="Times New Roman" w:hAnsi="Times New Roman" w:eastAsia="宋体" w:cs="Times New Roman"/>
          <w:b w:val="0"/>
          <w:bCs w:val="0"/>
          <w:sz w:val="24"/>
        </w:rPr>
        <w:fldChar w:fldCharType="begin"/>
      </w:r>
      <w:r>
        <w:rPr>
          <w:rFonts w:ascii="Times New Roman" w:hAnsi="Times New Roman" w:eastAsia="宋体" w:cs="Times New Roman"/>
          <w:b w:val="0"/>
          <w:bCs w:val="0"/>
          <w:sz w:val="24"/>
        </w:rPr>
        <w:instrText xml:space="preserve"> TOC \o "1-6" \h \z </w:instrText>
      </w:r>
      <w:r>
        <w:rPr>
          <w:rFonts w:ascii="Times New Roman" w:hAnsi="Times New Roman" w:eastAsia="宋体" w:cs="Times New Roman"/>
          <w:b w:val="0"/>
          <w:bCs w:val="0"/>
          <w:sz w:val="24"/>
        </w:rPr>
        <w:fldChar w:fldCharType="separate"/>
      </w:r>
      <w:r>
        <w:fldChar w:fldCharType="begin"/>
      </w:r>
      <w:r>
        <w:instrText xml:space="preserve"> HYPERLINK \l "_Toc79681368" </w:instrText>
      </w:r>
      <w:r>
        <w:fldChar w:fldCharType="separate"/>
      </w:r>
      <w:r>
        <w:rPr>
          <w:rStyle w:val="20"/>
          <w:rFonts w:hint="eastAsia" w:ascii="宋体" w:hAnsi="宋体" w:eastAsia="宋体" w:cs="宋体"/>
          <w:color w:val="auto"/>
        </w:rPr>
        <w:t>第一部分采购公告</w:t>
      </w:r>
      <w:r>
        <w:tab/>
      </w:r>
      <w:r>
        <w:fldChar w:fldCharType="begin"/>
      </w:r>
      <w:r>
        <w:instrText xml:space="preserve"> PAGEREF _Toc79681368 \h </w:instrText>
      </w:r>
      <w:r>
        <w:fldChar w:fldCharType="separate"/>
      </w:r>
      <w:r>
        <w:t>3</w:t>
      </w:r>
      <w:r>
        <w:fldChar w:fldCharType="end"/>
      </w:r>
      <w:r>
        <w:fldChar w:fldCharType="end"/>
      </w:r>
    </w:p>
    <w:p w14:paraId="0ABE58CA">
      <w:pPr>
        <w:pStyle w:val="14"/>
        <w:tabs>
          <w:tab w:val="right" w:leader="dot" w:pos="8630"/>
        </w:tabs>
        <w:rPr>
          <w:szCs w:val="22"/>
        </w:rPr>
      </w:pPr>
      <w:r>
        <w:fldChar w:fldCharType="begin"/>
      </w:r>
      <w:r>
        <w:instrText xml:space="preserve"> HYPERLINK \l "_Toc79681369" </w:instrText>
      </w:r>
      <w:r>
        <w:fldChar w:fldCharType="separate"/>
      </w:r>
      <w:r>
        <w:rPr>
          <w:rStyle w:val="20"/>
          <w:rFonts w:hint="eastAsia" w:ascii="宋体" w:hAnsi="宋体" w:eastAsia="宋体" w:cs="宋体"/>
          <w:color w:val="auto"/>
        </w:rPr>
        <w:t>一、项目名称及项目编号</w:t>
      </w:r>
      <w:r>
        <w:tab/>
      </w:r>
      <w:r>
        <w:fldChar w:fldCharType="begin"/>
      </w:r>
      <w:r>
        <w:instrText xml:space="preserve"> PAGEREF _Toc79681369 \h </w:instrText>
      </w:r>
      <w:r>
        <w:fldChar w:fldCharType="separate"/>
      </w:r>
      <w:r>
        <w:t>3</w:t>
      </w:r>
      <w:r>
        <w:fldChar w:fldCharType="end"/>
      </w:r>
      <w:r>
        <w:fldChar w:fldCharType="end"/>
      </w:r>
    </w:p>
    <w:p w14:paraId="2AE9389F">
      <w:pPr>
        <w:pStyle w:val="14"/>
        <w:tabs>
          <w:tab w:val="right" w:leader="dot" w:pos="8630"/>
        </w:tabs>
      </w:pPr>
      <w:r>
        <w:fldChar w:fldCharType="begin"/>
      </w:r>
      <w:r>
        <w:instrText xml:space="preserve"> HYPERLINK \l "_Toc79681370" </w:instrText>
      </w:r>
      <w:r>
        <w:fldChar w:fldCharType="separate"/>
      </w:r>
      <w:r>
        <w:rPr>
          <w:rStyle w:val="20"/>
          <w:rFonts w:hint="eastAsia" w:ascii="宋体" w:hAnsi="宋体" w:eastAsia="宋体" w:cs="宋体"/>
          <w:color w:val="auto"/>
        </w:rPr>
        <w:t>二、采购内容</w:t>
      </w:r>
      <w:r>
        <w:tab/>
      </w:r>
      <w:r>
        <w:fldChar w:fldCharType="begin"/>
      </w:r>
      <w:r>
        <w:instrText xml:space="preserve"> PAGEREF _Toc79681370 \h </w:instrText>
      </w:r>
      <w:r>
        <w:fldChar w:fldCharType="separate"/>
      </w:r>
      <w:r>
        <w:t>3</w:t>
      </w:r>
      <w:r>
        <w:fldChar w:fldCharType="end"/>
      </w:r>
      <w:r>
        <w:fldChar w:fldCharType="end"/>
      </w:r>
    </w:p>
    <w:p w14:paraId="7D87A454">
      <w:pPr>
        <w:pStyle w:val="14"/>
        <w:tabs>
          <w:tab w:val="right" w:leader="dot" w:pos="8630"/>
        </w:tabs>
        <w:rPr>
          <w:szCs w:val="22"/>
        </w:rPr>
      </w:pPr>
      <w:r>
        <w:fldChar w:fldCharType="begin"/>
      </w:r>
      <w:r>
        <w:instrText xml:space="preserve"> HYPERLINK \l "_Toc79681371" </w:instrText>
      </w:r>
      <w:r>
        <w:fldChar w:fldCharType="separate"/>
      </w:r>
      <w:r>
        <w:rPr>
          <w:rStyle w:val="20"/>
          <w:rFonts w:hint="eastAsia" w:ascii="宋体" w:hAnsi="宋体" w:eastAsia="宋体" w:cs="宋体"/>
          <w:color w:val="auto"/>
        </w:rPr>
        <w:t>三、合格的报价人</w:t>
      </w:r>
      <w:r>
        <w:tab/>
      </w:r>
      <w:r>
        <w:fldChar w:fldCharType="begin"/>
      </w:r>
      <w:r>
        <w:instrText xml:space="preserve"> PAGEREF _Toc79681371 \h </w:instrText>
      </w:r>
      <w:r>
        <w:fldChar w:fldCharType="separate"/>
      </w:r>
      <w:r>
        <w:t>3</w:t>
      </w:r>
      <w:r>
        <w:fldChar w:fldCharType="end"/>
      </w:r>
      <w:r>
        <w:fldChar w:fldCharType="end"/>
      </w:r>
    </w:p>
    <w:p w14:paraId="6DC7BD90">
      <w:pPr>
        <w:pStyle w:val="14"/>
        <w:tabs>
          <w:tab w:val="right" w:leader="dot" w:pos="8630"/>
        </w:tabs>
        <w:rPr>
          <w:szCs w:val="22"/>
        </w:rPr>
      </w:pPr>
      <w:r>
        <w:fldChar w:fldCharType="begin"/>
      </w:r>
      <w:r>
        <w:instrText xml:space="preserve"> HYPERLINK \l "_Toc79681372" </w:instrText>
      </w:r>
      <w:r>
        <w:fldChar w:fldCharType="separate"/>
      </w:r>
      <w:r>
        <w:rPr>
          <w:rStyle w:val="20"/>
          <w:rFonts w:hint="eastAsia" w:ascii="宋体" w:hAnsi="宋体" w:eastAsia="宋体" w:cs="宋体"/>
          <w:color w:val="auto"/>
        </w:rPr>
        <w:t>四、报名</w:t>
      </w:r>
      <w:r>
        <w:tab/>
      </w:r>
      <w:r>
        <w:fldChar w:fldCharType="begin"/>
      </w:r>
      <w:r>
        <w:instrText xml:space="preserve"> PAGEREF _Toc79681372 \h </w:instrText>
      </w:r>
      <w:r>
        <w:fldChar w:fldCharType="separate"/>
      </w:r>
      <w:r>
        <w:t>4</w:t>
      </w:r>
      <w:r>
        <w:fldChar w:fldCharType="end"/>
      </w:r>
      <w:r>
        <w:fldChar w:fldCharType="end"/>
      </w:r>
    </w:p>
    <w:p w14:paraId="0AE72C2A">
      <w:pPr>
        <w:pStyle w:val="14"/>
        <w:tabs>
          <w:tab w:val="right" w:leader="dot" w:pos="8630"/>
        </w:tabs>
        <w:rPr>
          <w:szCs w:val="22"/>
        </w:rPr>
      </w:pPr>
      <w:r>
        <w:fldChar w:fldCharType="begin"/>
      </w:r>
      <w:r>
        <w:instrText xml:space="preserve"> HYPERLINK \l "_Toc79681373" </w:instrText>
      </w:r>
      <w:r>
        <w:fldChar w:fldCharType="separate"/>
      </w:r>
      <w:r>
        <w:rPr>
          <w:rStyle w:val="20"/>
          <w:rFonts w:hint="eastAsia" w:ascii="宋体" w:hAnsi="宋体" w:eastAsia="宋体" w:cs="宋体"/>
          <w:color w:val="auto"/>
        </w:rPr>
        <w:t>五、磋商时间、地点</w:t>
      </w:r>
      <w:r>
        <w:tab/>
      </w:r>
      <w:r>
        <w:fldChar w:fldCharType="begin"/>
      </w:r>
      <w:r>
        <w:instrText xml:space="preserve"> PAGEREF _Toc79681373 \h </w:instrText>
      </w:r>
      <w:r>
        <w:fldChar w:fldCharType="separate"/>
      </w:r>
      <w:r>
        <w:t>5</w:t>
      </w:r>
      <w:r>
        <w:fldChar w:fldCharType="end"/>
      </w:r>
      <w:r>
        <w:fldChar w:fldCharType="end"/>
      </w:r>
    </w:p>
    <w:p w14:paraId="3C8F9C3F">
      <w:pPr>
        <w:pStyle w:val="13"/>
        <w:tabs>
          <w:tab w:val="right" w:leader="dot" w:pos="8630"/>
        </w:tabs>
        <w:rPr>
          <w:b w:val="0"/>
          <w:bCs w:val="0"/>
          <w:caps w:val="0"/>
          <w:szCs w:val="22"/>
        </w:rPr>
      </w:pPr>
      <w:r>
        <w:fldChar w:fldCharType="begin"/>
      </w:r>
      <w:r>
        <w:instrText xml:space="preserve"> HYPERLINK \l "_Toc79681374" </w:instrText>
      </w:r>
      <w:r>
        <w:fldChar w:fldCharType="separate"/>
      </w:r>
      <w:r>
        <w:rPr>
          <w:rStyle w:val="20"/>
          <w:rFonts w:hint="eastAsia" w:ascii="宋体" w:hAnsi="宋体" w:eastAsia="宋体" w:cs="宋体"/>
          <w:color w:val="auto"/>
        </w:rPr>
        <w:t>第二部分报价须知</w:t>
      </w:r>
      <w:r>
        <w:tab/>
      </w:r>
      <w:r>
        <w:fldChar w:fldCharType="begin"/>
      </w:r>
      <w:r>
        <w:instrText xml:space="preserve"> PAGEREF _Toc79681374 \h </w:instrText>
      </w:r>
      <w:r>
        <w:fldChar w:fldCharType="separate"/>
      </w:r>
      <w:r>
        <w:t>5</w:t>
      </w:r>
      <w:r>
        <w:fldChar w:fldCharType="end"/>
      </w:r>
      <w:r>
        <w:fldChar w:fldCharType="end"/>
      </w:r>
    </w:p>
    <w:p w14:paraId="651C31E1">
      <w:pPr>
        <w:pStyle w:val="14"/>
        <w:tabs>
          <w:tab w:val="right" w:leader="dot" w:pos="8630"/>
        </w:tabs>
        <w:rPr>
          <w:szCs w:val="22"/>
        </w:rPr>
      </w:pPr>
      <w:r>
        <w:fldChar w:fldCharType="begin"/>
      </w:r>
      <w:r>
        <w:instrText xml:space="preserve"> HYPERLINK \l "_Toc79681375" </w:instrText>
      </w:r>
      <w:r>
        <w:fldChar w:fldCharType="separate"/>
      </w:r>
      <w:r>
        <w:rPr>
          <w:rStyle w:val="20"/>
          <w:rFonts w:hint="eastAsia" w:ascii="宋体" w:hAnsi="宋体" w:eastAsia="宋体" w:cs="宋体"/>
          <w:color w:val="auto"/>
        </w:rPr>
        <w:t>一、总则</w:t>
      </w:r>
      <w:r>
        <w:tab/>
      </w:r>
      <w:r>
        <w:fldChar w:fldCharType="begin"/>
      </w:r>
      <w:r>
        <w:instrText xml:space="preserve"> PAGEREF _Toc79681375 \h </w:instrText>
      </w:r>
      <w:r>
        <w:fldChar w:fldCharType="separate"/>
      </w:r>
      <w:r>
        <w:t>5</w:t>
      </w:r>
      <w:r>
        <w:fldChar w:fldCharType="end"/>
      </w:r>
      <w:r>
        <w:fldChar w:fldCharType="end"/>
      </w:r>
    </w:p>
    <w:p w14:paraId="05EFA115">
      <w:pPr>
        <w:pStyle w:val="14"/>
        <w:tabs>
          <w:tab w:val="right" w:leader="dot" w:pos="8630"/>
        </w:tabs>
        <w:rPr>
          <w:szCs w:val="22"/>
        </w:rPr>
      </w:pPr>
      <w:r>
        <w:fldChar w:fldCharType="begin"/>
      </w:r>
      <w:r>
        <w:instrText xml:space="preserve"> HYPERLINK \l "_Toc79681376" </w:instrText>
      </w:r>
      <w:r>
        <w:fldChar w:fldCharType="separate"/>
      </w:r>
      <w:r>
        <w:rPr>
          <w:rStyle w:val="20"/>
          <w:rFonts w:hint="eastAsia" w:ascii="宋体" w:hAnsi="宋体" w:eastAsia="宋体" w:cs="宋体"/>
          <w:color w:val="auto"/>
        </w:rPr>
        <w:t>二、采购信息说明</w:t>
      </w:r>
      <w:r>
        <w:tab/>
      </w:r>
      <w:r>
        <w:fldChar w:fldCharType="begin"/>
      </w:r>
      <w:r>
        <w:instrText xml:space="preserve"> PAGEREF _Toc79681376 \h </w:instrText>
      </w:r>
      <w:r>
        <w:fldChar w:fldCharType="separate"/>
      </w:r>
      <w:r>
        <w:t>6</w:t>
      </w:r>
      <w:r>
        <w:fldChar w:fldCharType="end"/>
      </w:r>
      <w:r>
        <w:fldChar w:fldCharType="end"/>
      </w:r>
    </w:p>
    <w:p w14:paraId="1E271CF4">
      <w:pPr>
        <w:pStyle w:val="14"/>
        <w:tabs>
          <w:tab w:val="right" w:leader="dot" w:pos="8630"/>
        </w:tabs>
        <w:rPr>
          <w:szCs w:val="22"/>
        </w:rPr>
      </w:pPr>
      <w:r>
        <w:fldChar w:fldCharType="begin"/>
      </w:r>
      <w:r>
        <w:instrText xml:space="preserve"> HYPERLINK \l "_Toc79681377" </w:instrText>
      </w:r>
      <w:r>
        <w:fldChar w:fldCharType="separate"/>
      </w:r>
      <w:r>
        <w:rPr>
          <w:rStyle w:val="20"/>
          <w:rFonts w:hint="eastAsia" w:ascii="宋体" w:hAnsi="宋体" w:eastAsia="宋体" w:cs="宋体"/>
          <w:color w:val="auto"/>
        </w:rPr>
        <w:t>三、响应文件的编写</w:t>
      </w:r>
      <w:r>
        <w:tab/>
      </w:r>
      <w:r>
        <w:fldChar w:fldCharType="begin"/>
      </w:r>
      <w:r>
        <w:instrText xml:space="preserve"> PAGEREF _Toc79681377 \h </w:instrText>
      </w:r>
      <w:r>
        <w:fldChar w:fldCharType="separate"/>
      </w:r>
      <w:r>
        <w:t>7</w:t>
      </w:r>
      <w:r>
        <w:fldChar w:fldCharType="end"/>
      </w:r>
      <w:r>
        <w:fldChar w:fldCharType="end"/>
      </w:r>
    </w:p>
    <w:p w14:paraId="2E0DDEFC">
      <w:pPr>
        <w:pStyle w:val="14"/>
        <w:tabs>
          <w:tab w:val="right" w:leader="dot" w:pos="8630"/>
        </w:tabs>
        <w:rPr>
          <w:szCs w:val="22"/>
        </w:rPr>
      </w:pPr>
      <w:r>
        <w:fldChar w:fldCharType="begin"/>
      </w:r>
      <w:r>
        <w:instrText xml:space="preserve"> HYPERLINK \l "_Toc79681378" </w:instrText>
      </w:r>
      <w:r>
        <w:fldChar w:fldCharType="separate"/>
      </w:r>
      <w:r>
        <w:rPr>
          <w:rStyle w:val="20"/>
          <w:rFonts w:hint="eastAsia" w:ascii="宋体" w:hAnsi="宋体" w:eastAsia="宋体" w:cs="宋体"/>
          <w:color w:val="auto"/>
        </w:rPr>
        <w:t>四、响应文件的递交</w:t>
      </w:r>
      <w:r>
        <w:tab/>
      </w:r>
      <w:r>
        <w:fldChar w:fldCharType="end"/>
      </w:r>
    </w:p>
    <w:p w14:paraId="295A2250">
      <w:pPr>
        <w:pStyle w:val="14"/>
        <w:tabs>
          <w:tab w:val="right" w:leader="dot" w:pos="8630"/>
        </w:tabs>
        <w:rPr>
          <w:szCs w:val="22"/>
        </w:rPr>
      </w:pPr>
      <w:r>
        <w:fldChar w:fldCharType="begin"/>
      </w:r>
      <w:r>
        <w:instrText xml:space="preserve"> HYPERLINK \l "_Toc79681379" </w:instrText>
      </w:r>
      <w:r>
        <w:fldChar w:fldCharType="separate"/>
      </w:r>
      <w:r>
        <w:rPr>
          <w:rStyle w:val="20"/>
          <w:rFonts w:hint="eastAsia" w:ascii="宋体" w:hAnsi="宋体" w:eastAsia="宋体" w:cs="宋体"/>
          <w:color w:val="auto"/>
        </w:rPr>
        <w:t>五、合同的签订和履行</w:t>
      </w:r>
      <w:r>
        <w:tab/>
      </w:r>
      <w:r>
        <w:fldChar w:fldCharType="begin"/>
      </w:r>
      <w:r>
        <w:instrText xml:space="preserve"> PAGEREF _Toc79681379 \h </w:instrText>
      </w:r>
      <w:r>
        <w:fldChar w:fldCharType="separate"/>
      </w:r>
      <w:r>
        <w:t>11</w:t>
      </w:r>
      <w:r>
        <w:fldChar w:fldCharType="end"/>
      </w:r>
      <w:r>
        <w:fldChar w:fldCharType="end"/>
      </w:r>
    </w:p>
    <w:p w14:paraId="0EF154A0">
      <w:pPr>
        <w:pStyle w:val="14"/>
        <w:tabs>
          <w:tab w:val="right" w:leader="dot" w:pos="8630"/>
        </w:tabs>
        <w:rPr>
          <w:szCs w:val="22"/>
        </w:rPr>
      </w:pPr>
      <w:r>
        <w:fldChar w:fldCharType="begin"/>
      </w:r>
      <w:r>
        <w:instrText xml:space="preserve"> HYPERLINK \l "_Toc79681380" </w:instrText>
      </w:r>
      <w:r>
        <w:fldChar w:fldCharType="separate"/>
      </w:r>
      <w:r>
        <w:rPr>
          <w:rStyle w:val="20"/>
          <w:rFonts w:hint="eastAsia" w:ascii="宋体" w:hAnsi="宋体" w:eastAsia="宋体" w:cs="宋体"/>
          <w:color w:val="auto"/>
        </w:rPr>
        <w:t>五、质疑和投诉</w:t>
      </w:r>
      <w:r>
        <w:tab/>
      </w:r>
      <w:r>
        <w:fldChar w:fldCharType="begin"/>
      </w:r>
      <w:r>
        <w:instrText xml:space="preserve"> PAGEREF _Toc79681380 \h </w:instrText>
      </w:r>
      <w:r>
        <w:fldChar w:fldCharType="separate"/>
      </w:r>
      <w:r>
        <w:t>11</w:t>
      </w:r>
      <w:r>
        <w:fldChar w:fldCharType="end"/>
      </w:r>
      <w:r>
        <w:fldChar w:fldCharType="end"/>
      </w:r>
    </w:p>
    <w:p w14:paraId="48EFA758">
      <w:pPr>
        <w:pStyle w:val="14"/>
        <w:tabs>
          <w:tab w:val="right" w:leader="dot" w:pos="8630"/>
        </w:tabs>
        <w:rPr>
          <w:szCs w:val="22"/>
        </w:rPr>
      </w:pPr>
      <w:r>
        <w:fldChar w:fldCharType="begin"/>
      </w:r>
      <w:r>
        <w:instrText xml:space="preserve"> HYPERLINK \l "_Toc79681381" </w:instrText>
      </w:r>
      <w:r>
        <w:fldChar w:fldCharType="separate"/>
      </w:r>
      <w:r>
        <w:rPr>
          <w:rStyle w:val="20"/>
          <w:rFonts w:hint="eastAsia" w:ascii="宋体" w:hAnsi="宋体" w:eastAsia="宋体" w:cs="宋体"/>
          <w:color w:val="auto"/>
        </w:rPr>
        <w:t>六、其它须知</w:t>
      </w:r>
      <w:r>
        <w:tab/>
      </w:r>
      <w:r>
        <w:fldChar w:fldCharType="begin"/>
      </w:r>
      <w:r>
        <w:instrText xml:space="preserve"> PAGEREF _Toc79681381 \h </w:instrText>
      </w:r>
      <w:r>
        <w:fldChar w:fldCharType="separate"/>
      </w:r>
      <w:r>
        <w:t>12</w:t>
      </w:r>
      <w:r>
        <w:fldChar w:fldCharType="end"/>
      </w:r>
      <w:r>
        <w:fldChar w:fldCharType="end"/>
      </w:r>
    </w:p>
    <w:p w14:paraId="39F6BF76">
      <w:pPr>
        <w:pStyle w:val="13"/>
        <w:tabs>
          <w:tab w:val="right" w:leader="dot" w:pos="8630"/>
        </w:tabs>
        <w:rPr>
          <w:b w:val="0"/>
          <w:bCs w:val="0"/>
          <w:caps w:val="0"/>
          <w:szCs w:val="22"/>
        </w:rPr>
      </w:pPr>
      <w:r>
        <w:fldChar w:fldCharType="begin"/>
      </w:r>
      <w:r>
        <w:instrText xml:space="preserve"> HYPERLINK \l "_Toc79681382" </w:instrText>
      </w:r>
      <w:r>
        <w:fldChar w:fldCharType="separate"/>
      </w:r>
      <w:r>
        <w:rPr>
          <w:rStyle w:val="20"/>
          <w:rFonts w:hint="eastAsia" w:ascii="宋体" w:hAnsi="宋体" w:eastAsia="宋体" w:cs="宋体"/>
          <w:color w:val="auto"/>
        </w:rPr>
        <w:t>第三部分采购需求</w:t>
      </w:r>
      <w:r>
        <w:tab/>
      </w:r>
      <w:r>
        <w:fldChar w:fldCharType="begin"/>
      </w:r>
      <w:r>
        <w:instrText xml:space="preserve"> PAGEREF _Toc79681382 \h </w:instrText>
      </w:r>
      <w:r>
        <w:fldChar w:fldCharType="separate"/>
      </w:r>
      <w:r>
        <w:t>13</w:t>
      </w:r>
      <w:r>
        <w:fldChar w:fldCharType="end"/>
      </w:r>
      <w:r>
        <w:fldChar w:fldCharType="end"/>
      </w:r>
    </w:p>
    <w:p w14:paraId="4E7E37BB">
      <w:pPr>
        <w:pStyle w:val="13"/>
        <w:tabs>
          <w:tab w:val="right" w:leader="dot" w:pos="8630"/>
        </w:tabs>
        <w:rPr>
          <w:b w:val="0"/>
          <w:bCs w:val="0"/>
          <w:caps w:val="0"/>
          <w:szCs w:val="22"/>
        </w:rPr>
      </w:pPr>
      <w:r>
        <w:fldChar w:fldCharType="begin"/>
      </w:r>
      <w:r>
        <w:instrText xml:space="preserve"> HYPERLINK \l "_Toc79681392" </w:instrText>
      </w:r>
      <w:r>
        <w:fldChar w:fldCharType="separate"/>
      </w:r>
      <w:r>
        <w:rPr>
          <w:rStyle w:val="20"/>
          <w:rFonts w:hint="eastAsia" w:ascii="宋体" w:hAnsi="宋体" w:eastAsia="宋体" w:cs="宋体"/>
          <w:color w:val="auto"/>
        </w:rPr>
        <w:t>第四部分磋商程序和评审方法、标准</w:t>
      </w:r>
      <w:r>
        <w:tab/>
      </w:r>
      <w:r>
        <w:fldChar w:fldCharType="begin"/>
      </w:r>
      <w:r>
        <w:instrText xml:space="preserve"> PAGEREF _Toc79681392 \h </w:instrText>
      </w:r>
      <w:r>
        <w:fldChar w:fldCharType="separate"/>
      </w:r>
      <w:r>
        <w:t>16</w:t>
      </w:r>
      <w:r>
        <w:fldChar w:fldCharType="end"/>
      </w:r>
      <w:r>
        <w:fldChar w:fldCharType="end"/>
      </w:r>
    </w:p>
    <w:p w14:paraId="4A9AA2C2">
      <w:pPr>
        <w:pStyle w:val="14"/>
        <w:tabs>
          <w:tab w:val="right" w:leader="dot" w:pos="8630"/>
        </w:tabs>
        <w:rPr>
          <w:szCs w:val="22"/>
        </w:rPr>
      </w:pPr>
      <w:r>
        <w:fldChar w:fldCharType="begin"/>
      </w:r>
      <w:r>
        <w:instrText xml:space="preserve"> HYPERLINK \l "_Toc79681393" </w:instrText>
      </w:r>
      <w:r>
        <w:fldChar w:fldCharType="separate"/>
      </w:r>
      <w:r>
        <w:rPr>
          <w:rStyle w:val="20"/>
          <w:rFonts w:hint="eastAsia" w:ascii="宋体" w:hAnsi="宋体" w:eastAsia="宋体" w:cs="宋体"/>
          <w:color w:val="auto"/>
        </w:rPr>
        <w:t>一、磋商程序及说明</w:t>
      </w:r>
      <w:r>
        <w:tab/>
      </w:r>
      <w:r>
        <w:fldChar w:fldCharType="begin"/>
      </w:r>
      <w:r>
        <w:instrText xml:space="preserve"> PAGEREF _Toc79681393 \h </w:instrText>
      </w:r>
      <w:r>
        <w:fldChar w:fldCharType="separate"/>
      </w:r>
      <w:r>
        <w:t>16</w:t>
      </w:r>
      <w:r>
        <w:fldChar w:fldCharType="end"/>
      </w:r>
      <w:r>
        <w:fldChar w:fldCharType="end"/>
      </w:r>
    </w:p>
    <w:p w14:paraId="26936FD0">
      <w:pPr>
        <w:pStyle w:val="14"/>
        <w:tabs>
          <w:tab w:val="right" w:leader="dot" w:pos="8630"/>
        </w:tabs>
        <w:rPr>
          <w:szCs w:val="22"/>
        </w:rPr>
      </w:pPr>
      <w:r>
        <w:fldChar w:fldCharType="begin"/>
      </w:r>
      <w:r>
        <w:instrText xml:space="preserve"> HYPERLINK \l "_Toc79681394" </w:instrText>
      </w:r>
      <w:r>
        <w:fldChar w:fldCharType="separate"/>
      </w:r>
      <w:r>
        <w:rPr>
          <w:rStyle w:val="20"/>
          <w:rFonts w:hint="eastAsia" w:ascii="宋体" w:hAnsi="宋体" w:eastAsia="宋体" w:cs="宋体"/>
          <w:color w:val="auto"/>
        </w:rPr>
        <w:t>二、评审方法及标准</w:t>
      </w:r>
      <w:r>
        <w:tab/>
      </w:r>
      <w:r>
        <w:fldChar w:fldCharType="begin"/>
      </w:r>
      <w:r>
        <w:instrText xml:space="preserve"> PAGEREF _Toc79681394 \h </w:instrText>
      </w:r>
      <w:r>
        <w:fldChar w:fldCharType="separate"/>
      </w:r>
      <w:r>
        <w:t>18</w:t>
      </w:r>
      <w:r>
        <w:fldChar w:fldCharType="end"/>
      </w:r>
      <w:r>
        <w:fldChar w:fldCharType="end"/>
      </w:r>
    </w:p>
    <w:p w14:paraId="10A7DF14">
      <w:pPr>
        <w:pStyle w:val="13"/>
        <w:tabs>
          <w:tab w:val="right" w:leader="dot" w:pos="8630"/>
        </w:tabs>
        <w:rPr>
          <w:b w:val="0"/>
          <w:bCs w:val="0"/>
          <w:caps w:val="0"/>
          <w:szCs w:val="22"/>
        </w:rPr>
      </w:pPr>
      <w:r>
        <w:fldChar w:fldCharType="begin"/>
      </w:r>
      <w:r>
        <w:instrText xml:space="preserve"> HYPERLINK \l "_Toc79681395" </w:instrText>
      </w:r>
      <w:r>
        <w:fldChar w:fldCharType="separate"/>
      </w:r>
      <w:r>
        <w:rPr>
          <w:rStyle w:val="20"/>
          <w:rFonts w:hint="eastAsia" w:ascii="宋体" w:hAnsi="宋体" w:eastAsia="宋体" w:cs="宋体"/>
          <w:color w:val="auto"/>
        </w:rPr>
        <w:t>第五部分响应文件格式</w:t>
      </w:r>
      <w:r>
        <w:tab/>
      </w:r>
      <w:r>
        <w:fldChar w:fldCharType="begin"/>
      </w:r>
      <w:r>
        <w:instrText xml:space="preserve"> PAGEREF _Toc79681395 \h </w:instrText>
      </w:r>
      <w:r>
        <w:fldChar w:fldCharType="separate"/>
      </w:r>
      <w:r>
        <w:t>23</w:t>
      </w:r>
      <w:r>
        <w:fldChar w:fldCharType="end"/>
      </w:r>
      <w:r>
        <w:fldChar w:fldCharType="end"/>
      </w:r>
    </w:p>
    <w:p w14:paraId="4B41A5F9">
      <w:pPr>
        <w:pStyle w:val="14"/>
        <w:tabs>
          <w:tab w:val="right" w:leader="dot" w:pos="8630"/>
        </w:tabs>
        <w:rPr>
          <w:szCs w:val="22"/>
        </w:rPr>
      </w:pPr>
      <w:r>
        <w:fldChar w:fldCharType="begin"/>
      </w:r>
      <w:r>
        <w:instrText xml:space="preserve"> HYPERLINK \l "_Toc79681396" </w:instrText>
      </w:r>
      <w:r>
        <w:fldChar w:fldCharType="separate"/>
      </w:r>
      <w:r>
        <w:rPr>
          <w:rStyle w:val="20"/>
          <w:rFonts w:hint="eastAsia" w:ascii="宋体" w:hAnsi="宋体" w:eastAsia="宋体" w:cs="宋体"/>
          <w:color w:val="auto"/>
        </w:rPr>
        <w:t>报价人提交文件须知</w:t>
      </w:r>
      <w:r>
        <w:tab/>
      </w:r>
      <w:r>
        <w:fldChar w:fldCharType="begin"/>
      </w:r>
      <w:r>
        <w:instrText xml:space="preserve"> PAGEREF _Toc79681396 \h </w:instrText>
      </w:r>
      <w:r>
        <w:fldChar w:fldCharType="separate"/>
      </w:r>
      <w:r>
        <w:t>23</w:t>
      </w:r>
      <w:r>
        <w:fldChar w:fldCharType="end"/>
      </w:r>
      <w:r>
        <w:fldChar w:fldCharType="end"/>
      </w:r>
    </w:p>
    <w:p w14:paraId="36ABD2B8">
      <w:pPr>
        <w:pStyle w:val="14"/>
        <w:tabs>
          <w:tab w:val="right" w:leader="dot" w:pos="8630"/>
        </w:tabs>
        <w:rPr>
          <w:szCs w:val="22"/>
        </w:rPr>
      </w:pPr>
      <w:r>
        <w:fldChar w:fldCharType="begin"/>
      </w:r>
      <w:r>
        <w:instrText xml:space="preserve"> HYPERLINK \l "_Toc79681397" </w:instrText>
      </w:r>
      <w:r>
        <w:fldChar w:fldCharType="separate"/>
      </w:r>
      <w:r>
        <w:rPr>
          <w:rStyle w:val="20"/>
          <w:rFonts w:hint="eastAsia" w:ascii="宋体" w:hAnsi="宋体" w:eastAsia="宋体" w:cs="宋体"/>
          <w:color w:val="auto"/>
        </w:rPr>
        <w:t>附件一（封面）</w:t>
      </w:r>
      <w:r>
        <w:tab/>
      </w:r>
      <w:r>
        <w:fldChar w:fldCharType="begin"/>
      </w:r>
      <w:r>
        <w:instrText xml:space="preserve"> PAGEREF _Toc79681397 \h </w:instrText>
      </w:r>
      <w:r>
        <w:fldChar w:fldCharType="separate"/>
      </w:r>
      <w:r>
        <w:t>24</w:t>
      </w:r>
      <w:r>
        <w:fldChar w:fldCharType="end"/>
      </w:r>
      <w:r>
        <w:fldChar w:fldCharType="end"/>
      </w:r>
    </w:p>
    <w:p w14:paraId="7EC16478">
      <w:pPr>
        <w:pStyle w:val="14"/>
        <w:tabs>
          <w:tab w:val="right" w:leader="dot" w:pos="8630"/>
        </w:tabs>
        <w:rPr>
          <w:szCs w:val="22"/>
        </w:rPr>
      </w:pPr>
      <w:r>
        <w:fldChar w:fldCharType="begin"/>
      </w:r>
      <w:r>
        <w:instrText xml:space="preserve"> HYPERLINK \l "_Toc79681398" </w:instrText>
      </w:r>
      <w:r>
        <w:fldChar w:fldCharType="separate"/>
      </w:r>
      <w:r>
        <w:rPr>
          <w:rStyle w:val="20"/>
          <w:rFonts w:hint="eastAsia" w:ascii="宋体" w:hAnsi="宋体" w:eastAsia="宋体" w:cs="宋体"/>
          <w:color w:val="auto"/>
        </w:rPr>
        <w:t>附件二</w:t>
      </w:r>
      <w:r>
        <w:rPr>
          <w:rStyle w:val="20"/>
          <w:rFonts w:ascii="宋体" w:hAnsi="宋体" w:eastAsia="宋体" w:cs="宋体"/>
          <w:color w:val="auto"/>
        </w:rPr>
        <w:t xml:space="preserve"> </w:t>
      </w:r>
      <w:r>
        <w:rPr>
          <w:rStyle w:val="20"/>
          <w:rFonts w:hint="eastAsia" w:ascii="宋体" w:hAnsi="宋体" w:eastAsia="宋体" w:cs="宋体"/>
          <w:color w:val="auto"/>
        </w:rPr>
        <w:t>法定代表人证明书</w:t>
      </w:r>
      <w:r>
        <w:tab/>
      </w:r>
      <w:r>
        <w:fldChar w:fldCharType="begin"/>
      </w:r>
      <w:r>
        <w:instrText xml:space="preserve"> PAGEREF _Toc79681398 \h </w:instrText>
      </w:r>
      <w:r>
        <w:fldChar w:fldCharType="separate"/>
      </w:r>
      <w:r>
        <w:t>25</w:t>
      </w:r>
      <w:r>
        <w:fldChar w:fldCharType="end"/>
      </w:r>
      <w:r>
        <w:fldChar w:fldCharType="end"/>
      </w:r>
    </w:p>
    <w:p w14:paraId="4A468991">
      <w:pPr>
        <w:pStyle w:val="14"/>
        <w:tabs>
          <w:tab w:val="right" w:leader="dot" w:pos="8630"/>
        </w:tabs>
        <w:rPr>
          <w:szCs w:val="22"/>
        </w:rPr>
      </w:pPr>
      <w:r>
        <w:fldChar w:fldCharType="begin"/>
      </w:r>
      <w:r>
        <w:instrText xml:space="preserve"> HYPERLINK \l "_Toc79681399" </w:instrText>
      </w:r>
      <w:r>
        <w:fldChar w:fldCharType="separate"/>
      </w:r>
      <w:r>
        <w:rPr>
          <w:rStyle w:val="20"/>
          <w:rFonts w:hint="eastAsia" w:ascii="宋体" w:hAnsi="宋体" w:eastAsia="宋体" w:cs="宋体"/>
          <w:color w:val="auto"/>
        </w:rPr>
        <w:t>附件三</w:t>
      </w:r>
      <w:r>
        <w:rPr>
          <w:rStyle w:val="20"/>
          <w:rFonts w:ascii="宋体" w:hAnsi="宋体" w:eastAsia="宋体" w:cs="宋体"/>
          <w:color w:val="auto"/>
        </w:rPr>
        <w:t xml:space="preserve"> </w:t>
      </w:r>
      <w:r>
        <w:rPr>
          <w:rStyle w:val="20"/>
          <w:rFonts w:hint="eastAsia" w:ascii="宋体" w:hAnsi="宋体" w:eastAsia="宋体" w:cs="宋体"/>
          <w:color w:val="auto"/>
        </w:rPr>
        <w:t>法定代表人的授权委托书</w:t>
      </w:r>
      <w:r>
        <w:tab/>
      </w:r>
      <w:r>
        <w:fldChar w:fldCharType="begin"/>
      </w:r>
      <w:r>
        <w:instrText xml:space="preserve"> PAGEREF _Toc79681399 \h </w:instrText>
      </w:r>
      <w:r>
        <w:fldChar w:fldCharType="separate"/>
      </w:r>
      <w:r>
        <w:t>25</w:t>
      </w:r>
      <w:r>
        <w:fldChar w:fldCharType="end"/>
      </w:r>
      <w:r>
        <w:fldChar w:fldCharType="end"/>
      </w:r>
    </w:p>
    <w:p w14:paraId="3E3D5B1C">
      <w:pPr>
        <w:pStyle w:val="14"/>
        <w:tabs>
          <w:tab w:val="right" w:leader="dot" w:pos="8630"/>
        </w:tabs>
        <w:rPr>
          <w:szCs w:val="22"/>
        </w:rPr>
      </w:pPr>
      <w:r>
        <w:fldChar w:fldCharType="begin"/>
      </w:r>
      <w:r>
        <w:instrText xml:space="preserve"> HYPERLINK \l "_Toc79681400" </w:instrText>
      </w:r>
      <w:r>
        <w:fldChar w:fldCharType="separate"/>
      </w:r>
      <w:r>
        <w:rPr>
          <w:rStyle w:val="20"/>
          <w:rFonts w:hint="eastAsia" w:ascii="宋体" w:hAnsi="宋体" w:eastAsia="宋体" w:cs="宋体"/>
          <w:color w:val="auto"/>
        </w:rPr>
        <w:t>（如非法定代表人亲自参与磋商时提供，加盖单位公章）</w:t>
      </w:r>
      <w:r>
        <w:tab/>
      </w:r>
      <w:r>
        <w:fldChar w:fldCharType="begin"/>
      </w:r>
      <w:r>
        <w:instrText xml:space="preserve"> PAGEREF _Toc79681400 \h </w:instrText>
      </w:r>
      <w:r>
        <w:fldChar w:fldCharType="separate"/>
      </w:r>
      <w:r>
        <w:t>25</w:t>
      </w:r>
      <w:r>
        <w:fldChar w:fldCharType="end"/>
      </w:r>
      <w:r>
        <w:fldChar w:fldCharType="end"/>
      </w:r>
    </w:p>
    <w:p w14:paraId="282470E9">
      <w:pPr>
        <w:pStyle w:val="14"/>
        <w:tabs>
          <w:tab w:val="right" w:leader="dot" w:pos="8630"/>
        </w:tabs>
        <w:rPr>
          <w:szCs w:val="22"/>
        </w:rPr>
      </w:pPr>
      <w:r>
        <w:fldChar w:fldCharType="begin"/>
      </w:r>
      <w:r>
        <w:instrText xml:space="preserve"> HYPERLINK \l "_Toc79681401" </w:instrText>
      </w:r>
      <w:r>
        <w:fldChar w:fldCharType="separate"/>
      </w:r>
      <w:r>
        <w:rPr>
          <w:rStyle w:val="20"/>
          <w:rFonts w:hint="eastAsia" w:ascii="宋体" w:hAnsi="宋体" w:eastAsia="宋体" w:cs="宋体"/>
          <w:color w:val="auto"/>
        </w:rPr>
        <w:t>附件四</w:t>
      </w:r>
      <w:r>
        <w:rPr>
          <w:rStyle w:val="20"/>
          <w:rFonts w:ascii="宋体" w:hAnsi="宋体" w:eastAsia="宋体" w:cs="宋体"/>
          <w:color w:val="auto"/>
        </w:rPr>
        <w:t xml:space="preserve"> </w:t>
      </w:r>
      <w:r>
        <w:rPr>
          <w:rStyle w:val="20"/>
          <w:rFonts w:hint="eastAsia" w:ascii="宋体" w:hAnsi="宋体" w:eastAsia="宋体" w:cs="宋体"/>
          <w:color w:val="auto"/>
        </w:rPr>
        <w:t>报价明细表</w:t>
      </w:r>
      <w:r>
        <w:tab/>
      </w:r>
      <w:r>
        <w:fldChar w:fldCharType="begin"/>
      </w:r>
      <w:r>
        <w:instrText xml:space="preserve"> PAGEREF _Toc79681401 \h </w:instrText>
      </w:r>
      <w:r>
        <w:fldChar w:fldCharType="separate"/>
      </w:r>
      <w:r>
        <w:t>26</w:t>
      </w:r>
      <w:r>
        <w:fldChar w:fldCharType="end"/>
      </w:r>
      <w:r>
        <w:fldChar w:fldCharType="end"/>
      </w:r>
    </w:p>
    <w:p w14:paraId="724F2082">
      <w:pPr>
        <w:pStyle w:val="14"/>
        <w:tabs>
          <w:tab w:val="right" w:leader="dot" w:pos="8630"/>
        </w:tabs>
        <w:rPr>
          <w:szCs w:val="22"/>
        </w:rPr>
      </w:pPr>
      <w:r>
        <w:fldChar w:fldCharType="begin"/>
      </w:r>
      <w:r>
        <w:instrText xml:space="preserve"> HYPERLINK \l "_Toc79681402" </w:instrText>
      </w:r>
      <w:r>
        <w:fldChar w:fldCharType="separate"/>
      </w:r>
      <w:r>
        <w:rPr>
          <w:rStyle w:val="20"/>
          <w:rFonts w:hint="eastAsia" w:ascii="宋体" w:hAnsi="宋体" w:eastAsia="宋体" w:cs="宋体"/>
          <w:color w:val="auto"/>
        </w:rPr>
        <w:t>附件五</w:t>
      </w:r>
      <w:r>
        <w:rPr>
          <w:rStyle w:val="20"/>
          <w:rFonts w:ascii="宋体" w:hAnsi="宋体" w:eastAsia="宋体" w:cs="宋体"/>
          <w:color w:val="auto"/>
        </w:rPr>
        <w:t xml:space="preserve"> </w:t>
      </w:r>
      <w:r>
        <w:rPr>
          <w:rStyle w:val="20"/>
          <w:rFonts w:hint="eastAsia" w:ascii="宋体" w:hAnsi="宋体" w:eastAsia="宋体" w:cs="宋体"/>
          <w:color w:val="auto"/>
        </w:rPr>
        <w:t>报价人资格声明</w:t>
      </w:r>
      <w:r>
        <w:tab/>
      </w:r>
      <w:r>
        <w:fldChar w:fldCharType="begin"/>
      </w:r>
      <w:r>
        <w:instrText xml:space="preserve"> PAGEREF _Toc79681402 \h </w:instrText>
      </w:r>
      <w:r>
        <w:fldChar w:fldCharType="separate"/>
      </w:r>
      <w:r>
        <w:t>27</w:t>
      </w:r>
      <w:r>
        <w:fldChar w:fldCharType="end"/>
      </w:r>
      <w:r>
        <w:fldChar w:fldCharType="end"/>
      </w:r>
    </w:p>
    <w:p w14:paraId="4B723CFF">
      <w:pPr>
        <w:pStyle w:val="14"/>
        <w:tabs>
          <w:tab w:val="right" w:leader="dot" w:pos="8630"/>
        </w:tabs>
        <w:rPr>
          <w:szCs w:val="22"/>
        </w:rPr>
      </w:pPr>
      <w:r>
        <w:fldChar w:fldCharType="begin"/>
      </w:r>
      <w:r>
        <w:instrText xml:space="preserve"> HYPERLINK \l "_Toc79681403" </w:instrText>
      </w:r>
      <w:r>
        <w:fldChar w:fldCharType="separate"/>
      </w:r>
      <w:r>
        <w:rPr>
          <w:rStyle w:val="20"/>
          <w:rFonts w:hint="eastAsia" w:ascii="宋体" w:hAnsi="宋体" w:eastAsia="宋体" w:cs="宋体"/>
          <w:color w:val="auto"/>
        </w:rPr>
        <w:t>附件六</w:t>
      </w:r>
      <w:r>
        <w:rPr>
          <w:rStyle w:val="20"/>
          <w:rFonts w:ascii="宋体" w:hAnsi="宋体" w:eastAsia="宋体" w:cs="宋体"/>
          <w:color w:val="auto"/>
        </w:rPr>
        <w:t xml:space="preserve"> </w:t>
      </w:r>
      <w:r>
        <w:rPr>
          <w:rStyle w:val="20"/>
          <w:rFonts w:hint="eastAsia" w:ascii="宋体" w:hAnsi="宋体" w:eastAsia="宋体" w:cs="宋体"/>
          <w:color w:val="auto"/>
        </w:rPr>
        <w:t>中小企业声明函（工程、服务）</w:t>
      </w:r>
      <w:r>
        <w:tab/>
      </w:r>
      <w:r>
        <w:fldChar w:fldCharType="begin"/>
      </w:r>
      <w:r>
        <w:instrText xml:space="preserve"> PAGEREF _Toc79681403 \h </w:instrText>
      </w:r>
      <w:r>
        <w:fldChar w:fldCharType="separate"/>
      </w:r>
      <w:r>
        <w:t>28</w:t>
      </w:r>
      <w:r>
        <w:fldChar w:fldCharType="end"/>
      </w:r>
      <w:r>
        <w:fldChar w:fldCharType="end"/>
      </w:r>
    </w:p>
    <w:p w14:paraId="15EBD25E">
      <w:pPr>
        <w:pStyle w:val="14"/>
        <w:tabs>
          <w:tab w:val="right" w:leader="dot" w:pos="8630"/>
        </w:tabs>
        <w:rPr>
          <w:szCs w:val="22"/>
        </w:rPr>
      </w:pPr>
      <w:r>
        <w:rPr>
          <w:rStyle w:val="20"/>
          <w:rFonts w:hint="eastAsia" w:ascii="宋体" w:hAnsi="宋体" w:eastAsia="宋体" w:cs="宋体"/>
          <w:color w:val="auto"/>
        </w:rPr>
        <w:t xml:space="preserve">附件七 </w:t>
      </w:r>
      <w:r>
        <w:fldChar w:fldCharType="begin"/>
      </w:r>
      <w:r>
        <w:instrText xml:space="preserve"> HYPERLINK \l "_Toc79681404" </w:instrText>
      </w:r>
      <w:r>
        <w:fldChar w:fldCharType="separate"/>
      </w:r>
      <w:r>
        <w:rPr>
          <w:rStyle w:val="20"/>
          <w:rFonts w:hint="eastAsia" w:ascii="宋体" w:hAnsi="宋体" w:eastAsia="宋体" w:cs="宋体"/>
          <w:color w:val="auto"/>
          <w:spacing w:val="6"/>
        </w:rPr>
        <w:t>残疾人福利性单位声明函</w:t>
      </w:r>
      <w:r>
        <w:tab/>
      </w:r>
      <w:r>
        <w:fldChar w:fldCharType="begin"/>
      </w:r>
      <w:r>
        <w:instrText xml:space="preserve"> PAGEREF _Toc79681404 \h </w:instrText>
      </w:r>
      <w:r>
        <w:fldChar w:fldCharType="separate"/>
      </w:r>
      <w:r>
        <w:t>29</w:t>
      </w:r>
      <w:r>
        <w:fldChar w:fldCharType="end"/>
      </w:r>
      <w:r>
        <w:fldChar w:fldCharType="end"/>
      </w:r>
    </w:p>
    <w:p w14:paraId="236BD006">
      <w:pPr>
        <w:pStyle w:val="13"/>
        <w:tabs>
          <w:tab w:val="right" w:leader="dot" w:pos="8630"/>
        </w:tabs>
        <w:rPr>
          <w:b w:val="0"/>
          <w:bCs w:val="0"/>
          <w:caps w:val="0"/>
          <w:szCs w:val="22"/>
        </w:rPr>
      </w:pPr>
      <w:r>
        <w:fldChar w:fldCharType="begin"/>
      </w:r>
      <w:r>
        <w:instrText xml:space="preserve"> HYPERLINK \l "_Toc79681405" </w:instrText>
      </w:r>
      <w:r>
        <w:fldChar w:fldCharType="separate"/>
      </w:r>
      <w:r>
        <w:rPr>
          <w:rStyle w:val="20"/>
          <w:rFonts w:hint="eastAsia" w:ascii="Times New Roman" w:hAnsi="Times New Roman" w:eastAsia="宋体" w:cs="Times New Roman"/>
          <w:color w:val="auto"/>
        </w:rPr>
        <w:t>第六部分</w:t>
      </w:r>
      <w:r>
        <w:rPr>
          <w:rStyle w:val="20"/>
          <w:rFonts w:ascii="Times New Roman" w:hAnsi="Times New Roman" w:eastAsia="宋体" w:cs="Times New Roman"/>
          <w:color w:val="auto"/>
        </w:rPr>
        <w:t xml:space="preserve">  </w:t>
      </w:r>
      <w:r>
        <w:rPr>
          <w:rStyle w:val="20"/>
          <w:rFonts w:hint="eastAsia" w:ascii="Times New Roman" w:hAnsi="Times New Roman" w:eastAsia="宋体" w:cs="Times New Roman"/>
          <w:color w:val="auto"/>
        </w:rPr>
        <w:t>合同草案条款</w:t>
      </w:r>
      <w:r>
        <w:tab/>
      </w:r>
      <w:r>
        <w:fldChar w:fldCharType="begin"/>
      </w:r>
      <w:r>
        <w:instrText xml:space="preserve"> PAGEREF _Toc79681405 \h </w:instrText>
      </w:r>
      <w:r>
        <w:fldChar w:fldCharType="separate"/>
      </w:r>
      <w:r>
        <w:t>29</w:t>
      </w:r>
      <w:r>
        <w:fldChar w:fldCharType="end"/>
      </w:r>
      <w:r>
        <w:fldChar w:fldCharType="end"/>
      </w:r>
    </w:p>
    <w:p w14:paraId="2D5802CA">
      <w:pPr>
        <w:tabs>
          <w:tab w:val="left" w:pos="1365"/>
        </w:tabs>
        <w:spacing w:line="500" w:lineRule="exact"/>
        <w:ind w:left="1259" w:leftChars="228" w:hanging="780" w:hangingChars="325"/>
        <w:jc w:val="center"/>
        <w:rPr>
          <w:rFonts w:ascii="宋体" w:hAnsi="宋体" w:eastAsia="宋体" w:cs="宋体"/>
        </w:rPr>
      </w:pPr>
      <w:r>
        <w:rPr>
          <w:rFonts w:ascii="Times New Roman" w:hAnsi="Times New Roman" w:eastAsia="宋体" w:cs="Times New Roman"/>
          <w:sz w:val="24"/>
        </w:rPr>
        <w:fldChar w:fldCharType="end"/>
      </w:r>
      <w:r>
        <w:rPr>
          <w:rFonts w:ascii="Times New Roman" w:hAnsi="Times New Roman" w:eastAsia="宋体" w:cs="Times New Roman"/>
          <w:sz w:val="24"/>
          <w:szCs w:val="21"/>
        </w:rPr>
        <w:br w:type="page"/>
      </w:r>
      <w:bookmarkStart w:id="0" w:name="_Toc79681368"/>
      <w:bookmarkStart w:id="1" w:name="_Toc115756014"/>
      <w:bookmarkStart w:id="2" w:name="_Toc499216465"/>
      <w:r>
        <w:rPr>
          <w:rFonts w:hint="eastAsia" w:ascii="宋体" w:hAnsi="宋体" w:eastAsia="宋体" w:cs="宋体"/>
          <w:b/>
          <w:kern w:val="2"/>
          <w:sz w:val="32"/>
          <w:szCs w:val="32"/>
          <w:lang w:val="en-US" w:eastAsia="zh-CN" w:bidi="ar-SA"/>
        </w:rPr>
        <w:t>第一部分</w:t>
      </w:r>
      <w:r>
        <w:rPr>
          <w:rFonts w:hint="eastAsia" w:ascii="宋体" w:hAnsi="宋体" w:cs="宋体"/>
          <w:b/>
          <w:kern w:val="2"/>
          <w:sz w:val="32"/>
          <w:szCs w:val="32"/>
          <w:lang w:val="en-US" w:eastAsia="zh-CN" w:bidi="ar-SA"/>
        </w:rPr>
        <w:t xml:space="preserve"> </w:t>
      </w:r>
      <w:r>
        <w:rPr>
          <w:rFonts w:hint="eastAsia" w:ascii="宋体" w:hAnsi="宋体" w:eastAsia="宋体" w:cs="宋体"/>
          <w:b/>
          <w:kern w:val="2"/>
          <w:sz w:val="32"/>
          <w:szCs w:val="32"/>
          <w:lang w:val="en-US" w:eastAsia="zh-CN" w:bidi="ar-SA"/>
        </w:rPr>
        <w:t>采购公告</w:t>
      </w:r>
      <w:bookmarkEnd w:id="0"/>
      <w:bookmarkEnd w:id="1"/>
      <w:bookmarkEnd w:id="2"/>
      <w:bookmarkStart w:id="83" w:name="_GoBack"/>
      <w:bookmarkEnd w:id="83"/>
    </w:p>
    <w:p w14:paraId="670A9C51">
      <w:pPr>
        <w:spacing w:line="500" w:lineRule="exact"/>
        <w:ind w:firstLine="482" w:firstLineChars="200"/>
        <w:rPr>
          <w:rFonts w:ascii="楷体" w:hAnsi="楷体" w:eastAsia="楷体" w:cs="宋体"/>
          <w:b/>
          <w:bCs/>
          <w:sz w:val="24"/>
        </w:rPr>
      </w:pPr>
      <w:bookmarkStart w:id="3" w:name="_Toc115756015"/>
      <w:bookmarkStart w:id="4" w:name="_Toc499216466"/>
      <w:r>
        <w:rPr>
          <w:rFonts w:hint="eastAsia" w:ascii="楷体" w:hAnsi="楷体" w:eastAsia="楷体" w:cs="宋体"/>
          <w:b/>
          <w:bCs/>
          <w:sz w:val="24"/>
        </w:rPr>
        <w:t>国家体育总局体育器材装备中心近日推出“国家体育总局政府集中采购”微信公众号，作为采购信息发布渠道、政策咨询渠道、宣传渠道以及与采购人供应商联系的桥梁。请广大供应商及时关注！除中国政府采购网外也可通过该公众号获取我中心代理实施的相关采购项目信息（如有不一致，以中国政府采购网所公告的项目信息为准）。</w:t>
      </w:r>
    </w:p>
    <w:p w14:paraId="6A934348">
      <w:pPr>
        <w:spacing w:line="500" w:lineRule="exact"/>
        <w:ind w:firstLine="482" w:firstLineChars="200"/>
        <w:rPr>
          <w:rFonts w:ascii="宋体" w:hAnsi="宋体" w:eastAsia="宋体" w:cs="宋体"/>
          <w:bCs/>
          <w:sz w:val="24"/>
        </w:rPr>
      </w:pPr>
      <w:r>
        <w:rPr>
          <w:rFonts w:hint="eastAsia" w:ascii="楷体" w:hAnsi="楷体" w:eastAsia="楷体" w:cs="宋体"/>
          <w:b/>
          <w:bCs/>
          <w:sz w:val="24"/>
        </w:rPr>
        <w:drawing>
          <wp:anchor distT="0" distB="0" distL="114300" distR="114300" simplePos="0" relativeHeight="251660288" behindDoc="0" locked="0" layoutInCell="1" allowOverlap="1">
            <wp:simplePos x="0" y="0"/>
            <wp:positionH relativeFrom="margin">
              <wp:posOffset>1687195</wp:posOffset>
            </wp:positionH>
            <wp:positionV relativeFrom="margin">
              <wp:posOffset>2355215</wp:posOffset>
            </wp:positionV>
            <wp:extent cx="1958340" cy="1958340"/>
            <wp:effectExtent l="0" t="0" r="10160" b="10160"/>
            <wp:wrapSquare wrapText="bothSides"/>
            <wp:docPr id="2" name="图片 2" descr="C:\Users\ygn\AppData\Local\Temp\WeChat Files\7022c39f3fbc2e01a49ec41f3004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gn\AppData\Local\Temp\WeChat Files\7022c39f3fbc2e01a49ec41f30044f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58340" cy="1958340"/>
                    </a:xfrm>
                    <a:prstGeom prst="rect">
                      <a:avLst/>
                    </a:prstGeom>
                    <a:noFill/>
                    <a:ln>
                      <a:noFill/>
                    </a:ln>
                  </pic:spPr>
                </pic:pic>
              </a:graphicData>
            </a:graphic>
          </wp:anchor>
        </w:drawing>
      </w:r>
    </w:p>
    <w:p w14:paraId="309F343F">
      <w:pPr>
        <w:spacing w:line="500" w:lineRule="exact"/>
        <w:ind w:firstLine="480" w:firstLineChars="200"/>
        <w:rPr>
          <w:rFonts w:ascii="宋体" w:hAnsi="宋体" w:eastAsia="宋体" w:cs="宋体"/>
          <w:bCs/>
          <w:sz w:val="24"/>
        </w:rPr>
      </w:pPr>
    </w:p>
    <w:p w14:paraId="70E88EE8">
      <w:pPr>
        <w:spacing w:line="500" w:lineRule="exact"/>
        <w:ind w:firstLine="480" w:firstLineChars="200"/>
        <w:rPr>
          <w:rFonts w:ascii="宋体" w:hAnsi="宋体" w:eastAsia="宋体" w:cs="宋体"/>
          <w:bCs/>
          <w:sz w:val="24"/>
        </w:rPr>
      </w:pPr>
    </w:p>
    <w:p w14:paraId="404BED57">
      <w:pPr>
        <w:spacing w:line="500" w:lineRule="exact"/>
        <w:ind w:firstLine="480" w:firstLineChars="200"/>
        <w:rPr>
          <w:rFonts w:ascii="宋体" w:hAnsi="宋体" w:eastAsia="宋体" w:cs="宋体"/>
          <w:bCs/>
          <w:sz w:val="24"/>
        </w:rPr>
      </w:pPr>
    </w:p>
    <w:p w14:paraId="4939ADF8">
      <w:pPr>
        <w:spacing w:line="500" w:lineRule="exact"/>
        <w:ind w:firstLine="480" w:firstLineChars="200"/>
        <w:rPr>
          <w:rFonts w:ascii="宋体" w:hAnsi="宋体" w:eastAsia="宋体" w:cs="宋体"/>
          <w:bCs/>
          <w:sz w:val="24"/>
        </w:rPr>
      </w:pPr>
    </w:p>
    <w:p w14:paraId="15D52A56">
      <w:pPr>
        <w:spacing w:line="500" w:lineRule="exact"/>
        <w:rPr>
          <w:rFonts w:ascii="宋体" w:hAnsi="宋体" w:eastAsia="宋体" w:cs="宋体"/>
          <w:bCs/>
          <w:sz w:val="24"/>
        </w:rPr>
      </w:pPr>
    </w:p>
    <w:p w14:paraId="1E72E0C8">
      <w:pPr>
        <w:spacing w:line="500" w:lineRule="exact"/>
        <w:rPr>
          <w:rFonts w:ascii="宋体" w:hAnsi="宋体" w:eastAsia="宋体" w:cs="宋体"/>
          <w:bCs/>
          <w:sz w:val="24"/>
        </w:rPr>
      </w:pPr>
    </w:p>
    <w:p w14:paraId="7C4BE9F9">
      <w:pPr>
        <w:spacing w:line="500" w:lineRule="exact"/>
        <w:ind w:firstLine="480" w:firstLineChars="200"/>
        <w:rPr>
          <w:rFonts w:ascii="宋体" w:hAnsi="宋体" w:eastAsia="宋体" w:cs="宋体"/>
          <w:bCs/>
          <w:sz w:val="24"/>
        </w:rPr>
      </w:pPr>
    </w:p>
    <w:p w14:paraId="24ED2278">
      <w:pPr>
        <w:spacing w:line="500" w:lineRule="exact"/>
        <w:ind w:firstLine="480" w:firstLineChars="200"/>
        <w:rPr>
          <w:rFonts w:ascii="宋体" w:hAnsi="宋体" w:eastAsia="宋体" w:cs="宋体"/>
          <w:bCs/>
          <w:sz w:val="24"/>
        </w:rPr>
      </w:pPr>
      <w:r>
        <w:rPr>
          <w:rFonts w:hint="eastAsia" w:ascii="宋体" w:hAnsi="宋体" w:eastAsia="宋体" w:cs="宋体"/>
          <w:bCs/>
          <w:sz w:val="24"/>
        </w:rPr>
        <w:t>国家体育总局体育器材装备中心（以下简称“采购单位”）受国家体育总局手曲棒垒球运动管理中心（以下简称“采购人”）委托就“棒球百城千队系列赛项目执行服务”进行采购，现邀请合格报价人参加竞争性磋商。</w:t>
      </w:r>
    </w:p>
    <w:p w14:paraId="06C73ABD">
      <w:pPr>
        <w:pStyle w:val="25"/>
        <w:numPr>
          <w:ilvl w:val="5"/>
          <w:numId w:val="0"/>
        </w:numPr>
        <w:rPr>
          <w:rFonts w:ascii="宋体" w:hAnsi="宋体" w:eastAsia="宋体" w:cs="宋体"/>
          <w:color w:val="auto"/>
          <w:sz w:val="24"/>
        </w:rPr>
      </w:pPr>
      <w:bookmarkStart w:id="5" w:name="_Toc79681369"/>
      <w:r>
        <w:rPr>
          <w:rFonts w:hint="eastAsia" w:ascii="宋体" w:hAnsi="宋体" w:eastAsia="宋体" w:cs="宋体"/>
          <w:color w:val="auto"/>
          <w:sz w:val="24"/>
        </w:rPr>
        <w:t>一、项目名称及项目编号</w:t>
      </w:r>
      <w:bookmarkEnd w:id="3"/>
      <w:bookmarkEnd w:id="4"/>
      <w:bookmarkEnd w:id="5"/>
    </w:p>
    <w:p w14:paraId="4AAC510D">
      <w:pPr>
        <w:pStyle w:val="25"/>
        <w:numPr>
          <w:ilvl w:val="5"/>
          <w:numId w:val="0"/>
        </w:numPr>
        <w:ind w:firstLine="482" w:firstLineChars="200"/>
        <w:rPr>
          <w:rFonts w:ascii="宋体" w:hAnsi="宋体" w:eastAsia="宋体" w:cs="宋体"/>
          <w:b w:val="0"/>
          <w:bCs w:val="0"/>
          <w:sz w:val="24"/>
        </w:rPr>
      </w:pPr>
      <w:r>
        <w:rPr>
          <w:rFonts w:hint="eastAsia" w:ascii="宋体" w:hAnsi="宋体" w:eastAsia="宋体" w:cs="宋体"/>
          <w:sz w:val="24"/>
        </w:rPr>
        <w:t>项目名称：</w:t>
      </w:r>
      <w:r>
        <w:rPr>
          <w:rFonts w:hint="eastAsia" w:ascii="宋体" w:hAnsi="宋体" w:eastAsia="宋体" w:cs="宋体"/>
          <w:b w:val="0"/>
          <w:bCs w:val="0"/>
          <w:sz w:val="24"/>
          <w:highlight w:val="none"/>
        </w:rPr>
        <w:t>棒球百城千队系列赛项目执行服务</w:t>
      </w:r>
    </w:p>
    <w:p w14:paraId="7ECC88EB">
      <w:pPr>
        <w:spacing w:line="500" w:lineRule="exact"/>
        <w:ind w:firstLine="482" w:firstLineChars="200"/>
        <w:rPr>
          <w:rFonts w:hint="eastAsia" w:ascii="宋体" w:hAnsi="宋体" w:eastAsia="宋体" w:cs="宋体"/>
          <w:bCs/>
          <w:sz w:val="24"/>
          <w:highlight w:val="yellow"/>
          <w:lang w:eastAsia="zh-CN"/>
        </w:rPr>
      </w:pPr>
      <w:r>
        <w:rPr>
          <w:rFonts w:hint="eastAsia" w:ascii="宋体" w:hAnsi="宋体" w:eastAsia="宋体" w:cs="宋体"/>
          <w:b/>
          <w:sz w:val="24"/>
        </w:rPr>
        <w:t>项目编号：</w:t>
      </w:r>
      <w:r>
        <w:rPr>
          <w:rFonts w:hint="eastAsia" w:ascii="宋体" w:hAnsi="宋体" w:eastAsia="宋体" w:cs="宋体"/>
          <w:bCs/>
          <w:sz w:val="24"/>
          <w:highlight w:val="none"/>
        </w:rPr>
        <w:t>CSCY2</w:t>
      </w:r>
      <w:r>
        <w:rPr>
          <w:rFonts w:hint="eastAsia" w:ascii="宋体" w:hAnsi="宋体" w:cs="宋体"/>
          <w:bCs/>
          <w:sz w:val="24"/>
          <w:highlight w:val="none"/>
          <w:lang w:val="en-US" w:eastAsia="zh-CN"/>
        </w:rPr>
        <w:t>5</w:t>
      </w:r>
      <w:r>
        <w:rPr>
          <w:rFonts w:hint="eastAsia" w:ascii="宋体" w:hAnsi="宋体" w:eastAsia="宋体" w:cs="宋体"/>
          <w:bCs/>
          <w:sz w:val="24"/>
          <w:highlight w:val="none"/>
        </w:rPr>
        <w:t>-0</w:t>
      </w:r>
      <w:r>
        <w:rPr>
          <w:rFonts w:hint="eastAsia" w:ascii="宋体" w:hAnsi="宋体" w:cs="宋体"/>
          <w:bCs/>
          <w:sz w:val="24"/>
          <w:highlight w:val="none"/>
          <w:lang w:val="en-US" w:eastAsia="zh-CN"/>
        </w:rPr>
        <w:t>3</w:t>
      </w:r>
    </w:p>
    <w:p w14:paraId="741EF8FF">
      <w:pPr>
        <w:pStyle w:val="25"/>
        <w:numPr>
          <w:ilvl w:val="5"/>
          <w:numId w:val="0"/>
        </w:numPr>
        <w:rPr>
          <w:rFonts w:ascii="宋体" w:hAnsi="宋体" w:eastAsia="宋体" w:cs="宋体"/>
          <w:color w:val="auto"/>
          <w:sz w:val="24"/>
        </w:rPr>
      </w:pPr>
      <w:bookmarkStart w:id="6" w:name="_Toc79681370"/>
      <w:bookmarkStart w:id="7" w:name="_Toc499216467"/>
      <w:bookmarkStart w:id="8" w:name="_Toc115756016"/>
      <w:r>
        <w:rPr>
          <w:rFonts w:hint="eastAsia" w:ascii="宋体" w:hAnsi="宋体" w:eastAsia="宋体" w:cs="宋体"/>
          <w:color w:val="auto"/>
          <w:sz w:val="24"/>
        </w:rPr>
        <w:t>二、采购内容</w:t>
      </w:r>
      <w:bookmarkEnd w:id="6"/>
      <w:bookmarkEnd w:id="7"/>
      <w:bookmarkEnd w:id="8"/>
    </w:p>
    <w:p w14:paraId="6FB8A34C">
      <w:pPr>
        <w:spacing w:line="500" w:lineRule="exact"/>
        <w:ind w:firstLine="480" w:firstLineChars="200"/>
        <w:rPr>
          <w:rFonts w:ascii="宋体" w:hAnsi="宋体" w:eastAsia="宋体" w:cs="宋体"/>
          <w:bCs/>
          <w:sz w:val="24"/>
        </w:rPr>
      </w:pPr>
      <w:r>
        <w:rPr>
          <w:rFonts w:hint="eastAsia" w:ascii="宋体" w:hAnsi="宋体" w:eastAsia="宋体" w:cs="宋体"/>
          <w:bCs/>
          <w:sz w:val="24"/>
        </w:rPr>
        <w:t>本次拟为国家体育总局手曲棒垒球运动管理中心采购</w:t>
      </w:r>
      <w:r>
        <w:rPr>
          <w:rFonts w:hint="eastAsia" w:ascii="宋体" w:hAnsi="宋体" w:eastAsia="宋体" w:cs="宋体"/>
          <w:b/>
          <w:sz w:val="24"/>
        </w:rPr>
        <w:t>“棒球百城千队系列赛项目执行服务”</w:t>
      </w:r>
      <w:r>
        <w:rPr>
          <w:rFonts w:hint="eastAsia" w:ascii="宋体" w:hAnsi="宋体" w:eastAsia="宋体" w:cs="宋体"/>
          <w:bCs/>
          <w:sz w:val="24"/>
        </w:rPr>
        <w:t>，</w:t>
      </w:r>
      <w:r>
        <w:rPr>
          <w:rFonts w:hint="eastAsia" w:ascii="宋体" w:hAnsi="宋体" w:eastAsia="宋体" w:cs="宋体"/>
          <w:bCs/>
          <w:sz w:val="24"/>
          <w:highlight w:val="yellow"/>
        </w:rPr>
        <w:t>采购预算为</w:t>
      </w:r>
      <w:r>
        <w:rPr>
          <w:rFonts w:hint="eastAsia" w:ascii="宋体" w:hAnsi="宋体" w:eastAsia="宋体" w:cs="宋体"/>
          <w:b/>
          <w:bCs w:val="0"/>
          <w:sz w:val="24"/>
          <w:highlight w:val="yellow"/>
          <w:lang w:val="en-US" w:eastAsia="zh-CN"/>
        </w:rPr>
        <w:t>190</w:t>
      </w:r>
      <w:r>
        <w:rPr>
          <w:rFonts w:hint="eastAsia" w:ascii="宋体" w:hAnsi="宋体" w:eastAsia="宋体" w:cs="宋体"/>
          <w:bCs/>
          <w:sz w:val="24"/>
          <w:highlight w:val="yellow"/>
        </w:rPr>
        <w:t>万元</w:t>
      </w:r>
      <w:r>
        <w:rPr>
          <w:rFonts w:hint="eastAsia" w:ascii="宋体" w:hAnsi="宋体" w:eastAsia="宋体" w:cs="宋体"/>
          <w:bCs/>
          <w:sz w:val="24"/>
        </w:rPr>
        <w:t>。</w:t>
      </w:r>
    </w:p>
    <w:p w14:paraId="2C7BFE6F">
      <w:pPr>
        <w:spacing w:line="500" w:lineRule="exact"/>
        <w:ind w:firstLine="480" w:firstLineChars="200"/>
        <w:rPr>
          <w:rFonts w:ascii="宋体" w:hAnsi="宋体" w:eastAsia="宋体" w:cs="宋体"/>
          <w:bCs/>
          <w:sz w:val="24"/>
        </w:rPr>
      </w:pPr>
      <w:r>
        <w:rPr>
          <w:rFonts w:hint="eastAsia" w:ascii="宋体" w:hAnsi="宋体" w:eastAsia="宋体" w:cs="宋体"/>
          <w:bCs/>
          <w:sz w:val="24"/>
        </w:rPr>
        <w:t>具体服务内容详见第三部分采购需求。</w:t>
      </w:r>
      <w:bookmarkStart w:id="9" w:name="_Toc115756017"/>
      <w:bookmarkStart w:id="10" w:name="_Toc499216468"/>
    </w:p>
    <w:p w14:paraId="466ADF19">
      <w:pPr>
        <w:pStyle w:val="4"/>
        <w:rPr>
          <w:rFonts w:ascii="宋体" w:hAnsi="宋体" w:eastAsia="宋体" w:cs="宋体"/>
          <w:kern w:val="0"/>
          <w:sz w:val="24"/>
          <w:szCs w:val="24"/>
        </w:rPr>
      </w:pPr>
      <w:bookmarkStart w:id="11" w:name="_Toc79681371"/>
      <w:r>
        <w:rPr>
          <w:rFonts w:hint="eastAsia" w:ascii="宋体" w:hAnsi="宋体" w:eastAsia="宋体" w:cs="宋体"/>
          <w:kern w:val="0"/>
          <w:sz w:val="24"/>
          <w:szCs w:val="24"/>
        </w:rPr>
        <w:t>三、合格的报价人</w:t>
      </w:r>
      <w:bookmarkEnd w:id="9"/>
      <w:bookmarkEnd w:id="10"/>
      <w:bookmarkEnd w:id="11"/>
    </w:p>
    <w:p w14:paraId="2BF4FC36">
      <w:pPr>
        <w:pStyle w:val="6"/>
        <w:numPr>
          <w:ilvl w:val="0"/>
          <w:numId w:val="3"/>
        </w:numPr>
        <w:tabs>
          <w:tab w:val="clear" w:pos="1155"/>
        </w:tabs>
        <w:ind w:left="360" w:firstLine="0"/>
        <w:jc w:val="left"/>
        <w:rPr>
          <w:rFonts w:hAnsi="宋体" w:eastAsia="宋体" w:cs="宋体"/>
        </w:rPr>
      </w:pPr>
      <w:r>
        <w:rPr>
          <w:rFonts w:hint="eastAsia" w:hAnsi="宋体" w:eastAsia="宋体" w:cs="宋体"/>
        </w:rPr>
        <w:t>具有独立承担民事责任的能力；</w:t>
      </w:r>
    </w:p>
    <w:p w14:paraId="3DC20D03">
      <w:pPr>
        <w:pStyle w:val="6"/>
        <w:numPr>
          <w:ilvl w:val="0"/>
          <w:numId w:val="3"/>
        </w:numPr>
        <w:tabs>
          <w:tab w:val="clear" w:pos="1155"/>
        </w:tabs>
        <w:ind w:left="360" w:firstLine="0"/>
        <w:jc w:val="left"/>
        <w:rPr>
          <w:rFonts w:hAnsi="宋体" w:eastAsia="宋体" w:cs="宋体"/>
        </w:rPr>
      </w:pPr>
      <w:r>
        <w:rPr>
          <w:rFonts w:hint="eastAsia" w:hAnsi="宋体" w:eastAsia="宋体" w:cs="宋体"/>
        </w:rPr>
        <w:t>具有良好的商业信誉和健全的财务会计制度；</w:t>
      </w:r>
    </w:p>
    <w:p w14:paraId="0D7B5CE2">
      <w:pPr>
        <w:pStyle w:val="6"/>
        <w:numPr>
          <w:ilvl w:val="0"/>
          <w:numId w:val="3"/>
        </w:numPr>
        <w:tabs>
          <w:tab w:val="clear" w:pos="1155"/>
        </w:tabs>
        <w:ind w:left="360" w:firstLine="0"/>
        <w:jc w:val="left"/>
        <w:rPr>
          <w:rFonts w:hAnsi="宋体" w:eastAsia="宋体" w:cs="宋体"/>
        </w:rPr>
      </w:pPr>
      <w:r>
        <w:rPr>
          <w:rFonts w:hint="eastAsia" w:hAnsi="宋体" w:eastAsia="宋体" w:cs="宋体"/>
        </w:rPr>
        <w:t>具有履行合同所必需的设备和专业技术能力；</w:t>
      </w:r>
    </w:p>
    <w:p w14:paraId="7509F5D3">
      <w:pPr>
        <w:pStyle w:val="6"/>
        <w:numPr>
          <w:ilvl w:val="0"/>
          <w:numId w:val="3"/>
        </w:numPr>
        <w:tabs>
          <w:tab w:val="clear" w:pos="1155"/>
        </w:tabs>
        <w:ind w:left="360" w:firstLine="0"/>
        <w:jc w:val="left"/>
        <w:rPr>
          <w:rFonts w:hAnsi="宋体" w:eastAsia="宋体" w:cs="宋体"/>
        </w:rPr>
      </w:pPr>
      <w:r>
        <w:rPr>
          <w:rFonts w:hint="eastAsia" w:hAnsi="宋体" w:eastAsia="宋体" w:cs="宋体"/>
        </w:rPr>
        <w:t>具有依法缴纳税收和社会保障资金的良好记录；</w:t>
      </w:r>
    </w:p>
    <w:p w14:paraId="58D8A5FC">
      <w:pPr>
        <w:pStyle w:val="6"/>
        <w:numPr>
          <w:ilvl w:val="0"/>
          <w:numId w:val="3"/>
        </w:numPr>
        <w:tabs>
          <w:tab w:val="clear" w:pos="1155"/>
        </w:tabs>
        <w:ind w:left="360" w:firstLine="0"/>
        <w:jc w:val="left"/>
        <w:rPr>
          <w:rFonts w:hAnsi="宋体" w:eastAsia="宋体" w:cs="宋体"/>
        </w:rPr>
      </w:pPr>
      <w:r>
        <w:rPr>
          <w:rFonts w:hint="eastAsia" w:hAnsi="宋体" w:eastAsia="宋体" w:cs="宋体"/>
        </w:rPr>
        <w:t>参加此项采购活动前三年内，在经营活动中没有重大违法记录；</w:t>
      </w:r>
    </w:p>
    <w:p w14:paraId="0B0DE5E9">
      <w:pPr>
        <w:pStyle w:val="6"/>
        <w:numPr>
          <w:ilvl w:val="0"/>
          <w:numId w:val="3"/>
        </w:numPr>
        <w:tabs>
          <w:tab w:val="clear" w:pos="1155"/>
        </w:tabs>
        <w:ind w:left="360" w:firstLine="0"/>
        <w:jc w:val="left"/>
        <w:rPr>
          <w:rFonts w:hAnsi="宋体" w:eastAsia="宋体" w:cs="宋体"/>
        </w:rPr>
      </w:pPr>
      <w:r>
        <w:rPr>
          <w:rFonts w:hint="eastAsia" w:hAnsi="宋体" w:eastAsia="宋体" w:cs="宋体"/>
        </w:rPr>
        <w:t>本次采购不接受联合体报价；</w:t>
      </w:r>
    </w:p>
    <w:p w14:paraId="5AF2E55B">
      <w:pPr>
        <w:pStyle w:val="6"/>
        <w:numPr>
          <w:ilvl w:val="0"/>
          <w:numId w:val="3"/>
        </w:numPr>
        <w:tabs>
          <w:tab w:val="clear" w:pos="1155"/>
        </w:tabs>
        <w:ind w:left="360" w:firstLine="0"/>
        <w:jc w:val="left"/>
        <w:rPr>
          <w:rFonts w:hAnsi="宋体" w:eastAsia="宋体" w:cs="宋体"/>
        </w:rPr>
      </w:pPr>
      <w:r>
        <w:rPr>
          <w:rFonts w:hint="eastAsia" w:hAnsi="宋体" w:eastAsia="宋体" w:cs="宋体"/>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1DE9EDD0">
      <w:pPr>
        <w:pStyle w:val="6"/>
        <w:numPr>
          <w:ilvl w:val="0"/>
          <w:numId w:val="3"/>
        </w:numPr>
        <w:tabs>
          <w:tab w:val="left" w:pos="851"/>
          <w:tab w:val="clear" w:pos="1155"/>
        </w:tabs>
        <w:ind w:left="360" w:firstLine="0"/>
        <w:jc w:val="left"/>
        <w:rPr>
          <w:rFonts w:hAnsi="宋体" w:eastAsia="宋体" w:cs="宋体"/>
        </w:rPr>
      </w:pPr>
      <w:r>
        <w:rPr>
          <w:rFonts w:hint="eastAsia" w:hAnsi="宋体" w:eastAsia="宋体" w:cs="宋体"/>
        </w:rPr>
        <w:t>单位负责人为同一人或者存在直接控股、管理关系的不同供应商，不得参加同一合同项的政府采购活动；</w:t>
      </w:r>
    </w:p>
    <w:p w14:paraId="0F0CA879">
      <w:pPr>
        <w:pStyle w:val="6"/>
        <w:numPr>
          <w:ilvl w:val="0"/>
          <w:numId w:val="3"/>
        </w:numPr>
        <w:tabs>
          <w:tab w:val="left" w:pos="851"/>
          <w:tab w:val="clear" w:pos="1155"/>
        </w:tabs>
        <w:ind w:left="360" w:firstLine="0"/>
        <w:jc w:val="left"/>
        <w:rPr>
          <w:rFonts w:hAnsi="宋体" w:eastAsia="宋体" w:cs="宋体"/>
        </w:rPr>
      </w:pPr>
      <w:r>
        <w:rPr>
          <w:rFonts w:hint="eastAsia" w:hAnsi="宋体" w:eastAsia="宋体" w:cs="宋体"/>
          <w:lang w:val="en-US" w:eastAsia="zh-CN"/>
        </w:rPr>
        <w:t>本项目非专门面向中小微企业的采购。</w:t>
      </w:r>
    </w:p>
    <w:p w14:paraId="74C33EE3">
      <w:pPr>
        <w:pStyle w:val="6"/>
        <w:tabs>
          <w:tab w:val="left" w:pos="851"/>
          <w:tab w:val="clear" w:pos="1155"/>
        </w:tabs>
        <w:jc w:val="left"/>
        <w:rPr>
          <w:rFonts w:hAnsi="宋体" w:eastAsia="宋体" w:cs="宋体"/>
        </w:rPr>
      </w:pPr>
    </w:p>
    <w:p w14:paraId="1820D984">
      <w:pPr>
        <w:pStyle w:val="25"/>
        <w:numPr>
          <w:ilvl w:val="5"/>
          <w:numId w:val="0"/>
        </w:numPr>
        <w:rPr>
          <w:rFonts w:ascii="宋体" w:hAnsi="宋体" w:eastAsia="宋体" w:cs="宋体"/>
          <w:color w:val="auto"/>
          <w:sz w:val="24"/>
        </w:rPr>
      </w:pPr>
      <w:bookmarkStart w:id="12" w:name="_Toc148289432"/>
      <w:bookmarkStart w:id="13" w:name="_Toc499216469"/>
      <w:bookmarkStart w:id="14" w:name="_Toc79681372"/>
      <w:r>
        <w:rPr>
          <w:rFonts w:hint="eastAsia" w:ascii="宋体" w:hAnsi="宋体" w:eastAsia="宋体" w:cs="宋体"/>
          <w:color w:val="auto"/>
          <w:sz w:val="24"/>
        </w:rPr>
        <w:t>四、报名</w:t>
      </w:r>
      <w:bookmarkEnd w:id="12"/>
      <w:bookmarkEnd w:id="13"/>
      <w:bookmarkEnd w:id="14"/>
    </w:p>
    <w:p w14:paraId="60138FFC">
      <w:pPr>
        <w:numPr>
          <w:ilvl w:val="0"/>
          <w:numId w:val="4"/>
        </w:numPr>
        <w:snapToGrid w:val="0"/>
        <w:spacing w:line="440" w:lineRule="exact"/>
        <w:jc w:val="left"/>
        <w:rPr>
          <w:rFonts w:ascii="宋体" w:hAnsi="宋体" w:eastAsia="宋体" w:cs="宋体"/>
          <w:kern w:val="0"/>
          <w:sz w:val="24"/>
        </w:rPr>
      </w:pPr>
      <w:bookmarkStart w:id="15" w:name="_Toc499216470"/>
      <w:r>
        <w:rPr>
          <w:rFonts w:hint="eastAsia" w:ascii="宋体" w:hAnsi="宋体" w:eastAsia="宋体" w:cs="宋体"/>
          <w:b/>
          <w:bCs/>
          <w:color w:val="FF0000"/>
          <w:kern w:val="0"/>
          <w:sz w:val="24"/>
          <w:highlight w:val="yellow"/>
        </w:rPr>
        <w:t>报名时间：202</w:t>
      </w:r>
      <w:r>
        <w:rPr>
          <w:rFonts w:hint="eastAsia" w:ascii="宋体" w:hAnsi="宋体" w:eastAsia="宋体" w:cs="宋体"/>
          <w:b/>
          <w:bCs/>
          <w:color w:val="FF0000"/>
          <w:kern w:val="0"/>
          <w:sz w:val="24"/>
          <w:highlight w:val="yellow"/>
          <w:lang w:val="en-US" w:eastAsia="zh-CN"/>
        </w:rPr>
        <w:t>5</w:t>
      </w:r>
      <w:r>
        <w:rPr>
          <w:rFonts w:hint="eastAsia" w:ascii="宋体" w:hAnsi="宋体" w:eastAsia="宋体" w:cs="宋体"/>
          <w:b/>
          <w:bCs/>
          <w:color w:val="FF0000"/>
          <w:kern w:val="0"/>
          <w:sz w:val="24"/>
          <w:highlight w:val="yellow"/>
        </w:rPr>
        <w:t>年</w:t>
      </w:r>
      <w:r>
        <w:rPr>
          <w:rFonts w:hint="eastAsia" w:ascii="宋体" w:hAnsi="宋体" w:cs="宋体"/>
          <w:b/>
          <w:bCs/>
          <w:color w:val="FF0000"/>
          <w:kern w:val="0"/>
          <w:sz w:val="24"/>
          <w:highlight w:val="yellow"/>
          <w:lang w:val="en-US" w:eastAsia="zh-CN"/>
        </w:rPr>
        <w:t>5</w:t>
      </w:r>
      <w:r>
        <w:rPr>
          <w:rFonts w:hint="eastAsia" w:ascii="宋体" w:hAnsi="宋体" w:eastAsia="宋体" w:cs="宋体"/>
          <w:b/>
          <w:bCs/>
          <w:color w:val="FF0000"/>
          <w:kern w:val="0"/>
          <w:sz w:val="24"/>
          <w:highlight w:val="yellow"/>
        </w:rPr>
        <w:t>月</w:t>
      </w:r>
      <w:r>
        <w:rPr>
          <w:rFonts w:hint="eastAsia" w:ascii="宋体" w:hAnsi="宋体" w:cs="宋体"/>
          <w:b/>
          <w:bCs/>
          <w:color w:val="FF0000"/>
          <w:kern w:val="0"/>
          <w:sz w:val="24"/>
          <w:highlight w:val="yellow"/>
          <w:lang w:val="en-US" w:eastAsia="zh-CN"/>
        </w:rPr>
        <w:t>14</w:t>
      </w:r>
      <w:r>
        <w:rPr>
          <w:rFonts w:hint="eastAsia" w:ascii="宋体" w:hAnsi="宋体" w:eastAsia="宋体" w:cs="宋体"/>
          <w:b/>
          <w:bCs/>
          <w:color w:val="FF0000"/>
          <w:kern w:val="0"/>
          <w:sz w:val="24"/>
          <w:highlight w:val="yellow"/>
        </w:rPr>
        <w:t>日至202</w:t>
      </w:r>
      <w:r>
        <w:rPr>
          <w:rFonts w:hint="eastAsia" w:ascii="宋体" w:hAnsi="宋体" w:eastAsia="宋体" w:cs="宋体"/>
          <w:b/>
          <w:bCs/>
          <w:color w:val="FF0000"/>
          <w:kern w:val="0"/>
          <w:sz w:val="24"/>
          <w:highlight w:val="yellow"/>
          <w:lang w:val="en-US" w:eastAsia="zh-CN"/>
        </w:rPr>
        <w:t>5</w:t>
      </w:r>
      <w:r>
        <w:rPr>
          <w:rFonts w:hint="eastAsia" w:ascii="宋体" w:hAnsi="宋体" w:eastAsia="宋体" w:cs="宋体"/>
          <w:b/>
          <w:bCs/>
          <w:color w:val="FF0000"/>
          <w:kern w:val="0"/>
          <w:sz w:val="24"/>
          <w:highlight w:val="yellow"/>
        </w:rPr>
        <w:t>年</w:t>
      </w:r>
      <w:r>
        <w:rPr>
          <w:rFonts w:hint="eastAsia" w:ascii="宋体" w:hAnsi="宋体" w:cs="宋体"/>
          <w:b/>
          <w:bCs/>
          <w:color w:val="FF0000"/>
          <w:kern w:val="0"/>
          <w:sz w:val="24"/>
          <w:highlight w:val="yellow"/>
          <w:lang w:val="en-US" w:eastAsia="zh-CN"/>
        </w:rPr>
        <w:t>5</w:t>
      </w:r>
      <w:r>
        <w:rPr>
          <w:rFonts w:hint="eastAsia" w:ascii="宋体" w:hAnsi="宋体" w:eastAsia="宋体" w:cs="宋体"/>
          <w:b/>
          <w:bCs/>
          <w:color w:val="FF0000"/>
          <w:kern w:val="0"/>
          <w:sz w:val="24"/>
          <w:highlight w:val="yellow"/>
        </w:rPr>
        <w:t>月</w:t>
      </w:r>
      <w:r>
        <w:rPr>
          <w:rFonts w:hint="eastAsia" w:ascii="宋体" w:hAnsi="宋体" w:cs="宋体"/>
          <w:b/>
          <w:bCs/>
          <w:color w:val="FF0000"/>
          <w:kern w:val="0"/>
          <w:sz w:val="24"/>
          <w:highlight w:val="yellow"/>
          <w:lang w:val="en-US" w:eastAsia="zh-CN"/>
        </w:rPr>
        <w:t>20</w:t>
      </w:r>
      <w:r>
        <w:rPr>
          <w:rFonts w:hint="eastAsia" w:ascii="宋体" w:hAnsi="宋体" w:eastAsia="宋体" w:cs="宋体"/>
          <w:b/>
          <w:bCs/>
          <w:color w:val="FF0000"/>
          <w:kern w:val="0"/>
          <w:sz w:val="24"/>
          <w:highlight w:val="yellow"/>
        </w:rPr>
        <w:t>日</w:t>
      </w:r>
      <w:r>
        <w:rPr>
          <w:rFonts w:hint="eastAsia" w:ascii="宋体" w:hAnsi="宋体" w:eastAsia="宋体" w:cs="宋体"/>
          <w:kern w:val="0"/>
          <w:sz w:val="24"/>
        </w:rPr>
        <w:t>上午08:30-11:30；下午13:30-17:00（节假日除外）。</w:t>
      </w:r>
    </w:p>
    <w:p w14:paraId="5BD7A392">
      <w:pPr>
        <w:numPr>
          <w:ilvl w:val="0"/>
          <w:numId w:val="4"/>
        </w:numPr>
        <w:snapToGrid w:val="0"/>
        <w:spacing w:line="440" w:lineRule="exact"/>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kern w:val="0"/>
          <w:sz w:val="24"/>
        </w:rPr>
        <w:t>报名方式：</w:t>
      </w:r>
      <w:r>
        <w:rPr>
          <w:rFonts w:hint="eastAsia" w:ascii="宋体" w:hAnsi="宋体" w:eastAsia="宋体" w:cs="宋体"/>
          <w:color w:val="000000" w:themeColor="text1"/>
          <w:kern w:val="0"/>
          <w:sz w:val="24"/>
          <w14:textFill>
            <w14:solidFill>
              <w14:schemeClr w14:val="tx1"/>
            </w14:solidFill>
          </w14:textFill>
        </w:rPr>
        <w:t>本项目需通过政采云平台网上报名。政采云平台供应商注册链接：https://middle.zcygov.cn/v-settle-front/enter/account?entranceType=1&amp;settleCategory=1&amp;isLoginAdd=true注册成功后，用账号密码登录后台界面；</w:t>
      </w:r>
    </w:p>
    <w:p w14:paraId="42EEAE27">
      <w:pPr>
        <w:snapToGrid w:val="0"/>
        <w:spacing w:line="440" w:lineRule="exact"/>
        <w:ind w:firstLine="480" w:firstLineChars="200"/>
        <w:jc w:val="lef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供应商报名路径：项目管理－项目采购－获取采购文件，找到本项目的项目名称申请获取采购文件，按照系统界面要求填写供应商相关信息，同时将以下文件扫描件作为附件上传。（1）</w:t>
      </w:r>
      <w:r>
        <w:rPr>
          <w:rFonts w:hint="eastAsia" w:ascii="宋体" w:hAnsi="宋体" w:eastAsia="宋体" w:cs="宋体"/>
          <w:color w:val="000000" w:themeColor="text1"/>
          <w:kern w:val="0"/>
          <w:sz w:val="24"/>
          <w:lang w:val="zh-CN"/>
          <w14:textFill>
            <w14:solidFill>
              <w14:schemeClr w14:val="tx1"/>
            </w14:solidFill>
          </w14:textFill>
        </w:rPr>
        <w:t>法定代表人授权委托书扫描件（法定代表人手写签字或盖章，并加盖单位公章）；</w:t>
      </w:r>
    </w:p>
    <w:p w14:paraId="443FAF3A">
      <w:pPr>
        <w:snapToGrid w:val="0"/>
        <w:spacing w:line="440" w:lineRule="exact"/>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（2）授权代表身份证扫描件                                                            （3）</w:t>
      </w:r>
      <w:r>
        <w:rPr>
          <w:rFonts w:hint="eastAsia" w:ascii="宋体" w:hAnsi="宋体" w:eastAsia="宋体" w:cs="宋体"/>
          <w:color w:val="000000" w:themeColor="text1"/>
          <w:kern w:val="0"/>
          <w:sz w:val="24"/>
          <w14:textFill>
            <w14:solidFill>
              <w14:schemeClr w14:val="tx1"/>
            </w14:solidFill>
          </w14:textFill>
        </w:rPr>
        <w:t>法定代表人的授权委托书</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5A8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496C4063">
            <w:pPr>
              <w:snapToGrid w:val="0"/>
              <w:spacing w:line="440" w:lineRule="exact"/>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国家体育总局体育器材装备中心：</w:t>
            </w:r>
          </w:p>
          <w:p w14:paraId="34D40E9B">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本授权委托书声明：注册于            （公司住址）的            （公司名称）法定代表人           （法定代表人姓名、职务）代表本公司授权在下面签字的         （法定代表人授权代表职务、姓名）为本公司的合法代理人，就贵方组织的                    （项目名称）项目，采购编号：</w:t>
            </w:r>
            <w:r>
              <w:rPr>
                <w:rFonts w:hint="eastAsia" w:ascii="宋体" w:hAnsi="宋体" w:eastAsia="宋体" w:cs="宋体"/>
                <w:b/>
                <w:color w:val="000000" w:themeColor="text1"/>
                <w:kern w:val="0"/>
                <w:sz w:val="24"/>
                <w:u w:val="single"/>
                <w14:textFill>
                  <w14:solidFill>
                    <w14:schemeClr w14:val="tx1"/>
                  </w14:solidFill>
                </w14:textFill>
              </w:rPr>
              <w:t xml:space="preserve">    </w:t>
            </w:r>
            <w:r>
              <w:rPr>
                <w:rFonts w:hint="eastAsia" w:ascii="宋体" w:hAnsi="宋体" w:eastAsia="宋体" w:cs="宋体"/>
                <w:b/>
                <w:color w:val="000000" w:themeColor="text1"/>
                <w:kern w:val="0"/>
                <w:sz w:val="24"/>
                <w14:textFill>
                  <w14:solidFill>
                    <w14:schemeClr w14:val="tx1"/>
                  </w14:solidFill>
                </w14:textFill>
              </w:rPr>
              <w:t>，包号：</w:t>
            </w:r>
            <w:r>
              <w:rPr>
                <w:rFonts w:hint="eastAsia" w:ascii="宋体" w:hAnsi="宋体" w:eastAsia="宋体" w:cs="宋体"/>
                <w:b/>
                <w:color w:val="000000" w:themeColor="text1"/>
                <w:kern w:val="0"/>
                <w:sz w:val="24"/>
                <w:u w:val="single"/>
                <w14:textFill>
                  <w14:solidFill>
                    <w14:schemeClr w14:val="tx1"/>
                  </w14:solidFill>
                </w14:textFill>
              </w:rPr>
              <w:t xml:space="preserve">     </w:t>
            </w:r>
            <w:r>
              <w:rPr>
                <w:rFonts w:hint="eastAsia" w:ascii="宋体" w:hAnsi="宋体" w:eastAsia="宋体" w:cs="宋体"/>
                <w:b/>
                <w:color w:val="000000" w:themeColor="text1"/>
                <w:kern w:val="0"/>
                <w:sz w:val="24"/>
                <w14:textFill>
                  <w14:solidFill>
                    <w14:schemeClr w14:val="tx1"/>
                  </w14:solidFill>
                </w14:textFill>
              </w:rPr>
              <w:t>，以本公司名义办理报名登记。</w:t>
            </w:r>
          </w:p>
          <w:p w14:paraId="5997CD07">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本授权书于      年      月      日签字生效，特此声明。</w:t>
            </w:r>
          </w:p>
          <w:p w14:paraId="1AF39A2E">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p>
          <w:p w14:paraId="7A3213B8">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法定代表人印刷体姓名：           签字：           电话：</w:t>
            </w:r>
          </w:p>
          <w:p w14:paraId="08CD2116">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授权代表印刷体姓名：           签字：              职务：         电话：</w:t>
            </w:r>
          </w:p>
          <w:p w14:paraId="745C639D">
            <w:pPr>
              <w:snapToGrid w:val="0"/>
              <w:spacing w:line="440" w:lineRule="exact"/>
              <w:ind w:firstLine="482" w:firstLineChars="200"/>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授权代表身份证号：             （身份证扫描件附后）</w:t>
            </w:r>
          </w:p>
          <w:p w14:paraId="59ECE743">
            <w:pPr>
              <w:snapToGrid w:val="0"/>
              <w:spacing w:line="440" w:lineRule="exact"/>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 xml:space="preserve">公司全称（公章）：                                    </w:t>
            </w:r>
          </w:p>
        </w:tc>
      </w:tr>
    </w:tbl>
    <w:p w14:paraId="1F117D96">
      <w:pPr>
        <w:snapToGrid w:val="0"/>
        <w:spacing w:line="440" w:lineRule="exact"/>
        <w:ind w:firstLine="480" w:firstLineChars="200"/>
        <w:jc w:val="left"/>
        <w:rPr>
          <w:rFonts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未提交以上文件进行报名登记，而直接编制报价文件参与报价的企业，其报价将被拒绝。采购文件电子文档可在中国政府采购网（www.ccgp.gov.cn）免费下载。</w:t>
      </w:r>
    </w:p>
    <w:p w14:paraId="7C7B31AA">
      <w:pPr>
        <w:numPr>
          <w:ilvl w:val="0"/>
          <w:numId w:val="4"/>
        </w:numPr>
        <w:snapToGrid w:val="0"/>
        <w:spacing w:line="440" w:lineRule="exact"/>
        <w:jc w:val="left"/>
        <w:rPr>
          <w:rFonts w:ascii="宋体" w:hAnsi="宋体" w:eastAsia="宋体" w:cs="宋体"/>
          <w:kern w:val="0"/>
          <w:sz w:val="24"/>
        </w:rPr>
      </w:pPr>
      <w:r>
        <w:rPr>
          <w:rFonts w:hint="eastAsia" w:ascii="宋体" w:hAnsi="宋体" w:eastAsia="宋体" w:cs="宋体"/>
          <w:kern w:val="0"/>
          <w:sz w:val="24"/>
        </w:rPr>
        <w:t>联系方式</w:t>
      </w:r>
    </w:p>
    <w:p w14:paraId="21CD83D9">
      <w:pPr>
        <w:snapToGrid w:val="0"/>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电子邮箱：zbzxcy@126.com</w:t>
      </w:r>
    </w:p>
    <w:p w14:paraId="632141AC">
      <w:pPr>
        <w:snapToGrid w:val="0"/>
        <w:spacing w:line="440" w:lineRule="exact"/>
        <w:ind w:firstLine="480" w:firstLineChars="200"/>
        <w:jc w:val="left"/>
        <w:rPr>
          <w:rFonts w:ascii="宋体" w:hAnsi="宋体" w:eastAsia="宋体" w:cs="宋体"/>
          <w:kern w:val="0"/>
          <w:sz w:val="24"/>
          <w:highlight w:val="yellow"/>
        </w:rPr>
      </w:pPr>
      <w:r>
        <w:rPr>
          <w:rFonts w:hint="eastAsia" w:ascii="宋体" w:hAnsi="宋体" w:eastAsia="宋体" w:cs="宋体"/>
          <w:kern w:val="0"/>
          <w:sz w:val="24"/>
          <w:highlight w:val="yellow"/>
        </w:rPr>
        <w:t>联系人：陈老师</w:t>
      </w:r>
    </w:p>
    <w:p w14:paraId="19D6FA27">
      <w:pPr>
        <w:snapToGrid w:val="0"/>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联系电话：010-87182681</w:t>
      </w:r>
    </w:p>
    <w:p w14:paraId="28B36578">
      <w:pPr>
        <w:pStyle w:val="25"/>
        <w:numPr>
          <w:ilvl w:val="5"/>
          <w:numId w:val="0"/>
        </w:numPr>
        <w:rPr>
          <w:rFonts w:ascii="宋体" w:hAnsi="宋体" w:eastAsia="宋体" w:cs="宋体"/>
          <w:color w:val="auto"/>
          <w:sz w:val="24"/>
        </w:rPr>
      </w:pPr>
      <w:bookmarkStart w:id="16" w:name="_Toc79681373"/>
      <w:r>
        <w:rPr>
          <w:rFonts w:hint="eastAsia" w:ascii="宋体" w:hAnsi="宋体" w:eastAsia="宋体" w:cs="宋体"/>
          <w:color w:val="auto"/>
          <w:sz w:val="24"/>
        </w:rPr>
        <w:t>五</w:t>
      </w:r>
      <w:bookmarkEnd w:id="15"/>
      <w:bookmarkEnd w:id="16"/>
      <w:bookmarkStart w:id="17" w:name="_Toc121302854"/>
      <w:bookmarkStart w:id="18" w:name="_Toc115756021"/>
      <w:bookmarkStart w:id="19" w:name="_Toc79681374"/>
      <w:bookmarkStart w:id="20" w:name="_Toc499216471"/>
      <w:r>
        <w:rPr>
          <w:rFonts w:hint="eastAsia" w:ascii="宋体" w:hAnsi="宋体" w:eastAsia="宋体" w:cs="宋体"/>
          <w:color w:val="auto"/>
          <w:sz w:val="24"/>
        </w:rPr>
        <w:t>、磋商时间、地点</w:t>
      </w:r>
      <w:bookmarkEnd w:id="17"/>
    </w:p>
    <w:p w14:paraId="452207B3">
      <w:pPr>
        <w:pStyle w:val="6"/>
        <w:ind w:firstLine="480" w:firstLineChars="200"/>
        <w:rPr>
          <w:rFonts w:hAnsi="宋体" w:eastAsia="宋体" w:cs="宋体"/>
        </w:rPr>
      </w:pPr>
      <w:r>
        <w:rPr>
          <w:rFonts w:hint="eastAsia" w:hAnsi="宋体" w:eastAsia="宋体" w:cs="宋体"/>
        </w:rPr>
        <w:t>1. 响应文件递交截止及磋商开始时间</w:t>
      </w:r>
      <w:r>
        <w:rPr>
          <w:rFonts w:hint="eastAsia" w:hAnsi="宋体" w:eastAsia="宋体" w:cs="宋体"/>
          <w:color w:val="000000" w:themeColor="text1"/>
          <w14:textFill>
            <w14:solidFill>
              <w14:schemeClr w14:val="tx1"/>
            </w14:solidFill>
          </w14:textFill>
        </w:rPr>
        <w:t>：</w:t>
      </w:r>
      <w:r>
        <w:rPr>
          <w:rFonts w:hint="eastAsia" w:hAnsi="宋体" w:eastAsia="宋体" w:cs="宋体"/>
          <w:b/>
          <w:color w:val="FF0000"/>
          <w:highlight w:val="yellow"/>
          <w:u w:val="single"/>
        </w:rPr>
        <w:t>202</w:t>
      </w:r>
      <w:r>
        <w:rPr>
          <w:rFonts w:hint="eastAsia" w:hAnsi="宋体" w:eastAsia="宋体" w:cs="宋体"/>
          <w:b/>
          <w:color w:val="FF0000"/>
          <w:highlight w:val="yellow"/>
          <w:u w:val="single"/>
          <w:lang w:val="en-US" w:eastAsia="zh-CN"/>
        </w:rPr>
        <w:t>5</w:t>
      </w:r>
      <w:r>
        <w:rPr>
          <w:rFonts w:hint="eastAsia" w:hAnsi="宋体" w:eastAsia="宋体" w:cs="宋体"/>
          <w:b/>
          <w:color w:val="FF0000"/>
          <w:highlight w:val="yellow"/>
          <w:u w:val="single"/>
        </w:rPr>
        <w:t>年</w:t>
      </w:r>
      <w:r>
        <w:rPr>
          <w:rFonts w:hint="eastAsia" w:hAnsi="宋体" w:cs="宋体"/>
          <w:b/>
          <w:color w:val="FF0000"/>
          <w:highlight w:val="yellow"/>
          <w:u w:val="single"/>
          <w:lang w:val="en-US" w:eastAsia="zh-CN"/>
        </w:rPr>
        <w:t>5</w:t>
      </w:r>
      <w:r>
        <w:rPr>
          <w:rFonts w:hint="eastAsia" w:hAnsi="宋体" w:eastAsia="宋体" w:cs="宋体"/>
          <w:b/>
          <w:color w:val="FF0000"/>
          <w:highlight w:val="yellow"/>
          <w:u w:val="single"/>
        </w:rPr>
        <w:t>月</w:t>
      </w:r>
      <w:r>
        <w:rPr>
          <w:rFonts w:hint="eastAsia" w:hAnsi="宋体" w:cs="宋体"/>
          <w:b/>
          <w:color w:val="FF0000"/>
          <w:highlight w:val="yellow"/>
          <w:u w:val="single"/>
          <w:lang w:val="en-US" w:eastAsia="zh-CN"/>
        </w:rPr>
        <w:t>27</w:t>
      </w:r>
      <w:r>
        <w:rPr>
          <w:rFonts w:hint="eastAsia" w:hAnsi="宋体" w:eastAsia="宋体" w:cs="宋体"/>
          <w:b/>
          <w:color w:val="FF0000"/>
          <w:highlight w:val="yellow"/>
          <w:u w:val="single"/>
        </w:rPr>
        <w:t>日</w:t>
      </w:r>
      <w:r>
        <w:rPr>
          <w:rFonts w:hint="eastAsia" w:hAnsi="宋体" w:eastAsia="宋体" w:cs="宋体"/>
          <w:b/>
          <w:color w:val="FF0000"/>
          <w:highlight w:val="yellow"/>
          <w:u w:val="single"/>
          <w:lang w:val="en-US" w:eastAsia="zh-CN"/>
        </w:rPr>
        <w:t>上</w:t>
      </w:r>
      <w:r>
        <w:rPr>
          <w:rFonts w:hint="eastAsia" w:hAnsi="宋体" w:eastAsia="宋体" w:cs="宋体"/>
          <w:b/>
          <w:color w:val="FF0000"/>
          <w:highlight w:val="yellow"/>
          <w:u w:val="single"/>
        </w:rPr>
        <w:t>午</w:t>
      </w:r>
      <w:r>
        <w:rPr>
          <w:rFonts w:hint="eastAsia" w:hAnsi="宋体" w:cs="宋体"/>
          <w:b/>
          <w:color w:val="FF0000"/>
          <w:highlight w:val="yellow"/>
          <w:u w:val="single"/>
          <w:lang w:val="en-US" w:eastAsia="zh-CN"/>
        </w:rPr>
        <w:t>9：</w:t>
      </w:r>
      <w:r>
        <w:rPr>
          <w:rFonts w:hint="eastAsia" w:hAnsi="宋体" w:eastAsia="宋体" w:cs="宋体"/>
          <w:b/>
          <w:color w:val="FF0000"/>
          <w:highlight w:val="yellow"/>
          <w:u w:val="single"/>
          <w:lang w:val="en-US" w:eastAsia="zh-CN"/>
        </w:rPr>
        <w:t>3</w:t>
      </w:r>
      <w:r>
        <w:rPr>
          <w:rFonts w:hint="eastAsia" w:hAnsi="宋体" w:eastAsia="宋体" w:cs="宋体"/>
          <w:b/>
          <w:color w:val="FF0000"/>
          <w:highlight w:val="yellow"/>
          <w:u w:val="single"/>
        </w:rPr>
        <w:t>0</w:t>
      </w:r>
      <w:r>
        <w:rPr>
          <w:rFonts w:hint="eastAsia" w:hAnsi="宋体" w:eastAsia="宋体" w:cs="宋体"/>
          <w:color w:val="FF0000"/>
        </w:rPr>
        <w:t>，</w:t>
      </w:r>
      <w:r>
        <w:rPr>
          <w:rFonts w:hint="eastAsia" w:hAnsi="宋体" w:eastAsia="宋体" w:cs="宋体"/>
        </w:rPr>
        <w:t>逾期递交或响应文件不符合采购规定，则被拒绝。</w:t>
      </w:r>
    </w:p>
    <w:p w14:paraId="1645D622">
      <w:pPr>
        <w:pStyle w:val="6"/>
        <w:ind w:firstLine="480" w:firstLineChars="200"/>
        <w:rPr>
          <w:rFonts w:hAnsi="宋体" w:eastAsia="宋体" w:cs="宋体"/>
        </w:rPr>
      </w:pPr>
      <w:r>
        <w:rPr>
          <w:rFonts w:hint="eastAsia" w:hAnsi="宋体" w:eastAsia="宋体" w:cs="宋体"/>
        </w:rPr>
        <w:t>2. 磋商地点：政府采购云平台（http</w:t>
      </w:r>
      <w:r>
        <w:rPr>
          <w:rFonts w:hAnsi="宋体" w:eastAsia="宋体" w:cs="宋体"/>
        </w:rPr>
        <w:t>:</w:t>
      </w:r>
      <w:r>
        <w:rPr>
          <w:rFonts w:hint="eastAsia" w:hAnsi="宋体" w:eastAsia="宋体" w:cs="宋体"/>
        </w:rPr>
        <w:t>//www.zcygov.cn）开标大厅。</w:t>
      </w:r>
    </w:p>
    <w:p w14:paraId="4327F82D">
      <w:pPr>
        <w:pStyle w:val="6"/>
        <w:ind w:firstLine="480" w:firstLineChars="200"/>
        <w:rPr>
          <w:rFonts w:hAnsi="宋体" w:eastAsia="宋体" w:cs="宋体"/>
        </w:rPr>
      </w:pPr>
      <w:r>
        <w:rPr>
          <w:rFonts w:hint="eastAsia" w:hAnsi="宋体" w:eastAsia="宋体" w:cs="宋体"/>
        </w:rPr>
        <w:t xml:space="preserve">供应商需要在具备有摄像头及语音功能且互联网网络状况良好的电脑登录“政采云”平台远程开标大厅参与本次磋商，否则后果自负。 </w:t>
      </w:r>
    </w:p>
    <w:p w14:paraId="427E7C92">
      <w:pPr>
        <w:pStyle w:val="6"/>
        <w:ind w:firstLine="480" w:firstLineChars="200"/>
        <w:rPr>
          <w:rFonts w:hAnsi="宋体" w:eastAsia="宋体" w:cs="宋体"/>
        </w:rPr>
      </w:pPr>
      <w:r>
        <w:rPr>
          <w:rFonts w:hint="eastAsia" w:hAnsi="宋体" w:eastAsia="宋体" w:cs="宋体"/>
        </w:rPr>
        <w:t>开标大厅菜单路径：应用中心—项目采购—开标评标</w:t>
      </w:r>
    </w:p>
    <w:p w14:paraId="60910FE7">
      <w:pPr>
        <w:pStyle w:val="6"/>
        <w:rPr>
          <w:rFonts w:hAnsi="宋体" w:eastAsia="宋体" w:cs="宋体"/>
        </w:rPr>
      </w:pPr>
    </w:p>
    <w:p w14:paraId="72748671">
      <w:pPr>
        <w:pStyle w:val="6"/>
        <w:ind w:left="840"/>
        <w:rPr>
          <w:rFonts w:hAnsi="宋体" w:eastAsia="宋体" w:cs="宋体"/>
        </w:rPr>
      </w:pPr>
    </w:p>
    <w:p w14:paraId="5D94AFEA">
      <w:pPr>
        <w:pStyle w:val="6"/>
        <w:ind w:left="840"/>
        <w:jc w:val="center"/>
        <w:rPr>
          <w:rFonts w:hAnsi="宋体" w:eastAsia="宋体" w:cs="宋体"/>
          <w:b/>
          <w:sz w:val="32"/>
          <w:szCs w:val="32"/>
        </w:rPr>
      </w:pPr>
      <w:r>
        <w:rPr>
          <w:rFonts w:hint="eastAsia" w:hAnsi="宋体" w:eastAsia="宋体" w:cs="宋体"/>
          <w:b/>
          <w:sz w:val="32"/>
          <w:szCs w:val="32"/>
        </w:rPr>
        <w:t>第二部分 报价须知</w:t>
      </w:r>
      <w:bookmarkEnd w:id="18"/>
      <w:bookmarkEnd w:id="19"/>
      <w:bookmarkEnd w:id="20"/>
    </w:p>
    <w:p w14:paraId="59750BBB">
      <w:pPr>
        <w:pStyle w:val="26"/>
        <w:numPr>
          <w:ilvl w:val="5"/>
          <w:numId w:val="0"/>
        </w:numPr>
        <w:rPr>
          <w:rFonts w:ascii="宋体" w:hAnsi="宋体" w:eastAsia="宋体" w:cs="宋体"/>
          <w:color w:val="auto"/>
          <w:sz w:val="24"/>
        </w:rPr>
      </w:pPr>
      <w:bookmarkStart w:id="21" w:name="_Toc115756022"/>
      <w:bookmarkStart w:id="22" w:name="_Toc499216472"/>
      <w:bookmarkStart w:id="23" w:name="_Toc79681375"/>
      <w:r>
        <w:rPr>
          <w:rFonts w:hint="eastAsia" w:ascii="宋体" w:hAnsi="宋体" w:eastAsia="宋体" w:cs="宋体"/>
          <w:color w:val="auto"/>
          <w:sz w:val="24"/>
        </w:rPr>
        <w:t>一、总则</w:t>
      </w:r>
      <w:bookmarkEnd w:id="21"/>
      <w:bookmarkEnd w:id="22"/>
      <w:bookmarkEnd w:id="23"/>
    </w:p>
    <w:p w14:paraId="6917567A">
      <w:pPr>
        <w:numPr>
          <w:ilvl w:val="255"/>
          <w:numId w:val="0"/>
        </w:numPr>
        <w:ind w:left="420"/>
        <w:rPr>
          <w:rFonts w:ascii="宋体" w:hAnsi="宋体" w:cs="Arial Unicode MS"/>
          <w:b/>
          <w:bCs/>
          <w:sz w:val="24"/>
        </w:rPr>
      </w:pPr>
      <w:r>
        <w:rPr>
          <w:rFonts w:ascii="宋体" w:hAnsi="宋体" w:cs="Arial Unicode MS"/>
          <w:b/>
          <w:bCs/>
          <w:sz w:val="24"/>
        </w:rPr>
        <w:t>1、适用范围</w:t>
      </w:r>
    </w:p>
    <w:p w14:paraId="0FE434FF">
      <w:pPr>
        <w:pStyle w:val="27"/>
        <w:ind w:firstLine="480"/>
        <w:rPr>
          <w:rFonts w:ascii="宋体" w:hAnsi="宋体" w:eastAsia="宋体" w:cs="宋体"/>
        </w:rPr>
      </w:pPr>
      <w:r>
        <w:rPr>
          <w:rFonts w:hint="eastAsia" w:ascii="宋体" w:hAnsi="宋体" w:eastAsia="宋体" w:cs="宋体"/>
        </w:rPr>
        <w:t>本文件适用于本次所有服务及相关货物的采购。</w:t>
      </w:r>
    </w:p>
    <w:p w14:paraId="54A23939">
      <w:pPr>
        <w:pStyle w:val="28"/>
        <w:numPr>
          <w:ilvl w:val="0"/>
          <w:numId w:val="0"/>
        </w:numPr>
        <w:tabs>
          <w:tab w:val="left" w:pos="630"/>
        </w:tabs>
        <w:ind w:left="643" w:hanging="223"/>
        <w:rPr>
          <w:rFonts w:eastAsia="宋体" w:cs="宋体"/>
          <w:color w:val="auto"/>
        </w:rPr>
      </w:pPr>
      <w:r>
        <w:rPr>
          <w:rFonts w:hint="eastAsia" w:eastAsia="宋体" w:cs="宋体"/>
          <w:color w:val="auto"/>
        </w:rPr>
        <w:t>2、定义</w:t>
      </w:r>
    </w:p>
    <w:p w14:paraId="3B1D0C01">
      <w:pPr>
        <w:pStyle w:val="29"/>
        <w:ind w:firstLine="480"/>
        <w:rPr>
          <w:rFonts w:ascii="宋体" w:hAnsi="宋体" w:eastAsia="宋体" w:cs="宋体"/>
        </w:rPr>
      </w:pPr>
      <w:r>
        <w:rPr>
          <w:rFonts w:hint="eastAsia" w:ascii="宋体" w:hAnsi="宋体" w:eastAsia="宋体" w:cs="宋体"/>
        </w:rPr>
        <w:t>2.1“采购单位”指组织本次采购的国家体育总局体育器材装备中心。</w:t>
      </w:r>
    </w:p>
    <w:p w14:paraId="2744AD8F">
      <w:pPr>
        <w:pStyle w:val="29"/>
        <w:ind w:firstLine="480"/>
        <w:rPr>
          <w:rFonts w:ascii="宋体" w:hAnsi="宋体" w:eastAsia="宋体" w:cs="宋体"/>
        </w:rPr>
      </w:pPr>
      <w:r>
        <w:rPr>
          <w:rFonts w:hint="eastAsia" w:ascii="宋体" w:hAnsi="宋体" w:eastAsia="宋体" w:cs="宋体"/>
        </w:rPr>
        <w:t>2.2“采购人”指</w:t>
      </w:r>
      <w:r>
        <w:rPr>
          <w:rFonts w:hint="eastAsia" w:ascii="宋体" w:hAnsi="宋体" w:eastAsia="宋体" w:cs="宋体"/>
          <w:u w:val="single"/>
        </w:rPr>
        <w:t>国家体育总局手曲棒垒球运动管理中心</w:t>
      </w:r>
      <w:r>
        <w:rPr>
          <w:rFonts w:hint="eastAsia" w:ascii="宋体" w:hAnsi="宋体" w:eastAsia="宋体" w:cs="宋体"/>
        </w:rPr>
        <w:t>。</w:t>
      </w:r>
    </w:p>
    <w:p w14:paraId="2F05EF71">
      <w:pPr>
        <w:pStyle w:val="29"/>
        <w:ind w:firstLine="480"/>
        <w:rPr>
          <w:rFonts w:ascii="宋体" w:hAnsi="宋体" w:eastAsia="宋体" w:cs="宋体"/>
        </w:rPr>
      </w:pPr>
      <w:r>
        <w:rPr>
          <w:rFonts w:hint="eastAsia" w:ascii="宋体" w:hAnsi="宋体" w:eastAsia="宋体" w:cs="宋体"/>
        </w:rPr>
        <w:t>2.3“采购货物”指本采购文件第三部分所述所有货物。</w:t>
      </w:r>
    </w:p>
    <w:p w14:paraId="5326A403">
      <w:pPr>
        <w:pStyle w:val="29"/>
        <w:ind w:firstLine="480"/>
        <w:rPr>
          <w:rFonts w:ascii="宋体" w:hAnsi="宋体" w:eastAsia="宋体" w:cs="宋体"/>
        </w:rPr>
      </w:pPr>
      <w:r>
        <w:rPr>
          <w:rFonts w:hint="eastAsia" w:ascii="宋体" w:hAnsi="宋体" w:eastAsia="宋体" w:cs="宋体"/>
        </w:rPr>
        <w:t>2.4“服务”指本采购文件第三部分</w:t>
      </w:r>
      <w:r>
        <w:rPr>
          <w:rFonts w:hint="eastAsia" w:ascii="宋体" w:hAnsi="宋体" w:eastAsia="宋体" w:cs="宋体"/>
          <w:bCs/>
        </w:rPr>
        <w:t>报价人应该履行的承诺和义务。</w:t>
      </w:r>
    </w:p>
    <w:p w14:paraId="77D2C821">
      <w:pPr>
        <w:pStyle w:val="29"/>
        <w:ind w:firstLine="480"/>
        <w:rPr>
          <w:rFonts w:ascii="宋体" w:hAnsi="宋体" w:eastAsia="宋体" w:cs="宋体"/>
        </w:rPr>
      </w:pPr>
      <w:r>
        <w:rPr>
          <w:rFonts w:hint="eastAsia" w:ascii="宋体" w:hAnsi="宋体" w:eastAsia="宋体" w:cs="宋体"/>
        </w:rPr>
        <w:t>2.5“潜在报价人”指已报名登记的供应商。</w:t>
      </w:r>
    </w:p>
    <w:p w14:paraId="7738FEAA">
      <w:pPr>
        <w:pStyle w:val="29"/>
        <w:ind w:firstLine="480"/>
        <w:rPr>
          <w:rFonts w:ascii="宋体" w:hAnsi="宋体" w:eastAsia="宋体" w:cs="宋体"/>
        </w:rPr>
      </w:pPr>
      <w:r>
        <w:rPr>
          <w:rFonts w:hint="eastAsia" w:ascii="宋体" w:hAnsi="宋体" w:eastAsia="宋体" w:cs="宋体"/>
        </w:rPr>
        <w:t>2.6“报价人”指已报名登记并提交响应文件的供应商。</w:t>
      </w:r>
    </w:p>
    <w:p w14:paraId="20689FEE">
      <w:pPr>
        <w:pStyle w:val="28"/>
        <w:numPr>
          <w:ilvl w:val="0"/>
          <w:numId w:val="0"/>
        </w:numPr>
        <w:tabs>
          <w:tab w:val="left" w:pos="630"/>
        </w:tabs>
        <w:ind w:left="643" w:hanging="223"/>
        <w:rPr>
          <w:rFonts w:eastAsia="宋体" w:cs="宋体"/>
          <w:color w:val="auto"/>
        </w:rPr>
      </w:pPr>
      <w:r>
        <w:rPr>
          <w:rFonts w:eastAsia="宋体" w:cs="Arial Unicode MS"/>
          <w:color w:val="auto"/>
        </w:rPr>
        <w:t>3、</w:t>
      </w:r>
      <w:r>
        <w:rPr>
          <w:rFonts w:hint="eastAsia" w:eastAsia="宋体" w:cs="宋体"/>
          <w:color w:val="auto"/>
        </w:rPr>
        <w:t>采购方式</w:t>
      </w:r>
    </w:p>
    <w:p w14:paraId="6D3287E1">
      <w:pPr>
        <w:pStyle w:val="27"/>
        <w:ind w:firstLine="480"/>
        <w:rPr>
          <w:rFonts w:ascii="宋体" w:hAnsi="宋体" w:eastAsia="宋体" w:cs="宋体"/>
        </w:rPr>
      </w:pPr>
      <w:r>
        <w:rPr>
          <w:rFonts w:hint="eastAsia" w:ascii="宋体" w:hAnsi="宋体" w:eastAsia="宋体" w:cs="宋体"/>
        </w:rPr>
        <w:t>本次采购按照公开、公正、公平的竞争原则，采用竞争性磋商方式进行国内采购。</w:t>
      </w:r>
    </w:p>
    <w:p w14:paraId="31895E43">
      <w:pPr>
        <w:pStyle w:val="28"/>
        <w:numPr>
          <w:ilvl w:val="0"/>
          <w:numId w:val="0"/>
        </w:numPr>
        <w:ind w:left="643" w:hanging="223"/>
        <w:rPr>
          <w:rFonts w:eastAsia="宋体" w:cs="宋体"/>
          <w:color w:val="auto"/>
        </w:rPr>
      </w:pPr>
      <w:r>
        <w:rPr>
          <w:rFonts w:eastAsia="宋体" w:cs="Arial Unicode MS"/>
          <w:color w:val="auto"/>
        </w:rPr>
        <w:t>4、</w:t>
      </w:r>
      <w:r>
        <w:rPr>
          <w:rFonts w:hint="eastAsia" w:eastAsia="宋体" w:cs="宋体"/>
          <w:color w:val="auto"/>
        </w:rPr>
        <w:t>语言</w:t>
      </w:r>
    </w:p>
    <w:p w14:paraId="338B2BA4">
      <w:pPr>
        <w:pStyle w:val="27"/>
        <w:ind w:firstLine="480"/>
        <w:rPr>
          <w:rFonts w:ascii="宋体" w:hAnsi="宋体" w:eastAsia="宋体" w:cs="宋体"/>
        </w:rPr>
      </w:pPr>
      <w:r>
        <w:rPr>
          <w:rFonts w:hint="eastAsia" w:ascii="宋体" w:hAnsi="宋体" w:eastAsia="宋体" w:cs="宋体"/>
        </w:rPr>
        <w:t>响应文件及报价人与采购单位之间的与响应文件有关的往来函电和文件均须使用中文。</w:t>
      </w:r>
    </w:p>
    <w:p w14:paraId="0AE69766">
      <w:pPr>
        <w:pStyle w:val="28"/>
        <w:numPr>
          <w:ilvl w:val="0"/>
          <w:numId w:val="0"/>
        </w:numPr>
        <w:ind w:left="1163" w:hanging="743"/>
        <w:rPr>
          <w:rFonts w:eastAsia="宋体" w:cs="宋体"/>
          <w:color w:val="auto"/>
        </w:rPr>
      </w:pPr>
      <w:r>
        <w:rPr>
          <w:rFonts w:eastAsia="宋体" w:cs="Arial Unicode MS"/>
          <w:color w:val="auto"/>
        </w:rPr>
        <w:t>5、</w:t>
      </w:r>
      <w:r>
        <w:rPr>
          <w:rFonts w:hint="eastAsia" w:eastAsia="宋体" w:cs="宋体"/>
          <w:color w:val="auto"/>
        </w:rPr>
        <w:t>服务时间和地点</w:t>
      </w:r>
    </w:p>
    <w:p w14:paraId="24A4894E">
      <w:pPr>
        <w:pStyle w:val="27"/>
        <w:ind w:firstLine="480"/>
        <w:rPr>
          <w:rFonts w:ascii="宋体" w:hAnsi="宋体" w:eastAsia="宋体" w:cs="宋体"/>
        </w:rPr>
      </w:pPr>
      <w:r>
        <w:rPr>
          <w:rFonts w:hint="eastAsia" w:ascii="宋体" w:hAnsi="宋体" w:eastAsia="宋体" w:cs="宋体"/>
        </w:rPr>
        <w:t>5.1计划完成时间：</w:t>
      </w:r>
      <w:r>
        <w:rPr>
          <w:rFonts w:hint="eastAsia" w:ascii="宋体" w:hAnsi="宋体" w:eastAsia="宋体" w:cs="宋体"/>
          <w:u w:val="single"/>
        </w:rPr>
        <w:t>详见采购需求</w:t>
      </w:r>
      <w:r>
        <w:rPr>
          <w:rFonts w:hint="eastAsia" w:ascii="宋体" w:hAnsi="宋体" w:eastAsia="宋体" w:cs="宋体"/>
        </w:rPr>
        <w:t>。</w:t>
      </w:r>
    </w:p>
    <w:p w14:paraId="0AF06459">
      <w:pPr>
        <w:pStyle w:val="27"/>
        <w:ind w:firstLine="480"/>
        <w:rPr>
          <w:rFonts w:ascii="宋体" w:hAnsi="宋体" w:eastAsia="宋体" w:cs="宋体"/>
        </w:rPr>
      </w:pPr>
      <w:r>
        <w:rPr>
          <w:rFonts w:hint="eastAsia" w:ascii="宋体" w:hAnsi="宋体" w:eastAsia="宋体" w:cs="宋体"/>
        </w:rPr>
        <w:t>5.2服务地点：</w:t>
      </w:r>
      <w:r>
        <w:rPr>
          <w:rFonts w:hint="eastAsia" w:ascii="宋体" w:hAnsi="宋体" w:eastAsia="宋体" w:cs="宋体"/>
          <w:u w:val="single"/>
        </w:rPr>
        <w:t>详见采购需求。</w:t>
      </w:r>
    </w:p>
    <w:p w14:paraId="7EB85791">
      <w:pPr>
        <w:pStyle w:val="26"/>
        <w:numPr>
          <w:ilvl w:val="5"/>
          <w:numId w:val="0"/>
        </w:numPr>
        <w:rPr>
          <w:rFonts w:ascii="宋体" w:hAnsi="宋体" w:eastAsia="宋体" w:cs="宋体"/>
          <w:color w:val="auto"/>
          <w:sz w:val="24"/>
        </w:rPr>
      </w:pPr>
      <w:bookmarkStart w:id="24" w:name="_Toc499216473"/>
      <w:bookmarkStart w:id="25" w:name="_Toc79681376"/>
      <w:bookmarkStart w:id="26" w:name="_Toc115756023"/>
      <w:r>
        <w:rPr>
          <w:rFonts w:hint="eastAsia" w:ascii="宋体" w:hAnsi="宋体" w:eastAsia="宋体" w:cs="宋体"/>
          <w:color w:val="auto"/>
          <w:sz w:val="24"/>
        </w:rPr>
        <w:t>二、采购信息说明</w:t>
      </w:r>
      <w:bookmarkEnd w:id="24"/>
      <w:bookmarkEnd w:id="25"/>
      <w:bookmarkEnd w:id="26"/>
    </w:p>
    <w:p w14:paraId="3DA28263">
      <w:pPr>
        <w:pStyle w:val="28"/>
        <w:numPr>
          <w:ilvl w:val="0"/>
          <w:numId w:val="0"/>
        </w:numPr>
        <w:ind w:left="1163" w:hanging="743"/>
        <w:rPr>
          <w:rFonts w:eastAsia="宋体" w:cs="宋体"/>
          <w:color w:val="auto"/>
        </w:rPr>
      </w:pPr>
      <w:r>
        <w:rPr>
          <w:rFonts w:eastAsia="宋体" w:cs="Arial Unicode MS"/>
          <w:color w:val="auto"/>
        </w:rPr>
        <w:t>6、</w:t>
      </w:r>
      <w:r>
        <w:rPr>
          <w:rFonts w:hint="eastAsia" w:eastAsia="宋体" w:cs="宋体"/>
          <w:color w:val="auto"/>
        </w:rPr>
        <w:t>采购信息的内容</w:t>
      </w:r>
    </w:p>
    <w:p w14:paraId="23203B90">
      <w:pPr>
        <w:pStyle w:val="29"/>
        <w:ind w:firstLine="480"/>
        <w:rPr>
          <w:rFonts w:ascii="宋体" w:hAnsi="宋体" w:eastAsia="宋体" w:cs="宋体"/>
        </w:rPr>
      </w:pPr>
      <w:r>
        <w:rPr>
          <w:rFonts w:hint="eastAsia" w:ascii="宋体" w:hAnsi="宋体" w:eastAsia="宋体" w:cs="宋体"/>
        </w:rPr>
        <w:t>6.1本项目的竞争性磋商文件包括下列文件：</w:t>
      </w:r>
    </w:p>
    <w:p w14:paraId="0E7D12F5">
      <w:pPr>
        <w:pStyle w:val="27"/>
        <w:ind w:firstLine="480"/>
        <w:rPr>
          <w:rFonts w:ascii="宋体" w:hAnsi="宋体" w:eastAsia="宋体" w:cs="宋体"/>
        </w:rPr>
      </w:pPr>
      <w:r>
        <w:rPr>
          <w:rFonts w:hint="eastAsia" w:ascii="宋体" w:hAnsi="宋体" w:eastAsia="宋体" w:cs="宋体"/>
        </w:rPr>
        <w:t>第一部分 采购公告</w:t>
      </w:r>
    </w:p>
    <w:p w14:paraId="4316DF4A">
      <w:pPr>
        <w:pStyle w:val="27"/>
        <w:ind w:firstLine="480"/>
        <w:rPr>
          <w:rFonts w:ascii="宋体" w:hAnsi="宋体" w:eastAsia="宋体" w:cs="宋体"/>
        </w:rPr>
      </w:pPr>
      <w:r>
        <w:rPr>
          <w:rFonts w:hint="eastAsia" w:ascii="宋体" w:hAnsi="宋体" w:eastAsia="宋体" w:cs="宋体"/>
        </w:rPr>
        <w:t>第二部分 报价须知</w:t>
      </w:r>
    </w:p>
    <w:p w14:paraId="08935656">
      <w:pPr>
        <w:pStyle w:val="27"/>
        <w:ind w:firstLine="480"/>
        <w:rPr>
          <w:rFonts w:ascii="宋体" w:hAnsi="宋体" w:eastAsia="宋体" w:cs="宋体"/>
        </w:rPr>
      </w:pPr>
      <w:r>
        <w:rPr>
          <w:rFonts w:hint="eastAsia" w:ascii="宋体" w:hAnsi="宋体" w:eastAsia="宋体" w:cs="宋体"/>
        </w:rPr>
        <w:t>第三部分 项目需求</w:t>
      </w:r>
    </w:p>
    <w:p w14:paraId="144D648B">
      <w:pPr>
        <w:pStyle w:val="27"/>
        <w:ind w:firstLine="480"/>
        <w:rPr>
          <w:rFonts w:ascii="宋体" w:hAnsi="宋体" w:eastAsia="宋体" w:cs="宋体"/>
        </w:rPr>
      </w:pPr>
      <w:r>
        <w:rPr>
          <w:rFonts w:hint="eastAsia" w:ascii="宋体" w:hAnsi="宋体" w:eastAsia="宋体" w:cs="宋体"/>
        </w:rPr>
        <w:t>第四部分 磋商程序和评审方法、标准</w:t>
      </w:r>
    </w:p>
    <w:p w14:paraId="3C89FB17">
      <w:pPr>
        <w:pStyle w:val="27"/>
        <w:ind w:firstLine="480"/>
        <w:rPr>
          <w:rFonts w:ascii="宋体" w:hAnsi="宋体" w:eastAsia="宋体" w:cs="宋体"/>
        </w:rPr>
      </w:pPr>
      <w:r>
        <w:rPr>
          <w:rFonts w:hint="eastAsia" w:ascii="宋体" w:hAnsi="宋体" w:eastAsia="宋体" w:cs="宋体"/>
        </w:rPr>
        <w:t>第五部分 响应文件格式</w:t>
      </w:r>
    </w:p>
    <w:p w14:paraId="106A0B97">
      <w:pPr>
        <w:pStyle w:val="27"/>
        <w:ind w:firstLine="480"/>
        <w:rPr>
          <w:rFonts w:ascii="宋体" w:hAnsi="宋体" w:eastAsia="宋体" w:cs="宋体"/>
        </w:rPr>
      </w:pPr>
      <w:r>
        <w:rPr>
          <w:rFonts w:hint="eastAsia" w:ascii="宋体" w:hAnsi="宋体" w:eastAsia="宋体" w:cs="宋体"/>
        </w:rPr>
        <w:t>第六部分 合同草案条款</w:t>
      </w:r>
    </w:p>
    <w:p w14:paraId="6E1F9CFD">
      <w:pPr>
        <w:pStyle w:val="27"/>
        <w:ind w:firstLine="480"/>
        <w:rPr>
          <w:rFonts w:ascii="宋体" w:hAnsi="宋体" w:eastAsia="宋体" w:cs="宋体"/>
        </w:rPr>
      </w:pPr>
      <w:r>
        <w:rPr>
          <w:rFonts w:hint="eastAsia" w:ascii="宋体" w:hAnsi="宋体" w:eastAsia="宋体" w:cs="宋体"/>
        </w:rPr>
        <w:t>第七部分 相关材料</w:t>
      </w:r>
    </w:p>
    <w:p w14:paraId="06E51B37">
      <w:pPr>
        <w:pStyle w:val="29"/>
        <w:ind w:firstLine="480"/>
        <w:rPr>
          <w:rFonts w:ascii="宋体" w:hAnsi="宋体" w:eastAsia="宋体" w:cs="宋体"/>
        </w:rPr>
      </w:pPr>
      <w:r>
        <w:rPr>
          <w:rFonts w:hint="eastAsia" w:ascii="宋体" w:hAnsi="宋体" w:eastAsia="宋体" w:cs="宋体"/>
        </w:rPr>
        <w:t>6.2 报价人应认真审阅竞争性磋商文件中所有的须知、条件、格式、项目、技术要求等。</w:t>
      </w:r>
    </w:p>
    <w:p w14:paraId="0EAF8D10">
      <w:pPr>
        <w:pStyle w:val="29"/>
        <w:ind w:firstLine="480"/>
        <w:rPr>
          <w:rFonts w:ascii="宋体" w:hAnsi="宋体" w:eastAsia="宋体" w:cs="宋体"/>
        </w:rPr>
      </w:pPr>
      <w:r>
        <w:rPr>
          <w:rFonts w:hint="eastAsia" w:ascii="宋体" w:hAnsi="宋体" w:eastAsia="宋体" w:cs="宋体"/>
        </w:rPr>
        <w:t xml:space="preserve">6.3 </w:t>
      </w:r>
      <w:bookmarkStart w:id="27" w:name="_Toc115756024"/>
      <w:r>
        <w:rPr>
          <w:rFonts w:hint="eastAsia" w:ascii="宋体" w:hAnsi="宋体" w:eastAsia="宋体" w:cs="宋体"/>
        </w:rPr>
        <w:t>报价人应认真检查竞争性磋商文件是否完整，若发现缺页或附件不全时，应及时向采购单位提出，以便补齐。</w:t>
      </w:r>
    </w:p>
    <w:p w14:paraId="612F5FC6">
      <w:pPr>
        <w:pStyle w:val="28"/>
        <w:numPr>
          <w:ilvl w:val="0"/>
          <w:numId w:val="0"/>
        </w:numPr>
        <w:ind w:left="1163" w:hanging="743"/>
        <w:rPr>
          <w:rFonts w:eastAsia="宋体" w:cs="宋体"/>
          <w:color w:val="auto"/>
        </w:rPr>
      </w:pPr>
      <w:r>
        <w:rPr>
          <w:rFonts w:eastAsia="宋体" w:cs="Arial Unicode MS"/>
          <w:color w:val="auto"/>
        </w:rPr>
        <w:t>7、</w:t>
      </w:r>
      <w:r>
        <w:rPr>
          <w:rFonts w:hint="eastAsia" w:eastAsia="宋体" w:cs="宋体"/>
          <w:color w:val="auto"/>
        </w:rPr>
        <w:t>竞争性磋商文件的澄清、修改</w:t>
      </w:r>
    </w:p>
    <w:p w14:paraId="14B825C8">
      <w:pPr>
        <w:pStyle w:val="29"/>
        <w:ind w:firstLine="480"/>
        <w:rPr>
          <w:rFonts w:ascii="宋体" w:hAnsi="宋体" w:eastAsia="宋体" w:cs="宋体"/>
        </w:rPr>
      </w:pPr>
      <w:r>
        <w:rPr>
          <w:rFonts w:hint="eastAsia" w:ascii="宋体" w:hAnsi="宋体" w:eastAsia="宋体" w:cs="宋体"/>
        </w:rPr>
        <w:t>7.1 任何要求对竞争性磋商文件进行澄清的潜在报价人，均应在递交首次响应文件截止时间至少5日前，以书面形式通知采购单位，或在磋商过程中向磋商小组提出。</w:t>
      </w:r>
    </w:p>
    <w:p w14:paraId="7532C646">
      <w:pPr>
        <w:pStyle w:val="29"/>
        <w:ind w:firstLine="480"/>
        <w:rPr>
          <w:rFonts w:ascii="宋体" w:hAnsi="宋体" w:eastAsia="宋体" w:cs="宋体"/>
          <w:lang w:val="zh-CN"/>
        </w:rPr>
      </w:pPr>
      <w:r>
        <w:rPr>
          <w:rFonts w:hint="eastAsia" w:ascii="宋体" w:hAnsi="宋体" w:eastAsia="宋体" w:cs="宋体"/>
        </w:rPr>
        <w:t>7.2 对在</w:t>
      </w:r>
      <w:r>
        <w:rPr>
          <w:rFonts w:hint="eastAsia" w:ascii="宋体" w:hAnsi="宋体" w:eastAsia="宋体" w:cs="宋体"/>
          <w:lang w:val="zh-CN"/>
        </w:rPr>
        <w:t>递交首次响应文件截止时间之前收到的澄清要求，采购单位认为不必要进行澄清及/或修改，也不需要进行其它答复的，可以不予答复；采购单位决定对其答复的，将以当面交接、传真、电子邮件或在</w:t>
      </w:r>
      <w:r>
        <w:fldChar w:fldCharType="begin"/>
      </w:r>
      <w:r>
        <w:instrText xml:space="preserve"> HYPERLINK "http://www.njzc.gov.cn/" </w:instrText>
      </w:r>
      <w:r>
        <w:fldChar w:fldCharType="separate"/>
      </w:r>
      <w:r>
        <w:rPr>
          <w:rStyle w:val="20"/>
          <w:rFonts w:hint="eastAsia" w:ascii="宋体" w:hAnsi="宋体" w:eastAsia="宋体" w:cs="宋体"/>
          <w:color w:val="auto"/>
          <w:u w:val="none"/>
          <w:lang w:val="zh-CN"/>
        </w:rPr>
        <w:t>中国政府采购网</w:t>
      </w:r>
      <w:r>
        <w:rPr>
          <w:rStyle w:val="20"/>
          <w:rFonts w:hint="eastAsia" w:ascii="宋体" w:hAnsi="宋体" w:eastAsia="宋体" w:cs="宋体"/>
          <w:color w:val="auto"/>
          <w:u w:val="none"/>
          <w:lang w:val="zh-CN"/>
        </w:rPr>
        <w:fldChar w:fldCharType="end"/>
      </w:r>
      <w:r>
        <w:rPr>
          <w:rFonts w:hint="eastAsia" w:ascii="宋体" w:hAnsi="宋体" w:eastAsia="宋体" w:cs="宋体"/>
          <w:lang w:val="zh-CN"/>
        </w:rPr>
        <w:t>公告等书面方式送达要求澄清的报价人或全体潜在报价人。</w:t>
      </w:r>
    </w:p>
    <w:p w14:paraId="4CA5780B">
      <w:pPr>
        <w:pStyle w:val="29"/>
        <w:ind w:firstLine="480"/>
        <w:rPr>
          <w:rFonts w:ascii="宋体" w:hAnsi="宋体" w:eastAsia="宋体" w:cs="宋体"/>
          <w:lang w:val="zh-CN"/>
        </w:rPr>
      </w:pPr>
      <w:r>
        <w:rPr>
          <w:rFonts w:hint="eastAsia" w:ascii="宋体" w:hAnsi="宋体" w:eastAsia="宋体" w:cs="宋体"/>
          <w:lang w:val="zh-CN"/>
        </w:rPr>
        <w:t>7.3 在递交首次响应文件截止之日前，采购单位或磋商小组均可对发出的竞争性磋商文件以补充文件形式进行必要的澄清或修改，并按照7.2款方式将澄清或修改内容通知所有潜在报价人。</w:t>
      </w:r>
      <w:r>
        <w:rPr>
          <w:rFonts w:hint="eastAsia" w:ascii="宋体" w:hAnsi="宋体" w:eastAsia="宋体" w:cs="宋体"/>
          <w:kern w:val="0"/>
        </w:rPr>
        <w:t>澄清或者修改的内容可能影响响应文件编制的，采购单位应当在提交首次响应文件截止时间至少5日前，以书面形式通知所有获取磋商文件的供应商；不足5日的，采购单位应当顺延提交首次响应文件截止时间。</w:t>
      </w:r>
    </w:p>
    <w:p w14:paraId="520B34A9">
      <w:pPr>
        <w:pStyle w:val="29"/>
        <w:ind w:firstLine="480"/>
        <w:rPr>
          <w:rFonts w:ascii="宋体" w:hAnsi="宋体" w:eastAsia="宋体" w:cs="宋体"/>
          <w:lang w:val="zh-CN"/>
        </w:rPr>
      </w:pPr>
      <w:r>
        <w:rPr>
          <w:rFonts w:hint="eastAsia" w:ascii="宋体" w:hAnsi="宋体" w:eastAsia="宋体" w:cs="宋体"/>
          <w:lang w:val="zh-CN"/>
        </w:rPr>
        <w:t>7.4 澄清或者修改的内容为竞争性磋商文件的组成部分。</w:t>
      </w:r>
    </w:p>
    <w:p w14:paraId="14CEF6B5">
      <w:pPr>
        <w:pStyle w:val="29"/>
        <w:ind w:firstLine="480"/>
        <w:rPr>
          <w:rFonts w:ascii="宋体" w:hAnsi="宋体" w:eastAsia="宋体" w:cs="宋体"/>
          <w:lang w:val="zh-CN"/>
        </w:rPr>
      </w:pPr>
      <w:r>
        <w:rPr>
          <w:rFonts w:hint="eastAsia" w:ascii="宋体" w:hAnsi="宋体" w:eastAsia="宋体" w:cs="宋体"/>
          <w:lang w:val="zh-CN"/>
        </w:rPr>
        <w:t>7.5 采购单位可以视采购具体情况，在竞争性磋商文件要求递交首次响应文件截止时间前，有权决定延长递交磋商文件截止时间，并按照7.2款方式将变更时间通知所有潜在报价人。</w:t>
      </w:r>
    </w:p>
    <w:p w14:paraId="762AFE9A">
      <w:pPr>
        <w:pStyle w:val="26"/>
        <w:numPr>
          <w:ilvl w:val="5"/>
          <w:numId w:val="0"/>
        </w:numPr>
        <w:rPr>
          <w:rFonts w:ascii="宋体" w:hAnsi="宋体" w:eastAsia="宋体" w:cs="宋体"/>
          <w:color w:val="auto"/>
          <w:sz w:val="24"/>
        </w:rPr>
      </w:pPr>
      <w:bookmarkStart w:id="28" w:name="_Toc499216474"/>
      <w:bookmarkStart w:id="29" w:name="_Toc79681377"/>
      <w:r>
        <w:rPr>
          <w:rFonts w:hint="eastAsia" w:ascii="宋体" w:hAnsi="宋体" w:eastAsia="宋体" w:cs="宋体"/>
          <w:color w:val="auto"/>
          <w:sz w:val="24"/>
        </w:rPr>
        <w:t>三、响应文件的编写</w:t>
      </w:r>
      <w:bookmarkEnd w:id="27"/>
      <w:bookmarkEnd w:id="28"/>
      <w:bookmarkEnd w:id="29"/>
    </w:p>
    <w:p w14:paraId="1B6988F5">
      <w:pPr>
        <w:pStyle w:val="28"/>
        <w:numPr>
          <w:ilvl w:val="0"/>
          <w:numId w:val="0"/>
        </w:numPr>
        <w:ind w:left="640" w:hanging="420"/>
        <w:rPr>
          <w:rFonts w:eastAsia="宋体" w:cs="宋体"/>
          <w:color w:val="auto"/>
        </w:rPr>
      </w:pPr>
      <w:r>
        <w:rPr>
          <w:rFonts w:eastAsia="宋体" w:cs="Arial Unicode MS"/>
          <w:color w:val="auto"/>
        </w:rPr>
        <w:t>8、</w:t>
      </w:r>
      <w:r>
        <w:rPr>
          <w:rFonts w:hint="eastAsia" w:eastAsia="宋体" w:cs="宋体"/>
          <w:color w:val="auto"/>
        </w:rPr>
        <w:t>要求</w:t>
      </w:r>
    </w:p>
    <w:p w14:paraId="2F4A878D">
      <w:pPr>
        <w:pStyle w:val="27"/>
        <w:ind w:firstLine="480"/>
        <w:rPr>
          <w:rFonts w:ascii="宋体" w:hAnsi="宋体" w:eastAsia="宋体" w:cs="宋体"/>
        </w:rPr>
      </w:pPr>
      <w:r>
        <w:rPr>
          <w:rFonts w:hint="eastAsia" w:ascii="宋体" w:hAnsi="宋体" w:eastAsia="宋体" w:cs="宋体"/>
        </w:rPr>
        <w:t>报价人应仔细阅读竞争性磋商文件的所有内容，按竞争性磋商文件的要求编制响应文件，并保证所提供的全部资料的真实性、完整性及有效性，以使其报价对竞争性磋商文件作出实质性响应。</w:t>
      </w:r>
    </w:p>
    <w:p w14:paraId="67632D37">
      <w:pPr>
        <w:pStyle w:val="28"/>
        <w:numPr>
          <w:ilvl w:val="0"/>
          <w:numId w:val="0"/>
        </w:numPr>
        <w:ind w:left="840" w:hanging="420"/>
        <w:rPr>
          <w:color w:val="auto"/>
        </w:rPr>
      </w:pPr>
      <w:r>
        <w:rPr>
          <w:rFonts w:cs="Arial Unicode MS"/>
          <w:color w:val="auto"/>
        </w:rPr>
        <w:t>9、</w:t>
      </w:r>
      <w:r>
        <w:rPr>
          <w:rFonts w:hint="eastAsia"/>
          <w:color w:val="auto"/>
        </w:rPr>
        <w:t>响应文件的组成</w:t>
      </w:r>
    </w:p>
    <w:p w14:paraId="0A52787A">
      <w:pPr>
        <w:pStyle w:val="29"/>
        <w:ind w:firstLine="480"/>
        <w:rPr>
          <w:rFonts w:ascii="宋体" w:hAnsi="宋体" w:eastAsia="宋体" w:cs="宋体"/>
        </w:rPr>
      </w:pPr>
      <w:r>
        <w:rPr>
          <w:rFonts w:hint="eastAsia" w:ascii="宋体" w:hAnsi="宋体" w:eastAsia="宋体" w:cs="宋体"/>
        </w:rPr>
        <w:t xml:space="preserve"> “响应文件”至少应包括下列部分</w:t>
      </w:r>
      <w:r>
        <w:rPr>
          <w:rFonts w:hint="eastAsia" w:ascii="宋体" w:hAnsi="宋体" w:eastAsia="宋体" w:cs="宋体"/>
          <w:b/>
        </w:rPr>
        <w:t>（每页需加盖报价人公章）</w:t>
      </w:r>
      <w:r>
        <w:rPr>
          <w:rFonts w:hint="eastAsia" w:ascii="宋体" w:hAnsi="宋体" w:eastAsia="宋体" w:cs="宋体"/>
        </w:rPr>
        <w:t>：</w:t>
      </w:r>
    </w:p>
    <w:p w14:paraId="4C8AD742">
      <w:pPr>
        <w:pStyle w:val="27"/>
        <w:numPr>
          <w:ilvl w:val="0"/>
          <w:numId w:val="5"/>
        </w:numPr>
        <w:tabs>
          <w:tab w:val="left" w:pos="851"/>
          <w:tab w:val="left" w:pos="1134"/>
        </w:tabs>
        <w:ind w:left="0" w:firstLine="480" w:firstLineChars="0"/>
        <w:rPr>
          <w:rFonts w:ascii="宋体" w:hAnsi="宋体" w:eastAsia="宋体" w:cs="宋体"/>
          <w:color w:val="FF0000"/>
        </w:rPr>
      </w:pPr>
      <w:r>
        <w:rPr>
          <w:rFonts w:hint="eastAsia" w:ascii="宋体" w:hAnsi="宋体" w:eastAsia="宋体" w:cs="宋体"/>
          <w:color w:val="FF0000"/>
        </w:rPr>
        <w:t>*法定代表人证明书或授权委托书（如非法定代表人亲自参与磋商时提供）；</w:t>
      </w:r>
    </w:p>
    <w:p w14:paraId="06400016">
      <w:pPr>
        <w:pStyle w:val="27"/>
        <w:numPr>
          <w:ilvl w:val="0"/>
          <w:numId w:val="5"/>
        </w:numPr>
        <w:tabs>
          <w:tab w:val="left" w:pos="851"/>
          <w:tab w:val="left" w:pos="1134"/>
        </w:tabs>
        <w:ind w:left="0" w:firstLine="480" w:firstLineChars="0"/>
        <w:rPr>
          <w:rFonts w:ascii="宋体" w:hAnsi="宋体" w:eastAsia="宋体" w:cs="宋体"/>
          <w:color w:val="FF0000"/>
        </w:rPr>
      </w:pPr>
      <w:r>
        <w:rPr>
          <w:rFonts w:hint="eastAsia" w:ascii="宋体" w:hAnsi="宋体" w:eastAsia="宋体" w:cs="宋体"/>
          <w:color w:val="FF0000"/>
        </w:rPr>
        <w:t>*报价人有效营业执照（事业单位法人证书或社会团体法人登记证书）副本复印件；</w:t>
      </w:r>
    </w:p>
    <w:p w14:paraId="19D258D1">
      <w:pPr>
        <w:pStyle w:val="27"/>
        <w:numPr>
          <w:ilvl w:val="0"/>
          <w:numId w:val="5"/>
        </w:numPr>
        <w:tabs>
          <w:tab w:val="left" w:pos="851"/>
          <w:tab w:val="left" w:pos="1134"/>
        </w:tabs>
        <w:ind w:left="0" w:firstLine="480" w:firstLineChars="0"/>
        <w:rPr>
          <w:rFonts w:ascii="宋体" w:hAnsi="宋体" w:eastAsia="宋体" w:cs="宋体"/>
          <w:color w:val="FF0000"/>
        </w:rPr>
      </w:pPr>
      <w:r>
        <w:rPr>
          <w:rFonts w:hint="eastAsia" w:ascii="宋体" w:hAnsi="宋体" w:eastAsia="宋体" w:cs="宋体"/>
          <w:color w:val="FF0000"/>
        </w:rPr>
        <w:t>*报价人简介（规模、实力、提供服务能力等）（不限于报价人资格声明）；</w:t>
      </w:r>
    </w:p>
    <w:p w14:paraId="7A1EF2AE">
      <w:pPr>
        <w:pStyle w:val="27"/>
        <w:numPr>
          <w:ilvl w:val="0"/>
          <w:numId w:val="5"/>
        </w:numPr>
        <w:tabs>
          <w:tab w:val="left" w:pos="851"/>
          <w:tab w:val="left" w:pos="1134"/>
        </w:tabs>
        <w:ind w:left="0" w:firstLine="480" w:firstLineChars="0"/>
        <w:rPr>
          <w:rFonts w:ascii="宋体" w:hAnsi="宋体" w:eastAsia="宋体" w:cs="宋体"/>
          <w:color w:val="FF0000"/>
        </w:rPr>
      </w:pPr>
      <w:r>
        <w:rPr>
          <w:rFonts w:hint="eastAsia" w:ascii="宋体" w:hAnsi="宋体" w:eastAsia="宋体" w:cs="宋体"/>
          <w:color w:val="FF0000"/>
        </w:rPr>
        <w:t>*报价人递交本采购项目响应文件截止日一年内任意一个月依法交纳税收（个人所得税除外）和社会保障资金的相关证明材料复印件（加盖报价人公章）；</w:t>
      </w:r>
    </w:p>
    <w:p w14:paraId="2B9C4EEE">
      <w:pPr>
        <w:pStyle w:val="27"/>
        <w:numPr>
          <w:ilvl w:val="0"/>
          <w:numId w:val="5"/>
        </w:numPr>
        <w:tabs>
          <w:tab w:val="left" w:pos="851"/>
          <w:tab w:val="left" w:pos="1134"/>
        </w:tabs>
        <w:ind w:left="0" w:firstLine="480" w:firstLineChars="0"/>
        <w:rPr>
          <w:rFonts w:ascii="宋体" w:hAnsi="宋体" w:eastAsia="宋体" w:cs="宋体"/>
          <w:color w:val="FF0000"/>
        </w:rPr>
      </w:pPr>
      <w:r>
        <w:rPr>
          <w:rFonts w:hint="eastAsia" w:ascii="宋体" w:hAnsi="宋体" w:eastAsia="宋体" w:cs="宋体"/>
          <w:color w:val="FF0000"/>
        </w:rPr>
        <w:t>*报价人基本开户银行出具的银行资信证明或</w:t>
      </w:r>
      <w:r>
        <w:rPr>
          <w:rFonts w:hint="eastAsia" w:ascii="宋体" w:hAnsi="宋体" w:eastAsia="宋体" w:cs="宋体"/>
          <w:color w:val="FF0000"/>
          <w:highlight w:val="none"/>
        </w:rPr>
        <w:t>202</w:t>
      </w:r>
      <w:r>
        <w:rPr>
          <w:rFonts w:hint="eastAsia" w:ascii="宋体" w:hAnsi="宋体" w:eastAsia="宋体" w:cs="宋体"/>
          <w:color w:val="FF0000"/>
          <w:highlight w:val="none"/>
          <w:lang w:val="en-US" w:eastAsia="zh-CN"/>
        </w:rPr>
        <w:t>3</w:t>
      </w:r>
      <w:r>
        <w:rPr>
          <w:rFonts w:hint="eastAsia" w:ascii="宋体" w:hAnsi="宋体" w:eastAsia="宋体" w:cs="宋体"/>
          <w:color w:val="FF0000"/>
          <w:highlight w:val="none"/>
        </w:rPr>
        <w:t>年度、202</w:t>
      </w:r>
      <w:r>
        <w:rPr>
          <w:rFonts w:hint="eastAsia" w:ascii="宋体" w:hAnsi="宋体" w:eastAsia="宋体" w:cs="宋体"/>
          <w:color w:val="FF0000"/>
          <w:highlight w:val="none"/>
          <w:lang w:val="en-US" w:eastAsia="zh-CN"/>
        </w:rPr>
        <w:t>4</w:t>
      </w:r>
      <w:r>
        <w:rPr>
          <w:rFonts w:hint="eastAsia" w:ascii="宋体" w:hAnsi="宋体" w:eastAsia="宋体" w:cs="宋体"/>
          <w:color w:val="FF0000"/>
        </w:rPr>
        <w:t>年度经审计的财务报告复印件；</w:t>
      </w:r>
    </w:p>
    <w:p w14:paraId="0A27F9D8">
      <w:pPr>
        <w:pStyle w:val="27"/>
        <w:numPr>
          <w:ilvl w:val="0"/>
          <w:numId w:val="5"/>
        </w:numPr>
        <w:tabs>
          <w:tab w:val="left" w:pos="851"/>
          <w:tab w:val="left" w:pos="1134"/>
        </w:tabs>
        <w:ind w:left="0" w:firstLine="480" w:firstLineChars="0"/>
        <w:rPr>
          <w:rFonts w:ascii="宋体" w:hAnsi="宋体" w:eastAsia="宋体" w:cs="宋体"/>
          <w:color w:val="FF0000"/>
        </w:rPr>
      </w:pPr>
      <w:r>
        <w:rPr>
          <w:rFonts w:hint="eastAsia" w:ascii="宋体" w:hAnsi="宋体" w:eastAsia="宋体" w:cs="宋体"/>
          <w:color w:val="FF0000"/>
        </w:rPr>
        <w:t>*报价人参加此项政府采购活动前3年内在经营活动中没有重大违法记录的书面声明；</w:t>
      </w:r>
    </w:p>
    <w:p w14:paraId="59B81DB3">
      <w:pPr>
        <w:pStyle w:val="27"/>
        <w:numPr>
          <w:ilvl w:val="0"/>
          <w:numId w:val="5"/>
        </w:numPr>
        <w:tabs>
          <w:tab w:val="left" w:pos="851"/>
          <w:tab w:val="left" w:pos="1134"/>
        </w:tabs>
        <w:ind w:left="0" w:firstLine="480" w:firstLineChars="0"/>
        <w:rPr>
          <w:rFonts w:ascii="宋体" w:hAnsi="宋体" w:eastAsia="宋体" w:cs="宋体"/>
          <w:color w:val="FF0000"/>
        </w:rPr>
      </w:pPr>
      <w:r>
        <w:rPr>
          <w:rFonts w:hint="eastAsia" w:ascii="宋体" w:hAnsi="宋体" w:eastAsia="宋体" w:cs="宋体"/>
          <w:color w:val="FF0000"/>
        </w:rPr>
        <w:t>*报价明细表，须分项目详细列出；</w:t>
      </w:r>
    </w:p>
    <w:p w14:paraId="4299ABC8">
      <w:pPr>
        <w:pStyle w:val="27"/>
        <w:numPr>
          <w:ilvl w:val="0"/>
          <w:numId w:val="5"/>
        </w:numPr>
        <w:tabs>
          <w:tab w:val="left" w:pos="851"/>
          <w:tab w:val="left" w:pos="1134"/>
        </w:tabs>
        <w:ind w:left="0" w:firstLine="480" w:firstLineChars="0"/>
        <w:rPr>
          <w:rFonts w:ascii="宋体" w:hAnsi="宋体" w:eastAsia="宋体" w:cs="宋体"/>
          <w:color w:val="FF0000"/>
        </w:rPr>
      </w:pPr>
      <w:r>
        <w:rPr>
          <w:rFonts w:hint="eastAsia" w:ascii="宋体" w:hAnsi="宋体" w:eastAsia="宋体" w:cs="宋体"/>
          <w:color w:val="FF0000"/>
        </w:rPr>
        <w:t>*提供与报价人单位负责人为同一人或者存在直接控股、管理关系的不同单位（主体）的清单。</w:t>
      </w:r>
    </w:p>
    <w:p w14:paraId="62C4DCF7">
      <w:pPr>
        <w:pStyle w:val="27"/>
        <w:numPr>
          <w:ilvl w:val="0"/>
          <w:numId w:val="5"/>
        </w:numPr>
        <w:tabs>
          <w:tab w:val="left" w:pos="851"/>
          <w:tab w:val="left" w:pos="1134"/>
        </w:tabs>
        <w:ind w:left="0" w:firstLine="480" w:firstLineChars="0"/>
        <w:rPr>
          <w:rFonts w:ascii="宋体" w:hAnsi="宋体" w:eastAsia="宋体" w:cs="宋体"/>
        </w:rPr>
      </w:pPr>
      <w:r>
        <w:rPr>
          <w:rFonts w:hint="eastAsia" w:ascii="宋体" w:hAnsi="宋体" w:eastAsia="宋体" w:cs="宋体"/>
          <w:bCs/>
        </w:rPr>
        <w:t>报价</w:t>
      </w:r>
      <w:r>
        <w:rPr>
          <w:rFonts w:hint="eastAsia" w:ascii="宋体" w:hAnsi="宋体" w:eastAsia="宋体" w:cs="宋体"/>
          <w:bCs/>
          <w:highlight w:val="none"/>
        </w:rPr>
        <w:t>人</w:t>
      </w:r>
      <w:r>
        <w:rPr>
          <w:rFonts w:hint="eastAsia" w:ascii="宋体" w:hAnsi="宋体" w:eastAsia="宋体" w:cs="宋体"/>
          <w:bCs/>
          <w:highlight w:val="yellow"/>
        </w:rPr>
        <w:t>20</w:t>
      </w:r>
      <w:r>
        <w:rPr>
          <w:rFonts w:hint="eastAsia" w:ascii="宋体" w:hAnsi="宋体" w:eastAsia="宋体" w:cs="宋体"/>
          <w:bCs/>
          <w:highlight w:val="yellow"/>
          <w:lang w:val="en-US" w:eastAsia="zh-CN"/>
        </w:rPr>
        <w:t>20</w:t>
      </w:r>
      <w:r>
        <w:rPr>
          <w:rFonts w:hint="eastAsia" w:ascii="宋体" w:hAnsi="宋体" w:eastAsia="宋体" w:cs="宋体"/>
          <w:bCs/>
          <w:highlight w:val="yellow"/>
        </w:rPr>
        <w:t>年1月1日</w:t>
      </w:r>
      <w:r>
        <w:rPr>
          <w:rFonts w:hint="eastAsia" w:ascii="宋体" w:hAnsi="宋体" w:eastAsia="宋体" w:cs="宋体"/>
          <w:bCs/>
        </w:rPr>
        <w:t>起至本采购项目磋商响应文件递交截止日期同类型项目业绩，同类型项目是指</w:t>
      </w:r>
      <w:r>
        <w:rPr>
          <w:rFonts w:hint="eastAsia" w:ascii="宋体" w:hAnsi="宋体" w:eastAsia="宋体" w:cs="宋体"/>
          <w:b/>
        </w:rPr>
        <w:t>全国性体育比赛，全国性集体球类联赛（特指近三届列入夏季或冬季奥运会集体球类项目），全国性棒球比赛</w:t>
      </w:r>
      <w:r>
        <w:rPr>
          <w:rFonts w:hint="eastAsia" w:ascii="宋体" w:hAnsi="宋体" w:eastAsia="宋体" w:cs="宋体"/>
          <w:bCs/>
        </w:rPr>
        <w:t>（根据提供的用户单位出具的关于服务事宜的委托函、合同复印件等证明材料，须体现成交单位、合同标的、成交日期、双方盖章页等关键信息）；</w:t>
      </w:r>
    </w:p>
    <w:p w14:paraId="237ECB98">
      <w:pPr>
        <w:pStyle w:val="27"/>
        <w:numPr>
          <w:ilvl w:val="0"/>
          <w:numId w:val="5"/>
        </w:numPr>
        <w:tabs>
          <w:tab w:val="left" w:pos="851"/>
          <w:tab w:val="left" w:pos="1134"/>
        </w:tabs>
        <w:ind w:left="0" w:firstLine="480" w:firstLineChars="0"/>
        <w:rPr>
          <w:rFonts w:ascii="宋体" w:hAnsi="宋体"/>
        </w:rPr>
      </w:pPr>
      <w:r>
        <w:rPr>
          <w:rFonts w:hint="eastAsia" w:ascii="宋体" w:hAnsi="宋体"/>
        </w:rPr>
        <w:t>报价人针对本项目的服务方案：包括但不限于对项目需求的理解、项目需求的各类方案、服务内容、服务实施计划和工作流程、服务成果体现等</w:t>
      </w:r>
      <w:r>
        <w:rPr>
          <w:rFonts w:ascii="宋体" w:hAnsi="宋体"/>
        </w:rPr>
        <w:t>；</w:t>
      </w:r>
    </w:p>
    <w:p w14:paraId="2FB719D8">
      <w:pPr>
        <w:pStyle w:val="27"/>
        <w:numPr>
          <w:ilvl w:val="0"/>
          <w:numId w:val="5"/>
        </w:numPr>
        <w:tabs>
          <w:tab w:val="left" w:pos="851"/>
          <w:tab w:val="left" w:pos="1134"/>
        </w:tabs>
        <w:ind w:left="0" w:firstLine="480" w:firstLineChars="0"/>
        <w:rPr>
          <w:rFonts w:ascii="宋体" w:hAnsi="宋体" w:eastAsia="宋体" w:cs="宋体"/>
        </w:rPr>
      </w:pPr>
      <w:r>
        <w:rPr>
          <w:rFonts w:hint="eastAsia" w:ascii="宋体" w:hAnsi="宋体"/>
          <w:bCs/>
        </w:rPr>
        <w:t>报价人自身项目团队情况介绍（须按评分表要求逐项提供）</w:t>
      </w:r>
      <w:r>
        <w:rPr>
          <w:rFonts w:hint="eastAsia" w:ascii="宋体" w:hAnsi="宋体" w:eastAsia="宋体" w:cs="宋体"/>
          <w:bCs/>
        </w:rPr>
        <w:t>；</w:t>
      </w:r>
    </w:p>
    <w:p w14:paraId="047974F0">
      <w:pPr>
        <w:pStyle w:val="27"/>
        <w:numPr>
          <w:ilvl w:val="0"/>
          <w:numId w:val="5"/>
        </w:numPr>
        <w:tabs>
          <w:tab w:val="left" w:pos="851"/>
          <w:tab w:val="left" w:pos="1134"/>
        </w:tabs>
        <w:ind w:left="0" w:firstLine="480" w:firstLineChars="0"/>
        <w:rPr>
          <w:rFonts w:ascii="宋体" w:hAnsi="宋体" w:eastAsia="宋体" w:cs="宋体"/>
        </w:rPr>
      </w:pPr>
      <w:r>
        <w:rPr>
          <w:rFonts w:hint="eastAsia"/>
        </w:rPr>
        <w:t>国家有关部门要求的资质证明文件复印件（如果国家有相关规定）；</w:t>
      </w:r>
    </w:p>
    <w:p w14:paraId="7F4AB89D">
      <w:pPr>
        <w:pStyle w:val="27"/>
        <w:numPr>
          <w:ilvl w:val="0"/>
          <w:numId w:val="5"/>
        </w:numPr>
        <w:tabs>
          <w:tab w:val="left" w:pos="851"/>
          <w:tab w:val="left" w:pos="1134"/>
        </w:tabs>
        <w:ind w:left="0" w:firstLine="480" w:firstLineChars="0"/>
        <w:rPr>
          <w:rFonts w:ascii="宋体" w:hAnsi="宋体" w:eastAsia="宋体" w:cs="宋体"/>
        </w:rPr>
      </w:pPr>
      <w:r>
        <w:rPr>
          <w:rFonts w:ascii="Times New Roman" w:cs="Times New Roman"/>
        </w:rPr>
        <w:t>中小企业声明函</w:t>
      </w:r>
      <w:r>
        <w:rPr>
          <w:b/>
          <w:u w:val="single"/>
        </w:rPr>
        <w:t>（如</w:t>
      </w:r>
      <w:r>
        <w:rPr>
          <w:rFonts w:hint="eastAsia"/>
          <w:b/>
          <w:u w:val="single"/>
        </w:rPr>
        <w:t>报价</w:t>
      </w:r>
      <w:r>
        <w:rPr>
          <w:b/>
          <w:u w:val="single"/>
        </w:rPr>
        <w:t>人满足中小微企业条件时提供，</w:t>
      </w:r>
      <w:r>
        <w:rPr>
          <w:rFonts w:hint="eastAsia"/>
          <w:b/>
          <w:u w:val="single"/>
        </w:rPr>
        <w:t>格式见附件</w:t>
      </w:r>
      <w:r>
        <w:rPr>
          <w:b/>
          <w:u w:val="single"/>
        </w:rPr>
        <w:t>）</w:t>
      </w:r>
      <w:r>
        <w:rPr>
          <w:rFonts w:hint="eastAsia"/>
          <w:bCs/>
          <w:u w:val="single"/>
        </w:rPr>
        <w:t>；</w:t>
      </w:r>
    </w:p>
    <w:p w14:paraId="1A4383C7">
      <w:pPr>
        <w:pStyle w:val="27"/>
        <w:numPr>
          <w:ilvl w:val="0"/>
          <w:numId w:val="5"/>
        </w:numPr>
        <w:tabs>
          <w:tab w:val="left" w:pos="851"/>
          <w:tab w:val="left" w:pos="1134"/>
        </w:tabs>
        <w:ind w:left="0" w:firstLine="480" w:firstLineChars="0"/>
        <w:rPr>
          <w:rFonts w:ascii="宋体" w:hAnsi="宋体" w:eastAsia="宋体" w:cs="宋体"/>
        </w:rPr>
      </w:pPr>
      <w:r>
        <w:rPr>
          <w:rFonts w:hint="eastAsia" w:ascii="宋体" w:hAnsi="宋体" w:eastAsia="宋体" w:cs="宋体"/>
        </w:rPr>
        <w:t>残疾人福利性单位声明函</w:t>
      </w:r>
      <w:r>
        <w:rPr>
          <w:rFonts w:hint="eastAsia" w:ascii="宋体" w:hAnsi="宋体" w:eastAsia="宋体" w:cs="宋体"/>
          <w:b/>
          <w:bCs/>
        </w:rPr>
        <w:t>（</w:t>
      </w:r>
      <w:r>
        <w:rPr>
          <w:rFonts w:hint="eastAsia" w:ascii="宋体" w:hAnsi="宋体" w:eastAsia="宋体" w:cs="宋体"/>
          <w:b/>
          <w:bCs/>
          <w:u w:val="single"/>
        </w:rPr>
        <w:t>如报价人满足残疾人福利性单位条件时提供，不提供声明函件的不予认定</w:t>
      </w:r>
      <w:r>
        <w:rPr>
          <w:rFonts w:hint="eastAsia" w:ascii="宋体" w:hAnsi="宋体" w:eastAsia="宋体" w:cs="宋体"/>
          <w:b/>
          <w:bCs/>
        </w:rPr>
        <w:t>）</w:t>
      </w:r>
      <w:r>
        <w:rPr>
          <w:rFonts w:hint="eastAsia" w:ascii="宋体" w:hAnsi="宋体" w:eastAsia="宋体" w:cs="宋体"/>
        </w:rPr>
        <w:t>；</w:t>
      </w:r>
    </w:p>
    <w:p w14:paraId="239D0039">
      <w:pPr>
        <w:pStyle w:val="27"/>
        <w:numPr>
          <w:ilvl w:val="0"/>
          <w:numId w:val="5"/>
        </w:numPr>
        <w:tabs>
          <w:tab w:val="left" w:pos="851"/>
          <w:tab w:val="left" w:pos="1134"/>
        </w:tabs>
        <w:ind w:left="0" w:firstLine="480" w:firstLineChars="0"/>
        <w:rPr>
          <w:rFonts w:ascii="宋体" w:hAnsi="宋体" w:eastAsia="宋体" w:cs="宋体"/>
        </w:rPr>
      </w:pPr>
      <w:r>
        <w:rPr>
          <w:rFonts w:hint="eastAsia" w:ascii="宋体" w:hAnsi="宋体" w:eastAsia="宋体" w:cs="宋体"/>
        </w:rPr>
        <w:t>报价人认为需要提供的其它说明和资料。</w:t>
      </w:r>
    </w:p>
    <w:p w14:paraId="277BA577">
      <w:pPr>
        <w:pStyle w:val="27"/>
        <w:ind w:firstLine="482"/>
        <w:rPr>
          <w:rFonts w:ascii="宋体" w:hAnsi="宋体" w:eastAsia="宋体" w:cs="宋体"/>
          <w:b/>
        </w:rPr>
      </w:pPr>
      <w:r>
        <w:rPr>
          <w:rFonts w:hint="eastAsia" w:ascii="宋体" w:hAnsi="宋体" w:eastAsia="宋体" w:cs="宋体"/>
          <w:b/>
        </w:rPr>
        <w:t>以上内容，凡加*项目若有缺失或无效</w:t>
      </w:r>
      <w:r>
        <w:rPr>
          <w:rFonts w:hint="eastAsia" w:ascii="宋体" w:hAnsi="宋体" w:eastAsia="宋体" w:cs="宋体"/>
          <w:b/>
          <w:bCs/>
        </w:rPr>
        <w:t>，</w:t>
      </w:r>
      <w:r>
        <w:rPr>
          <w:rFonts w:hint="eastAsia" w:ascii="宋体" w:hAnsi="宋体" w:eastAsia="宋体" w:cs="宋体"/>
          <w:b/>
        </w:rPr>
        <w:t>将导致磋商响应文件无效。</w:t>
      </w:r>
    </w:p>
    <w:p w14:paraId="04E8139A">
      <w:pPr>
        <w:pStyle w:val="28"/>
        <w:numPr>
          <w:ilvl w:val="0"/>
          <w:numId w:val="0"/>
        </w:numPr>
        <w:ind w:left="840" w:hanging="420"/>
        <w:rPr>
          <w:rFonts w:cs="Arial Unicode MS"/>
          <w:color w:val="auto"/>
        </w:rPr>
      </w:pPr>
      <w:r>
        <w:rPr>
          <w:rFonts w:cs="Arial Unicode MS"/>
          <w:color w:val="auto"/>
        </w:rPr>
        <w:t>10、响应文件格式</w:t>
      </w:r>
    </w:p>
    <w:p w14:paraId="5C97FB7F">
      <w:pPr>
        <w:pStyle w:val="29"/>
        <w:ind w:firstLine="480"/>
        <w:rPr>
          <w:rFonts w:ascii="宋体" w:hAnsi="宋体" w:eastAsia="宋体" w:cs="宋体"/>
          <w:b/>
        </w:rPr>
      </w:pPr>
      <w:r>
        <w:rPr>
          <w:rFonts w:hint="eastAsia" w:ascii="宋体" w:hAnsi="宋体" w:eastAsia="宋体" w:cs="宋体"/>
        </w:rPr>
        <w:t>10.1 竞争性磋商文件中凡提供响应文件格式的内容，报价人应按提供的格式填写，其余未提供格式的内容由报价人自行设计编写。</w:t>
      </w:r>
    </w:p>
    <w:p w14:paraId="72F46F03">
      <w:pPr>
        <w:pStyle w:val="29"/>
        <w:ind w:firstLine="480"/>
        <w:rPr>
          <w:rFonts w:ascii="宋体" w:hAnsi="宋体" w:eastAsia="宋体" w:cs="宋体"/>
        </w:rPr>
      </w:pPr>
      <w:r>
        <w:rPr>
          <w:rFonts w:hint="eastAsia" w:ascii="宋体" w:hAnsi="宋体" w:eastAsia="宋体" w:cs="宋体"/>
        </w:rPr>
        <w:t>10.2 响应文件应编排清楚，编制目录，易于阅读和评审。</w:t>
      </w:r>
    </w:p>
    <w:p w14:paraId="77C2DFF7">
      <w:pPr>
        <w:pStyle w:val="28"/>
        <w:numPr>
          <w:ilvl w:val="0"/>
          <w:numId w:val="0"/>
        </w:numPr>
        <w:ind w:left="840" w:hanging="420"/>
        <w:rPr>
          <w:rFonts w:cs="Arial Unicode MS"/>
          <w:color w:val="auto"/>
        </w:rPr>
      </w:pPr>
      <w:r>
        <w:rPr>
          <w:rFonts w:cs="Arial Unicode MS"/>
          <w:color w:val="auto"/>
        </w:rPr>
        <w:t>11、报价</w:t>
      </w:r>
    </w:p>
    <w:p w14:paraId="0D7E01A0">
      <w:pPr>
        <w:pStyle w:val="28"/>
        <w:numPr>
          <w:ilvl w:val="0"/>
          <w:numId w:val="0"/>
        </w:numPr>
        <w:ind w:left="840" w:hanging="420"/>
        <w:rPr>
          <w:rFonts w:eastAsia="宋体" w:cs="宋体"/>
          <w:b w:val="0"/>
          <w:bCs w:val="0"/>
        </w:rPr>
      </w:pPr>
      <w:r>
        <w:rPr>
          <w:rFonts w:hint="eastAsia" w:eastAsia="宋体" w:cs="宋体"/>
          <w:b w:val="0"/>
          <w:bCs w:val="0"/>
        </w:rPr>
        <w:t>11.1 报价方应提供以人民币为结算单位的报价。</w:t>
      </w:r>
    </w:p>
    <w:p w14:paraId="5F5349D8">
      <w:pPr>
        <w:pStyle w:val="28"/>
        <w:numPr>
          <w:ilvl w:val="0"/>
          <w:numId w:val="0"/>
        </w:numPr>
        <w:ind w:left="840" w:hanging="420"/>
        <w:rPr>
          <w:rFonts w:eastAsia="宋体" w:cs="宋体"/>
          <w:b w:val="0"/>
          <w:bCs w:val="0"/>
        </w:rPr>
      </w:pPr>
      <w:r>
        <w:rPr>
          <w:rFonts w:hint="eastAsia" w:eastAsia="宋体" w:cs="宋体"/>
          <w:b w:val="0"/>
          <w:bCs w:val="0"/>
        </w:rPr>
        <w:t>11.2 报价企业的报价应为完成本项目所需的全部费用，包括但不限于以下费用：</w:t>
      </w:r>
    </w:p>
    <w:p w14:paraId="65961C4A">
      <w:pPr>
        <w:pStyle w:val="29"/>
        <w:ind w:firstLine="480"/>
        <w:rPr>
          <w:rFonts w:ascii="宋体" w:hAnsi="宋体" w:eastAsia="宋体" w:cs="宋体"/>
        </w:rPr>
      </w:pPr>
      <w:r>
        <w:rPr>
          <w:rFonts w:hint="eastAsia" w:ascii="宋体" w:hAnsi="宋体" w:eastAsia="宋体" w:cs="宋体"/>
        </w:rPr>
        <w:t>人工费、差旅费、咨询费、委托专家等第三方相关费用、保险、税金、利润等全部费用。</w:t>
      </w:r>
    </w:p>
    <w:tbl>
      <w:tblPr>
        <w:tblStyle w:val="16"/>
        <w:tblpPr w:leftFromText="180" w:rightFromText="180" w:vertAnchor="text" w:horzAnchor="page" w:tblpX="2644" w:tblpY="1969"/>
        <w:tblOverlap w:val="never"/>
        <w:tblW w:w="40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6"/>
        <w:gridCol w:w="2307"/>
        <w:gridCol w:w="1591"/>
        <w:gridCol w:w="2326"/>
      </w:tblGrid>
      <w:tr w14:paraId="11A6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41" w:type="pct"/>
            <w:tcBorders>
              <w:top w:val="single" w:color="000000" w:sz="4" w:space="0"/>
              <w:left w:val="single" w:color="000000" w:sz="4" w:space="0"/>
              <w:bottom w:val="single" w:color="000000" w:sz="4" w:space="0"/>
              <w:right w:val="single" w:color="000000" w:sz="4" w:space="0"/>
            </w:tcBorders>
            <w:shd w:val="clear" w:color="auto" w:fill="E7E6E6"/>
            <w:noWrap w:val="0"/>
            <w:vAlign w:val="center"/>
          </w:tcPr>
          <w:p w14:paraId="5E80DF66">
            <w:pPr>
              <w:keepNext/>
              <w:keepLines/>
              <w:snapToGrid w:val="0"/>
              <w:spacing w:before="260" w:after="260" w:line="240" w:lineRule="auto"/>
              <w:jc w:val="center"/>
              <w:outlineLvl w:val="1"/>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val="en-US" w:eastAsia="zh-CN"/>
              </w:rPr>
              <w:t>档次</w:t>
            </w:r>
          </w:p>
        </w:tc>
        <w:tc>
          <w:tcPr>
            <w:tcW w:w="1652" w:type="pct"/>
            <w:tcBorders>
              <w:top w:val="single" w:color="000000" w:sz="4" w:space="0"/>
              <w:left w:val="single" w:color="000000" w:sz="4" w:space="0"/>
              <w:bottom w:val="single" w:color="000000" w:sz="4" w:space="0"/>
              <w:right w:val="single" w:color="000000" w:sz="4" w:space="0"/>
            </w:tcBorders>
            <w:shd w:val="clear" w:color="auto" w:fill="E7E6E6"/>
            <w:noWrap w:val="0"/>
            <w:vAlign w:val="center"/>
          </w:tcPr>
          <w:p w14:paraId="4581C396">
            <w:pPr>
              <w:keepNext/>
              <w:keepLines/>
              <w:snapToGrid w:val="0"/>
              <w:spacing w:before="260" w:after="260" w:line="240" w:lineRule="auto"/>
              <w:jc w:val="center"/>
              <w:outlineLvl w:val="1"/>
              <w:rPr>
                <w:rFonts w:hint="eastAsia" w:asciiTheme="minorEastAsia" w:hAnsiTheme="minorEastAsia" w:eastAsiaTheme="minorEastAsia" w:cstheme="minorEastAsia"/>
                <w:b/>
                <w:bCs/>
                <w:color w:val="000000"/>
                <w:sz w:val="21"/>
                <w:szCs w:val="21"/>
                <w:lang w:val="en-US"/>
              </w:rPr>
            </w:pPr>
            <w:r>
              <w:rPr>
                <w:rFonts w:hint="eastAsia" w:asciiTheme="minorEastAsia" w:hAnsiTheme="minorEastAsia" w:eastAsiaTheme="minorEastAsia" w:cstheme="minorEastAsia"/>
                <w:b/>
                <w:bCs/>
                <w:color w:val="000000"/>
                <w:sz w:val="21"/>
                <w:szCs w:val="21"/>
                <w:lang w:val="en-US" w:eastAsia="zh-CN"/>
              </w:rPr>
              <w:t>采购金额（万元）</w:t>
            </w:r>
          </w:p>
        </w:tc>
        <w:tc>
          <w:tcPr>
            <w:tcW w:w="1139" w:type="pct"/>
            <w:tcBorders>
              <w:top w:val="single" w:color="000000" w:sz="4" w:space="0"/>
              <w:left w:val="single" w:color="000000" w:sz="4" w:space="0"/>
              <w:bottom w:val="single" w:color="000000" w:sz="4" w:space="0"/>
              <w:right w:val="single" w:color="000000" w:sz="4" w:space="0"/>
            </w:tcBorders>
            <w:shd w:val="clear" w:color="auto" w:fill="E7E6E6"/>
            <w:noWrap w:val="0"/>
            <w:vAlign w:val="center"/>
          </w:tcPr>
          <w:p w14:paraId="5F7AE641">
            <w:pPr>
              <w:keepNext/>
              <w:keepLines/>
              <w:snapToGrid w:val="0"/>
              <w:spacing w:before="260" w:after="260" w:line="240" w:lineRule="auto"/>
              <w:jc w:val="center"/>
              <w:outlineLvl w:val="1"/>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服务费计费率</w:t>
            </w:r>
          </w:p>
        </w:tc>
        <w:tc>
          <w:tcPr>
            <w:tcW w:w="1666" w:type="pct"/>
            <w:tcBorders>
              <w:top w:val="single" w:color="000000" w:sz="4" w:space="0"/>
              <w:left w:val="single" w:color="000000" w:sz="4" w:space="0"/>
              <w:bottom w:val="single" w:color="000000" w:sz="4" w:space="0"/>
              <w:right w:val="single" w:color="000000" w:sz="4" w:space="0"/>
            </w:tcBorders>
            <w:shd w:val="clear" w:color="auto" w:fill="E7E6E6"/>
            <w:noWrap w:val="0"/>
            <w:vAlign w:val="center"/>
          </w:tcPr>
          <w:p w14:paraId="07E37DAD">
            <w:pPr>
              <w:keepNext/>
              <w:keepLines/>
              <w:snapToGrid w:val="0"/>
              <w:spacing w:before="260" w:after="260" w:line="240" w:lineRule="auto"/>
              <w:jc w:val="center"/>
              <w:outlineLvl w:val="1"/>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val="en-US" w:eastAsia="zh-CN"/>
              </w:rPr>
              <w:t>累计服务费（万元）</w:t>
            </w:r>
          </w:p>
        </w:tc>
      </w:tr>
      <w:tr w14:paraId="0E72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DFE72">
            <w:pPr>
              <w:keepNext/>
              <w:keepLines/>
              <w:snapToGrid w:val="0"/>
              <w:spacing w:before="260" w:after="260"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w:t>
            </w:r>
          </w:p>
        </w:tc>
        <w:tc>
          <w:tcPr>
            <w:tcW w:w="16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B922C">
            <w:pPr>
              <w:keepNext/>
              <w:keepLines/>
              <w:snapToGrid w:val="0"/>
              <w:spacing w:before="260" w:after="260"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100以下</w:t>
            </w:r>
          </w:p>
        </w:tc>
        <w:tc>
          <w:tcPr>
            <w:tcW w:w="1139" w:type="pct"/>
            <w:tcBorders>
              <w:top w:val="single" w:color="000000" w:sz="4" w:space="0"/>
              <w:left w:val="single" w:color="000000" w:sz="4" w:space="0"/>
              <w:bottom w:val="single" w:color="000000" w:sz="4" w:space="0"/>
              <w:right w:val="single" w:color="000000" w:sz="4" w:space="0"/>
            </w:tcBorders>
            <w:shd w:val="clear" w:color="auto" w:fill="F6CC46"/>
            <w:noWrap w:val="0"/>
            <w:vAlign w:val="center"/>
          </w:tcPr>
          <w:p w14:paraId="7DA5919F">
            <w:pPr>
              <w:keepNext/>
              <w:keepLines/>
              <w:snapToGrid w:val="0"/>
              <w:spacing w:before="260" w:after="260"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1.50%</w:t>
            </w:r>
          </w:p>
        </w:tc>
        <w:tc>
          <w:tcPr>
            <w:tcW w:w="1666" w:type="pct"/>
            <w:tcBorders>
              <w:top w:val="single" w:color="000000" w:sz="4" w:space="0"/>
              <w:left w:val="single" w:color="000000" w:sz="4" w:space="0"/>
              <w:bottom w:val="single" w:color="000000" w:sz="4" w:space="0"/>
              <w:right w:val="single" w:color="000000" w:sz="4" w:space="0"/>
            </w:tcBorders>
            <w:noWrap w:val="0"/>
            <w:vAlign w:val="center"/>
          </w:tcPr>
          <w:p w14:paraId="743EF009">
            <w:pPr>
              <w:keepNext/>
              <w:keepLines/>
              <w:snapToGrid w:val="0"/>
              <w:spacing w:before="260" w:after="260" w:line="240" w:lineRule="auto"/>
              <w:jc w:val="center"/>
              <w:outlineLvl w:val="1"/>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1.5</w:t>
            </w:r>
          </w:p>
        </w:tc>
      </w:tr>
      <w:tr w14:paraId="735E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01F30">
            <w:pPr>
              <w:keepNext/>
              <w:keepLines/>
              <w:snapToGrid w:val="0"/>
              <w:spacing w:before="260" w:after="260"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w:t>
            </w:r>
          </w:p>
        </w:tc>
        <w:tc>
          <w:tcPr>
            <w:tcW w:w="16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E715D">
            <w:pPr>
              <w:keepNext/>
              <w:keepLines/>
              <w:snapToGrid w:val="0"/>
              <w:spacing w:before="260" w:after="260" w:line="240" w:lineRule="auto"/>
              <w:jc w:val="center"/>
              <w:outlineLvl w:val="1"/>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超过 100-500以下 </w:t>
            </w:r>
          </w:p>
        </w:tc>
        <w:tc>
          <w:tcPr>
            <w:tcW w:w="1139" w:type="pct"/>
            <w:tcBorders>
              <w:top w:val="single" w:color="000000" w:sz="4" w:space="0"/>
              <w:left w:val="single" w:color="000000" w:sz="4" w:space="0"/>
              <w:bottom w:val="single" w:color="000000" w:sz="4" w:space="0"/>
              <w:right w:val="single" w:color="000000" w:sz="4" w:space="0"/>
            </w:tcBorders>
            <w:shd w:val="clear" w:color="auto" w:fill="F6CC46"/>
            <w:noWrap w:val="0"/>
            <w:vAlign w:val="center"/>
          </w:tcPr>
          <w:p w14:paraId="2A9AD7A4">
            <w:pPr>
              <w:keepNext/>
              <w:keepLines/>
              <w:snapToGrid w:val="0"/>
              <w:spacing w:before="260" w:after="260"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0.80%</w:t>
            </w:r>
          </w:p>
        </w:tc>
        <w:tc>
          <w:tcPr>
            <w:tcW w:w="1666" w:type="pct"/>
            <w:tcBorders>
              <w:top w:val="single" w:color="000000" w:sz="4" w:space="0"/>
              <w:left w:val="single" w:color="000000" w:sz="4" w:space="0"/>
              <w:bottom w:val="single" w:color="000000" w:sz="4" w:space="0"/>
              <w:right w:val="single" w:color="000000" w:sz="4" w:space="0"/>
            </w:tcBorders>
            <w:noWrap w:val="0"/>
            <w:vAlign w:val="center"/>
          </w:tcPr>
          <w:p w14:paraId="70A4E1C4">
            <w:pPr>
              <w:keepNext/>
              <w:keepLines/>
              <w:snapToGrid w:val="0"/>
              <w:spacing w:before="260" w:after="260" w:line="240" w:lineRule="auto"/>
              <w:jc w:val="center"/>
              <w:outlineLvl w:val="1"/>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4.7</w:t>
            </w:r>
          </w:p>
        </w:tc>
      </w:tr>
      <w:tr w14:paraId="1AA94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7FBE5">
            <w:pPr>
              <w:keepNext/>
              <w:keepLines/>
              <w:snapToGrid w:val="0"/>
              <w:spacing w:before="260" w:after="260"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w:t>
            </w:r>
          </w:p>
        </w:tc>
        <w:tc>
          <w:tcPr>
            <w:tcW w:w="16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B73B9">
            <w:pPr>
              <w:keepNext/>
              <w:keepLines/>
              <w:snapToGrid w:val="0"/>
              <w:spacing w:before="260" w:after="260" w:line="240" w:lineRule="auto"/>
              <w:jc w:val="center"/>
              <w:outlineLvl w:val="1"/>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超过 500-1000以下</w:t>
            </w:r>
          </w:p>
        </w:tc>
        <w:tc>
          <w:tcPr>
            <w:tcW w:w="1139" w:type="pct"/>
            <w:tcBorders>
              <w:top w:val="single" w:color="000000" w:sz="4" w:space="0"/>
              <w:left w:val="single" w:color="000000" w:sz="4" w:space="0"/>
              <w:bottom w:val="single" w:color="000000" w:sz="4" w:space="0"/>
              <w:right w:val="single" w:color="000000" w:sz="4" w:space="0"/>
            </w:tcBorders>
            <w:shd w:val="clear" w:color="auto" w:fill="F6CC46"/>
            <w:noWrap w:val="0"/>
            <w:vAlign w:val="center"/>
          </w:tcPr>
          <w:p w14:paraId="52A7668A">
            <w:pPr>
              <w:keepNext/>
              <w:keepLines/>
              <w:snapToGrid w:val="0"/>
              <w:spacing w:before="260" w:after="260"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0.45%</w:t>
            </w:r>
          </w:p>
        </w:tc>
        <w:tc>
          <w:tcPr>
            <w:tcW w:w="1666" w:type="pct"/>
            <w:tcBorders>
              <w:top w:val="single" w:color="000000" w:sz="4" w:space="0"/>
              <w:left w:val="single" w:color="000000" w:sz="4" w:space="0"/>
              <w:bottom w:val="single" w:color="000000" w:sz="4" w:space="0"/>
              <w:right w:val="single" w:color="000000" w:sz="4" w:space="0"/>
            </w:tcBorders>
            <w:noWrap w:val="0"/>
            <w:vAlign w:val="center"/>
          </w:tcPr>
          <w:p w14:paraId="3CB8BBE4">
            <w:pPr>
              <w:keepNext/>
              <w:keepLines/>
              <w:snapToGrid w:val="0"/>
              <w:spacing w:before="260" w:after="260" w:line="240" w:lineRule="auto"/>
              <w:jc w:val="center"/>
              <w:outlineLvl w:val="1"/>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6.95</w:t>
            </w:r>
          </w:p>
        </w:tc>
      </w:tr>
      <w:tr w14:paraId="6D879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E09F5">
            <w:pPr>
              <w:keepNext/>
              <w:keepLines/>
              <w:snapToGrid w:val="0"/>
              <w:spacing w:before="260" w:after="260"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4</w:t>
            </w:r>
          </w:p>
        </w:tc>
        <w:tc>
          <w:tcPr>
            <w:tcW w:w="165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DA380">
            <w:pPr>
              <w:keepNext/>
              <w:keepLines/>
              <w:snapToGrid w:val="0"/>
              <w:spacing w:before="260" w:after="260" w:line="240" w:lineRule="auto"/>
              <w:jc w:val="center"/>
              <w:outlineLvl w:val="1"/>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超过1000-5000以下</w:t>
            </w:r>
          </w:p>
        </w:tc>
        <w:tc>
          <w:tcPr>
            <w:tcW w:w="1139" w:type="pct"/>
            <w:tcBorders>
              <w:top w:val="single" w:color="000000" w:sz="4" w:space="0"/>
              <w:left w:val="single" w:color="000000" w:sz="4" w:space="0"/>
              <w:bottom w:val="single" w:color="000000" w:sz="4" w:space="0"/>
              <w:right w:val="single" w:color="000000" w:sz="4" w:space="0"/>
            </w:tcBorders>
            <w:shd w:val="clear" w:color="auto" w:fill="F6CC46"/>
            <w:noWrap w:val="0"/>
            <w:vAlign w:val="center"/>
          </w:tcPr>
          <w:p w14:paraId="454B2AF7">
            <w:pPr>
              <w:keepNext/>
              <w:keepLines/>
              <w:snapToGrid w:val="0"/>
              <w:spacing w:before="260" w:after="260" w:line="240" w:lineRule="auto"/>
              <w:jc w:val="center"/>
              <w:outlineLvl w:val="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0.25%</w:t>
            </w:r>
          </w:p>
        </w:tc>
        <w:tc>
          <w:tcPr>
            <w:tcW w:w="1666" w:type="pct"/>
            <w:tcBorders>
              <w:top w:val="single" w:color="000000" w:sz="4" w:space="0"/>
              <w:left w:val="single" w:color="000000" w:sz="4" w:space="0"/>
              <w:bottom w:val="single" w:color="000000" w:sz="4" w:space="0"/>
              <w:right w:val="single" w:color="000000" w:sz="4" w:space="0"/>
            </w:tcBorders>
            <w:noWrap w:val="0"/>
            <w:vAlign w:val="center"/>
          </w:tcPr>
          <w:p w14:paraId="420BDE20">
            <w:pPr>
              <w:keepNext/>
              <w:keepLines/>
              <w:snapToGrid w:val="0"/>
              <w:spacing w:before="260" w:after="260" w:line="240" w:lineRule="auto"/>
              <w:jc w:val="center"/>
              <w:outlineLvl w:val="1"/>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16.95</w:t>
            </w:r>
          </w:p>
        </w:tc>
      </w:tr>
      <w:tr w14:paraId="00CB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top"/>
          </w:tcPr>
          <w:p w14:paraId="46D56668">
            <w:pPr>
              <w:keepNext/>
              <w:keepLines/>
              <w:snapToGrid w:val="0"/>
              <w:spacing w:before="260" w:after="260" w:line="276" w:lineRule="auto"/>
              <w:jc w:val="left"/>
              <w:outlineLvl w:val="1"/>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采购代理服务费按差额定率累进法计算</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1.差额定率累进法：按资产金额大小划分收费档次，分档计算收费额，各档累加为收费总额。</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2.假设采购成交金额为5000万元，那么按照一定的要求可以计算得到相关结果：</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①100万元以下部分： 100×1.5%=1.5万元；</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②100万元-500万元部分： 400×</w:t>
            </w:r>
            <w:r>
              <w:rPr>
                <w:rFonts w:hint="eastAsia" w:asciiTheme="minorEastAsia" w:hAnsiTheme="minorEastAsia" w:eastAsiaTheme="minorEastAsia" w:cstheme="minorEastAsia"/>
                <w:color w:val="000000"/>
                <w:sz w:val="24"/>
                <w:lang w:val="en-US" w:eastAsia="zh-CN"/>
              </w:rPr>
              <w:t>0</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8</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万元；</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③500万元-1000万元部分： 500×0.</w:t>
            </w:r>
            <w:r>
              <w:rPr>
                <w:rFonts w:hint="eastAsia" w:asciiTheme="minorEastAsia" w:hAnsiTheme="minorEastAsia" w:eastAsiaTheme="minorEastAsia" w:cstheme="minorEastAsia"/>
                <w:color w:val="000000"/>
                <w:sz w:val="24"/>
                <w:lang w:val="en-US" w:eastAsia="zh-CN"/>
              </w:rPr>
              <w:t>45</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2.2</w:t>
            </w:r>
            <w:r>
              <w:rPr>
                <w:rFonts w:hint="eastAsia" w:asciiTheme="minorEastAsia" w:hAnsiTheme="minorEastAsia" w:eastAsiaTheme="minorEastAsia" w:cstheme="minorEastAsia"/>
                <w:color w:val="000000"/>
                <w:sz w:val="24"/>
              </w:rPr>
              <w:t>万元；</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④1000万元-5000万元部分： 4000×0.</w:t>
            </w: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5%=</w:t>
            </w:r>
            <w:r>
              <w:rPr>
                <w:rFonts w:hint="eastAsia" w:asciiTheme="minorEastAsia" w:hAnsiTheme="minorEastAsia" w:eastAsiaTheme="minorEastAsia" w:cstheme="minorEastAsia"/>
                <w:color w:val="000000"/>
                <w:sz w:val="24"/>
                <w:lang w:val="en-US" w:eastAsia="zh-CN"/>
              </w:rPr>
              <w:t>10</w:t>
            </w:r>
            <w:r>
              <w:rPr>
                <w:rFonts w:hint="eastAsia" w:asciiTheme="minorEastAsia" w:hAnsiTheme="minorEastAsia" w:eastAsiaTheme="minorEastAsia" w:cstheme="minorEastAsia"/>
                <w:color w:val="000000"/>
                <w:sz w:val="24"/>
              </w:rPr>
              <w:t>万元；</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⑤合计：1.5+</w:t>
            </w:r>
            <w:r>
              <w:rPr>
                <w:rFonts w:hint="eastAsia" w:asciiTheme="minorEastAsia" w:hAnsiTheme="minorEastAsia" w:eastAsiaTheme="minorEastAsia" w:cstheme="minorEastAsia"/>
                <w:color w:val="000000"/>
                <w:sz w:val="24"/>
                <w:lang w:val="en-US" w:eastAsia="zh-CN"/>
              </w:rPr>
              <w:t>3.2</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2.2</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10</w:t>
            </w: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4"/>
                <w:lang w:val="en-US" w:eastAsia="zh-CN"/>
              </w:rPr>
              <w:t>16</w:t>
            </w:r>
            <w:r>
              <w:rPr>
                <w:rFonts w:hint="eastAsia" w:asciiTheme="minorEastAsia" w:hAnsiTheme="minorEastAsia" w:eastAsiaTheme="minorEastAsia" w:cstheme="minorEastAsia"/>
                <w:color w:val="000000"/>
                <w:sz w:val="24"/>
              </w:rPr>
              <w:t>.9</w:t>
            </w:r>
            <w:r>
              <w:rPr>
                <w:rFonts w:hint="eastAsia" w:asciiTheme="minorEastAsia" w:hAnsiTheme="minorEastAsia" w:eastAsiaTheme="minorEastAsia" w:cstheme="minorEastAsia"/>
                <w:color w:val="000000"/>
                <w:sz w:val="24"/>
                <w:lang w:val="en-US" w:eastAsia="zh-CN"/>
              </w:rPr>
              <w:t>5</w:t>
            </w:r>
            <w:r>
              <w:rPr>
                <w:rFonts w:hint="eastAsia" w:asciiTheme="minorEastAsia" w:hAnsiTheme="minorEastAsia" w:eastAsiaTheme="minorEastAsia" w:cstheme="minorEastAsia"/>
                <w:color w:val="000000"/>
                <w:sz w:val="24"/>
              </w:rPr>
              <w:t>万。</w:t>
            </w:r>
          </w:p>
          <w:p w14:paraId="1D6EA95A">
            <w:pPr>
              <w:pStyle w:val="2"/>
              <w:ind w:firstLine="0" w:firstLineChars="0"/>
              <w:rPr>
                <w:rFonts w:hint="eastAsia" w:asciiTheme="minorEastAsia" w:hAnsiTheme="minorEastAsia" w:eastAsiaTheme="minorEastAsia" w:cstheme="minorEastAsia"/>
                <w:lang w:eastAsia="zh-CN"/>
              </w:rPr>
            </w:pPr>
          </w:p>
        </w:tc>
      </w:tr>
    </w:tbl>
    <w:p w14:paraId="3681D1F0">
      <w:pPr>
        <w:spacing w:line="360" w:lineRule="auto"/>
        <w:ind w:right="-46" w:firstLine="420"/>
        <w:rPr>
          <w:rFonts w:ascii="宋体" w:hAnsi="宋体" w:eastAsia="宋体" w:cs="宋体"/>
          <w:sz w:val="24"/>
        </w:rPr>
      </w:pPr>
      <w:r>
        <w:rPr>
          <w:rFonts w:hint="eastAsia" w:ascii="宋体" w:hAnsi="宋体" w:eastAsia="宋体" w:cs="宋体"/>
          <w:sz w:val="24"/>
        </w:rPr>
        <w:t>11.3 自响应文件递交截止日期算起，响应文件有效期为90日历天。</w:t>
      </w:r>
    </w:p>
    <w:p w14:paraId="19666C62">
      <w:pPr>
        <w:spacing w:line="360" w:lineRule="auto"/>
        <w:ind w:right="-46" w:firstLine="420"/>
        <w:rPr>
          <w:rFonts w:hint="eastAsia" w:ascii="宋体" w:hAnsi="宋体" w:eastAsia="宋体" w:cs="宋体"/>
          <w:sz w:val="24"/>
        </w:rPr>
      </w:pPr>
      <w:r>
        <w:rPr>
          <w:rFonts w:hint="eastAsia" w:ascii="宋体" w:hAnsi="宋体" w:eastAsia="宋体" w:cs="宋体"/>
          <w:sz w:val="24"/>
        </w:rPr>
        <w:t>11.4 本次采购收取采购代理服务费，采购代理服务费按照差额定率累进计费方式计取，由成交人在采购结果公告后7个工作日内向采购单位一次支付。</w:t>
      </w:r>
    </w:p>
    <w:p w14:paraId="72E55BF1"/>
    <w:p w14:paraId="32A7CEF6">
      <w:pPr>
        <w:spacing w:line="360" w:lineRule="auto"/>
        <w:ind w:right="-46" w:firstLine="420"/>
        <w:rPr>
          <w:rFonts w:hint="eastAsia" w:ascii="宋体" w:hAnsi="宋体" w:eastAsia="宋体" w:cs="宋体"/>
          <w:sz w:val="24"/>
        </w:rPr>
      </w:pPr>
    </w:p>
    <w:p w14:paraId="30695372">
      <w:pPr>
        <w:spacing w:line="360" w:lineRule="auto"/>
        <w:ind w:right="-46" w:firstLine="420"/>
        <w:rPr>
          <w:rFonts w:hint="eastAsia" w:ascii="宋体" w:hAnsi="宋体" w:eastAsia="宋体" w:cs="宋体"/>
          <w:sz w:val="24"/>
        </w:rPr>
      </w:pPr>
    </w:p>
    <w:p w14:paraId="37C6C6A7">
      <w:pPr>
        <w:spacing w:line="360" w:lineRule="auto"/>
        <w:ind w:right="-46" w:firstLine="420"/>
        <w:rPr>
          <w:rFonts w:hint="eastAsia" w:ascii="宋体" w:hAnsi="宋体" w:eastAsia="宋体" w:cs="宋体"/>
          <w:sz w:val="24"/>
        </w:rPr>
      </w:pPr>
    </w:p>
    <w:p w14:paraId="7D0D0B43">
      <w:pPr>
        <w:spacing w:line="360" w:lineRule="auto"/>
        <w:ind w:right="-46" w:firstLine="420"/>
        <w:rPr>
          <w:rFonts w:hint="eastAsia" w:ascii="宋体" w:hAnsi="宋体" w:eastAsia="宋体" w:cs="宋体"/>
          <w:sz w:val="24"/>
        </w:rPr>
      </w:pPr>
    </w:p>
    <w:p w14:paraId="78FDD2A2">
      <w:pPr>
        <w:spacing w:line="360" w:lineRule="auto"/>
        <w:ind w:right="-46" w:firstLine="420"/>
        <w:rPr>
          <w:rFonts w:ascii="宋体" w:hAnsi="宋体" w:eastAsia="宋体" w:cs="宋体"/>
          <w:sz w:val="24"/>
        </w:rPr>
      </w:pPr>
      <w:r>
        <w:rPr>
          <w:rFonts w:hint="eastAsia" w:ascii="宋体" w:hAnsi="宋体" w:eastAsia="宋体" w:cs="宋体"/>
          <w:sz w:val="24"/>
        </w:rPr>
        <w:t>收款单位：国家体育总局体育器材装备中心</w:t>
      </w:r>
    </w:p>
    <w:p w14:paraId="73F5B74A">
      <w:pPr>
        <w:spacing w:line="360" w:lineRule="auto"/>
        <w:ind w:right="-46" w:firstLine="420"/>
        <w:rPr>
          <w:rFonts w:ascii="宋体" w:hAnsi="宋体" w:eastAsia="宋体" w:cs="宋体"/>
          <w:sz w:val="24"/>
        </w:rPr>
      </w:pPr>
      <w:r>
        <w:rPr>
          <w:rFonts w:hint="eastAsia" w:ascii="宋体" w:hAnsi="宋体" w:eastAsia="宋体" w:cs="宋体"/>
          <w:sz w:val="24"/>
        </w:rPr>
        <w:t>开 户 行：工行北京体育馆路支行</w:t>
      </w:r>
    </w:p>
    <w:p w14:paraId="29280C2F">
      <w:pPr>
        <w:spacing w:line="360" w:lineRule="auto"/>
        <w:ind w:right="-46" w:firstLine="420"/>
        <w:rPr>
          <w:rFonts w:ascii="宋体" w:hAnsi="宋体" w:eastAsia="宋体" w:cs="宋体"/>
          <w:sz w:val="24"/>
        </w:rPr>
      </w:pPr>
      <w:r>
        <w:rPr>
          <w:rFonts w:hint="eastAsia" w:ascii="宋体" w:hAnsi="宋体" w:eastAsia="宋体" w:cs="宋体"/>
          <w:sz w:val="24"/>
        </w:rPr>
        <w:t>银行账号：0200008109089053553</w:t>
      </w:r>
    </w:p>
    <w:p w14:paraId="0A38ECE4">
      <w:pPr>
        <w:keepNext/>
        <w:keepLines/>
        <w:numPr>
          <w:ilvl w:val="5"/>
          <w:numId w:val="0"/>
        </w:numPr>
        <w:adjustRightInd w:val="0"/>
        <w:spacing w:before="120" w:after="60" w:line="320" w:lineRule="atLeast"/>
        <w:jc w:val="left"/>
        <w:textAlignment w:val="baseline"/>
        <w:outlineLvl w:val="5"/>
        <w:rPr>
          <w:rFonts w:ascii="宋体" w:hAnsi="宋体" w:eastAsia="宋体" w:cs="宋体"/>
          <w:b/>
          <w:bCs/>
          <w:kern w:val="0"/>
          <w:sz w:val="24"/>
        </w:rPr>
      </w:pPr>
      <w:bookmarkStart w:id="30" w:name="_Toc121302859"/>
      <w:r>
        <w:rPr>
          <w:rFonts w:hint="eastAsia" w:ascii="宋体" w:hAnsi="宋体" w:eastAsia="宋体" w:cs="宋体"/>
          <w:b/>
          <w:bCs/>
          <w:kern w:val="0"/>
          <w:sz w:val="24"/>
        </w:rPr>
        <w:t>四、响应文件的递交</w:t>
      </w:r>
      <w:bookmarkEnd w:id="30"/>
    </w:p>
    <w:p w14:paraId="730E3A0E">
      <w:pPr>
        <w:pStyle w:val="28"/>
        <w:numPr>
          <w:ilvl w:val="0"/>
          <w:numId w:val="0"/>
        </w:numPr>
        <w:ind w:left="840" w:hanging="420"/>
        <w:rPr>
          <w:rFonts w:cs="Arial Unicode MS"/>
          <w:color w:val="auto"/>
        </w:rPr>
      </w:pPr>
      <w:r>
        <w:rPr>
          <w:rFonts w:cs="Arial Unicode MS"/>
          <w:color w:val="auto"/>
        </w:rPr>
        <w:t>12</w:t>
      </w:r>
      <w:r>
        <w:rPr>
          <w:rFonts w:hint="eastAsia" w:cs="Arial Unicode MS"/>
          <w:color w:val="auto"/>
        </w:rPr>
        <w:t>、</w:t>
      </w:r>
      <w:r>
        <w:rPr>
          <w:rFonts w:cs="Arial Unicode MS"/>
          <w:color w:val="auto"/>
        </w:rPr>
        <w:t>响应文件的递交</w:t>
      </w:r>
    </w:p>
    <w:p w14:paraId="2847C7BB">
      <w:pPr>
        <w:tabs>
          <w:tab w:val="left" w:pos="567"/>
        </w:tabs>
        <w:spacing w:line="500" w:lineRule="exact"/>
        <w:ind w:left="622"/>
        <w:jc w:val="left"/>
        <w:rPr>
          <w:rFonts w:ascii="宋体" w:hAnsi="宋体" w:eastAsia="宋体" w:cs="宋体"/>
          <w:sz w:val="24"/>
        </w:rPr>
      </w:pPr>
      <w:r>
        <w:rPr>
          <w:rFonts w:hint="eastAsia" w:ascii="宋体" w:hAnsi="宋体" w:eastAsia="宋体" w:cs="宋体"/>
          <w:sz w:val="24"/>
        </w:rPr>
        <w:t>12.1 响应文件提交方式：本项目为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政采云”平台，供应商在“政采云”平台提交电子版响应文件时，请填写参加远程采购活动经办人联系方式，电子响应文件具体制作流程可参考</w:t>
      </w:r>
      <w:r>
        <w:fldChar w:fldCharType="begin"/>
      </w:r>
      <w:r>
        <w:instrText xml:space="preserve"> HYPERLINK "https://service.zcygov.cn/" \l "/knowledges/CW1EtGwBFdiHxlNd6I3m/6IMVAG0BFdiHxlNdQ8Na" </w:instrText>
      </w:r>
      <w:r>
        <w:fldChar w:fldCharType="separate"/>
      </w:r>
      <w:r>
        <w:rPr>
          <w:rStyle w:val="20"/>
          <w:rFonts w:hint="eastAsia" w:asciiTheme="minorEastAsia" w:hAnsiTheme="minorEastAsia" w:cstheme="minorEastAsia"/>
          <w:sz w:val="24"/>
        </w:rPr>
        <w:t>https://service.zcygov.cn/#/knowledges/CW1EtGwBFdiHxlNd6I3m/6IMVAG0BFdiHxlNdQ8Na</w:t>
      </w:r>
      <w:r>
        <w:rPr>
          <w:rStyle w:val="20"/>
          <w:rFonts w:hint="eastAsia" w:asciiTheme="minorEastAsia" w:hAnsiTheme="minorEastAsia" w:cstheme="minorEastAsia"/>
          <w:sz w:val="24"/>
        </w:rPr>
        <w:fldChar w:fldCharType="end"/>
      </w:r>
      <w:r>
        <w:rPr>
          <w:rFonts w:hint="eastAsia" w:asciiTheme="minorEastAsia" w:hAnsiTheme="minorEastAsia" w:cstheme="minorEastAsia"/>
          <w:sz w:val="24"/>
        </w:rPr>
        <w:t>。</w:t>
      </w:r>
    </w:p>
    <w:p w14:paraId="3654FC77">
      <w:pPr>
        <w:spacing w:line="500" w:lineRule="exact"/>
        <w:ind w:left="622"/>
        <w:jc w:val="left"/>
        <w:rPr>
          <w:rFonts w:ascii="宋体" w:hAnsi="宋体" w:eastAsia="宋体" w:cs="宋体"/>
          <w:sz w:val="24"/>
        </w:rPr>
      </w:pPr>
      <w:r>
        <w:rPr>
          <w:rFonts w:hint="eastAsia" w:ascii="宋体" w:hAnsi="宋体" w:eastAsia="宋体" w:cs="宋体"/>
          <w:sz w:val="24"/>
        </w:rPr>
        <w:t>12.2 未进行网上注册并办理数字证书（CA认证）的供应商将无法参与本项目政府采购活动，潜在供应商应当在投标截止时间前，完成电子交易平台上的CA数字证书办理及响应文件的提交。完成CA数字证书办理预计7日左右，供应商只需办理其中一家CA数字证书及签章，具体CA办理流程可上政采云平台或拨打客服电话4008817190咨询。</w:t>
      </w:r>
    </w:p>
    <w:p w14:paraId="77439FBB">
      <w:pPr>
        <w:spacing w:line="500" w:lineRule="exact"/>
        <w:ind w:left="622"/>
        <w:jc w:val="left"/>
        <w:rPr>
          <w:rFonts w:ascii="宋体" w:hAnsi="宋体" w:eastAsia="宋体" w:cs="宋体"/>
          <w:sz w:val="24"/>
        </w:rPr>
      </w:pPr>
      <w:r>
        <w:rPr>
          <w:rFonts w:hint="eastAsia" w:ascii="宋体" w:hAnsi="宋体" w:eastAsia="宋体" w:cs="宋体"/>
          <w:sz w:val="24"/>
        </w:rPr>
        <w:t>12.3 为确保网上操作合法、有效和安全，请供应商确保在电子响应过程中能够对相关数据电文进行加密和使用电子签章，妥善保管CA数字证书并使用有效的CA数字证书参与整个采购活动。</w:t>
      </w:r>
    </w:p>
    <w:p w14:paraId="47F8ABCE">
      <w:pPr>
        <w:spacing w:line="500" w:lineRule="exact"/>
        <w:ind w:left="622"/>
        <w:jc w:val="left"/>
        <w:rPr>
          <w:rFonts w:ascii="宋体" w:hAnsi="宋体" w:eastAsia="宋体" w:cs="宋体"/>
          <w:sz w:val="24"/>
        </w:rPr>
      </w:pPr>
      <w:r>
        <w:rPr>
          <w:rFonts w:hint="eastAsia" w:ascii="宋体" w:hAnsi="宋体" w:eastAsia="宋体" w:cs="宋体"/>
          <w:sz w:val="24"/>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14:paraId="6FAD1E8D">
      <w:pPr>
        <w:spacing w:line="500" w:lineRule="exact"/>
        <w:ind w:left="622"/>
        <w:jc w:val="left"/>
        <w:rPr>
          <w:rFonts w:ascii="宋体" w:hAnsi="宋体" w:eastAsia="宋体" w:cs="宋体"/>
          <w:b/>
          <w:bCs/>
          <w:color w:val="000000"/>
          <w:sz w:val="24"/>
        </w:rPr>
      </w:pPr>
      <w:r>
        <w:rPr>
          <w:rFonts w:ascii="宋体" w:hAnsi="宋体" w:eastAsia="宋体" w:cs="宋体"/>
          <w:bCs/>
          <w:sz w:val="24"/>
        </w:rPr>
        <w:t>12.4</w:t>
      </w:r>
      <w:r>
        <w:rPr>
          <w:rFonts w:ascii="宋体" w:hAnsi="宋体" w:eastAsia="宋体" w:cs="宋体"/>
          <w:b/>
          <w:color w:val="FF0000"/>
          <w:sz w:val="24"/>
        </w:rPr>
        <w:t xml:space="preserve"> </w:t>
      </w:r>
      <w:r>
        <w:rPr>
          <w:rFonts w:hint="eastAsia" w:ascii="宋体" w:hAnsi="宋体" w:eastAsia="宋体" w:cs="宋体"/>
          <w:b/>
          <w:color w:val="FF0000"/>
          <w:sz w:val="24"/>
          <w:highlight w:val="yellow"/>
        </w:rPr>
        <w:t>递交截止时间：</w:t>
      </w:r>
      <w:r>
        <w:rPr>
          <w:rFonts w:ascii="宋体" w:hAnsi="宋体" w:eastAsia="宋体" w:cs="宋体"/>
          <w:b/>
          <w:color w:val="FF0000"/>
          <w:sz w:val="24"/>
          <w:highlight w:val="yellow"/>
        </w:rPr>
        <w:t>202</w:t>
      </w:r>
      <w:r>
        <w:rPr>
          <w:rFonts w:hint="eastAsia" w:ascii="宋体" w:hAnsi="宋体" w:eastAsia="宋体" w:cs="宋体"/>
          <w:b/>
          <w:color w:val="FF0000"/>
          <w:sz w:val="24"/>
          <w:highlight w:val="yellow"/>
          <w:lang w:val="en-US" w:eastAsia="zh-CN"/>
        </w:rPr>
        <w:t>5</w:t>
      </w:r>
      <w:r>
        <w:rPr>
          <w:rFonts w:hint="eastAsia" w:ascii="宋体" w:hAnsi="宋体" w:eastAsia="宋体" w:cs="宋体"/>
          <w:b/>
          <w:color w:val="FF0000"/>
          <w:sz w:val="24"/>
          <w:highlight w:val="yellow"/>
        </w:rPr>
        <w:t>年</w:t>
      </w:r>
      <w:r>
        <w:rPr>
          <w:rFonts w:hint="eastAsia" w:ascii="宋体" w:hAnsi="宋体" w:cs="宋体"/>
          <w:b/>
          <w:color w:val="FF0000"/>
          <w:sz w:val="24"/>
          <w:highlight w:val="yellow"/>
          <w:lang w:val="en-US" w:eastAsia="zh-CN"/>
        </w:rPr>
        <w:t>5</w:t>
      </w:r>
      <w:r>
        <w:rPr>
          <w:rFonts w:hint="eastAsia" w:ascii="宋体" w:hAnsi="宋体" w:eastAsia="宋体" w:cs="宋体"/>
          <w:b/>
          <w:color w:val="FF0000"/>
          <w:sz w:val="24"/>
          <w:highlight w:val="yellow"/>
        </w:rPr>
        <w:t>月</w:t>
      </w:r>
      <w:r>
        <w:rPr>
          <w:rFonts w:hint="eastAsia" w:ascii="宋体" w:hAnsi="宋体" w:cs="宋体"/>
          <w:b/>
          <w:color w:val="FF0000"/>
          <w:sz w:val="24"/>
          <w:highlight w:val="yellow"/>
          <w:lang w:val="en-US" w:eastAsia="zh-CN"/>
        </w:rPr>
        <w:t>27</w:t>
      </w:r>
      <w:r>
        <w:rPr>
          <w:rFonts w:hint="eastAsia" w:ascii="宋体" w:hAnsi="宋体" w:eastAsia="宋体" w:cs="宋体"/>
          <w:b/>
          <w:color w:val="FF0000"/>
          <w:sz w:val="24"/>
          <w:highlight w:val="yellow"/>
        </w:rPr>
        <w:t>日</w:t>
      </w:r>
      <w:r>
        <w:rPr>
          <w:rFonts w:hint="eastAsia" w:ascii="宋体" w:hAnsi="宋体" w:eastAsia="宋体" w:cs="宋体"/>
          <w:b/>
          <w:color w:val="FF0000"/>
          <w:sz w:val="24"/>
          <w:highlight w:val="yellow"/>
          <w:lang w:eastAsia="zh-CN"/>
        </w:rPr>
        <w:t>上</w:t>
      </w:r>
      <w:r>
        <w:rPr>
          <w:rFonts w:hint="eastAsia" w:ascii="宋体" w:hAnsi="宋体" w:eastAsia="宋体" w:cs="宋体"/>
          <w:b/>
          <w:color w:val="FF0000"/>
          <w:sz w:val="24"/>
          <w:highlight w:val="yellow"/>
        </w:rPr>
        <w:t>午</w:t>
      </w:r>
      <w:r>
        <w:rPr>
          <w:rFonts w:hint="eastAsia" w:ascii="宋体" w:hAnsi="宋体" w:eastAsia="宋体" w:cs="宋体"/>
          <w:b/>
          <w:color w:val="FF0000"/>
          <w:sz w:val="24"/>
          <w:highlight w:val="yellow"/>
          <w:lang w:val="en-US" w:eastAsia="zh-CN"/>
        </w:rPr>
        <w:t>9</w:t>
      </w:r>
      <w:r>
        <w:rPr>
          <w:rFonts w:hint="eastAsia" w:ascii="宋体" w:hAnsi="宋体" w:eastAsia="宋体" w:cs="宋体"/>
          <w:b/>
          <w:color w:val="FF0000"/>
          <w:sz w:val="24"/>
          <w:highlight w:val="yellow"/>
        </w:rPr>
        <w:t>：</w:t>
      </w:r>
      <w:r>
        <w:rPr>
          <w:rFonts w:hint="eastAsia" w:ascii="宋体" w:hAnsi="宋体" w:eastAsia="宋体" w:cs="宋体"/>
          <w:b/>
          <w:color w:val="FF0000"/>
          <w:sz w:val="24"/>
          <w:highlight w:val="yellow"/>
          <w:lang w:val="en-US" w:eastAsia="zh-CN"/>
        </w:rPr>
        <w:t>3</w:t>
      </w:r>
      <w:r>
        <w:rPr>
          <w:rFonts w:hint="eastAsia" w:ascii="宋体" w:hAnsi="宋体" w:eastAsia="宋体" w:cs="宋体"/>
          <w:b/>
          <w:color w:val="FF0000"/>
          <w:sz w:val="24"/>
          <w:highlight w:val="yellow"/>
        </w:rPr>
        <w:t>0，</w:t>
      </w:r>
      <w:r>
        <w:rPr>
          <w:rFonts w:hint="eastAsia" w:ascii="宋体" w:hAnsi="宋体" w:eastAsia="宋体" w:cs="宋体"/>
          <w:bCs/>
          <w:sz w:val="24"/>
        </w:rPr>
        <w:t>逾期递交或响应文件不符合采购规定，则被拒绝。</w:t>
      </w:r>
    </w:p>
    <w:p w14:paraId="4E7EC7F3">
      <w:pPr>
        <w:pStyle w:val="28"/>
        <w:numPr>
          <w:ilvl w:val="0"/>
          <w:numId w:val="0"/>
        </w:numPr>
        <w:ind w:left="840" w:hanging="420"/>
        <w:rPr>
          <w:rFonts w:cs="Arial Unicode MS"/>
          <w:color w:val="auto"/>
        </w:rPr>
      </w:pPr>
      <w:r>
        <w:rPr>
          <w:rFonts w:cs="Arial Unicode MS"/>
          <w:color w:val="auto"/>
        </w:rPr>
        <w:t>13</w:t>
      </w:r>
      <w:r>
        <w:rPr>
          <w:rFonts w:hint="eastAsia" w:cs="Arial Unicode MS"/>
          <w:color w:val="auto"/>
        </w:rPr>
        <w:t>、</w:t>
      </w:r>
      <w:r>
        <w:rPr>
          <w:rFonts w:cs="Arial Unicode MS"/>
          <w:color w:val="auto"/>
        </w:rPr>
        <w:t xml:space="preserve"> CA证书在线解密：</w:t>
      </w:r>
    </w:p>
    <w:p w14:paraId="1D0F3F83">
      <w:pPr>
        <w:spacing w:line="500" w:lineRule="exact"/>
        <w:ind w:left="622"/>
        <w:jc w:val="left"/>
        <w:rPr>
          <w:rFonts w:ascii="宋体" w:hAnsi="宋体" w:eastAsia="宋体" w:cs="宋体"/>
          <w:sz w:val="24"/>
        </w:rPr>
      </w:pPr>
      <w:r>
        <w:rPr>
          <w:rFonts w:ascii="宋体" w:hAnsi="宋体" w:eastAsia="宋体" w:cs="宋体"/>
          <w:sz w:val="24"/>
        </w:rPr>
        <w:t xml:space="preserve">首次响应文件开启时，须要供应商携带制作响应文件时用来加密的有效数字证书（CA认证）登录“政采云”平台电子开标大厅现场按规定时间对加密的响应文件进行解密，否则后果自负。 </w:t>
      </w:r>
    </w:p>
    <w:p w14:paraId="394D81EE">
      <w:pPr>
        <w:numPr>
          <w:ilvl w:val="0"/>
          <w:numId w:val="6"/>
        </w:numPr>
        <w:spacing w:line="500" w:lineRule="exact"/>
        <w:jc w:val="left"/>
        <w:rPr>
          <w:rFonts w:ascii="宋体" w:hAnsi="宋体" w:cs="Arial Unicode MS"/>
          <w:b/>
          <w:bCs/>
          <w:sz w:val="24"/>
        </w:rPr>
      </w:pPr>
      <w:r>
        <w:rPr>
          <w:rFonts w:ascii="宋体" w:hAnsi="宋体" w:cs="Arial Unicode MS"/>
          <w:b/>
          <w:bCs/>
          <w:sz w:val="24"/>
        </w:rPr>
        <w:t xml:space="preserve">供应商需要在具备有摄像头及语音功能且互联网网络状况良好的电脑登录 “政采云”平台远程开标大厅参与本次磋商，否则后果自负。 </w:t>
      </w:r>
    </w:p>
    <w:p w14:paraId="2D274F2A">
      <w:pPr>
        <w:pStyle w:val="26"/>
        <w:numPr>
          <w:ilvl w:val="5"/>
          <w:numId w:val="0"/>
        </w:numPr>
        <w:rPr>
          <w:rFonts w:ascii="宋体" w:hAnsi="宋体" w:eastAsia="宋体" w:cs="宋体"/>
          <w:color w:val="auto"/>
          <w:sz w:val="24"/>
        </w:rPr>
      </w:pPr>
      <w:bookmarkStart w:id="31" w:name="_Toc115756027"/>
      <w:bookmarkStart w:id="32" w:name="_Toc79681379"/>
      <w:bookmarkStart w:id="33" w:name="_Toc499216476"/>
      <w:r>
        <w:rPr>
          <w:rFonts w:hint="eastAsia" w:ascii="宋体" w:hAnsi="宋体" w:eastAsia="宋体" w:cs="宋体"/>
          <w:color w:val="auto"/>
          <w:sz w:val="24"/>
        </w:rPr>
        <w:t>五、合同的</w:t>
      </w:r>
      <w:bookmarkEnd w:id="31"/>
      <w:r>
        <w:rPr>
          <w:rFonts w:hint="eastAsia" w:ascii="宋体" w:hAnsi="宋体" w:eastAsia="宋体" w:cs="宋体"/>
          <w:color w:val="auto"/>
          <w:sz w:val="24"/>
        </w:rPr>
        <w:t>签订和履行</w:t>
      </w:r>
      <w:bookmarkEnd w:id="32"/>
      <w:bookmarkEnd w:id="33"/>
    </w:p>
    <w:p w14:paraId="7C452B85">
      <w:pPr>
        <w:numPr>
          <w:ilvl w:val="0"/>
          <w:numId w:val="6"/>
        </w:numPr>
        <w:spacing w:line="500" w:lineRule="exact"/>
        <w:jc w:val="left"/>
        <w:rPr>
          <w:rFonts w:ascii="宋体" w:hAnsi="宋体" w:cs="Arial Unicode MS"/>
          <w:b/>
          <w:bCs/>
          <w:sz w:val="24"/>
        </w:rPr>
      </w:pPr>
      <w:r>
        <w:rPr>
          <w:rFonts w:ascii="宋体" w:hAnsi="宋体" w:cs="Arial Unicode MS"/>
          <w:b/>
          <w:bCs/>
          <w:sz w:val="24"/>
        </w:rPr>
        <w:t>成交结果公告和通知方式</w:t>
      </w:r>
    </w:p>
    <w:p w14:paraId="2773ED09">
      <w:pPr>
        <w:pStyle w:val="29"/>
        <w:ind w:firstLine="480"/>
        <w:rPr>
          <w:rFonts w:ascii="宋体" w:hAnsi="宋体" w:eastAsia="宋体" w:cs="宋体"/>
        </w:rPr>
      </w:pPr>
      <w:r>
        <w:rPr>
          <w:rFonts w:hint="eastAsia" w:ascii="宋体" w:hAnsi="宋体" w:eastAsia="宋体" w:cs="宋体"/>
        </w:rPr>
        <w:t>15.1采购单位在成交人确定后2个工作日内，在中国政府采购网公告成交结果。采购单位对未成交的报价人不作未成交原因的解释，报价人可自行上网查阅。</w:t>
      </w:r>
    </w:p>
    <w:p w14:paraId="4A66695E">
      <w:pPr>
        <w:numPr>
          <w:ilvl w:val="0"/>
          <w:numId w:val="6"/>
        </w:numPr>
        <w:spacing w:line="500" w:lineRule="exact"/>
        <w:jc w:val="left"/>
        <w:rPr>
          <w:rFonts w:ascii="宋体" w:hAnsi="宋体" w:cs="Arial Unicode MS"/>
          <w:b/>
          <w:bCs/>
          <w:sz w:val="24"/>
        </w:rPr>
      </w:pPr>
      <w:r>
        <w:rPr>
          <w:rFonts w:ascii="宋体" w:hAnsi="宋体" w:cs="Arial Unicode MS"/>
          <w:b/>
          <w:bCs/>
          <w:sz w:val="24"/>
        </w:rPr>
        <w:t>合同的签订</w:t>
      </w:r>
    </w:p>
    <w:p w14:paraId="14338CF8">
      <w:pPr>
        <w:pStyle w:val="29"/>
        <w:ind w:firstLine="480"/>
        <w:rPr>
          <w:rFonts w:ascii="宋体" w:hAnsi="宋体" w:eastAsia="宋体" w:cs="宋体"/>
        </w:rPr>
      </w:pPr>
      <w:r>
        <w:rPr>
          <w:rFonts w:hint="eastAsia" w:ascii="宋体" w:hAnsi="宋体" w:eastAsia="宋体" w:cs="宋体"/>
        </w:rPr>
        <w:t>16.1成交人在成交结果公告后的30天内，须与采购人按照磋商文件确定的合同文本以及采购标的、规格型号、采购金额、采购数量、技术和服务要求等事项签订合同。成交人不得与采购人达成背离磋商文件确定的合同文本以及采购标的、规格型号、采购金额、采购数量、技术和服务要求等实质性内容的其它协议或类似约定。</w:t>
      </w:r>
    </w:p>
    <w:p w14:paraId="0796D448">
      <w:pPr>
        <w:pStyle w:val="29"/>
        <w:ind w:firstLine="480"/>
        <w:rPr>
          <w:rFonts w:ascii="宋体" w:hAnsi="宋体" w:eastAsia="宋体" w:cs="宋体"/>
        </w:rPr>
      </w:pPr>
      <w:r>
        <w:rPr>
          <w:rFonts w:hint="eastAsia" w:ascii="宋体" w:hAnsi="宋体" w:eastAsia="宋体" w:cs="宋体"/>
        </w:rPr>
        <w:t>16.2采购合同经采购人和成交人双方法定代表人或其授权代表签字并加盖单位公章后生效。</w:t>
      </w:r>
    </w:p>
    <w:p w14:paraId="50C3430C">
      <w:pPr>
        <w:pStyle w:val="29"/>
        <w:ind w:firstLine="480"/>
        <w:rPr>
          <w:rFonts w:ascii="宋体" w:hAnsi="宋体" w:eastAsia="宋体" w:cs="宋体"/>
        </w:rPr>
      </w:pPr>
      <w:r>
        <w:rPr>
          <w:rFonts w:hint="eastAsia" w:ascii="宋体" w:hAnsi="宋体" w:eastAsia="宋体" w:cs="宋体"/>
        </w:rPr>
        <w:t>16.3竞争性磋商文件、成交人的响应文件及其澄清文件等，均为签订经济合同的依据。</w:t>
      </w:r>
    </w:p>
    <w:p w14:paraId="22083C60">
      <w:pPr>
        <w:numPr>
          <w:ilvl w:val="0"/>
          <w:numId w:val="6"/>
        </w:numPr>
        <w:spacing w:line="500" w:lineRule="exact"/>
        <w:jc w:val="left"/>
        <w:rPr>
          <w:rFonts w:ascii="宋体" w:hAnsi="宋体" w:cs="Arial Unicode MS"/>
          <w:b/>
          <w:bCs/>
          <w:sz w:val="24"/>
        </w:rPr>
      </w:pPr>
      <w:r>
        <w:rPr>
          <w:rFonts w:hint="eastAsia" w:ascii="宋体" w:hAnsi="宋体" w:cs="Arial Unicode MS"/>
          <w:b/>
          <w:bCs/>
          <w:sz w:val="24"/>
        </w:rPr>
        <w:t>合同的履行</w:t>
      </w:r>
    </w:p>
    <w:p w14:paraId="21B9405E">
      <w:pPr>
        <w:spacing w:line="360" w:lineRule="auto"/>
        <w:ind w:firstLine="480" w:firstLineChars="200"/>
        <w:rPr>
          <w:rFonts w:ascii="宋体" w:hAnsi="宋体" w:eastAsia="宋体" w:cs="宋体"/>
          <w:sz w:val="24"/>
        </w:rPr>
      </w:pPr>
      <w:r>
        <w:rPr>
          <w:rFonts w:hint="eastAsia" w:ascii="宋体" w:hAnsi="宋体" w:eastAsia="宋体" w:cs="宋体"/>
          <w:sz w:val="24"/>
        </w:rPr>
        <w:t>采购项目完成后，应通知采购人对采购项目进行现场验收。采购人依据合同规定及时支付成交人的货款，采购人在合同期内按合同要求对成交人的履约情况进行监督、检查。</w:t>
      </w:r>
    </w:p>
    <w:p w14:paraId="74B7AB97">
      <w:pPr>
        <w:pStyle w:val="26"/>
        <w:numPr>
          <w:ilvl w:val="5"/>
          <w:numId w:val="0"/>
        </w:numPr>
        <w:rPr>
          <w:rFonts w:ascii="宋体" w:hAnsi="宋体" w:eastAsia="宋体" w:cs="宋体"/>
          <w:color w:val="auto"/>
          <w:sz w:val="24"/>
        </w:rPr>
      </w:pPr>
      <w:bookmarkStart w:id="34" w:name="_Toc79681380"/>
      <w:bookmarkStart w:id="35" w:name="_Toc499216477"/>
      <w:r>
        <w:rPr>
          <w:rFonts w:hint="eastAsia" w:ascii="宋体" w:hAnsi="宋体" w:eastAsia="宋体" w:cs="宋体"/>
          <w:color w:val="auto"/>
          <w:sz w:val="24"/>
        </w:rPr>
        <w:t>五、质疑和投诉</w:t>
      </w:r>
      <w:bookmarkEnd w:id="34"/>
      <w:bookmarkEnd w:id="35"/>
    </w:p>
    <w:p w14:paraId="76B9D8D4">
      <w:pPr>
        <w:numPr>
          <w:ilvl w:val="0"/>
          <w:numId w:val="6"/>
        </w:numPr>
        <w:spacing w:line="500" w:lineRule="exact"/>
        <w:jc w:val="left"/>
        <w:rPr>
          <w:rFonts w:ascii="宋体" w:hAnsi="宋体" w:cs="Arial Unicode MS"/>
          <w:b/>
          <w:bCs/>
          <w:sz w:val="24"/>
        </w:rPr>
      </w:pPr>
      <w:r>
        <w:rPr>
          <w:rFonts w:hint="eastAsia" w:ascii="宋体" w:hAnsi="宋体" w:cs="Arial Unicode MS"/>
          <w:b/>
          <w:bCs/>
          <w:sz w:val="24"/>
        </w:rPr>
        <w:t>质疑和投诉</w:t>
      </w:r>
    </w:p>
    <w:p w14:paraId="59B96FEB">
      <w:pPr>
        <w:pStyle w:val="29"/>
        <w:ind w:firstLine="480"/>
        <w:rPr>
          <w:rFonts w:ascii="宋体" w:hAnsi="宋体" w:eastAsia="宋体" w:cs="宋体"/>
        </w:rPr>
      </w:pPr>
      <w:r>
        <w:rPr>
          <w:rFonts w:hint="eastAsia" w:ascii="宋体" w:hAnsi="宋体" w:eastAsia="宋体" w:cs="宋体"/>
        </w:rPr>
        <w:t>18.1报价人对采购事项有疑问的，可以向采购单位提出询问。采购单位将依法作出答复，但答复的内容不涉及商业秘密。</w:t>
      </w:r>
    </w:p>
    <w:p w14:paraId="56DC47DD">
      <w:pPr>
        <w:pStyle w:val="29"/>
        <w:ind w:firstLine="480"/>
        <w:rPr>
          <w:rFonts w:ascii="宋体" w:hAnsi="宋体" w:eastAsia="宋体" w:cs="宋体"/>
          <w:lang w:val="zh-CN"/>
        </w:rPr>
      </w:pPr>
      <w:r>
        <w:rPr>
          <w:rFonts w:hint="eastAsia" w:ascii="宋体" w:hAnsi="宋体" w:eastAsia="宋体" w:cs="宋体"/>
        </w:rPr>
        <w:t>18.2</w:t>
      </w:r>
      <w:r>
        <w:rPr>
          <w:rFonts w:hint="eastAsia" w:ascii="宋体" w:hAnsi="宋体" w:eastAsia="宋体" w:cs="宋体"/>
          <w:lang w:val="zh-CN"/>
        </w:rPr>
        <w:t>报价人认为采购文件、采购过程和成交结果使自己的合法权益受到损害的，可以在知道或者应当知道其权益受到损害之日起7个工作日内，以书面形式向采购单位提出质疑并要求答复。</w:t>
      </w:r>
    </w:p>
    <w:p w14:paraId="273B9F1D">
      <w:pPr>
        <w:pStyle w:val="29"/>
        <w:ind w:firstLine="480"/>
        <w:rPr>
          <w:rFonts w:ascii="宋体" w:hAnsi="宋体" w:eastAsia="宋体" w:cs="宋体"/>
          <w:lang w:val="zh-CN"/>
        </w:rPr>
      </w:pPr>
      <w:r>
        <w:rPr>
          <w:rFonts w:hint="eastAsia" w:ascii="宋体" w:hAnsi="宋体" w:eastAsia="宋体" w:cs="宋体"/>
          <w:lang w:val="zh-CN"/>
        </w:rPr>
        <w:t>18.3报价人不得虚假质疑和恶意质疑，并对质疑内容的真实性承担责任。</w:t>
      </w:r>
      <w:r>
        <w:rPr>
          <w:rFonts w:hint="eastAsia" w:ascii="宋体" w:hAnsi="宋体" w:eastAsia="宋体" w:cs="宋体"/>
        </w:rPr>
        <w:t>报价人或者其他利害关系人通过捏造事实、伪造证明材料等方式提出质疑或投诉，阻碍采购活动正常进行的，属于严重不良行为，采购单位将提请财政部门列入不良行为记录名单，并依法予以处罚。</w:t>
      </w:r>
    </w:p>
    <w:p w14:paraId="3097CA12">
      <w:pPr>
        <w:pStyle w:val="29"/>
        <w:ind w:firstLine="480"/>
        <w:rPr>
          <w:rFonts w:ascii="宋体" w:hAnsi="宋体" w:eastAsia="宋体" w:cs="宋体"/>
        </w:rPr>
      </w:pPr>
      <w:r>
        <w:rPr>
          <w:rFonts w:hint="eastAsia" w:ascii="宋体" w:hAnsi="宋体" w:eastAsia="宋体" w:cs="宋体"/>
        </w:rPr>
        <w:t>18.4采购单位将在收到书面质疑后7个工作日内审查质疑事项，作出答复或相关处理决定，并以书面形式通知质疑报价人和其他有关报价人，但答复的内容不涉及商业秘密。</w:t>
      </w:r>
    </w:p>
    <w:p w14:paraId="0E424A55">
      <w:pPr>
        <w:pStyle w:val="29"/>
        <w:ind w:firstLine="480"/>
        <w:rPr>
          <w:rFonts w:hint="eastAsia" w:ascii="宋体" w:hAnsi="宋体" w:eastAsia="宋体" w:cs="宋体"/>
        </w:rPr>
      </w:pPr>
      <w:r>
        <w:rPr>
          <w:rFonts w:hint="eastAsia" w:ascii="宋体" w:hAnsi="宋体" w:eastAsia="宋体" w:cs="宋体"/>
        </w:rPr>
        <w:t>18.5 质疑报价人对采购单位的答复不满意以及采购单位未在规定的时间内作出答复的，可以在答复期满后15个工作日内向财政部投诉。</w:t>
      </w:r>
    </w:p>
    <w:p w14:paraId="6F1982DD">
      <w:pPr>
        <w:pStyle w:val="29"/>
        <w:ind w:firstLine="480"/>
        <w:rPr>
          <w:rFonts w:hint="eastAsia" w:ascii="宋体" w:hAnsi="宋体" w:eastAsia="宋体" w:cs="宋体"/>
        </w:rPr>
      </w:pPr>
    </w:p>
    <w:p w14:paraId="7959AC6D">
      <w:pPr>
        <w:pStyle w:val="26"/>
        <w:numPr>
          <w:ilvl w:val="5"/>
          <w:numId w:val="0"/>
        </w:numPr>
        <w:rPr>
          <w:rFonts w:ascii="宋体" w:hAnsi="宋体" w:eastAsia="宋体" w:cs="宋体"/>
          <w:color w:val="auto"/>
          <w:sz w:val="24"/>
        </w:rPr>
      </w:pPr>
      <w:bookmarkStart w:id="36" w:name="_Toc79681381"/>
      <w:bookmarkStart w:id="37" w:name="_Toc499216478"/>
      <w:r>
        <w:rPr>
          <w:rFonts w:hint="eastAsia" w:ascii="宋体" w:hAnsi="宋体" w:eastAsia="宋体" w:cs="宋体"/>
          <w:color w:val="auto"/>
          <w:sz w:val="24"/>
        </w:rPr>
        <w:t>六、其它须知</w:t>
      </w:r>
      <w:bookmarkEnd w:id="36"/>
      <w:bookmarkEnd w:id="37"/>
    </w:p>
    <w:p w14:paraId="42519F6E">
      <w:pPr>
        <w:numPr>
          <w:ilvl w:val="0"/>
          <w:numId w:val="6"/>
        </w:numPr>
        <w:spacing w:line="500" w:lineRule="exact"/>
        <w:jc w:val="left"/>
        <w:rPr>
          <w:rFonts w:ascii="宋体" w:hAnsi="宋体" w:cs="Arial Unicode MS"/>
          <w:b/>
          <w:bCs/>
          <w:sz w:val="24"/>
        </w:rPr>
      </w:pPr>
      <w:r>
        <w:rPr>
          <w:rFonts w:hint="eastAsia" w:ascii="宋体" w:hAnsi="宋体" w:cs="Arial Unicode MS"/>
          <w:b/>
          <w:bCs/>
          <w:sz w:val="24"/>
        </w:rPr>
        <w:t>关于关联企业</w:t>
      </w:r>
    </w:p>
    <w:p w14:paraId="6AF14934">
      <w:pPr>
        <w:pStyle w:val="28"/>
        <w:numPr>
          <w:ilvl w:val="0"/>
          <w:numId w:val="0"/>
        </w:numPr>
        <w:ind w:firstLine="472" w:firstLineChars="196"/>
        <w:rPr>
          <w:rFonts w:eastAsia="宋体" w:cs="宋体"/>
          <w:b w:val="0"/>
          <w:bCs w:val="0"/>
          <w:color w:val="auto"/>
        </w:rPr>
      </w:pPr>
      <w:r>
        <w:rPr>
          <w:rFonts w:hint="eastAsia" w:hAnsi="宋体" w:eastAsia="宋体" w:cs="宋体"/>
        </w:rPr>
        <w:t>单位负责人为同一人或者存在直接控股、管理关系的不同供应商，不得参加同一合同项的政府采购活动</w:t>
      </w:r>
      <w:r>
        <w:rPr>
          <w:rFonts w:hint="eastAsia" w:eastAsia="宋体" w:cs="宋体"/>
          <w:lang w:eastAsia="zh-CN"/>
        </w:rPr>
        <w:t>。</w:t>
      </w:r>
      <w:r>
        <w:rPr>
          <w:rFonts w:hint="eastAsia" w:eastAsia="宋体" w:cs="宋体"/>
          <w:b w:val="0"/>
          <w:bCs w:val="0"/>
          <w:color w:val="auto"/>
        </w:rPr>
        <w:t>如同时报价，磋商小组有权视情况决定是否允许其自行决定撤回部分报价人只保留其中一家，或直接决定一并拒绝。</w:t>
      </w:r>
    </w:p>
    <w:p w14:paraId="0E81136A">
      <w:pPr>
        <w:numPr>
          <w:ilvl w:val="0"/>
          <w:numId w:val="6"/>
        </w:numPr>
        <w:spacing w:line="500" w:lineRule="exact"/>
        <w:jc w:val="left"/>
        <w:rPr>
          <w:rFonts w:ascii="宋体" w:hAnsi="宋体" w:cs="Arial Unicode MS"/>
          <w:b/>
          <w:bCs/>
          <w:sz w:val="24"/>
        </w:rPr>
      </w:pPr>
      <w:r>
        <w:rPr>
          <w:rFonts w:hint="eastAsia" w:ascii="宋体" w:hAnsi="宋体" w:cs="Arial Unicode MS"/>
          <w:b/>
          <w:bCs/>
          <w:sz w:val="24"/>
        </w:rPr>
        <w:t>关于信用信息查询和使用</w:t>
      </w:r>
    </w:p>
    <w:p w14:paraId="0F4E4D7A">
      <w:pPr>
        <w:spacing w:line="360" w:lineRule="auto"/>
        <w:ind w:firstLine="470" w:firstLineChars="196"/>
        <w:rPr>
          <w:rFonts w:ascii="宋体" w:hAnsi="宋体" w:eastAsia="宋体" w:cs="宋体"/>
          <w:bCs/>
          <w:sz w:val="24"/>
        </w:rPr>
      </w:pPr>
      <w:r>
        <w:rPr>
          <w:rFonts w:hint="eastAsia" w:ascii="宋体" w:hAnsi="宋体" w:eastAsia="宋体" w:cs="宋体"/>
          <w:bCs/>
          <w:sz w:val="24"/>
        </w:rPr>
        <w:t>项目评审组织人员于符合性审查前（含）通过“信用中国”网站（www.creditchina.gov.cn）、中国政府采购网（www.ccgp.gov.cn）渠道查询报价人信用记录，经查询列入失信被执行人、重大税收违法案件当事人名单、政府采购严重违法失信行为记录名单，其报价将被拒绝。</w:t>
      </w:r>
    </w:p>
    <w:p w14:paraId="4F76FC60">
      <w:pPr>
        <w:numPr>
          <w:ilvl w:val="0"/>
          <w:numId w:val="6"/>
        </w:numPr>
        <w:spacing w:line="500" w:lineRule="exact"/>
        <w:jc w:val="left"/>
        <w:rPr>
          <w:rFonts w:ascii="宋体" w:hAnsi="宋体" w:cs="Arial Unicode MS"/>
          <w:b/>
          <w:bCs/>
          <w:sz w:val="24"/>
        </w:rPr>
      </w:pPr>
      <w:r>
        <w:rPr>
          <w:rFonts w:hint="eastAsia" w:ascii="宋体" w:hAnsi="宋体" w:cs="Arial Unicode MS"/>
          <w:b/>
          <w:bCs/>
          <w:sz w:val="24"/>
        </w:rPr>
        <w:t>小微企业等有关政策</w:t>
      </w:r>
    </w:p>
    <w:p w14:paraId="3AD01AA5">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21.1根据财库〔2020〕46号的相关规定，对于经主管预算单位统筹后未预留份额专门面向中小企业采购的采购项目，以及预留份额项目中的非预留部分采购包，采购人、采购代理机构应当对符合本办法规定的小微企业报价给予10%—20%的扣除，用扣除后的价格参加评审。</w:t>
      </w:r>
    </w:p>
    <w:p w14:paraId="60FB1747">
      <w:pPr>
        <w:spacing w:line="360" w:lineRule="auto"/>
        <w:ind w:firstLine="480" w:firstLineChars="200"/>
        <w:rPr>
          <w:rFonts w:hint="eastAsia"/>
          <w:lang w:val="en-US" w:eastAsia="zh-CN"/>
        </w:rPr>
      </w:pPr>
      <w:r>
        <w:rPr>
          <w:rFonts w:hint="eastAsia" w:ascii="宋体" w:hAnsi="宋体" w:eastAsia="宋体" w:cs="宋体"/>
          <w:bCs/>
          <w:sz w:val="24"/>
        </w:rPr>
        <w:t>中小企业参加政府采购活动，应当出具本办法规定的《中小企业声明函》（见附件），否则不得享受相关中小企业扶持政策。</w:t>
      </w:r>
      <w:r>
        <w:rPr>
          <w:rFonts w:hint="eastAsia" w:ascii="宋体" w:hAnsi="宋体" w:eastAsia="宋体" w:cs="宋体"/>
          <w:b/>
          <w:bCs/>
          <w:sz w:val="24"/>
          <w:highlight w:val="yellow"/>
        </w:rPr>
        <w:t>本项目所属行业为“其他未列明行业”</w:t>
      </w:r>
      <w:r>
        <w:rPr>
          <w:rFonts w:hint="eastAsia" w:ascii="宋体" w:hAnsi="宋体" w:eastAsia="宋体" w:cs="宋体"/>
          <w:b/>
          <w:bCs/>
          <w:sz w:val="24"/>
        </w:rPr>
        <w:t>。</w:t>
      </w:r>
    </w:p>
    <w:p w14:paraId="76B170FC">
      <w:pPr>
        <w:spacing w:line="360" w:lineRule="auto"/>
        <w:ind w:firstLine="480" w:firstLineChars="200"/>
        <w:rPr>
          <w:rFonts w:ascii="宋体" w:hAnsi="宋体" w:eastAsia="宋体" w:cs="宋体"/>
          <w:bCs/>
          <w:sz w:val="24"/>
        </w:rPr>
      </w:pPr>
      <w:r>
        <w:rPr>
          <w:rFonts w:hint="eastAsia" w:ascii="宋体" w:hAnsi="宋体" w:eastAsia="宋体" w:cs="宋体"/>
          <w:bCs/>
          <w:sz w:val="24"/>
        </w:rPr>
        <w:t>21.2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089D3889">
      <w:pPr>
        <w:spacing w:line="360" w:lineRule="auto"/>
        <w:ind w:firstLine="480" w:firstLineChars="200"/>
        <w:rPr>
          <w:rFonts w:ascii="宋体" w:hAnsi="宋体" w:eastAsia="宋体" w:cs="宋体"/>
          <w:bCs/>
          <w:sz w:val="24"/>
        </w:rPr>
      </w:pPr>
      <w:r>
        <w:rPr>
          <w:rFonts w:hint="eastAsia" w:ascii="宋体" w:hAnsi="宋体" w:eastAsia="宋体" w:cs="宋体"/>
          <w:bCs/>
          <w:sz w:val="24"/>
        </w:rPr>
        <w:t>21.3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6F1DD98E">
      <w:pPr>
        <w:numPr>
          <w:ilvl w:val="0"/>
          <w:numId w:val="6"/>
        </w:numPr>
        <w:spacing w:line="500" w:lineRule="exact"/>
        <w:jc w:val="left"/>
        <w:rPr>
          <w:rFonts w:ascii="宋体" w:hAnsi="宋体" w:cs="Arial Unicode MS"/>
          <w:b/>
          <w:bCs/>
          <w:sz w:val="24"/>
        </w:rPr>
      </w:pPr>
      <w:r>
        <w:rPr>
          <w:rFonts w:hint="eastAsia" w:ascii="宋体" w:hAnsi="宋体" w:cs="Arial Unicode MS"/>
          <w:b/>
          <w:bCs/>
          <w:sz w:val="24"/>
        </w:rPr>
        <w:t>节能环保要求</w:t>
      </w:r>
    </w:p>
    <w:p w14:paraId="1A929190">
      <w:pPr>
        <w:pStyle w:val="27"/>
        <w:ind w:firstLine="480"/>
        <w:rPr>
          <w:rFonts w:hint="eastAsia" w:ascii="宋体" w:hAnsi="宋体" w:eastAsia="宋体" w:cs="宋体"/>
          <w:bCs/>
        </w:rPr>
      </w:pPr>
      <w:r>
        <w:rPr>
          <w:rFonts w:hint="eastAsia" w:ascii="宋体" w:hAnsi="宋体" w:eastAsia="宋体" w:cs="宋体"/>
          <w:bCs/>
        </w:rPr>
        <w:t>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p>
    <w:p w14:paraId="5F0162D2">
      <w:pPr>
        <w:pStyle w:val="27"/>
        <w:ind w:firstLine="480"/>
        <w:rPr>
          <w:rFonts w:hint="eastAsia" w:ascii="宋体" w:hAnsi="宋体" w:eastAsia="宋体" w:cs="宋体"/>
          <w:bCs/>
        </w:rPr>
      </w:pPr>
    </w:p>
    <w:p w14:paraId="2C296071">
      <w:pPr>
        <w:pStyle w:val="15"/>
        <w:rPr>
          <w:rFonts w:ascii="宋体" w:hAnsi="宋体" w:eastAsia="宋体" w:cs="宋体"/>
          <w:sz w:val="24"/>
          <w:szCs w:val="24"/>
        </w:rPr>
      </w:pPr>
      <w:bookmarkStart w:id="38" w:name="_Toc79681382"/>
      <w:bookmarkStart w:id="39" w:name="_Toc499216479"/>
      <w:bookmarkStart w:id="40" w:name="_Toc147024753"/>
      <w:r>
        <w:rPr>
          <w:rFonts w:hint="eastAsia" w:ascii="宋体" w:hAnsi="宋体" w:eastAsia="宋体" w:cs="宋体"/>
        </w:rPr>
        <w:t>第三部分采购需求</w:t>
      </w:r>
      <w:bookmarkEnd w:id="38"/>
      <w:bookmarkEnd w:id="39"/>
    </w:p>
    <w:p w14:paraId="7D178709">
      <w:pPr>
        <w:spacing w:line="360" w:lineRule="auto"/>
        <w:ind w:firstLine="482" w:firstLineChars="200"/>
        <w:rPr>
          <w:rFonts w:ascii="宋体" w:hAnsi="宋体" w:eastAsia="宋体" w:cs="宋体"/>
          <w:sz w:val="24"/>
        </w:rPr>
      </w:pPr>
      <w:bookmarkStart w:id="41" w:name="_Toc19731"/>
      <w:bookmarkStart w:id="42" w:name="_Toc24023"/>
      <w:bookmarkStart w:id="43" w:name="_Toc11850"/>
      <w:bookmarkStart w:id="44" w:name="_Toc25378"/>
      <w:bookmarkStart w:id="45" w:name="_Toc79681387"/>
      <w:bookmarkStart w:id="46" w:name="_Toc32312"/>
      <w:bookmarkStart w:id="47" w:name="_Toc499216481"/>
      <w:r>
        <w:rPr>
          <w:rFonts w:hint="eastAsia" w:ascii="宋体" w:hAnsi="宋体" w:eastAsia="宋体" w:cs="宋体"/>
          <w:b/>
          <w:bCs/>
          <w:sz w:val="24"/>
        </w:rPr>
        <w:t>项目名称：</w:t>
      </w:r>
      <w:r>
        <w:rPr>
          <w:rFonts w:hint="eastAsia" w:ascii="宋体" w:hAnsi="宋体" w:eastAsia="宋体" w:cs="宋体"/>
          <w:sz w:val="24"/>
        </w:rPr>
        <w:t>国家体育总局手曲棒垒球运动管理中心棒球百城千队系列赛项目执行服务</w:t>
      </w:r>
    </w:p>
    <w:p w14:paraId="6431BE47">
      <w:pPr>
        <w:spacing w:line="360" w:lineRule="auto"/>
        <w:ind w:firstLine="482" w:firstLineChars="200"/>
        <w:rPr>
          <w:rFonts w:ascii="宋体" w:hAnsi="宋体" w:eastAsia="宋体" w:cs="宋体"/>
          <w:sz w:val="24"/>
        </w:rPr>
      </w:pPr>
      <w:r>
        <w:rPr>
          <w:rFonts w:hint="eastAsia" w:ascii="宋体" w:hAnsi="宋体" w:eastAsia="宋体" w:cs="宋体"/>
          <w:b/>
          <w:bCs/>
          <w:sz w:val="24"/>
        </w:rPr>
        <w:t>项目预算：</w:t>
      </w:r>
      <w:r>
        <w:rPr>
          <w:rFonts w:hint="eastAsia" w:ascii="宋体" w:hAnsi="宋体" w:eastAsia="宋体" w:cs="宋体"/>
          <w:b/>
          <w:bCs/>
          <w:sz w:val="24"/>
          <w:highlight w:val="none"/>
          <w:lang w:val="en-US" w:eastAsia="zh-CN"/>
        </w:rPr>
        <w:t>190</w:t>
      </w:r>
      <w:r>
        <w:rPr>
          <w:rFonts w:hint="eastAsia" w:ascii="宋体" w:hAnsi="宋体" w:eastAsia="宋体" w:cs="宋体"/>
          <w:sz w:val="24"/>
          <w:highlight w:val="none"/>
        </w:rPr>
        <w:t>万元</w:t>
      </w:r>
    </w:p>
    <w:p w14:paraId="51FA9E49">
      <w:pPr>
        <w:spacing w:line="360" w:lineRule="auto"/>
        <w:ind w:firstLine="482" w:firstLineChars="200"/>
        <w:rPr>
          <w:rFonts w:ascii="宋体" w:hAnsi="宋体" w:eastAsia="宋体" w:cs="宋体"/>
          <w:sz w:val="24"/>
        </w:rPr>
      </w:pPr>
      <w:r>
        <w:rPr>
          <w:rFonts w:hint="eastAsia" w:ascii="宋体" w:hAnsi="宋体" w:eastAsia="宋体" w:cs="宋体"/>
          <w:b/>
          <w:bCs/>
          <w:sz w:val="24"/>
        </w:rPr>
        <w:t>项目背景：</w:t>
      </w:r>
      <w:r>
        <w:rPr>
          <w:rFonts w:hint="eastAsia" w:ascii="宋体" w:hAnsi="宋体" w:eastAsia="宋体" w:cs="宋体"/>
          <w:sz w:val="24"/>
        </w:rPr>
        <w:t>为了推广棒球项目在青少年的发展，发现和培养优秀的棒球运动员，为国家的棒球队和职业棒球联赛输送人才，填充青少年高水平赛事的空白，</w:t>
      </w:r>
      <w:r>
        <w:rPr>
          <w:rFonts w:hint="eastAsia" w:ascii="宋体" w:hAnsi="宋体" w:eastAsia="宋体" w:cs="宋体"/>
          <w:sz w:val="24"/>
          <w:highlight w:val="yellow"/>
        </w:rPr>
        <w:t>202</w:t>
      </w:r>
      <w:r>
        <w:rPr>
          <w:rFonts w:hint="eastAsia" w:ascii="宋体" w:hAnsi="宋体" w:eastAsia="宋体" w:cs="宋体"/>
          <w:sz w:val="24"/>
          <w:highlight w:val="yellow"/>
          <w:lang w:val="en-US" w:eastAsia="zh-CN"/>
        </w:rPr>
        <w:t>5年计划延续成功举办的</w:t>
      </w:r>
      <w:r>
        <w:rPr>
          <w:rFonts w:hint="eastAsia" w:ascii="宋体" w:hAnsi="宋体" w:cs="宋体"/>
          <w:sz w:val="24"/>
          <w:highlight w:val="yellow"/>
          <w:lang w:val="en-US" w:eastAsia="zh-CN"/>
        </w:rPr>
        <w:t>全</w:t>
      </w:r>
      <w:r>
        <w:rPr>
          <w:rFonts w:hint="eastAsia" w:ascii="宋体" w:hAnsi="宋体" w:eastAsia="宋体" w:cs="宋体"/>
          <w:sz w:val="24"/>
          <w:highlight w:val="yellow"/>
        </w:rPr>
        <w:t>国青少年棒球联赛，</w:t>
      </w:r>
      <w:r>
        <w:rPr>
          <w:rFonts w:hint="eastAsia" w:ascii="宋体" w:hAnsi="宋体" w:eastAsia="宋体" w:cs="宋体"/>
          <w:sz w:val="24"/>
          <w:highlight w:val="yellow"/>
          <w:lang w:val="en-US" w:eastAsia="zh-CN"/>
        </w:rPr>
        <w:t>持续</w:t>
      </w:r>
      <w:r>
        <w:rPr>
          <w:rFonts w:hint="eastAsia" w:ascii="宋体" w:hAnsi="宋体" w:eastAsia="宋体" w:cs="宋体"/>
          <w:sz w:val="24"/>
          <w:highlight w:val="yellow"/>
        </w:rPr>
        <w:t>打造高水平青少年赛事</w:t>
      </w:r>
      <w:r>
        <w:rPr>
          <w:rFonts w:hint="eastAsia" w:ascii="宋体" w:hAnsi="宋体" w:eastAsia="宋体" w:cs="宋体"/>
          <w:sz w:val="24"/>
        </w:rPr>
        <w:t>。</w:t>
      </w:r>
    </w:p>
    <w:p w14:paraId="0FF8FDAB">
      <w:pPr>
        <w:spacing w:line="360" w:lineRule="auto"/>
        <w:ind w:firstLine="482" w:firstLineChars="200"/>
        <w:rPr>
          <w:rFonts w:ascii="宋体" w:hAnsi="宋体" w:eastAsia="宋体" w:cs="宋体"/>
          <w:b/>
          <w:bCs/>
          <w:sz w:val="24"/>
        </w:rPr>
      </w:pPr>
      <w:r>
        <w:rPr>
          <w:rFonts w:hint="eastAsia" w:ascii="宋体" w:hAnsi="宋体" w:eastAsia="宋体" w:cs="宋体"/>
          <w:b/>
          <w:bCs/>
          <w:sz w:val="24"/>
        </w:rPr>
        <w:t>采购计划：</w:t>
      </w:r>
    </w:p>
    <w:p w14:paraId="42C503FC">
      <w:pPr>
        <w:spacing w:line="360" w:lineRule="auto"/>
        <w:ind w:firstLine="482" w:firstLineChars="200"/>
        <w:rPr>
          <w:rFonts w:ascii="宋体" w:hAnsi="宋体" w:eastAsia="宋体" w:cs="宋体"/>
          <w:b/>
          <w:bCs/>
          <w:sz w:val="24"/>
        </w:rPr>
      </w:pPr>
      <w:r>
        <w:rPr>
          <w:rFonts w:hint="eastAsia" w:ascii="宋体" w:hAnsi="宋体" w:eastAsia="宋体" w:cs="宋体"/>
          <w:b/>
          <w:bCs/>
          <w:sz w:val="24"/>
        </w:rPr>
        <w:t>一、服务期限</w:t>
      </w:r>
    </w:p>
    <w:p w14:paraId="27007AF5">
      <w:pPr>
        <w:spacing w:line="360" w:lineRule="auto"/>
        <w:ind w:firstLine="480" w:firstLineChars="200"/>
        <w:rPr>
          <w:rFonts w:hint="eastAsia" w:ascii="宋体" w:hAnsi="宋体" w:eastAsia="宋体" w:cs="宋体"/>
          <w:sz w:val="24"/>
          <w:highlight w:val="yellow"/>
          <w:lang w:eastAsia="zh-CN"/>
        </w:rPr>
      </w:pPr>
      <w:r>
        <w:rPr>
          <w:rFonts w:hint="eastAsia" w:ascii="宋体" w:hAnsi="宋体" w:eastAsia="宋体" w:cs="宋体"/>
          <w:sz w:val="24"/>
        </w:rPr>
        <w:t>自合同签订之日起2</w:t>
      </w:r>
      <w:r>
        <w:rPr>
          <w:rFonts w:hint="eastAsia" w:ascii="宋体" w:hAnsi="宋体" w:eastAsia="宋体" w:cs="宋体"/>
          <w:sz w:val="24"/>
          <w:lang w:val="en-US" w:eastAsia="zh-CN"/>
        </w:rPr>
        <w:t>4</w:t>
      </w:r>
      <w:r>
        <w:rPr>
          <w:rFonts w:hint="eastAsia" w:ascii="宋体" w:hAnsi="宋体" w:eastAsia="宋体" w:cs="宋体"/>
          <w:sz w:val="24"/>
        </w:rPr>
        <w:t>0个日历日。</w:t>
      </w:r>
    </w:p>
    <w:p w14:paraId="487AA183">
      <w:pPr>
        <w:spacing w:line="360" w:lineRule="auto"/>
        <w:ind w:firstLine="482" w:firstLineChars="200"/>
        <w:rPr>
          <w:rFonts w:ascii="宋体" w:hAnsi="宋体" w:eastAsia="宋体" w:cs="宋体"/>
          <w:b/>
          <w:bCs/>
          <w:sz w:val="24"/>
        </w:rPr>
      </w:pPr>
      <w:r>
        <w:rPr>
          <w:rFonts w:hint="eastAsia" w:ascii="宋体" w:hAnsi="宋体" w:eastAsia="宋体" w:cs="宋体"/>
          <w:b/>
          <w:bCs/>
          <w:sz w:val="24"/>
        </w:rPr>
        <w:t>二、服务内容</w:t>
      </w:r>
    </w:p>
    <w:p w14:paraId="71421AFE">
      <w:pPr>
        <w:spacing w:line="360" w:lineRule="auto"/>
        <w:ind w:firstLine="482" w:firstLineChars="200"/>
        <w:rPr>
          <w:rFonts w:ascii="宋体" w:hAnsi="宋体" w:eastAsia="宋体" w:cs="宋体"/>
          <w:b/>
          <w:bCs/>
          <w:sz w:val="24"/>
        </w:rPr>
      </w:pPr>
      <w:r>
        <w:rPr>
          <w:rFonts w:hint="eastAsia" w:ascii="宋体" w:hAnsi="宋体" w:eastAsia="宋体" w:cs="宋体"/>
          <w:b/>
          <w:bCs/>
          <w:sz w:val="24"/>
        </w:rPr>
        <w:t>（一）</w:t>
      </w:r>
      <w:r>
        <w:rPr>
          <w:rFonts w:hint="eastAsia" w:ascii="宋体" w:hAnsi="宋体" w:eastAsia="宋体" w:cs="宋体"/>
          <w:b/>
          <w:bCs/>
          <w:sz w:val="24"/>
          <w:highlight w:val="none"/>
        </w:rPr>
        <w:t>202</w:t>
      </w:r>
      <w:r>
        <w:rPr>
          <w:rFonts w:hint="eastAsia" w:ascii="宋体" w:hAnsi="宋体" w:eastAsia="宋体" w:cs="宋体"/>
          <w:b/>
          <w:bCs/>
          <w:sz w:val="24"/>
          <w:highlight w:val="none"/>
          <w:lang w:val="en-US" w:eastAsia="zh-CN"/>
        </w:rPr>
        <w:t>5</w:t>
      </w:r>
      <w:r>
        <w:rPr>
          <w:rFonts w:hint="eastAsia" w:ascii="宋体" w:hAnsi="宋体" w:eastAsia="宋体" w:cs="宋体"/>
          <w:b/>
          <w:bCs/>
          <w:sz w:val="24"/>
          <w:highlight w:val="none"/>
        </w:rPr>
        <w:t>年</w:t>
      </w:r>
      <w:r>
        <w:rPr>
          <w:rFonts w:hint="eastAsia" w:ascii="宋体" w:hAnsi="宋体" w:cs="宋体"/>
          <w:b/>
          <w:bCs/>
          <w:sz w:val="24"/>
          <w:highlight w:val="none"/>
          <w:lang w:val="en-US" w:eastAsia="zh-CN"/>
        </w:rPr>
        <w:t>全</w:t>
      </w:r>
      <w:r>
        <w:rPr>
          <w:rFonts w:hint="eastAsia" w:ascii="宋体" w:hAnsi="宋体" w:eastAsia="宋体" w:cs="宋体"/>
          <w:b/>
          <w:bCs/>
          <w:sz w:val="24"/>
        </w:rPr>
        <w:t>国青少年棒球联赛</w:t>
      </w:r>
      <w:r>
        <w:rPr>
          <w:rFonts w:hint="eastAsia" w:ascii="宋体" w:hAnsi="宋体" w:cs="宋体"/>
          <w:b/>
          <w:bCs/>
          <w:sz w:val="24"/>
          <w:lang w:eastAsia="zh-CN"/>
        </w:rPr>
        <w:t>（</w:t>
      </w:r>
      <w:r>
        <w:rPr>
          <w:rFonts w:hint="eastAsia" w:ascii="宋体" w:hAnsi="宋体" w:cs="宋体"/>
          <w:b/>
          <w:bCs/>
          <w:sz w:val="24"/>
          <w:lang w:val="en-US" w:eastAsia="zh-CN"/>
        </w:rPr>
        <w:t>百城千队系列赛</w:t>
      </w:r>
      <w:r>
        <w:rPr>
          <w:rFonts w:hint="eastAsia" w:ascii="宋体" w:hAnsi="宋体" w:cs="宋体"/>
          <w:b/>
          <w:bCs/>
          <w:sz w:val="24"/>
          <w:lang w:eastAsia="zh-CN"/>
        </w:rPr>
        <w:t>）</w:t>
      </w:r>
      <w:r>
        <w:rPr>
          <w:rFonts w:hint="eastAsia" w:ascii="宋体" w:hAnsi="宋体" w:eastAsia="宋体" w:cs="宋体"/>
          <w:b/>
          <w:bCs/>
          <w:sz w:val="24"/>
        </w:rPr>
        <w:t>的执行</w:t>
      </w:r>
    </w:p>
    <w:p w14:paraId="32026FCF">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1.比赛计划</w:t>
      </w:r>
    </w:p>
    <w:p w14:paraId="5E4901FE">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（1）总决赛：</w:t>
      </w:r>
      <w:r>
        <w:rPr>
          <w:rFonts w:hint="eastAsia" w:ascii="宋体" w:cs="宋体"/>
          <w:b w:val="0"/>
          <w:bCs w:val="0"/>
          <w:color w:val="auto"/>
          <w:lang w:val="en-US" w:eastAsia="zh-CN"/>
        </w:rPr>
        <w:t>拟8月下旬</w:t>
      </w:r>
      <w:r>
        <w:rPr>
          <w:rFonts w:hint="eastAsia" w:ascii="宋体" w:cs="宋体"/>
          <w:b w:val="0"/>
          <w:bCs w:val="0"/>
          <w:color w:val="auto"/>
          <w:highlight w:val="none"/>
          <w:lang w:eastAsia="zh-CN"/>
        </w:rPr>
        <w:t>，</w:t>
      </w:r>
      <w:r>
        <w:rPr>
          <w:rFonts w:hint="eastAsia" w:ascii="宋体" w:cs="宋体"/>
          <w:b w:val="0"/>
          <w:bCs w:val="0"/>
          <w:color w:val="auto"/>
          <w:highlight w:val="none"/>
          <w:lang w:val="en-US" w:eastAsia="zh-CN"/>
        </w:rPr>
        <w:t>预计7个比赛日（不含报到日、离赛日），</w:t>
      </w:r>
      <w:r>
        <w:rPr>
          <w:rFonts w:hint="eastAsia" w:ascii="宋体" w:eastAsia="宋体" w:cs="宋体"/>
          <w:b w:val="0"/>
          <w:bCs w:val="0"/>
          <w:color w:val="auto"/>
        </w:rPr>
        <w:t>地点暂定</w:t>
      </w:r>
      <w:r>
        <w:rPr>
          <w:rFonts w:hint="eastAsia" w:ascii="宋体" w:eastAsia="宋体" w:cs="宋体"/>
          <w:b w:val="0"/>
          <w:bCs w:val="0"/>
          <w:color w:val="auto"/>
          <w:lang w:val="en-US" w:eastAsia="zh-CN"/>
        </w:rPr>
        <w:t>中山</w:t>
      </w:r>
      <w:r>
        <w:rPr>
          <w:rFonts w:hint="eastAsia" w:ascii="宋体" w:cs="宋体"/>
          <w:b w:val="0"/>
          <w:bCs w:val="0"/>
          <w:color w:val="auto"/>
          <w:lang w:val="en-US" w:eastAsia="zh-CN"/>
        </w:rPr>
        <w:t>。</w:t>
      </w:r>
    </w:p>
    <w:p w14:paraId="7049889B">
      <w:pPr>
        <w:pStyle w:val="10"/>
        <w:spacing w:line="360" w:lineRule="auto"/>
        <w:ind w:firstLine="540"/>
        <w:rPr>
          <w:rFonts w:ascii="宋体" w:eastAsia="宋体" w:cs="宋体"/>
          <w:b w:val="0"/>
          <w:bCs w:val="0"/>
          <w:color w:val="auto"/>
          <w:highlight w:val="none"/>
        </w:rPr>
      </w:pPr>
      <w:r>
        <w:rPr>
          <w:rFonts w:hint="eastAsia" w:ascii="宋体" w:eastAsia="宋体" w:cs="宋体"/>
          <w:b w:val="0"/>
          <w:bCs w:val="0"/>
          <w:color w:val="auto"/>
        </w:rPr>
        <w:t>（2）分</w:t>
      </w:r>
      <w:r>
        <w:rPr>
          <w:rFonts w:hint="eastAsia" w:ascii="宋体" w:eastAsia="宋体" w:cs="宋体"/>
          <w:b w:val="0"/>
          <w:bCs w:val="0"/>
          <w:color w:val="auto"/>
          <w:lang w:val="en-US" w:eastAsia="zh-CN"/>
        </w:rPr>
        <w:t>站</w:t>
      </w:r>
      <w:r>
        <w:rPr>
          <w:rFonts w:hint="eastAsia" w:ascii="宋体" w:eastAsia="宋体" w:cs="宋体"/>
          <w:b w:val="0"/>
          <w:bCs w:val="0"/>
          <w:color w:val="auto"/>
        </w:rPr>
        <w:t>赛：</w:t>
      </w:r>
      <w:r>
        <w:rPr>
          <w:rFonts w:hint="eastAsia" w:ascii="宋体" w:cs="宋体"/>
          <w:b w:val="0"/>
          <w:bCs w:val="0"/>
          <w:color w:val="auto"/>
          <w:lang w:val="en-US" w:eastAsia="zh-CN"/>
        </w:rPr>
        <w:t>6</w:t>
      </w:r>
      <w:r>
        <w:rPr>
          <w:rFonts w:hint="eastAsia" w:ascii="宋体" w:eastAsia="宋体" w:cs="宋体"/>
          <w:b w:val="0"/>
          <w:bCs w:val="0"/>
          <w:color w:val="auto"/>
          <w:highlight w:val="none"/>
          <w:lang w:val="en-US" w:eastAsia="zh-CN"/>
        </w:rPr>
        <w:t>-8</w:t>
      </w:r>
      <w:r>
        <w:rPr>
          <w:rFonts w:hint="eastAsia" w:ascii="宋体" w:eastAsia="宋体" w:cs="宋体"/>
          <w:b w:val="0"/>
          <w:bCs w:val="0"/>
          <w:color w:val="auto"/>
          <w:highlight w:val="none"/>
        </w:rPr>
        <w:t>月，</w:t>
      </w:r>
      <w:r>
        <w:rPr>
          <w:rFonts w:hint="eastAsia" w:ascii="宋体" w:cs="宋体"/>
          <w:b w:val="0"/>
          <w:bCs w:val="0"/>
          <w:color w:val="auto"/>
          <w:lang w:val="en-US" w:eastAsia="zh-CN"/>
        </w:rPr>
        <w:t>两个组别</w:t>
      </w:r>
      <w:r>
        <w:rPr>
          <w:rFonts w:hint="eastAsia" w:ascii="宋体" w:eastAsia="宋体" w:cs="宋体"/>
          <w:b w:val="0"/>
          <w:bCs w:val="0"/>
          <w:color w:val="auto"/>
        </w:rPr>
        <w:t>拟设</w:t>
      </w:r>
      <w:r>
        <w:rPr>
          <w:rFonts w:hint="eastAsia" w:ascii="宋体" w:cs="宋体"/>
          <w:b w:val="0"/>
          <w:bCs w:val="0"/>
          <w:color w:val="auto"/>
          <w:lang w:val="en-US" w:eastAsia="zh-CN"/>
        </w:rPr>
        <w:t>22</w:t>
      </w:r>
      <w:r>
        <w:rPr>
          <w:rFonts w:hint="eastAsia" w:ascii="宋体" w:eastAsia="宋体" w:cs="宋体"/>
          <w:b w:val="0"/>
          <w:bCs w:val="0"/>
          <w:color w:val="auto"/>
          <w:lang w:val="en-US" w:eastAsia="zh-CN"/>
        </w:rPr>
        <w:t>站</w:t>
      </w:r>
      <w:r>
        <w:rPr>
          <w:rFonts w:hint="eastAsia" w:ascii="宋体" w:cs="宋体"/>
          <w:b w:val="0"/>
          <w:bCs w:val="0"/>
          <w:color w:val="auto"/>
          <w:lang w:val="en-US" w:eastAsia="zh-CN"/>
        </w:rPr>
        <w:t>比</w:t>
      </w:r>
      <w:r>
        <w:rPr>
          <w:rFonts w:hint="eastAsia" w:ascii="宋体" w:eastAsia="宋体" w:cs="宋体"/>
          <w:b w:val="0"/>
          <w:bCs w:val="0"/>
          <w:color w:val="auto"/>
          <w:lang w:val="en-US" w:eastAsia="zh-CN"/>
        </w:rPr>
        <w:t>赛</w:t>
      </w:r>
      <w:r>
        <w:rPr>
          <w:rFonts w:hint="eastAsia" w:ascii="宋体" w:cs="宋体"/>
          <w:b w:val="0"/>
          <w:bCs w:val="0"/>
          <w:color w:val="auto"/>
          <w:lang w:val="en-US" w:eastAsia="zh-CN"/>
        </w:rPr>
        <w:t>（U15 15站，U18 7站），</w:t>
      </w:r>
      <w:r>
        <w:rPr>
          <w:rFonts w:hint="eastAsia" w:ascii="宋体" w:eastAsia="宋体" w:cs="宋体"/>
          <w:b w:val="0"/>
          <w:bCs w:val="0"/>
          <w:color w:val="auto"/>
          <w:lang w:val="en-US" w:eastAsia="zh-CN"/>
        </w:rPr>
        <w:t>每站比赛4支队伍参赛，</w:t>
      </w:r>
      <w:r>
        <w:rPr>
          <w:rFonts w:hint="eastAsia" w:ascii="宋体" w:cs="宋体"/>
          <w:b w:val="0"/>
          <w:bCs w:val="0"/>
          <w:color w:val="auto"/>
          <w:lang w:val="en-US" w:eastAsia="zh-CN"/>
        </w:rPr>
        <w:t>产生1个晋级名额。总决赛东道主队伍</w:t>
      </w:r>
      <w:r>
        <w:rPr>
          <w:rFonts w:hint="eastAsia" w:ascii="宋体" w:cs="宋体"/>
          <w:b w:val="0"/>
          <w:bCs w:val="0"/>
          <w:color w:val="auto"/>
          <w:highlight w:val="none"/>
          <w:lang w:val="en-US" w:eastAsia="zh-CN"/>
        </w:rPr>
        <w:t>自动晋级</w:t>
      </w:r>
      <w:r>
        <w:rPr>
          <w:rFonts w:hint="eastAsia" w:ascii="宋体" w:eastAsia="宋体" w:cs="宋体"/>
          <w:b w:val="0"/>
          <w:bCs w:val="0"/>
          <w:color w:val="auto"/>
          <w:highlight w:val="none"/>
        </w:rPr>
        <w:t>。</w:t>
      </w:r>
    </w:p>
    <w:p w14:paraId="62CF7CA9">
      <w:pPr>
        <w:pStyle w:val="10"/>
        <w:spacing w:line="360" w:lineRule="auto"/>
        <w:ind w:firstLine="540"/>
        <w:rPr>
          <w:rFonts w:hint="default" w:ascii="宋体" w:eastAsia="宋体" w:cs="宋体"/>
          <w:b w:val="0"/>
          <w:bCs w:val="0"/>
          <w:color w:val="auto"/>
          <w:lang w:val="en-US" w:eastAsia="zh-CN"/>
        </w:rPr>
      </w:pPr>
      <w:r>
        <w:rPr>
          <w:rFonts w:hint="eastAsia" w:ascii="宋体" w:eastAsia="宋体" w:cs="宋体"/>
          <w:b w:val="0"/>
          <w:bCs w:val="0"/>
          <w:color w:val="auto"/>
          <w:highlight w:val="none"/>
        </w:rPr>
        <w:t>2.总决赛赛制：各组别东道主队伍1支，各</w:t>
      </w:r>
      <w:r>
        <w:rPr>
          <w:rFonts w:hint="eastAsia" w:ascii="宋体" w:eastAsia="宋体" w:cs="宋体"/>
          <w:b w:val="0"/>
          <w:bCs w:val="0"/>
          <w:color w:val="auto"/>
          <w:highlight w:val="none"/>
          <w:lang w:val="en-US" w:eastAsia="zh-CN"/>
        </w:rPr>
        <w:t>分站赛</w:t>
      </w:r>
      <w:r>
        <w:rPr>
          <w:rFonts w:hint="eastAsia" w:ascii="宋体" w:cs="宋体"/>
          <w:b w:val="0"/>
          <w:bCs w:val="0"/>
          <w:color w:val="auto"/>
          <w:highlight w:val="none"/>
          <w:lang w:val="en-US" w:eastAsia="zh-CN"/>
        </w:rPr>
        <w:t>晋级1队</w:t>
      </w:r>
      <w:r>
        <w:rPr>
          <w:rFonts w:hint="eastAsia" w:ascii="宋体" w:eastAsia="宋体" w:cs="宋体"/>
          <w:b w:val="0"/>
          <w:bCs w:val="0"/>
          <w:color w:val="auto"/>
          <w:highlight w:val="none"/>
        </w:rPr>
        <w:t>，决赛</w:t>
      </w:r>
      <w:r>
        <w:rPr>
          <w:rFonts w:hint="eastAsia" w:ascii="宋体" w:eastAsia="宋体" w:cs="宋体"/>
          <w:b w:val="0"/>
          <w:bCs w:val="0"/>
          <w:color w:val="auto"/>
          <w:highlight w:val="none"/>
          <w:lang w:val="en-US" w:eastAsia="zh-CN"/>
        </w:rPr>
        <w:t>最多</w:t>
      </w:r>
      <w:r>
        <w:rPr>
          <w:rFonts w:hint="eastAsia" w:ascii="宋体" w:cs="宋体"/>
          <w:b w:val="0"/>
          <w:bCs w:val="0"/>
          <w:color w:val="auto"/>
          <w:highlight w:val="none"/>
          <w:lang w:val="en-US" w:eastAsia="zh-CN"/>
        </w:rPr>
        <w:t>16+8</w:t>
      </w:r>
      <w:r>
        <w:rPr>
          <w:rFonts w:hint="eastAsia" w:ascii="宋体" w:eastAsia="宋体" w:cs="宋体"/>
          <w:b w:val="0"/>
          <w:bCs w:val="0"/>
          <w:color w:val="auto"/>
          <w:highlight w:val="none"/>
        </w:rPr>
        <w:t>支队伍进行单败淘汰制比赛</w:t>
      </w:r>
      <w:r>
        <w:rPr>
          <w:rFonts w:hint="eastAsia" w:ascii="宋体" w:cs="宋体"/>
          <w:b w:val="0"/>
          <w:bCs w:val="0"/>
          <w:color w:val="auto"/>
          <w:highlight w:val="none"/>
          <w:lang w:eastAsia="zh-CN"/>
        </w:rPr>
        <w:t>（</w:t>
      </w:r>
      <w:r>
        <w:rPr>
          <w:rFonts w:hint="eastAsia" w:ascii="宋体" w:cs="宋体"/>
          <w:b w:val="0"/>
          <w:bCs w:val="0"/>
          <w:color w:val="auto"/>
          <w:highlight w:val="none"/>
          <w:lang w:val="en-US" w:eastAsia="zh-CN"/>
        </w:rPr>
        <w:t>U15 16支，U18 8支</w:t>
      </w:r>
      <w:r>
        <w:rPr>
          <w:rFonts w:hint="eastAsia" w:ascii="宋体" w:cs="宋体"/>
          <w:b w:val="0"/>
          <w:bCs w:val="0"/>
          <w:color w:val="auto"/>
          <w:highlight w:val="none"/>
          <w:lang w:eastAsia="zh-CN"/>
        </w:rPr>
        <w:t>）</w:t>
      </w:r>
      <w:r>
        <w:rPr>
          <w:rFonts w:hint="eastAsia" w:ascii="宋体" w:eastAsia="宋体" w:cs="宋体"/>
          <w:b w:val="0"/>
          <w:bCs w:val="0"/>
          <w:color w:val="auto"/>
          <w:highlight w:val="none"/>
          <w:lang w:eastAsia="zh-CN"/>
        </w:rPr>
        <w:t>，</w:t>
      </w:r>
      <w:r>
        <w:rPr>
          <w:rFonts w:hint="eastAsia" w:ascii="宋体" w:eastAsia="宋体" w:cs="宋体"/>
          <w:b w:val="0"/>
          <w:bCs w:val="0"/>
          <w:color w:val="auto"/>
          <w:highlight w:val="none"/>
          <w:lang w:val="en-US" w:eastAsia="zh-CN"/>
        </w:rPr>
        <w:t>被淘汰的队伍继续进行</w:t>
      </w:r>
      <w:r>
        <w:rPr>
          <w:rFonts w:hint="eastAsia" w:ascii="宋体" w:eastAsia="宋体" w:cs="宋体"/>
          <w:b w:val="0"/>
          <w:bCs w:val="0"/>
          <w:color w:val="auto"/>
          <w:lang w:val="en-US" w:eastAsia="zh-CN"/>
        </w:rPr>
        <w:t>排位赛决出名次</w:t>
      </w:r>
      <w:r>
        <w:rPr>
          <w:rFonts w:hint="eastAsia" w:ascii="宋体" w:eastAsia="宋体" w:cs="宋体"/>
          <w:b w:val="0"/>
          <w:bCs w:val="0"/>
          <w:color w:val="auto"/>
        </w:rPr>
        <w:t>。</w:t>
      </w:r>
      <w:r>
        <w:rPr>
          <w:rFonts w:hint="eastAsia" w:ascii="宋体" w:cs="宋体"/>
          <w:b w:val="0"/>
          <w:bCs w:val="0"/>
          <w:color w:val="auto"/>
          <w:lang w:val="en-US" w:eastAsia="zh-CN"/>
        </w:rPr>
        <w:t>预计8个比赛日（不含报到日）。</w:t>
      </w:r>
    </w:p>
    <w:p w14:paraId="60D2DF19">
      <w:pPr>
        <w:pStyle w:val="10"/>
        <w:spacing w:line="360" w:lineRule="auto"/>
        <w:ind w:firstLine="540"/>
        <w:rPr>
          <w:rFonts w:hint="default" w:ascii="宋体" w:eastAsia="宋体" w:cs="宋体"/>
          <w:b w:val="0"/>
          <w:bCs w:val="0"/>
          <w:color w:val="auto"/>
          <w:lang w:val="en-US" w:eastAsia="zh-CN"/>
        </w:rPr>
      </w:pPr>
      <w:r>
        <w:rPr>
          <w:rFonts w:hint="eastAsia" w:ascii="宋体" w:eastAsia="宋体" w:cs="宋体"/>
          <w:b w:val="0"/>
          <w:bCs w:val="0"/>
          <w:color w:val="auto"/>
        </w:rPr>
        <w:t>分</w:t>
      </w:r>
      <w:r>
        <w:rPr>
          <w:rFonts w:hint="eastAsia" w:ascii="宋体" w:eastAsia="宋体" w:cs="宋体"/>
          <w:b w:val="0"/>
          <w:bCs w:val="0"/>
          <w:color w:val="auto"/>
          <w:lang w:val="en-US" w:eastAsia="zh-CN"/>
        </w:rPr>
        <w:t>站</w:t>
      </w:r>
      <w:r>
        <w:rPr>
          <w:rFonts w:hint="eastAsia" w:ascii="宋体" w:eastAsia="宋体" w:cs="宋体"/>
          <w:b w:val="0"/>
          <w:bCs w:val="0"/>
          <w:color w:val="auto"/>
        </w:rPr>
        <w:t>赛赛制：各组别</w:t>
      </w:r>
      <w:r>
        <w:rPr>
          <w:rFonts w:hint="eastAsia" w:ascii="宋体" w:cs="宋体"/>
          <w:b w:val="0"/>
          <w:bCs w:val="0"/>
          <w:color w:val="auto"/>
          <w:lang w:val="en-US" w:eastAsia="zh-CN"/>
        </w:rPr>
        <w:t>各站</w:t>
      </w:r>
      <w:r>
        <w:rPr>
          <w:rFonts w:hint="eastAsia" w:ascii="宋体" w:eastAsia="宋体" w:cs="宋体"/>
          <w:b w:val="0"/>
          <w:bCs w:val="0"/>
          <w:color w:val="auto"/>
          <w:lang w:val="en-US" w:eastAsia="zh-CN"/>
        </w:rPr>
        <w:t>4</w:t>
      </w:r>
      <w:r>
        <w:rPr>
          <w:rFonts w:hint="eastAsia" w:ascii="宋体" w:eastAsia="宋体" w:cs="宋体"/>
          <w:b w:val="0"/>
          <w:bCs w:val="0"/>
          <w:color w:val="auto"/>
        </w:rPr>
        <w:t>支队伍报名，进行单败淘汰制比赛</w:t>
      </w:r>
      <w:r>
        <w:rPr>
          <w:rFonts w:hint="eastAsia" w:ascii="宋体" w:cs="宋体"/>
          <w:b w:val="0"/>
          <w:bCs w:val="0"/>
          <w:color w:val="auto"/>
          <w:lang w:eastAsia="zh-CN"/>
        </w:rPr>
        <w:t>，</w:t>
      </w:r>
      <w:r>
        <w:rPr>
          <w:rFonts w:hint="eastAsia" w:ascii="宋体" w:cs="宋体"/>
          <w:b w:val="0"/>
          <w:bCs w:val="0"/>
          <w:color w:val="auto"/>
          <w:lang w:val="en-US" w:eastAsia="zh-CN"/>
        </w:rPr>
        <w:t>决出本站晋级名额</w:t>
      </w:r>
      <w:r>
        <w:rPr>
          <w:rFonts w:hint="eastAsia" w:ascii="宋体" w:eastAsia="宋体" w:cs="宋体"/>
          <w:b w:val="0"/>
          <w:bCs w:val="0"/>
          <w:color w:val="auto"/>
        </w:rPr>
        <w:t>。</w:t>
      </w:r>
      <w:r>
        <w:rPr>
          <w:rFonts w:hint="eastAsia" w:ascii="宋体" w:cs="宋体"/>
          <w:b w:val="0"/>
          <w:bCs w:val="0"/>
          <w:color w:val="auto"/>
          <w:lang w:val="en-US" w:eastAsia="zh-CN"/>
        </w:rPr>
        <w:t>每站分站赛计划1个比赛日，上午进行两场比赛，下午进行一场比赛。</w:t>
      </w:r>
    </w:p>
    <w:p w14:paraId="47FBE175">
      <w:pPr>
        <w:pStyle w:val="10"/>
        <w:spacing w:line="360" w:lineRule="auto"/>
        <w:ind w:firstLine="540"/>
        <w:rPr>
          <w:rFonts w:ascii="宋体" w:eastAsia="宋体" w:cs="宋体"/>
          <w:b w:val="0"/>
          <w:bCs w:val="0"/>
          <w:color w:val="auto"/>
        </w:rPr>
      </w:pPr>
      <w:r>
        <w:rPr>
          <w:rFonts w:hint="eastAsia" w:ascii="宋体" w:cs="宋体"/>
          <w:b w:val="0"/>
          <w:bCs w:val="0"/>
          <w:color w:val="auto"/>
          <w:lang w:val="en-US" w:eastAsia="zh-CN"/>
        </w:rPr>
        <w:t xml:space="preserve"> </w:t>
      </w:r>
      <w:r>
        <w:rPr>
          <w:rFonts w:hint="eastAsia" w:ascii="宋体" w:eastAsia="宋体" w:cs="宋体"/>
          <w:b w:val="0"/>
          <w:bCs w:val="0"/>
          <w:color w:val="auto"/>
        </w:rPr>
        <w:t>3.经费主要使用领域</w:t>
      </w:r>
    </w:p>
    <w:p w14:paraId="50E5F1A3">
      <w:pPr>
        <w:pStyle w:val="10"/>
        <w:spacing w:line="360" w:lineRule="auto"/>
        <w:ind w:firstLine="540"/>
        <w:rPr>
          <w:rFonts w:hint="eastAsia" w:ascii="宋体" w:eastAsia="宋体" w:cs="宋体"/>
          <w:b w:val="0"/>
          <w:bCs w:val="0"/>
          <w:color w:val="auto"/>
        </w:rPr>
      </w:pPr>
      <w:r>
        <w:rPr>
          <w:rFonts w:hint="eastAsia" w:ascii="宋体" w:eastAsia="宋体" w:cs="宋体"/>
          <w:b w:val="0"/>
          <w:bCs w:val="0"/>
          <w:color w:val="auto"/>
        </w:rPr>
        <w:t>（1）开闭幕式各一场（无文艺表演）。</w:t>
      </w:r>
    </w:p>
    <w:p w14:paraId="62B54DD6">
      <w:pPr>
        <w:pStyle w:val="10"/>
        <w:spacing w:line="360" w:lineRule="auto"/>
        <w:ind w:firstLine="540"/>
        <w:rPr>
          <w:rFonts w:hint="default" w:ascii="宋体" w:eastAsia="宋体" w:cs="宋体"/>
          <w:b w:val="0"/>
          <w:bCs w:val="0"/>
          <w:color w:val="auto"/>
          <w:lang w:val="en-US" w:eastAsia="zh-CN"/>
        </w:rPr>
      </w:pPr>
      <w:r>
        <w:rPr>
          <w:rFonts w:hint="eastAsia" w:ascii="宋体" w:cs="宋体"/>
          <w:b w:val="0"/>
          <w:bCs w:val="0"/>
          <w:color w:val="auto"/>
          <w:lang w:eastAsia="zh-CN"/>
        </w:rPr>
        <w:t>（</w:t>
      </w:r>
      <w:r>
        <w:rPr>
          <w:rFonts w:hint="eastAsia" w:ascii="宋体" w:cs="宋体"/>
          <w:b w:val="0"/>
          <w:bCs w:val="0"/>
          <w:color w:val="auto"/>
          <w:lang w:val="en-US" w:eastAsia="zh-CN"/>
        </w:rPr>
        <w:t>2</w:t>
      </w:r>
      <w:r>
        <w:rPr>
          <w:rFonts w:hint="eastAsia" w:ascii="宋体" w:cs="宋体"/>
          <w:b w:val="0"/>
          <w:bCs w:val="0"/>
          <w:color w:val="auto"/>
          <w:lang w:eastAsia="zh-CN"/>
        </w:rPr>
        <w:t>）</w:t>
      </w:r>
      <w:r>
        <w:rPr>
          <w:rFonts w:hint="eastAsia" w:ascii="宋体" w:cs="宋体"/>
          <w:b w:val="0"/>
          <w:bCs w:val="0"/>
          <w:color w:val="auto"/>
          <w:lang w:val="en-US" w:eastAsia="zh-CN"/>
        </w:rPr>
        <w:t>场地及相关设备的购买和租赁。</w:t>
      </w:r>
    </w:p>
    <w:p w14:paraId="3299DBA3">
      <w:pPr>
        <w:pStyle w:val="10"/>
        <w:spacing w:line="360" w:lineRule="auto"/>
        <w:ind w:firstLine="540"/>
        <w:rPr>
          <w:rFonts w:hint="eastAsia" w:ascii="宋体" w:cs="宋体"/>
          <w:b w:val="0"/>
          <w:bCs w:val="0"/>
          <w:color w:val="auto"/>
          <w:lang w:val="en-US" w:eastAsia="zh-CN"/>
        </w:rPr>
      </w:pPr>
      <w:r>
        <w:rPr>
          <w:rFonts w:hint="eastAsia" w:ascii="宋体" w:eastAsia="宋体" w:cs="宋体"/>
          <w:b w:val="0"/>
          <w:bCs w:val="0"/>
          <w:color w:val="auto"/>
        </w:rPr>
        <w:t>（</w:t>
      </w:r>
      <w:r>
        <w:rPr>
          <w:rFonts w:hint="eastAsia" w:ascii="宋体" w:cs="宋体"/>
          <w:b w:val="0"/>
          <w:bCs w:val="0"/>
          <w:color w:val="auto"/>
          <w:lang w:val="en-US" w:eastAsia="zh-CN"/>
        </w:rPr>
        <w:t>3</w:t>
      </w:r>
      <w:r>
        <w:rPr>
          <w:rFonts w:hint="eastAsia" w:ascii="宋体" w:eastAsia="宋体" w:cs="宋体"/>
          <w:b w:val="0"/>
          <w:bCs w:val="0"/>
          <w:color w:val="auto"/>
        </w:rPr>
        <w:t>）</w:t>
      </w:r>
      <w:r>
        <w:rPr>
          <w:rFonts w:hint="eastAsia" w:ascii="宋体" w:cs="宋体"/>
          <w:b w:val="0"/>
          <w:bCs w:val="0"/>
          <w:color w:val="auto"/>
          <w:highlight w:val="none"/>
          <w:lang w:val="en-US" w:eastAsia="zh-CN"/>
        </w:rPr>
        <w:t>总决</w:t>
      </w:r>
      <w:r>
        <w:rPr>
          <w:rFonts w:hint="eastAsia" w:ascii="宋体" w:eastAsia="宋体" w:cs="宋体"/>
          <w:b w:val="0"/>
          <w:bCs w:val="0"/>
          <w:color w:val="auto"/>
          <w:highlight w:val="none"/>
          <w:lang w:val="en-US" w:eastAsia="zh-CN"/>
        </w:rPr>
        <w:t>赛</w:t>
      </w:r>
      <w:r>
        <w:rPr>
          <w:rFonts w:hint="eastAsia" w:ascii="宋体" w:eastAsia="宋体" w:cs="宋体"/>
          <w:b w:val="0"/>
          <w:bCs w:val="0"/>
          <w:color w:val="auto"/>
          <w:highlight w:val="none"/>
        </w:rPr>
        <w:t>网络直播、</w:t>
      </w:r>
      <w:r>
        <w:rPr>
          <w:rFonts w:hint="eastAsia" w:ascii="宋体" w:cs="宋体"/>
          <w:b w:val="0"/>
          <w:bCs w:val="0"/>
          <w:color w:val="auto"/>
          <w:highlight w:val="none"/>
          <w:lang w:val="en-US" w:eastAsia="zh-CN"/>
        </w:rPr>
        <w:t>分站赛及总决赛现场摄影、分站赛及总决赛的</w:t>
      </w:r>
      <w:r>
        <w:rPr>
          <w:rFonts w:hint="eastAsia" w:ascii="宋体" w:eastAsia="宋体" w:cs="宋体"/>
          <w:b w:val="0"/>
          <w:bCs w:val="0"/>
          <w:color w:val="auto"/>
          <w:highlight w:val="none"/>
        </w:rPr>
        <w:t>物料制作（道旗、背景板、奖杯、奖牌、</w:t>
      </w:r>
      <w:r>
        <w:rPr>
          <w:rFonts w:hint="eastAsia" w:ascii="宋体" w:cs="宋体"/>
          <w:b w:val="0"/>
          <w:bCs w:val="0"/>
          <w:color w:val="auto"/>
          <w:highlight w:val="none"/>
          <w:lang w:val="en-US" w:eastAsia="zh-CN"/>
        </w:rPr>
        <w:t>证书、</w:t>
      </w:r>
      <w:r>
        <w:rPr>
          <w:rFonts w:hint="eastAsia" w:ascii="宋体" w:eastAsia="宋体" w:cs="宋体"/>
          <w:b w:val="0"/>
          <w:bCs w:val="0"/>
          <w:color w:val="auto"/>
          <w:highlight w:val="none"/>
        </w:rPr>
        <w:t>工作证、秩序册、</w:t>
      </w:r>
      <w:r>
        <w:rPr>
          <w:rFonts w:hint="eastAsia" w:ascii="宋体" w:cs="宋体"/>
          <w:b w:val="0"/>
          <w:bCs w:val="0"/>
          <w:color w:val="auto"/>
          <w:highlight w:val="none"/>
          <w:lang w:val="en-US" w:eastAsia="zh-CN"/>
        </w:rPr>
        <w:t>礼宾物资</w:t>
      </w:r>
      <w:r>
        <w:rPr>
          <w:rFonts w:hint="eastAsia" w:ascii="宋体" w:eastAsia="宋体" w:cs="宋体"/>
          <w:b w:val="0"/>
          <w:bCs w:val="0"/>
          <w:color w:val="auto"/>
          <w:highlight w:val="none"/>
        </w:rPr>
        <w:t>等）</w:t>
      </w:r>
      <w:r>
        <w:rPr>
          <w:rFonts w:hint="eastAsia" w:ascii="宋体" w:eastAsia="宋体" w:cs="宋体"/>
          <w:b w:val="0"/>
          <w:bCs w:val="0"/>
          <w:color w:val="auto"/>
          <w:highlight w:val="none"/>
          <w:lang w:eastAsia="zh-CN"/>
        </w:rPr>
        <w:t>、</w:t>
      </w:r>
      <w:r>
        <w:rPr>
          <w:rFonts w:hint="eastAsia" w:ascii="宋体" w:cs="宋体"/>
          <w:b w:val="0"/>
          <w:bCs w:val="0"/>
          <w:color w:val="auto"/>
          <w:highlight w:val="none"/>
          <w:lang w:val="en-US" w:eastAsia="zh-CN"/>
        </w:rPr>
        <w:t>赛事</w:t>
      </w:r>
      <w:r>
        <w:rPr>
          <w:rFonts w:hint="eastAsia" w:ascii="宋体" w:eastAsia="宋体" w:cs="宋体"/>
          <w:b w:val="0"/>
          <w:bCs w:val="0"/>
          <w:color w:val="auto"/>
          <w:highlight w:val="none"/>
          <w:lang w:val="en-US" w:eastAsia="zh-CN"/>
        </w:rPr>
        <w:t>纪录片拍摄</w:t>
      </w:r>
      <w:r>
        <w:rPr>
          <w:rFonts w:hint="eastAsia" w:ascii="宋体" w:eastAsia="宋体" w:cs="宋体"/>
          <w:b w:val="0"/>
          <w:bCs w:val="0"/>
          <w:color w:val="auto"/>
          <w:highlight w:val="none"/>
        </w:rPr>
        <w:t>和媒体宣传</w:t>
      </w:r>
      <w:r>
        <w:rPr>
          <w:rFonts w:hint="eastAsia" w:ascii="宋体" w:eastAsia="宋体" w:cs="宋体"/>
          <w:b w:val="0"/>
          <w:bCs w:val="0"/>
          <w:color w:val="auto"/>
        </w:rPr>
        <w:t>等</w:t>
      </w:r>
      <w:r>
        <w:rPr>
          <w:rFonts w:hint="eastAsia" w:ascii="宋体" w:cs="宋体"/>
          <w:b w:val="0"/>
          <w:bCs w:val="0"/>
          <w:color w:val="auto"/>
          <w:lang w:eastAsia="zh-CN"/>
        </w:rPr>
        <w:t>。</w:t>
      </w:r>
      <w:r>
        <w:rPr>
          <w:rFonts w:hint="eastAsia" w:ascii="宋体" w:cs="宋体"/>
          <w:b w:val="0"/>
          <w:bCs w:val="0"/>
          <w:color w:val="auto"/>
          <w:lang w:val="en-US" w:eastAsia="zh-CN"/>
        </w:rPr>
        <w:t xml:space="preserve"> </w:t>
      </w:r>
    </w:p>
    <w:p w14:paraId="43B9A2C0">
      <w:pPr>
        <w:pStyle w:val="10"/>
        <w:numPr>
          <w:ilvl w:val="0"/>
          <w:numId w:val="7"/>
        </w:numPr>
        <w:spacing w:line="360" w:lineRule="auto"/>
        <w:ind w:firstLine="480" w:firstLineChars="200"/>
        <w:rPr>
          <w:rFonts w:hint="eastAsia" w:ascii="宋体" w:eastAsia="宋体" w:cs="宋体"/>
          <w:b w:val="0"/>
          <w:bCs w:val="0"/>
          <w:color w:val="auto"/>
        </w:rPr>
      </w:pPr>
      <w:r>
        <w:rPr>
          <w:rFonts w:hint="eastAsia" w:ascii="宋体" w:eastAsia="宋体" w:cs="宋体"/>
          <w:b w:val="0"/>
          <w:bCs w:val="0"/>
          <w:color w:val="auto"/>
        </w:rPr>
        <w:t>执行方直接执行</w:t>
      </w:r>
      <w:r>
        <w:rPr>
          <w:rFonts w:hint="eastAsia" w:ascii="宋体" w:cs="宋体"/>
          <w:b w:val="0"/>
          <w:bCs w:val="0"/>
          <w:color w:val="auto"/>
          <w:lang w:val="en-US" w:eastAsia="zh-CN"/>
        </w:rPr>
        <w:t>分站赛和</w:t>
      </w:r>
      <w:r>
        <w:rPr>
          <w:rFonts w:hint="eastAsia" w:ascii="宋体" w:eastAsia="宋体" w:cs="宋体"/>
          <w:b w:val="0"/>
          <w:bCs w:val="0"/>
          <w:color w:val="auto"/>
        </w:rPr>
        <w:t>总决赛，</w:t>
      </w:r>
      <w:r>
        <w:rPr>
          <w:rFonts w:hint="eastAsia" w:ascii="宋体" w:cs="宋体"/>
          <w:b w:val="0"/>
          <w:bCs w:val="0"/>
          <w:color w:val="auto"/>
          <w:lang w:val="en-US" w:eastAsia="zh-CN"/>
        </w:rPr>
        <w:t>负责赛事保障相关事项，包括但不限于协会工作人员、裁判员及竞赛官员城际交通（分站赛原则上裁判就近选派，不排除个别需要城际交通、住宿可能性），协会工作人员、裁判员及竞赛官员、场地工作人员及辅助人员、各参赛队赛内交通</w:t>
      </w:r>
      <w:r>
        <w:rPr>
          <w:rFonts w:hint="eastAsia" w:ascii="宋体" w:eastAsia="宋体" w:cs="宋体"/>
          <w:b w:val="0"/>
          <w:bCs w:val="0"/>
          <w:color w:val="auto"/>
        </w:rPr>
        <w:t>、食宿</w:t>
      </w:r>
      <w:r>
        <w:rPr>
          <w:rFonts w:hint="eastAsia" w:ascii="宋体" w:cs="宋体"/>
          <w:b w:val="0"/>
          <w:bCs w:val="0"/>
          <w:color w:val="auto"/>
          <w:lang w:val="en-US" w:eastAsia="zh-CN"/>
        </w:rPr>
        <w:t>，</w:t>
      </w:r>
      <w:r>
        <w:rPr>
          <w:rFonts w:hint="eastAsia" w:ascii="宋体" w:eastAsia="宋体" w:cs="宋体"/>
          <w:b w:val="0"/>
          <w:bCs w:val="0"/>
          <w:color w:val="auto"/>
        </w:rPr>
        <w:t>安保</w:t>
      </w:r>
      <w:r>
        <w:rPr>
          <w:rFonts w:hint="eastAsia" w:ascii="宋体" w:cs="宋体"/>
          <w:b w:val="0"/>
          <w:bCs w:val="0"/>
          <w:color w:val="auto"/>
          <w:lang w:eastAsia="zh-CN"/>
        </w:rPr>
        <w:t>，</w:t>
      </w:r>
      <w:r>
        <w:rPr>
          <w:rFonts w:hint="eastAsia" w:ascii="宋体" w:eastAsia="宋体" w:cs="宋体"/>
          <w:b w:val="0"/>
          <w:bCs w:val="0"/>
          <w:color w:val="auto"/>
        </w:rPr>
        <w:t>现场医疗保障</w:t>
      </w:r>
      <w:r>
        <w:rPr>
          <w:rFonts w:hint="eastAsia" w:ascii="宋体" w:cs="宋体"/>
          <w:b w:val="0"/>
          <w:bCs w:val="0"/>
          <w:color w:val="auto"/>
          <w:lang w:eastAsia="zh-CN"/>
        </w:rPr>
        <w:t>，</w:t>
      </w:r>
      <w:r>
        <w:rPr>
          <w:rFonts w:hint="eastAsia" w:ascii="宋体" w:cs="宋体"/>
          <w:b w:val="0"/>
          <w:bCs w:val="0"/>
          <w:color w:val="auto"/>
          <w:lang w:val="en-US" w:eastAsia="zh-CN"/>
        </w:rPr>
        <w:t>裁判员及竞赛官员、</w:t>
      </w:r>
      <w:r>
        <w:rPr>
          <w:rFonts w:hint="eastAsia" w:ascii="宋体" w:eastAsia="宋体" w:cs="宋体"/>
          <w:b w:val="0"/>
          <w:bCs w:val="0"/>
          <w:color w:val="auto"/>
        </w:rPr>
        <w:t>场地工作人员及辅助人员</w:t>
      </w:r>
      <w:r>
        <w:rPr>
          <w:rFonts w:hint="eastAsia" w:ascii="宋体" w:cs="宋体"/>
          <w:b w:val="0"/>
          <w:bCs w:val="0"/>
          <w:color w:val="auto"/>
          <w:lang w:val="en-US" w:eastAsia="zh-CN"/>
        </w:rPr>
        <w:t>劳务费（按&lt;中国棒球协会服务类收费和劳务人员酬金指导标准（试行）&gt;执行）</w:t>
      </w:r>
      <w:r>
        <w:rPr>
          <w:rFonts w:hint="eastAsia" w:ascii="宋体" w:eastAsia="宋体" w:cs="宋体"/>
          <w:b w:val="0"/>
          <w:bCs w:val="0"/>
          <w:color w:val="auto"/>
        </w:rPr>
        <w:t>、物料制作和媒体宣传等</w:t>
      </w:r>
      <w:r>
        <w:rPr>
          <w:rFonts w:hint="eastAsia" w:ascii="宋体" w:cs="宋体"/>
          <w:b w:val="0"/>
          <w:bCs w:val="0"/>
          <w:color w:val="auto"/>
          <w:lang w:val="en-US" w:eastAsia="zh-CN"/>
        </w:rPr>
        <w:t>其他费用</w:t>
      </w:r>
      <w:r>
        <w:rPr>
          <w:rFonts w:hint="eastAsia" w:ascii="宋体" w:eastAsia="宋体" w:cs="宋体"/>
          <w:b w:val="0"/>
          <w:bCs w:val="0"/>
          <w:color w:val="auto"/>
        </w:rPr>
        <w:t>支出。</w:t>
      </w:r>
    </w:p>
    <w:p w14:paraId="3BDA7BB3">
      <w:pPr>
        <w:pStyle w:val="10"/>
        <w:numPr>
          <w:ilvl w:val="-1"/>
          <w:numId w:val="0"/>
        </w:numPr>
        <w:spacing w:line="360" w:lineRule="auto"/>
        <w:ind w:firstLine="480" w:firstLineChars="200"/>
        <w:rPr>
          <w:rFonts w:hint="default" w:ascii="宋体" w:eastAsia="宋体" w:cs="宋体"/>
          <w:b w:val="0"/>
          <w:bCs w:val="0"/>
          <w:color w:val="auto"/>
          <w:lang w:val="en-US" w:eastAsia="zh-CN"/>
        </w:rPr>
      </w:pPr>
      <w:r>
        <w:rPr>
          <w:rFonts w:hint="eastAsia" w:ascii="宋体" w:cs="宋体"/>
          <w:b w:val="0"/>
          <w:bCs w:val="0"/>
          <w:color w:val="auto"/>
          <w:lang w:val="en-US" w:eastAsia="zh-CN"/>
        </w:rPr>
        <w:t>（5）宣传方案策划执行</w:t>
      </w:r>
    </w:p>
    <w:p w14:paraId="6A676F2E">
      <w:pPr>
        <w:pStyle w:val="10"/>
        <w:spacing w:line="360" w:lineRule="auto"/>
        <w:ind w:firstLine="480" w:firstLineChars="200"/>
        <w:rPr>
          <w:rFonts w:hint="eastAsia" w:ascii="宋体" w:eastAsia="宋体" w:cs="宋体"/>
          <w:b w:val="0"/>
          <w:bCs w:val="0"/>
          <w:color w:val="auto"/>
        </w:rPr>
      </w:pPr>
      <w:r>
        <w:rPr>
          <w:rFonts w:hint="eastAsia" w:ascii="宋体" w:cs="宋体"/>
          <w:b w:val="0"/>
          <w:bCs w:val="0"/>
          <w:color w:val="auto"/>
          <w:lang w:val="en-US" w:eastAsia="zh-CN"/>
        </w:rPr>
        <w:t>（6）市场开发方案策划执行</w:t>
      </w:r>
    </w:p>
    <w:p w14:paraId="557B8B73">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4.</w:t>
      </w:r>
      <w:r>
        <w:rPr>
          <w:rFonts w:hint="eastAsia"/>
          <w:b w:val="0"/>
          <w:bCs w:val="0"/>
          <w:lang w:val="en-US" w:eastAsia="zh-CN"/>
        </w:rPr>
        <w:t>赛</w:t>
      </w:r>
      <w:r>
        <w:rPr>
          <w:rFonts w:hint="eastAsia" w:ascii="宋体" w:eastAsia="宋体" w:cs="宋体"/>
          <w:b w:val="0"/>
          <w:bCs w:val="0"/>
          <w:color w:val="auto"/>
        </w:rPr>
        <w:t>事承办及执行代理工作范围</w:t>
      </w:r>
    </w:p>
    <w:p w14:paraId="0CFDF8D1">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（1）赛事承办包括：制定赛事计划、制定实施方案、制定现场安保及疏散方案、</w:t>
      </w:r>
      <w:r>
        <w:rPr>
          <w:rFonts w:hint="eastAsia" w:ascii="宋体" w:cs="宋体"/>
          <w:b w:val="0"/>
          <w:bCs w:val="0"/>
          <w:color w:val="auto"/>
          <w:lang w:val="en-US" w:eastAsia="zh-CN"/>
        </w:rPr>
        <w:t>公安报备、</w:t>
      </w:r>
      <w:r>
        <w:rPr>
          <w:rFonts w:hint="eastAsia" w:ascii="宋体" w:eastAsia="宋体" w:cs="宋体"/>
          <w:b w:val="0"/>
          <w:bCs w:val="0"/>
          <w:color w:val="auto"/>
        </w:rPr>
        <w:t>制定现场医疗保障方案</w:t>
      </w:r>
      <w:r>
        <w:rPr>
          <w:rFonts w:hint="eastAsia" w:ascii="宋体" w:cs="宋体"/>
          <w:b w:val="0"/>
          <w:bCs w:val="0"/>
          <w:color w:val="auto"/>
          <w:lang w:val="en-US" w:eastAsia="zh-CN"/>
        </w:rPr>
        <w:t>等其他有关方案策划</w:t>
      </w:r>
      <w:r>
        <w:rPr>
          <w:rFonts w:hint="eastAsia" w:ascii="宋体" w:eastAsia="宋体" w:cs="宋体"/>
          <w:b w:val="0"/>
          <w:bCs w:val="0"/>
          <w:color w:val="auto"/>
        </w:rPr>
        <w:t>。</w:t>
      </w:r>
    </w:p>
    <w:p w14:paraId="5F9D75FC">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（2）物料制作包括：</w:t>
      </w:r>
      <w:r>
        <w:rPr>
          <w:rFonts w:hint="eastAsia" w:ascii="宋体" w:cs="宋体"/>
          <w:b w:val="0"/>
          <w:bCs w:val="0"/>
          <w:color w:val="auto"/>
          <w:lang w:val="en-US" w:eastAsia="zh-CN"/>
        </w:rPr>
        <w:t>主视觉</w:t>
      </w:r>
      <w:r>
        <w:rPr>
          <w:rFonts w:hint="eastAsia" w:ascii="宋体" w:eastAsia="宋体" w:cs="宋体"/>
          <w:b w:val="0"/>
          <w:bCs w:val="0"/>
          <w:color w:val="auto"/>
        </w:rPr>
        <w:t>、</w:t>
      </w:r>
      <w:r>
        <w:rPr>
          <w:rFonts w:hint="eastAsia" w:ascii="宋体" w:cs="宋体"/>
          <w:b w:val="0"/>
          <w:bCs w:val="0"/>
          <w:color w:val="auto"/>
          <w:lang w:val="en-US" w:eastAsia="zh-CN"/>
        </w:rPr>
        <w:t>条</w:t>
      </w:r>
      <w:r>
        <w:rPr>
          <w:rFonts w:hint="eastAsia" w:ascii="宋体" w:eastAsia="宋体" w:cs="宋体"/>
          <w:b w:val="0"/>
          <w:bCs w:val="0"/>
          <w:color w:val="auto"/>
        </w:rPr>
        <w:t>幅设计、喷绘广告、写真广告、效果图及有关宣传资料的</w:t>
      </w:r>
      <w:r>
        <w:rPr>
          <w:rFonts w:hint="eastAsia" w:ascii="宋体" w:cs="宋体"/>
          <w:b w:val="0"/>
          <w:bCs w:val="0"/>
          <w:color w:val="auto"/>
          <w:lang w:val="en-US" w:eastAsia="zh-CN"/>
        </w:rPr>
        <w:t>设计制作和安装发放，赛场</w:t>
      </w:r>
      <w:r>
        <w:rPr>
          <w:rFonts w:hint="eastAsia" w:ascii="宋体" w:eastAsia="宋体" w:cs="宋体"/>
          <w:b w:val="0"/>
          <w:bCs w:val="0"/>
          <w:color w:val="auto"/>
        </w:rPr>
        <w:t>指示牌、展板旗帜、横幅、奖品纪念品、</w:t>
      </w:r>
      <w:r>
        <w:rPr>
          <w:rFonts w:hint="eastAsia" w:ascii="宋体" w:cs="宋体"/>
          <w:b w:val="0"/>
          <w:bCs w:val="0"/>
          <w:color w:val="auto"/>
          <w:lang w:val="en-US" w:eastAsia="zh-CN"/>
        </w:rPr>
        <w:t>礼宾物资</w:t>
      </w:r>
      <w:r>
        <w:rPr>
          <w:rFonts w:hint="eastAsia" w:ascii="宋体" w:eastAsia="宋体" w:cs="宋体"/>
          <w:b w:val="0"/>
          <w:bCs w:val="0"/>
          <w:color w:val="auto"/>
        </w:rPr>
        <w:t>的</w:t>
      </w:r>
      <w:r>
        <w:rPr>
          <w:rFonts w:hint="eastAsia" w:ascii="宋体" w:cs="宋体"/>
          <w:b w:val="0"/>
          <w:bCs w:val="0"/>
          <w:color w:val="auto"/>
          <w:lang w:val="en-US" w:eastAsia="zh-CN"/>
        </w:rPr>
        <w:t>设计</w:t>
      </w:r>
      <w:r>
        <w:rPr>
          <w:rFonts w:hint="eastAsia" w:ascii="宋体" w:eastAsia="宋体" w:cs="宋体"/>
          <w:b w:val="0"/>
          <w:bCs w:val="0"/>
          <w:color w:val="auto"/>
        </w:rPr>
        <w:t>制作和安装</w:t>
      </w:r>
      <w:r>
        <w:rPr>
          <w:rFonts w:hint="eastAsia" w:ascii="宋体" w:cs="宋体"/>
          <w:b w:val="0"/>
          <w:bCs w:val="0"/>
          <w:color w:val="auto"/>
          <w:lang w:val="en-US" w:eastAsia="zh-CN"/>
        </w:rPr>
        <w:t>发放</w:t>
      </w:r>
      <w:r>
        <w:rPr>
          <w:rFonts w:hint="eastAsia" w:ascii="宋体" w:eastAsia="宋体" w:cs="宋体"/>
          <w:b w:val="0"/>
          <w:bCs w:val="0"/>
          <w:color w:val="auto"/>
        </w:rPr>
        <w:t>等。</w:t>
      </w:r>
    </w:p>
    <w:p w14:paraId="2BEE284E">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（3）赛事执行包括：</w:t>
      </w:r>
      <w:r>
        <w:rPr>
          <w:rFonts w:hint="eastAsia" w:ascii="宋体" w:cs="宋体"/>
          <w:b w:val="0"/>
          <w:bCs w:val="0"/>
          <w:color w:val="auto"/>
          <w:lang w:val="en-US" w:eastAsia="zh-CN"/>
        </w:rPr>
        <w:t>人员统筹、开闭幕式等活动</w:t>
      </w:r>
      <w:r>
        <w:rPr>
          <w:rFonts w:hint="eastAsia" w:ascii="宋体" w:eastAsia="宋体" w:cs="宋体"/>
          <w:b w:val="0"/>
          <w:bCs w:val="0"/>
          <w:color w:val="auto"/>
        </w:rPr>
        <w:t>承办、人员签到、</w:t>
      </w:r>
      <w:r>
        <w:rPr>
          <w:rFonts w:hint="eastAsia" w:ascii="宋体" w:cs="宋体"/>
          <w:b w:val="0"/>
          <w:bCs w:val="0"/>
          <w:color w:val="auto"/>
          <w:lang w:val="en-US" w:eastAsia="zh-CN"/>
        </w:rPr>
        <w:t>赛前会议筹备、</w:t>
      </w:r>
      <w:r>
        <w:rPr>
          <w:rFonts w:hint="eastAsia" w:ascii="宋体" w:eastAsia="宋体" w:cs="宋体"/>
          <w:b w:val="0"/>
          <w:bCs w:val="0"/>
          <w:color w:val="auto"/>
        </w:rPr>
        <w:t>人员接待、交通</w:t>
      </w:r>
      <w:r>
        <w:rPr>
          <w:rFonts w:hint="eastAsia" w:ascii="宋体" w:cs="宋体"/>
          <w:b w:val="0"/>
          <w:bCs w:val="0"/>
          <w:color w:val="auto"/>
          <w:lang w:val="en-US" w:eastAsia="zh-CN"/>
        </w:rPr>
        <w:t>安排</w:t>
      </w:r>
      <w:r>
        <w:rPr>
          <w:rFonts w:hint="eastAsia" w:ascii="宋体" w:eastAsia="宋体" w:cs="宋体"/>
          <w:b w:val="0"/>
          <w:bCs w:val="0"/>
          <w:color w:val="auto"/>
        </w:rPr>
        <w:t>、</w:t>
      </w:r>
      <w:r>
        <w:rPr>
          <w:rFonts w:hint="eastAsia" w:ascii="宋体" w:cs="宋体"/>
          <w:b w:val="0"/>
          <w:bCs w:val="0"/>
          <w:color w:val="auto"/>
          <w:lang w:val="en-US" w:eastAsia="zh-CN"/>
        </w:rPr>
        <w:t>现场协调、费用</w:t>
      </w:r>
      <w:r>
        <w:rPr>
          <w:rFonts w:hint="eastAsia" w:ascii="宋体" w:eastAsia="宋体" w:cs="宋体"/>
          <w:b w:val="0"/>
          <w:bCs w:val="0"/>
          <w:color w:val="auto"/>
        </w:rPr>
        <w:t>发放、项目推介活动、</w:t>
      </w:r>
      <w:r>
        <w:rPr>
          <w:rFonts w:hint="eastAsia" w:ascii="宋体" w:cs="宋体"/>
          <w:b w:val="0"/>
          <w:bCs w:val="0"/>
          <w:color w:val="auto"/>
          <w:lang w:val="en-US" w:eastAsia="zh-CN"/>
        </w:rPr>
        <w:t>媒体宣传</w:t>
      </w:r>
      <w:r>
        <w:rPr>
          <w:rFonts w:hint="eastAsia" w:ascii="宋体" w:eastAsia="宋体" w:cs="宋体"/>
          <w:b w:val="0"/>
          <w:bCs w:val="0"/>
          <w:color w:val="auto"/>
        </w:rPr>
        <w:t>等。</w:t>
      </w:r>
    </w:p>
    <w:p w14:paraId="0710128D">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5.赛事具体服务要求</w:t>
      </w:r>
    </w:p>
    <w:p w14:paraId="5611310E">
      <w:pPr>
        <w:pStyle w:val="10"/>
        <w:spacing w:line="360" w:lineRule="auto"/>
        <w:ind w:firstLine="540"/>
        <w:rPr>
          <w:rFonts w:hint="default" w:ascii="宋体" w:eastAsia="宋体" w:cs="宋体"/>
          <w:b w:val="0"/>
          <w:bCs w:val="0"/>
          <w:color w:val="auto"/>
          <w:lang w:val="en-US" w:eastAsia="zh-CN"/>
        </w:rPr>
      </w:pPr>
      <w:r>
        <w:rPr>
          <w:rFonts w:hint="eastAsia" w:ascii="宋体" w:eastAsia="宋体" w:cs="宋体"/>
          <w:b w:val="0"/>
          <w:bCs w:val="0"/>
          <w:color w:val="auto"/>
        </w:rPr>
        <w:t>（1）网络转播</w:t>
      </w:r>
      <w:r>
        <w:rPr>
          <w:rFonts w:hint="eastAsia" w:ascii="宋体" w:cs="宋体"/>
          <w:b w:val="0"/>
          <w:bCs w:val="0"/>
          <w:color w:val="auto"/>
          <w:lang w:val="en-US" w:eastAsia="zh-CN"/>
        </w:rPr>
        <w:t>总决赛全部场次</w:t>
      </w:r>
      <w:r>
        <w:rPr>
          <w:rFonts w:hint="eastAsia" w:ascii="宋体" w:eastAsia="宋体" w:cs="宋体"/>
          <w:b w:val="0"/>
          <w:bCs w:val="0"/>
          <w:color w:val="auto"/>
        </w:rPr>
        <w:t>，转播平台不少于两个。制作转播团队应有棒球比赛电视级转播经验，并</w:t>
      </w:r>
      <w:r>
        <w:rPr>
          <w:rFonts w:hint="eastAsia" w:ascii="宋体" w:eastAsia="宋体" w:cs="宋体"/>
          <w:b w:val="0"/>
          <w:bCs w:val="0"/>
          <w:color w:val="auto"/>
          <w:highlight w:val="none"/>
        </w:rPr>
        <w:t>不少于30场次的转</w:t>
      </w:r>
      <w:r>
        <w:rPr>
          <w:rFonts w:hint="eastAsia" w:ascii="宋体" w:eastAsia="宋体" w:cs="宋体"/>
          <w:b w:val="0"/>
          <w:bCs w:val="0"/>
          <w:color w:val="auto"/>
        </w:rPr>
        <w:t>播经验。</w:t>
      </w:r>
      <w:r>
        <w:rPr>
          <w:rFonts w:hint="eastAsia" w:ascii="宋体" w:cs="宋体"/>
          <w:b w:val="0"/>
          <w:bCs w:val="0"/>
          <w:color w:val="auto"/>
          <w:lang w:val="en-US" w:eastAsia="zh-CN"/>
        </w:rPr>
        <w:t>符合曝光要求的照片照片每站不少于50张，并上传赛事照片流。</w:t>
      </w:r>
    </w:p>
    <w:p w14:paraId="1E96E8FF">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（2）提供赛事承办及执行情况的书面报告及相关资料。</w:t>
      </w:r>
    </w:p>
    <w:p w14:paraId="1C2FE4E4">
      <w:pPr>
        <w:pStyle w:val="10"/>
        <w:spacing w:line="360" w:lineRule="auto"/>
        <w:ind w:firstLine="540"/>
        <w:rPr>
          <w:rFonts w:hint="eastAsia" w:ascii="宋体" w:eastAsia="宋体" w:cs="宋体"/>
          <w:b w:val="0"/>
          <w:bCs w:val="0"/>
          <w:color w:val="auto"/>
        </w:rPr>
      </w:pPr>
      <w:r>
        <w:rPr>
          <w:rFonts w:hint="eastAsia" w:ascii="宋体" w:eastAsia="宋体" w:cs="宋体"/>
          <w:b w:val="0"/>
          <w:bCs w:val="0"/>
          <w:color w:val="auto"/>
        </w:rPr>
        <w:t>（3）负责</w:t>
      </w:r>
      <w:r>
        <w:rPr>
          <w:rFonts w:hint="eastAsia" w:ascii="宋体" w:cs="宋体"/>
          <w:b w:val="0"/>
          <w:bCs w:val="0"/>
          <w:color w:val="auto"/>
          <w:lang w:val="en-US" w:eastAsia="zh-CN"/>
        </w:rPr>
        <w:t>媒体宣传方案制定</w:t>
      </w:r>
      <w:r>
        <w:rPr>
          <w:rFonts w:hint="eastAsia" w:ascii="宋体" w:eastAsia="宋体" w:cs="宋体"/>
          <w:b w:val="0"/>
          <w:bCs w:val="0"/>
          <w:color w:val="auto"/>
        </w:rPr>
        <w:t>，</w:t>
      </w:r>
      <w:r>
        <w:rPr>
          <w:rFonts w:hint="eastAsia" w:ascii="宋体" w:cs="宋体"/>
          <w:b w:val="0"/>
          <w:bCs w:val="0"/>
          <w:color w:val="auto"/>
          <w:lang w:val="en-US" w:eastAsia="zh-CN"/>
        </w:rPr>
        <w:t>包括但不限于</w:t>
      </w:r>
      <w:r>
        <w:rPr>
          <w:rFonts w:hint="eastAsia" w:ascii="宋体" w:eastAsia="宋体" w:cs="宋体"/>
          <w:b w:val="0"/>
          <w:bCs w:val="0"/>
          <w:color w:val="auto"/>
        </w:rPr>
        <w:t>主视觉、条幅设计、喷绘广告、写真广告、效果图及有关宣传资料的设计制作和安装发放</w:t>
      </w:r>
      <w:r>
        <w:rPr>
          <w:rFonts w:hint="eastAsia" w:ascii="宋体" w:cs="宋体"/>
          <w:b w:val="0"/>
          <w:bCs w:val="0"/>
          <w:color w:val="auto"/>
          <w:lang w:eastAsia="zh-CN"/>
        </w:rPr>
        <w:t>；</w:t>
      </w:r>
      <w:r>
        <w:rPr>
          <w:rFonts w:hint="eastAsia" w:ascii="宋体" w:cs="宋体"/>
          <w:b w:val="0"/>
          <w:bCs w:val="0"/>
          <w:color w:val="auto"/>
          <w:lang w:val="en-US" w:eastAsia="zh-CN"/>
        </w:rPr>
        <w:t>媒体宣传矩阵和宣传方案，</w:t>
      </w:r>
      <w:r>
        <w:rPr>
          <w:rFonts w:hint="eastAsia" w:ascii="宋体" w:eastAsia="宋体" w:cs="宋体"/>
          <w:b w:val="0"/>
          <w:bCs w:val="0"/>
          <w:color w:val="auto"/>
        </w:rPr>
        <w:t>并负担相关费用。</w:t>
      </w:r>
    </w:p>
    <w:p w14:paraId="5BA3A1A6">
      <w:pPr>
        <w:pStyle w:val="10"/>
        <w:spacing w:line="360" w:lineRule="auto"/>
        <w:ind w:firstLine="540"/>
        <w:rPr>
          <w:rFonts w:hint="default" w:ascii="宋体" w:eastAsia="宋体" w:cs="宋体"/>
          <w:b w:val="0"/>
          <w:bCs w:val="0"/>
          <w:color w:val="auto"/>
          <w:lang w:val="en-US" w:eastAsia="zh-CN"/>
        </w:rPr>
      </w:pPr>
      <w:r>
        <w:rPr>
          <w:rFonts w:hint="eastAsia" w:ascii="宋体" w:cs="宋体"/>
          <w:b w:val="0"/>
          <w:bCs w:val="0"/>
          <w:color w:val="auto"/>
          <w:lang w:eastAsia="zh-CN"/>
        </w:rPr>
        <w:t>（</w:t>
      </w:r>
      <w:r>
        <w:rPr>
          <w:rFonts w:hint="eastAsia" w:ascii="宋体" w:cs="宋体"/>
          <w:b w:val="0"/>
          <w:bCs w:val="0"/>
          <w:color w:val="auto"/>
          <w:lang w:val="en-US" w:eastAsia="zh-CN"/>
        </w:rPr>
        <w:t>4</w:t>
      </w:r>
      <w:r>
        <w:rPr>
          <w:rFonts w:hint="eastAsia" w:ascii="宋体" w:cs="宋体"/>
          <w:b w:val="0"/>
          <w:bCs w:val="0"/>
          <w:color w:val="auto"/>
          <w:lang w:eastAsia="zh-CN"/>
        </w:rPr>
        <w:t>）</w:t>
      </w:r>
      <w:r>
        <w:rPr>
          <w:rFonts w:hint="eastAsia" w:ascii="宋体" w:cs="宋体"/>
          <w:b w:val="0"/>
          <w:bCs w:val="0"/>
          <w:color w:val="auto"/>
          <w:lang w:val="en-US" w:eastAsia="zh-CN"/>
        </w:rPr>
        <w:t>负责赛事市场开发方案的制定，包括但不限于赞助商权益开发计划和特许商品计划。</w:t>
      </w:r>
    </w:p>
    <w:p w14:paraId="120309FB">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w:t>
      </w:r>
      <w:r>
        <w:rPr>
          <w:rFonts w:hint="eastAsia" w:ascii="宋体" w:cs="宋体"/>
          <w:b w:val="0"/>
          <w:bCs w:val="0"/>
          <w:color w:val="auto"/>
          <w:lang w:val="en-US" w:eastAsia="zh-CN"/>
        </w:rPr>
        <w:t>5</w:t>
      </w:r>
      <w:r>
        <w:rPr>
          <w:rFonts w:hint="eastAsia" w:ascii="宋体" w:eastAsia="宋体" w:cs="宋体"/>
          <w:b w:val="0"/>
          <w:bCs w:val="0"/>
          <w:color w:val="auto"/>
        </w:rPr>
        <w:t>）负责赛事活动所需的展示场地及有关设备的租用、布置，参加人员的交通费、餐费补助及劳务费，以及视项目需要赴场外进行承办活动所需的费用等。</w:t>
      </w:r>
    </w:p>
    <w:p w14:paraId="0EE003B4">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w:t>
      </w:r>
      <w:r>
        <w:rPr>
          <w:rFonts w:hint="eastAsia" w:ascii="宋体" w:cs="宋体"/>
          <w:b w:val="0"/>
          <w:bCs w:val="0"/>
          <w:color w:val="auto"/>
          <w:lang w:val="en-US" w:eastAsia="zh-CN"/>
        </w:rPr>
        <w:t>6</w:t>
      </w:r>
      <w:r>
        <w:rPr>
          <w:rFonts w:hint="eastAsia" w:ascii="宋体" w:eastAsia="宋体" w:cs="宋体"/>
          <w:b w:val="0"/>
          <w:bCs w:val="0"/>
          <w:color w:val="auto"/>
        </w:rPr>
        <w:t>）重视赛区的组织管理和领导工作，成立精干、高效的组委会负责赛事的筹备、组织和承办工作，积极协调，密切合作。</w:t>
      </w:r>
    </w:p>
    <w:p w14:paraId="3B6A901F">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w:t>
      </w:r>
      <w:r>
        <w:rPr>
          <w:rFonts w:hint="eastAsia" w:ascii="宋体" w:cs="宋体"/>
          <w:b w:val="0"/>
          <w:bCs w:val="0"/>
          <w:color w:val="auto"/>
          <w:lang w:val="en-US" w:eastAsia="zh-CN"/>
        </w:rPr>
        <w:t>7</w:t>
      </w:r>
      <w:r>
        <w:rPr>
          <w:rFonts w:hint="eastAsia" w:ascii="宋体" w:eastAsia="宋体" w:cs="宋体"/>
          <w:b w:val="0"/>
          <w:bCs w:val="0"/>
          <w:color w:val="auto"/>
        </w:rPr>
        <w:t>）按棒球竞赛要求，做好比赛场地、热身场地和辅助器材的准备，以保证竞赛运行的顺利实施。</w:t>
      </w:r>
    </w:p>
    <w:p w14:paraId="010FCF50">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w:t>
      </w:r>
      <w:r>
        <w:rPr>
          <w:rFonts w:hint="eastAsia" w:ascii="宋体" w:cs="宋体"/>
          <w:b w:val="0"/>
          <w:bCs w:val="0"/>
          <w:color w:val="auto"/>
          <w:lang w:val="en-US" w:eastAsia="zh-CN"/>
        </w:rPr>
        <w:t>8</w:t>
      </w:r>
      <w:r>
        <w:rPr>
          <w:rFonts w:hint="eastAsia" w:ascii="宋体" w:eastAsia="宋体" w:cs="宋体"/>
          <w:b w:val="0"/>
          <w:bCs w:val="0"/>
          <w:color w:val="auto"/>
        </w:rPr>
        <w:t>）负责运动队和指派工作人员的食宿接待及差旅费和竞赛补贴，并确保参赛人员的食宿安全。工作人员与运动队食宿分开。负责安排往返比赛场地的交通。总决赛协会工作人员、裁判员及竞赛官员需提前至少1天抵达赛场，分站赛每站至少预留1个标间。</w:t>
      </w:r>
    </w:p>
    <w:p w14:paraId="744EC3E1">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w:t>
      </w:r>
      <w:r>
        <w:rPr>
          <w:rFonts w:hint="eastAsia" w:ascii="宋体" w:cs="宋体"/>
          <w:b w:val="0"/>
          <w:bCs w:val="0"/>
          <w:color w:val="auto"/>
          <w:lang w:val="en-US" w:eastAsia="zh-CN"/>
        </w:rPr>
        <w:t>9</w:t>
      </w:r>
      <w:r>
        <w:rPr>
          <w:rFonts w:hint="eastAsia" w:ascii="宋体" w:eastAsia="宋体" w:cs="宋体"/>
          <w:b w:val="0"/>
          <w:bCs w:val="0"/>
          <w:color w:val="auto"/>
        </w:rPr>
        <w:t>）工作人员预计人数：</w:t>
      </w:r>
    </w:p>
    <w:p w14:paraId="2A82B765">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总决赛：</w:t>
      </w:r>
      <w:r>
        <w:rPr>
          <w:rFonts w:hint="eastAsia" w:ascii="宋体" w:eastAsia="宋体" w:cs="宋体"/>
          <w:b w:val="0"/>
          <w:bCs w:val="0"/>
          <w:color w:val="auto"/>
          <w:highlight w:val="yellow"/>
        </w:rPr>
        <w:t>协会人员</w:t>
      </w:r>
      <w:r>
        <w:rPr>
          <w:rFonts w:hint="eastAsia" w:ascii="宋体" w:eastAsia="宋体" w:cs="宋体"/>
          <w:b w:val="0"/>
          <w:bCs w:val="0"/>
          <w:color w:val="auto"/>
          <w:highlight w:val="yellow"/>
          <w:lang w:val="en-US" w:eastAsia="zh-CN"/>
        </w:rPr>
        <w:t>6</w:t>
      </w:r>
      <w:r>
        <w:rPr>
          <w:rFonts w:hint="eastAsia" w:ascii="宋体" w:eastAsia="宋体" w:cs="宋体"/>
          <w:b w:val="0"/>
          <w:bCs w:val="0"/>
          <w:color w:val="auto"/>
          <w:highlight w:val="yellow"/>
        </w:rPr>
        <w:t>人</w:t>
      </w:r>
      <w:r>
        <w:rPr>
          <w:rFonts w:hint="eastAsia" w:ascii="宋体" w:eastAsia="宋体" w:cs="宋体"/>
          <w:b w:val="0"/>
          <w:bCs w:val="0"/>
          <w:color w:val="auto"/>
        </w:rPr>
        <w:t>，</w:t>
      </w:r>
      <w:r>
        <w:rPr>
          <w:rFonts w:hint="eastAsia" w:ascii="宋体" w:eastAsia="宋体" w:cs="宋体"/>
          <w:b w:val="0"/>
          <w:bCs w:val="0"/>
          <w:color w:val="auto"/>
          <w:highlight w:val="yellow"/>
        </w:rPr>
        <w:t>技术委员长1人</w:t>
      </w:r>
      <w:r>
        <w:rPr>
          <w:rFonts w:hint="eastAsia" w:ascii="宋体" w:eastAsia="宋体" w:cs="宋体"/>
          <w:b w:val="0"/>
          <w:bCs w:val="0"/>
          <w:color w:val="auto"/>
        </w:rPr>
        <w:t>，技术委员3人，裁判长1人，副裁判长2人，裁判员16人，记录长1人，记录员8人。</w:t>
      </w:r>
    </w:p>
    <w:p w14:paraId="20EDCDB6">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分</w:t>
      </w:r>
      <w:r>
        <w:rPr>
          <w:rFonts w:hint="eastAsia" w:ascii="宋体" w:eastAsia="宋体" w:cs="宋体"/>
          <w:b w:val="0"/>
          <w:bCs w:val="0"/>
          <w:color w:val="auto"/>
          <w:lang w:val="en-US" w:eastAsia="zh-CN"/>
        </w:rPr>
        <w:t>站</w:t>
      </w:r>
      <w:r>
        <w:rPr>
          <w:rFonts w:hint="eastAsia" w:ascii="宋体" w:eastAsia="宋体" w:cs="宋体"/>
          <w:b w:val="0"/>
          <w:bCs w:val="0"/>
          <w:color w:val="auto"/>
        </w:rPr>
        <w:t>赛</w:t>
      </w:r>
      <w:r>
        <w:rPr>
          <w:rFonts w:hint="eastAsia" w:ascii="宋体" w:eastAsia="宋体" w:cs="宋体"/>
          <w:b w:val="0"/>
          <w:bCs w:val="0"/>
          <w:color w:val="auto"/>
          <w:lang w:eastAsia="zh-CN"/>
        </w:rPr>
        <w:t>（</w:t>
      </w:r>
      <w:r>
        <w:rPr>
          <w:rFonts w:hint="eastAsia" w:ascii="宋体" w:eastAsia="宋体" w:cs="宋体"/>
          <w:b w:val="0"/>
          <w:bCs w:val="0"/>
          <w:color w:val="auto"/>
          <w:lang w:val="en-US" w:eastAsia="zh-CN"/>
        </w:rPr>
        <w:t>每站</w:t>
      </w:r>
      <w:r>
        <w:rPr>
          <w:rFonts w:hint="eastAsia" w:ascii="宋体" w:eastAsia="宋体" w:cs="宋体"/>
          <w:b w:val="0"/>
          <w:bCs w:val="0"/>
          <w:color w:val="auto"/>
          <w:lang w:eastAsia="zh-CN"/>
        </w:rPr>
        <w:t>）</w:t>
      </w:r>
      <w:r>
        <w:rPr>
          <w:rFonts w:hint="eastAsia" w:ascii="宋体" w:eastAsia="宋体" w:cs="宋体"/>
          <w:b w:val="0"/>
          <w:bCs w:val="0"/>
          <w:color w:val="auto"/>
        </w:rPr>
        <w:t>：裁判长1人，裁判员</w:t>
      </w:r>
      <w:r>
        <w:rPr>
          <w:rFonts w:hint="eastAsia" w:ascii="宋体" w:eastAsia="宋体" w:cs="宋体"/>
          <w:b w:val="0"/>
          <w:bCs w:val="0"/>
          <w:color w:val="auto"/>
          <w:lang w:val="en-US" w:eastAsia="zh-CN"/>
        </w:rPr>
        <w:t>4</w:t>
      </w:r>
      <w:r>
        <w:rPr>
          <w:rFonts w:hint="eastAsia" w:ascii="宋体" w:eastAsia="宋体" w:cs="宋体"/>
          <w:b w:val="0"/>
          <w:bCs w:val="0"/>
          <w:color w:val="auto"/>
        </w:rPr>
        <w:t>人，记录员</w:t>
      </w:r>
      <w:r>
        <w:rPr>
          <w:rFonts w:hint="eastAsia" w:ascii="宋体" w:cs="宋体"/>
          <w:b w:val="0"/>
          <w:bCs w:val="0"/>
          <w:color w:val="auto"/>
          <w:lang w:val="en-US" w:eastAsia="zh-CN"/>
        </w:rPr>
        <w:t>2</w:t>
      </w:r>
      <w:r>
        <w:rPr>
          <w:rFonts w:hint="eastAsia" w:ascii="宋体" w:eastAsia="宋体" w:cs="宋体"/>
          <w:b w:val="0"/>
          <w:bCs w:val="0"/>
          <w:color w:val="auto"/>
        </w:rPr>
        <w:t>人</w:t>
      </w:r>
      <w:r>
        <w:rPr>
          <w:rFonts w:hint="eastAsia" w:ascii="宋体" w:eastAsia="宋体" w:cs="宋体"/>
          <w:b w:val="0"/>
          <w:bCs w:val="0"/>
          <w:color w:val="auto"/>
          <w:lang w:val="en-US" w:eastAsia="zh-CN"/>
        </w:rPr>
        <w:t>场地工作人员</w:t>
      </w:r>
      <w:r>
        <w:rPr>
          <w:rFonts w:hint="eastAsia" w:ascii="宋体" w:cs="宋体"/>
          <w:b w:val="0"/>
          <w:bCs w:val="0"/>
          <w:color w:val="auto"/>
          <w:lang w:val="en-US" w:eastAsia="zh-CN"/>
        </w:rPr>
        <w:t>若干（承办单位自行评估）</w:t>
      </w:r>
      <w:r>
        <w:rPr>
          <w:rFonts w:hint="eastAsia" w:ascii="宋体" w:eastAsia="宋体" w:cs="宋体"/>
          <w:b w:val="0"/>
          <w:bCs w:val="0"/>
          <w:color w:val="auto"/>
        </w:rPr>
        <w:t>。</w:t>
      </w:r>
    </w:p>
    <w:p w14:paraId="1E08A8C1">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w:t>
      </w:r>
      <w:r>
        <w:rPr>
          <w:rFonts w:hint="eastAsia" w:ascii="宋体" w:cs="宋体"/>
          <w:b w:val="0"/>
          <w:bCs w:val="0"/>
          <w:color w:val="auto"/>
          <w:lang w:val="en-US" w:eastAsia="zh-CN"/>
        </w:rPr>
        <w:t>10</w:t>
      </w:r>
      <w:r>
        <w:rPr>
          <w:rFonts w:hint="eastAsia" w:ascii="宋体" w:eastAsia="宋体" w:cs="宋体"/>
          <w:b w:val="0"/>
          <w:bCs w:val="0"/>
          <w:color w:val="auto"/>
        </w:rPr>
        <w:t>）指派工作人员住房标准：</w:t>
      </w:r>
    </w:p>
    <w:p w14:paraId="446EAA6A">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① 技术委员长、裁判长、记录长、仲裁：单人间；</w:t>
      </w:r>
    </w:p>
    <w:p w14:paraId="2590B161">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② 其他工作人员：双人间；</w:t>
      </w:r>
    </w:p>
    <w:p w14:paraId="5F64A76E">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每个房间内需有独立卫生间，并提供24小时洗澡水。</w:t>
      </w:r>
    </w:p>
    <w:p w14:paraId="613C1338">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（1</w:t>
      </w:r>
      <w:r>
        <w:rPr>
          <w:rFonts w:hint="eastAsia" w:ascii="宋体" w:cs="宋体"/>
          <w:b w:val="0"/>
          <w:bCs w:val="0"/>
          <w:color w:val="auto"/>
          <w:lang w:val="en-US" w:eastAsia="zh-CN"/>
        </w:rPr>
        <w:t>1</w:t>
      </w:r>
      <w:r>
        <w:rPr>
          <w:rFonts w:hint="eastAsia" w:ascii="宋体" w:eastAsia="宋体" w:cs="宋体"/>
          <w:b w:val="0"/>
          <w:bCs w:val="0"/>
          <w:color w:val="auto"/>
        </w:rPr>
        <w:t>）运动队住房标准：</w:t>
      </w:r>
    </w:p>
    <w:p w14:paraId="18B52A62">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领队、教练员：2人间。如因不同性别，应给予合理安排。提供24小时洗澡水。</w:t>
      </w:r>
    </w:p>
    <w:p w14:paraId="55FCA4CF">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运动员：</w:t>
      </w:r>
      <w:r>
        <w:rPr>
          <w:rFonts w:hint="eastAsia" w:ascii="宋体" w:eastAsia="宋体" w:cs="宋体"/>
          <w:b w:val="0"/>
          <w:bCs w:val="0"/>
          <w:color w:val="auto"/>
          <w:highlight w:val="none"/>
        </w:rPr>
        <w:t>宾馆不得超过</w:t>
      </w:r>
      <w:r>
        <w:rPr>
          <w:rFonts w:hint="eastAsia" w:ascii="宋体" w:eastAsia="宋体" w:cs="宋体"/>
          <w:b w:val="0"/>
          <w:bCs w:val="0"/>
          <w:color w:val="auto"/>
          <w:highlight w:val="none"/>
          <w:lang w:val="en-US" w:eastAsia="zh-CN"/>
        </w:rPr>
        <w:t>4</w:t>
      </w:r>
      <w:r>
        <w:rPr>
          <w:rFonts w:hint="eastAsia" w:ascii="宋体" w:eastAsia="宋体" w:cs="宋体"/>
          <w:b w:val="0"/>
          <w:bCs w:val="0"/>
          <w:color w:val="auto"/>
          <w:highlight w:val="none"/>
        </w:rPr>
        <w:t>人间</w:t>
      </w:r>
      <w:r>
        <w:rPr>
          <w:rFonts w:hint="eastAsia" w:ascii="宋体" w:eastAsia="宋体" w:cs="宋体"/>
          <w:b w:val="0"/>
          <w:bCs w:val="0"/>
          <w:color w:val="auto"/>
        </w:rPr>
        <w:t>，内设卫生间和24小时澡水。</w:t>
      </w:r>
    </w:p>
    <w:p w14:paraId="14B1702E">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（1</w:t>
      </w:r>
      <w:r>
        <w:rPr>
          <w:rFonts w:hint="eastAsia" w:ascii="宋体" w:cs="宋体"/>
          <w:b w:val="0"/>
          <w:bCs w:val="0"/>
          <w:color w:val="auto"/>
          <w:lang w:val="en-US" w:eastAsia="zh-CN"/>
        </w:rPr>
        <w:t>2</w:t>
      </w:r>
      <w:r>
        <w:rPr>
          <w:rFonts w:hint="eastAsia" w:ascii="宋体" w:eastAsia="宋体" w:cs="宋体"/>
          <w:b w:val="0"/>
          <w:bCs w:val="0"/>
          <w:color w:val="auto"/>
        </w:rPr>
        <w:t>）伙食标准：自助餐。除组委会统一活动外，不得安排酒类。</w:t>
      </w:r>
    </w:p>
    <w:p w14:paraId="190F24E8">
      <w:pPr>
        <w:pStyle w:val="10"/>
        <w:spacing w:line="360" w:lineRule="auto"/>
        <w:ind w:firstLine="540"/>
        <w:rPr>
          <w:rFonts w:ascii="宋体" w:eastAsia="宋体" w:cs="宋体"/>
          <w:b w:val="0"/>
          <w:bCs w:val="0"/>
          <w:color w:val="auto"/>
          <w:highlight w:val="none"/>
        </w:rPr>
      </w:pPr>
      <w:r>
        <w:rPr>
          <w:rFonts w:hint="eastAsia" w:ascii="宋体" w:eastAsia="宋体" w:cs="宋体"/>
          <w:b w:val="0"/>
          <w:bCs w:val="0"/>
          <w:color w:val="auto"/>
        </w:rPr>
        <w:t>（1</w:t>
      </w:r>
      <w:r>
        <w:rPr>
          <w:rFonts w:hint="eastAsia" w:ascii="宋体" w:cs="宋体"/>
          <w:b w:val="0"/>
          <w:bCs w:val="0"/>
          <w:color w:val="auto"/>
          <w:lang w:val="en-US" w:eastAsia="zh-CN"/>
        </w:rPr>
        <w:t>3</w:t>
      </w:r>
      <w:r>
        <w:rPr>
          <w:rFonts w:hint="eastAsia" w:ascii="宋体" w:eastAsia="宋体" w:cs="宋体"/>
          <w:b w:val="0"/>
          <w:bCs w:val="0"/>
          <w:color w:val="auto"/>
          <w:highlight w:val="none"/>
        </w:rPr>
        <w:t>）负责秩序册、成绩册、比赛横幅、</w:t>
      </w:r>
      <w:r>
        <w:rPr>
          <w:rFonts w:hint="eastAsia" w:ascii="宋体" w:eastAsia="宋体" w:cs="宋体"/>
          <w:b w:val="0"/>
          <w:bCs w:val="0"/>
          <w:color w:val="auto"/>
          <w:highlight w:val="none"/>
          <w:lang w:val="en-US" w:eastAsia="zh-CN"/>
        </w:rPr>
        <w:t>各类</w:t>
      </w:r>
      <w:r>
        <w:rPr>
          <w:rFonts w:hint="eastAsia" w:ascii="宋体" w:eastAsia="宋体" w:cs="宋体"/>
          <w:b w:val="0"/>
          <w:bCs w:val="0"/>
          <w:color w:val="auto"/>
          <w:highlight w:val="none"/>
        </w:rPr>
        <w:t>奖</w:t>
      </w:r>
      <w:r>
        <w:rPr>
          <w:rFonts w:hint="eastAsia" w:ascii="宋体" w:eastAsia="宋体" w:cs="宋体"/>
          <w:b w:val="0"/>
          <w:bCs w:val="0"/>
          <w:color w:val="auto"/>
          <w:highlight w:val="none"/>
          <w:lang w:val="en-US" w:eastAsia="zh-CN"/>
        </w:rPr>
        <w:t>项</w:t>
      </w:r>
      <w:r>
        <w:rPr>
          <w:rFonts w:hint="eastAsia" w:ascii="宋体" w:eastAsia="宋体" w:cs="宋体"/>
          <w:b w:val="0"/>
          <w:bCs w:val="0"/>
          <w:color w:val="auto"/>
          <w:highlight w:val="none"/>
        </w:rPr>
        <w:t>锦旗、证书的印刷，医用冰块、</w:t>
      </w:r>
      <w:r>
        <w:rPr>
          <w:rFonts w:hint="eastAsia" w:ascii="宋体" w:cs="宋体"/>
          <w:b w:val="0"/>
          <w:bCs w:val="0"/>
          <w:color w:val="auto"/>
          <w:highlight w:val="none"/>
          <w:lang w:val="en-US" w:eastAsia="zh-CN"/>
        </w:rPr>
        <w:t>分站赛及总决赛</w:t>
      </w:r>
      <w:r>
        <w:rPr>
          <w:rFonts w:hint="eastAsia" w:ascii="宋体" w:eastAsia="宋体" w:cs="宋体"/>
          <w:b w:val="0"/>
          <w:bCs w:val="0"/>
          <w:color w:val="auto"/>
          <w:highlight w:val="none"/>
          <w:lang w:val="en-US" w:eastAsia="zh-CN"/>
        </w:rPr>
        <w:t>冠军奖杯、</w:t>
      </w:r>
      <w:r>
        <w:rPr>
          <w:rFonts w:hint="eastAsia" w:ascii="宋体" w:cs="宋体"/>
          <w:b w:val="0"/>
          <w:bCs w:val="0"/>
          <w:color w:val="auto"/>
          <w:highlight w:val="none"/>
          <w:lang w:val="en-US" w:eastAsia="zh-CN"/>
        </w:rPr>
        <w:t>总决赛</w:t>
      </w:r>
      <w:r>
        <w:rPr>
          <w:rFonts w:hint="eastAsia" w:ascii="宋体" w:eastAsia="宋体" w:cs="宋体"/>
          <w:b w:val="0"/>
          <w:bCs w:val="0"/>
          <w:color w:val="auto"/>
          <w:highlight w:val="none"/>
        </w:rPr>
        <w:t>前三名奖牌</w:t>
      </w:r>
      <w:r>
        <w:rPr>
          <w:rFonts w:hint="eastAsia" w:ascii="宋体" w:cs="宋体"/>
          <w:b w:val="0"/>
          <w:bCs w:val="0"/>
          <w:color w:val="auto"/>
          <w:highlight w:val="none"/>
          <w:lang w:val="en-US" w:eastAsia="zh-CN"/>
        </w:rPr>
        <w:t>和获奖证书</w:t>
      </w:r>
      <w:r>
        <w:rPr>
          <w:rFonts w:hint="eastAsia" w:ascii="宋体" w:eastAsia="宋体" w:cs="宋体"/>
          <w:b w:val="0"/>
          <w:bCs w:val="0"/>
          <w:color w:val="auto"/>
          <w:highlight w:val="none"/>
        </w:rPr>
        <w:t>、</w:t>
      </w:r>
      <w:r>
        <w:rPr>
          <w:rFonts w:hint="eastAsia" w:ascii="宋体" w:cs="宋体"/>
          <w:b w:val="0"/>
          <w:bCs w:val="0"/>
          <w:color w:val="auto"/>
          <w:highlight w:val="none"/>
          <w:lang w:val="en-US" w:eastAsia="zh-CN"/>
        </w:rPr>
        <w:t>总决赛U15组4-16名队伍和U18组4-8名队伍参赛证书</w:t>
      </w:r>
      <w:r>
        <w:rPr>
          <w:rFonts w:hint="eastAsia" w:ascii="宋体" w:eastAsia="宋体" w:cs="宋体"/>
          <w:b w:val="0"/>
          <w:bCs w:val="0"/>
          <w:color w:val="auto"/>
          <w:highlight w:val="none"/>
        </w:rPr>
        <w:t>，场地辅助器材等比赛相关物资。</w:t>
      </w:r>
    </w:p>
    <w:p w14:paraId="4B5B08AE">
      <w:pPr>
        <w:pStyle w:val="10"/>
        <w:spacing w:line="360" w:lineRule="auto"/>
        <w:ind w:firstLine="540"/>
        <w:rPr>
          <w:rFonts w:ascii="宋体" w:eastAsia="宋体" w:cs="宋体"/>
          <w:b w:val="0"/>
          <w:bCs w:val="0"/>
          <w:color w:val="auto"/>
          <w:highlight w:val="none"/>
        </w:rPr>
      </w:pPr>
      <w:r>
        <w:rPr>
          <w:rFonts w:hint="eastAsia" w:ascii="宋体" w:eastAsia="宋体" w:cs="宋体"/>
          <w:b w:val="0"/>
          <w:bCs w:val="0"/>
          <w:color w:val="auto"/>
          <w:highlight w:val="none"/>
        </w:rPr>
        <w:t>（1</w:t>
      </w:r>
      <w:r>
        <w:rPr>
          <w:rFonts w:hint="eastAsia" w:ascii="宋体" w:cs="宋体"/>
          <w:b w:val="0"/>
          <w:bCs w:val="0"/>
          <w:color w:val="auto"/>
          <w:highlight w:val="none"/>
          <w:lang w:val="en-US" w:eastAsia="zh-CN"/>
        </w:rPr>
        <w:t>4</w:t>
      </w:r>
      <w:r>
        <w:rPr>
          <w:rFonts w:hint="eastAsia" w:ascii="宋体" w:eastAsia="宋体" w:cs="宋体"/>
          <w:b w:val="0"/>
          <w:bCs w:val="0"/>
          <w:color w:val="auto"/>
          <w:highlight w:val="none"/>
        </w:rPr>
        <w:t>）提供组委会、技术会议场所，会议室内需放置简单音响设备，协助乙方做好会议相关工作。</w:t>
      </w:r>
    </w:p>
    <w:p w14:paraId="4D50A676">
      <w:pPr>
        <w:pStyle w:val="10"/>
        <w:spacing w:line="360" w:lineRule="auto"/>
        <w:ind w:firstLine="540"/>
        <w:rPr>
          <w:rFonts w:ascii="宋体" w:eastAsia="宋体" w:cs="宋体"/>
          <w:b w:val="0"/>
          <w:bCs w:val="0"/>
          <w:color w:val="auto"/>
        </w:rPr>
      </w:pPr>
      <w:r>
        <w:rPr>
          <w:rFonts w:hint="eastAsia" w:ascii="宋体" w:eastAsia="宋体" w:cs="宋体"/>
          <w:b w:val="0"/>
          <w:bCs w:val="0"/>
          <w:color w:val="auto"/>
          <w:highlight w:val="none"/>
        </w:rPr>
        <w:t>（1</w:t>
      </w:r>
      <w:r>
        <w:rPr>
          <w:rFonts w:hint="eastAsia" w:ascii="宋体" w:cs="宋体"/>
          <w:b w:val="0"/>
          <w:bCs w:val="0"/>
          <w:color w:val="auto"/>
          <w:highlight w:val="none"/>
          <w:lang w:val="en-US" w:eastAsia="zh-CN"/>
        </w:rPr>
        <w:t>5</w:t>
      </w:r>
      <w:r>
        <w:rPr>
          <w:rFonts w:hint="eastAsia" w:ascii="宋体" w:eastAsia="宋体" w:cs="宋体"/>
          <w:b w:val="0"/>
          <w:bCs w:val="0"/>
          <w:color w:val="auto"/>
          <w:highlight w:val="none"/>
        </w:rPr>
        <w:t>）做好开闭幕式和颁奖仪式方案和组织实施。</w:t>
      </w:r>
    </w:p>
    <w:p w14:paraId="752A9CCA">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（1</w:t>
      </w:r>
      <w:r>
        <w:rPr>
          <w:rFonts w:hint="eastAsia" w:ascii="宋体" w:cs="宋体"/>
          <w:b w:val="0"/>
          <w:bCs w:val="0"/>
          <w:color w:val="auto"/>
          <w:lang w:val="en-US" w:eastAsia="zh-CN"/>
        </w:rPr>
        <w:t>6</w:t>
      </w:r>
      <w:r>
        <w:rPr>
          <w:rFonts w:hint="eastAsia" w:ascii="宋体" w:eastAsia="宋体" w:cs="宋体"/>
          <w:b w:val="0"/>
          <w:bCs w:val="0"/>
          <w:color w:val="auto"/>
        </w:rPr>
        <w:t>）为参赛人员提供</w:t>
      </w:r>
      <w:r>
        <w:rPr>
          <w:rFonts w:hint="eastAsia" w:ascii="宋体" w:cs="宋体"/>
          <w:b w:val="0"/>
          <w:bCs w:val="0"/>
          <w:color w:val="auto"/>
          <w:lang w:val="en-US" w:eastAsia="zh-CN"/>
        </w:rPr>
        <w:t>救护车及</w:t>
      </w:r>
      <w:r>
        <w:rPr>
          <w:rFonts w:hint="eastAsia" w:ascii="宋体" w:eastAsia="宋体" w:cs="宋体"/>
          <w:b w:val="0"/>
          <w:bCs w:val="0"/>
          <w:color w:val="auto"/>
        </w:rPr>
        <w:t>必要的紧急救治服务，及时联系就近的医院，以便获得快速有效的诊治。</w:t>
      </w:r>
    </w:p>
    <w:p w14:paraId="0DDAFE6A">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（1</w:t>
      </w:r>
      <w:r>
        <w:rPr>
          <w:rFonts w:hint="eastAsia" w:ascii="宋体" w:cs="宋体"/>
          <w:b w:val="0"/>
          <w:bCs w:val="0"/>
          <w:color w:val="auto"/>
          <w:lang w:val="en-US" w:eastAsia="zh-CN"/>
        </w:rPr>
        <w:t>7</w:t>
      </w:r>
      <w:r>
        <w:rPr>
          <w:rFonts w:hint="eastAsia" w:ascii="宋体" w:eastAsia="宋体" w:cs="宋体"/>
          <w:b w:val="0"/>
          <w:bCs w:val="0"/>
          <w:color w:val="auto"/>
        </w:rPr>
        <w:t>）加强安保工作，保证赛区工作人员、运动员、教练员和观众的安全，并负责提供赛事期间的意外保险（包括运动员、教练员、技术人员、观众及工作人员等，确保赛事过程中发生的任何关联意外伤害都涵盖在保险范围内）并提供赛事承办的应急预案。</w:t>
      </w:r>
    </w:p>
    <w:p w14:paraId="2AC0618A">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（1</w:t>
      </w:r>
      <w:r>
        <w:rPr>
          <w:rFonts w:hint="eastAsia" w:ascii="宋体" w:cs="宋体"/>
          <w:b w:val="0"/>
          <w:bCs w:val="0"/>
          <w:color w:val="auto"/>
          <w:lang w:val="en-US" w:eastAsia="zh-CN"/>
        </w:rPr>
        <w:t>8</w:t>
      </w:r>
      <w:r>
        <w:rPr>
          <w:rFonts w:hint="eastAsia" w:ascii="宋体" w:eastAsia="宋体" w:cs="宋体"/>
          <w:b w:val="0"/>
          <w:bCs w:val="0"/>
          <w:color w:val="auto"/>
        </w:rPr>
        <w:t>）做好各项后勤保障工作，为参赛人员提供便利的生活服务。如：在场地和驻地设置信息栏，以便随时传递各类信息；确保运动队和裁判员的饮食卫生和营养搭配，统筹安排开饭时间，确保运动队方便就餐。</w:t>
      </w:r>
    </w:p>
    <w:p w14:paraId="180A1B14">
      <w:pPr>
        <w:pStyle w:val="10"/>
        <w:spacing w:line="360" w:lineRule="auto"/>
        <w:ind w:firstLine="540"/>
        <w:rPr>
          <w:rFonts w:ascii="宋体" w:eastAsia="宋体" w:cs="宋体"/>
          <w:b w:val="0"/>
          <w:bCs w:val="0"/>
          <w:color w:val="auto"/>
        </w:rPr>
      </w:pPr>
      <w:r>
        <w:rPr>
          <w:rFonts w:hint="eastAsia" w:ascii="宋体" w:eastAsia="宋体" w:cs="宋体"/>
          <w:b w:val="0"/>
          <w:bCs w:val="0"/>
          <w:color w:val="auto"/>
        </w:rPr>
        <w:t>（1</w:t>
      </w:r>
      <w:r>
        <w:rPr>
          <w:rFonts w:hint="eastAsia" w:ascii="宋体" w:cs="宋体"/>
          <w:b w:val="0"/>
          <w:bCs w:val="0"/>
          <w:color w:val="auto"/>
          <w:lang w:val="en-US" w:eastAsia="zh-CN"/>
        </w:rPr>
        <w:t>9</w:t>
      </w:r>
      <w:r>
        <w:rPr>
          <w:rFonts w:hint="eastAsia" w:ascii="宋体" w:eastAsia="宋体" w:cs="宋体"/>
          <w:b w:val="0"/>
          <w:bCs w:val="0"/>
          <w:color w:val="auto"/>
        </w:rPr>
        <w:t>）建议为当地观众提供观赛机会，以推广、普及棒球运动。</w:t>
      </w:r>
    </w:p>
    <w:p w14:paraId="216F80BA">
      <w:pPr>
        <w:pStyle w:val="10"/>
        <w:spacing w:line="360" w:lineRule="auto"/>
        <w:rPr>
          <w:rFonts w:ascii="宋体" w:eastAsia="宋体" w:cs="宋体"/>
        </w:rPr>
      </w:pPr>
      <w:r>
        <w:rPr>
          <w:rFonts w:hint="eastAsia" w:ascii="宋体" w:eastAsia="宋体" w:cs="宋体"/>
        </w:rPr>
        <w:t>（二）202</w:t>
      </w:r>
      <w:r>
        <w:rPr>
          <w:rFonts w:hint="eastAsia" w:ascii="宋体" w:eastAsia="宋体" w:cs="宋体"/>
          <w:lang w:val="en-US" w:eastAsia="zh-CN"/>
        </w:rPr>
        <w:t>5</w:t>
      </w:r>
      <w:r>
        <w:rPr>
          <w:rFonts w:hint="eastAsia" w:ascii="宋体" w:eastAsia="宋体" w:cs="宋体"/>
        </w:rPr>
        <w:t>年全国青少年棒球</w:t>
      </w:r>
      <w:r>
        <w:rPr>
          <w:rFonts w:hint="eastAsia" w:ascii="宋体" w:eastAsia="宋体" w:cs="宋体"/>
          <w:lang w:val="en-US" w:eastAsia="zh-CN"/>
        </w:rPr>
        <w:t>联</w:t>
      </w:r>
      <w:r>
        <w:rPr>
          <w:rFonts w:hint="eastAsia" w:ascii="宋体" w:eastAsia="宋体" w:cs="宋体"/>
        </w:rPr>
        <w:t>赛资料</w:t>
      </w:r>
      <w:r>
        <w:rPr>
          <w:rFonts w:hint="eastAsia" w:ascii="宋体" w:eastAsia="宋体" w:cs="宋体"/>
          <w:lang w:val="en-US" w:eastAsia="zh-CN"/>
        </w:rPr>
        <w:t>初审</w:t>
      </w:r>
    </w:p>
    <w:p w14:paraId="236B9750">
      <w:pPr>
        <w:pStyle w:val="10"/>
        <w:spacing w:line="360" w:lineRule="auto"/>
        <w:ind w:firstLine="540"/>
        <w:rPr>
          <w:rFonts w:hint="default" w:ascii="宋体" w:eastAsia="宋体" w:cs="宋体"/>
          <w:b w:val="0"/>
          <w:bCs w:val="0"/>
          <w:lang w:val="en-US" w:eastAsia="zh-CN"/>
        </w:rPr>
      </w:pPr>
      <w:r>
        <w:rPr>
          <w:rFonts w:hint="eastAsia" w:ascii="宋体" w:eastAsia="宋体" w:cs="宋体"/>
          <w:b w:val="0"/>
          <w:bCs w:val="0"/>
        </w:rPr>
        <w:t>1.赛事情况：202</w:t>
      </w:r>
      <w:r>
        <w:rPr>
          <w:rFonts w:hint="eastAsia" w:ascii="宋体" w:eastAsia="宋体" w:cs="宋体"/>
          <w:b w:val="0"/>
          <w:bCs w:val="0"/>
          <w:lang w:val="en-US" w:eastAsia="zh-CN"/>
        </w:rPr>
        <w:t>5</w:t>
      </w:r>
      <w:r>
        <w:rPr>
          <w:rFonts w:hint="eastAsia" w:ascii="宋体" w:eastAsia="宋体" w:cs="宋体"/>
          <w:b w:val="0"/>
          <w:bCs w:val="0"/>
        </w:rPr>
        <w:t>年全国青少年棒球</w:t>
      </w:r>
      <w:r>
        <w:rPr>
          <w:rFonts w:hint="eastAsia" w:ascii="宋体" w:eastAsia="宋体" w:cs="宋体"/>
          <w:b w:val="0"/>
          <w:bCs w:val="0"/>
          <w:lang w:val="en-US" w:eastAsia="zh-CN"/>
        </w:rPr>
        <w:t>联</w:t>
      </w:r>
      <w:r>
        <w:rPr>
          <w:rFonts w:hint="eastAsia" w:ascii="宋体" w:eastAsia="宋体" w:cs="宋体"/>
          <w:b w:val="0"/>
          <w:bCs w:val="0"/>
        </w:rPr>
        <w:t>赛设分站赛和总决赛，各组别总决赛暂定</w:t>
      </w:r>
      <w:r>
        <w:rPr>
          <w:rFonts w:hint="eastAsia" w:ascii="宋体" w:eastAsia="宋体" w:cs="宋体"/>
          <w:b w:val="0"/>
          <w:bCs w:val="0"/>
          <w:lang w:val="en-US" w:eastAsia="zh-CN"/>
        </w:rPr>
        <w:t>8</w:t>
      </w:r>
      <w:r>
        <w:rPr>
          <w:rFonts w:hint="eastAsia" w:ascii="宋体" w:cs="宋体"/>
          <w:b w:val="0"/>
          <w:bCs w:val="0"/>
          <w:lang w:val="en-US" w:eastAsia="zh-CN"/>
        </w:rPr>
        <w:t>下旬</w:t>
      </w:r>
      <w:r>
        <w:rPr>
          <w:rFonts w:hint="eastAsia" w:ascii="宋体" w:eastAsia="宋体" w:cs="宋体"/>
          <w:b w:val="0"/>
          <w:bCs w:val="0"/>
        </w:rPr>
        <w:t>月在</w:t>
      </w:r>
      <w:r>
        <w:rPr>
          <w:rFonts w:hint="eastAsia" w:ascii="宋体" w:eastAsia="宋体" w:cs="宋体"/>
          <w:b w:val="0"/>
          <w:bCs w:val="0"/>
          <w:lang w:val="en-US" w:eastAsia="zh-CN"/>
        </w:rPr>
        <w:t>广东中山</w:t>
      </w:r>
      <w:r>
        <w:rPr>
          <w:rFonts w:hint="eastAsia" w:ascii="宋体" w:eastAsia="宋体" w:cs="宋体"/>
          <w:b w:val="0"/>
          <w:bCs w:val="0"/>
        </w:rPr>
        <w:t>进行，预计202</w:t>
      </w:r>
      <w:r>
        <w:rPr>
          <w:rFonts w:hint="eastAsia" w:ascii="宋体" w:eastAsia="宋体" w:cs="宋体"/>
          <w:b w:val="0"/>
          <w:bCs w:val="0"/>
          <w:lang w:val="en-US" w:eastAsia="zh-CN"/>
        </w:rPr>
        <w:t>5</w:t>
      </w:r>
      <w:r>
        <w:rPr>
          <w:rFonts w:hint="eastAsia" w:ascii="宋体" w:eastAsia="宋体" w:cs="宋体"/>
          <w:b w:val="0"/>
          <w:bCs w:val="0"/>
        </w:rPr>
        <w:t>年有</w:t>
      </w:r>
      <w:r>
        <w:rPr>
          <w:rFonts w:hint="eastAsia" w:ascii="宋体" w:eastAsia="宋体" w:cs="宋体"/>
          <w:b w:val="0"/>
          <w:bCs w:val="0"/>
          <w:highlight w:val="yellow"/>
          <w:lang w:val="en-US" w:eastAsia="zh-CN"/>
        </w:rPr>
        <w:t>2</w:t>
      </w:r>
      <w:r>
        <w:rPr>
          <w:rFonts w:hint="eastAsia" w:ascii="宋体" w:cs="宋体"/>
          <w:b w:val="0"/>
          <w:bCs w:val="0"/>
          <w:highlight w:val="yellow"/>
          <w:lang w:val="en-US" w:eastAsia="zh-CN"/>
        </w:rPr>
        <w:t>2</w:t>
      </w:r>
      <w:r>
        <w:rPr>
          <w:rFonts w:hint="eastAsia" w:ascii="宋体" w:eastAsia="宋体" w:cs="宋体"/>
          <w:b w:val="0"/>
          <w:bCs w:val="0"/>
        </w:rPr>
        <w:t>个分站赛</w:t>
      </w:r>
      <w:r>
        <w:rPr>
          <w:rFonts w:hint="eastAsia" w:ascii="宋体" w:eastAsia="宋体" w:cs="宋体"/>
          <w:b w:val="0"/>
          <w:bCs w:val="0"/>
          <w:lang w:eastAsia="zh-CN"/>
        </w:rPr>
        <w:t>（</w:t>
      </w:r>
      <w:r>
        <w:rPr>
          <w:rFonts w:hint="eastAsia" w:ascii="宋体" w:eastAsia="宋体" w:cs="宋体"/>
          <w:b w:val="0"/>
          <w:bCs w:val="0"/>
          <w:lang w:val="en-US" w:eastAsia="zh-CN"/>
        </w:rPr>
        <w:t>U15 1</w:t>
      </w:r>
      <w:r>
        <w:rPr>
          <w:rFonts w:hint="eastAsia" w:ascii="宋体" w:cs="宋体"/>
          <w:b w:val="0"/>
          <w:bCs w:val="0"/>
          <w:lang w:val="en-US" w:eastAsia="zh-CN"/>
        </w:rPr>
        <w:t>5</w:t>
      </w:r>
      <w:r>
        <w:rPr>
          <w:rFonts w:hint="eastAsia" w:ascii="宋体" w:eastAsia="宋体" w:cs="宋体"/>
          <w:b w:val="0"/>
          <w:bCs w:val="0"/>
          <w:lang w:val="en-US" w:eastAsia="zh-CN"/>
        </w:rPr>
        <w:t xml:space="preserve">站， U18 </w:t>
      </w:r>
      <w:r>
        <w:rPr>
          <w:rFonts w:hint="eastAsia" w:ascii="宋体" w:cs="宋体"/>
          <w:b w:val="0"/>
          <w:bCs w:val="0"/>
          <w:lang w:val="en-US" w:eastAsia="zh-CN"/>
        </w:rPr>
        <w:t>7</w:t>
      </w:r>
      <w:r>
        <w:rPr>
          <w:rFonts w:hint="eastAsia" w:ascii="宋体" w:eastAsia="宋体" w:cs="宋体"/>
          <w:b w:val="0"/>
          <w:bCs w:val="0"/>
          <w:lang w:val="en-US" w:eastAsia="zh-CN"/>
        </w:rPr>
        <w:t>站</w:t>
      </w:r>
      <w:r>
        <w:rPr>
          <w:rFonts w:hint="eastAsia" w:ascii="宋体" w:eastAsia="宋体" w:cs="宋体"/>
          <w:b w:val="0"/>
          <w:bCs w:val="0"/>
          <w:lang w:eastAsia="zh-CN"/>
        </w:rPr>
        <w:t>）</w:t>
      </w:r>
      <w:r>
        <w:rPr>
          <w:rFonts w:hint="eastAsia" w:ascii="宋体" w:eastAsia="宋体" w:cs="宋体"/>
          <w:b w:val="0"/>
          <w:bCs w:val="0"/>
        </w:rPr>
        <w:t>。</w:t>
      </w:r>
    </w:p>
    <w:p w14:paraId="5A116EAF">
      <w:pPr>
        <w:pStyle w:val="10"/>
        <w:spacing w:line="360" w:lineRule="auto"/>
        <w:ind w:firstLine="540"/>
        <w:rPr>
          <w:rFonts w:ascii="宋体" w:eastAsia="宋体" w:cs="宋体"/>
          <w:b w:val="0"/>
          <w:bCs w:val="0"/>
        </w:rPr>
      </w:pPr>
      <w:r>
        <w:rPr>
          <w:rFonts w:hint="eastAsia" w:ascii="宋体" w:eastAsia="宋体" w:cs="宋体"/>
          <w:b w:val="0"/>
          <w:bCs w:val="0"/>
        </w:rPr>
        <w:t>2.</w:t>
      </w:r>
      <w:r>
        <w:rPr>
          <w:rFonts w:hint="eastAsia" w:ascii="宋体" w:eastAsia="宋体" w:cs="宋体"/>
          <w:b w:val="0"/>
          <w:bCs w:val="0"/>
          <w:lang w:val="en-US" w:eastAsia="zh-CN"/>
        </w:rPr>
        <w:t>初审</w:t>
      </w:r>
      <w:r>
        <w:rPr>
          <w:rFonts w:hint="eastAsia" w:ascii="宋体" w:eastAsia="宋体" w:cs="宋体"/>
          <w:b w:val="0"/>
          <w:bCs w:val="0"/>
        </w:rPr>
        <w:t>分</w:t>
      </w:r>
      <w:r>
        <w:rPr>
          <w:rFonts w:hint="eastAsia" w:ascii="宋体" w:eastAsia="宋体" w:cs="宋体"/>
          <w:b w:val="0"/>
          <w:bCs w:val="0"/>
          <w:lang w:val="en-US" w:eastAsia="zh-CN"/>
        </w:rPr>
        <w:t>站</w:t>
      </w:r>
      <w:r>
        <w:rPr>
          <w:rFonts w:hint="eastAsia" w:ascii="宋体" w:eastAsia="宋体" w:cs="宋体"/>
          <w:b w:val="0"/>
          <w:bCs w:val="0"/>
        </w:rPr>
        <w:t>赛的办赛效果（参赛队伍、参赛人数、比赛场次、媒体宣传、办赛方案、参赛群体满意度）。</w:t>
      </w:r>
    </w:p>
    <w:p w14:paraId="42EA63DA">
      <w:pPr>
        <w:pStyle w:val="10"/>
        <w:spacing w:line="360" w:lineRule="auto"/>
        <w:ind w:firstLine="540"/>
        <w:rPr>
          <w:rFonts w:ascii="宋体" w:eastAsia="宋体" w:cs="宋体"/>
          <w:b w:val="0"/>
          <w:bCs w:val="0"/>
        </w:rPr>
      </w:pPr>
      <w:r>
        <w:rPr>
          <w:rFonts w:hint="eastAsia" w:ascii="宋体" w:eastAsia="宋体" w:cs="宋体"/>
          <w:b w:val="0"/>
          <w:bCs w:val="0"/>
        </w:rPr>
        <w:t>3.执行方负责收集分</w:t>
      </w:r>
      <w:r>
        <w:rPr>
          <w:rFonts w:hint="eastAsia" w:ascii="宋体" w:eastAsia="宋体" w:cs="宋体"/>
          <w:b w:val="0"/>
          <w:bCs w:val="0"/>
          <w:lang w:val="en-US" w:eastAsia="zh-CN"/>
        </w:rPr>
        <w:t>站赛</w:t>
      </w:r>
      <w:r>
        <w:rPr>
          <w:rFonts w:hint="eastAsia" w:ascii="宋体" w:eastAsia="宋体" w:cs="宋体"/>
          <w:b w:val="0"/>
          <w:bCs w:val="0"/>
        </w:rPr>
        <w:t>及总决赛相关资料按主办单位要求进行初审后，提交主办单位审核。</w:t>
      </w:r>
    </w:p>
    <w:p w14:paraId="178FA11A">
      <w:pPr>
        <w:pStyle w:val="10"/>
        <w:spacing w:line="360" w:lineRule="auto"/>
        <w:ind w:firstLine="540"/>
        <w:rPr>
          <w:rFonts w:hint="eastAsia" w:ascii="宋体" w:eastAsia="宋体" w:cs="宋体"/>
          <w:b w:val="0"/>
          <w:bCs w:val="0"/>
        </w:rPr>
      </w:pPr>
      <w:r>
        <w:rPr>
          <w:rFonts w:hint="eastAsia" w:ascii="宋体" w:eastAsia="宋体" w:cs="宋体"/>
          <w:b w:val="0"/>
          <w:bCs w:val="0"/>
        </w:rPr>
        <w:t>4.收集各赛区的办赛资料（秩序册、成绩册、比赛总结等）。</w:t>
      </w:r>
    </w:p>
    <w:p w14:paraId="5E1ECB04">
      <w:pPr>
        <w:pStyle w:val="10"/>
        <w:spacing w:line="360" w:lineRule="auto"/>
        <w:rPr>
          <w:rFonts w:hint="default" w:ascii="宋体" w:eastAsia="宋体" w:cs="宋体"/>
          <w:highlight w:val="yellow"/>
          <w:lang w:val="en-US" w:eastAsia="zh-CN"/>
        </w:rPr>
      </w:pPr>
      <w:r>
        <w:rPr>
          <w:rFonts w:hint="eastAsia" w:ascii="宋体" w:eastAsia="宋体" w:cs="宋体"/>
          <w:highlight w:val="yellow"/>
        </w:rPr>
        <w:t>（</w:t>
      </w:r>
      <w:r>
        <w:rPr>
          <w:rFonts w:hint="eastAsia" w:ascii="宋体" w:eastAsia="宋体" w:cs="宋体"/>
          <w:highlight w:val="yellow"/>
          <w:lang w:val="en-US" w:eastAsia="zh-CN"/>
        </w:rPr>
        <w:t>三</w:t>
      </w:r>
      <w:r>
        <w:rPr>
          <w:rFonts w:hint="eastAsia" w:ascii="宋体" w:eastAsia="宋体" w:cs="宋体"/>
          <w:highlight w:val="yellow"/>
        </w:rPr>
        <w:t>）202</w:t>
      </w:r>
      <w:r>
        <w:rPr>
          <w:rFonts w:hint="eastAsia" w:ascii="宋体" w:eastAsia="宋体" w:cs="宋体"/>
          <w:highlight w:val="yellow"/>
          <w:lang w:val="en-US" w:eastAsia="zh-CN"/>
        </w:rPr>
        <w:t>5</w:t>
      </w:r>
      <w:r>
        <w:rPr>
          <w:rFonts w:hint="eastAsia" w:ascii="宋体" w:eastAsia="宋体" w:cs="宋体"/>
          <w:highlight w:val="yellow"/>
        </w:rPr>
        <w:t>年全国青少年棒球</w:t>
      </w:r>
      <w:r>
        <w:rPr>
          <w:rFonts w:hint="eastAsia" w:ascii="宋体" w:eastAsia="宋体" w:cs="宋体"/>
          <w:highlight w:val="yellow"/>
          <w:lang w:val="en-US" w:eastAsia="zh-CN"/>
        </w:rPr>
        <w:t>联</w:t>
      </w:r>
      <w:r>
        <w:rPr>
          <w:rFonts w:hint="eastAsia" w:ascii="宋体" w:eastAsia="宋体" w:cs="宋体"/>
          <w:highlight w:val="yellow"/>
        </w:rPr>
        <w:t>赛</w:t>
      </w:r>
      <w:r>
        <w:rPr>
          <w:rFonts w:hint="eastAsia" w:ascii="宋体" w:eastAsia="宋体" w:cs="宋体"/>
          <w:highlight w:val="yellow"/>
          <w:lang w:val="en-US" w:eastAsia="zh-CN"/>
        </w:rPr>
        <w:t>市场开发相关工作</w:t>
      </w:r>
    </w:p>
    <w:p w14:paraId="36A06CA3">
      <w:pPr>
        <w:pStyle w:val="10"/>
        <w:numPr>
          <w:ilvl w:val="0"/>
          <w:numId w:val="8"/>
        </w:numPr>
        <w:spacing w:line="360" w:lineRule="auto"/>
        <w:ind w:firstLine="540"/>
        <w:rPr>
          <w:rFonts w:hint="eastAsia" w:ascii="宋体" w:eastAsia="宋体" w:cs="宋体"/>
          <w:b w:val="0"/>
          <w:bCs w:val="0"/>
          <w:lang w:val="en-US" w:eastAsia="zh-CN"/>
        </w:rPr>
      </w:pPr>
      <w:r>
        <w:rPr>
          <w:rFonts w:hint="eastAsia" w:ascii="宋体" w:eastAsia="宋体" w:cs="宋体"/>
          <w:b w:val="0"/>
          <w:bCs w:val="0"/>
          <w:lang w:val="en-US" w:eastAsia="zh-CN"/>
        </w:rPr>
        <w:t>在授权范围内制定市场开发工作总体方案，提出合理的分配方案，有丰富的客户资源，吸引更多社会力量参与。市场开发企业不少于2家，开发产品可包括水、运动服装、竞赛器材等物资和保险等服务产品包括但不限于赞助招商、赛事宣传推广、赛事品牌授权及衍生品开发等，相关协议另行签订。</w:t>
      </w:r>
    </w:p>
    <w:p w14:paraId="63D07189">
      <w:pPr>
        <w:pStyle w:val="10"/>
        <w:numPr>
          <w:ilvl w:val="0"/>
          <w:numId w:val="8"/>
        </w:numPr>
        <w:spacing w:line="360" w:lineRule="auto"/>
        <w:ind w:firstLine="540"/>
        <w:rPr>
          <w:rFonts w:hint="eastAsia" w:ascii="宋体" w:eastAsia="宋体" w:cs="宋体"/>
          <w:b w:val="0"/>
          <w:bCs w:val="0"/>
          <w:lang w:val="en-US" w:eastAsia="zh-CN"/>
        </w:rPr>
      </w:pPr>
      <w:r>
        <w:rPr>
          <w:rFonts w:hint="eastAsia" w:ascii="宋体" w:eastAsia="宋体" w:cs="宋体"/>
          <w:b w:val="0"/>
          <w:bCs w:val="0"/>
          <w:lang w:val="en-US" w:eastAsia="zh-CN"/>
        </w:rPr>
        <w:t>开发期限：自合同签订之日起至2025年12月31日止。未经书面同意，不得将市场开发权转让或委托给第三方。</w:t>
      </w:r>
    </w:p>
    <w:p w14:paraId="2661117A">
      <w:pPr>
        <w:pStyle w:val="10"/>
        <w:numPr>
          <w:ilvl w:val="0"/>
          <w:numId w:val="8"/>
        </w:numPr>
        <w:spacing w:line="360" w:lineRule="auto"/>
        <w:ind w:left="0" w:leftChars="0" w:firstLine="540" w:firstLineChars="225"/>
        <w:rPr>
          <w:rFonts w:hint="default" w:ascii="宋体" w:eastAsia="宋体" w:cs="宋体"/>
          <w:b w:val="0"/>
          <w:bCs w:val="0"/>
          <w:lang w:val="en-US" w:eastAsia="zh-CN"/>
        </w:rPr>
      </w:pPr>
      <w:r>
        <w:rPr>
          <w:rFonts w:hint="default" w:ascii="宋体" w:eastAsia="宋体" w:cs="宋体"/>
          <w:b w:val="0"/>
          <w:bCs w:val="0"/>
          <w:lang w:val="en-US" w:eastAsia="zh-CN"/>
        </w:rPr>
        <w:t>第三方介入</w:t>
      </w:r>
      <w:r>
        <w:rPr>
          <w:rFonts w:hint="eastAsia" w:ascii="宋体" w:eastAsia="宋体" w:cs="宋体"/>
          <w:b w:val="0"/>
          <w:bCs w:val="0"/>
          <w:lang w:val="en-US" w:eastAsia="zh-CN"/>
        </w:rPr>
        <w:t>：</w:t>
      </w:r>
      <w:r>
        <w:rPr>
          <w:rFonts w:hint="default" w:ascii="宋体" w:eastAsia="宋体" w:cs="宋体"/>
          <w:b w:val="0"/>
          <w:bCs w:val="0"/>
          <w:lang w:val="en-US" w:eastAsia="zh-CN"/>
        </w:rPr>
        <w:t>若需引入第三方参与市场开发活动，应事先取得甲方同意，并在合同中明确第三方的权利义务。</w:t>
      </w:r>
    </w:p>
    <w:bookmarkEnd w:id="41"/>
    <w:bookmarkEnd w:id="42"/>
    <w:bookmarkEnd w:id="43"/>
    <w:bookmarkEnd w:id="44"/>
    <w:bookmarkEnd w:id="45"/>
    <w:bookmarkEnd w:id="46"/>
    <w:p w14:paraId="63C5C3FB">
      <w:pPr>
        <w:pStyle w:val="15"/>
        <w:rPr>
          <w:rFonts w:ascii="宋体" w:hAnsi="宋体" w:eastAsia="宋体" w:cs="宋体"/>
        </w:rPr>
      </w:pPr>
      <w:bookmarkStart w:id="48" w:name="_Toc79681392"/>
      <w:r>
        <w:rPr>
          <w:rFonts w:hint="eastAsia" w:ascii="宋体" w:eastAsia="宋体" w:cs="宋体"/>
          <w:b w:val="0"/>
          <w:bCs w:val="0"/>
          <w:lang w:val="en-US" w:eastAsia="zh-CN"/>
        </w:rPr>
        <w:t xml:space="preserve">  </w:t>
      </w:r>
      <w:r>
        <w:rPr>
          <w:rFonts w:hint="eastAsia" w:ascii="宋体" w:hAnsi="宋体" w:eastAsia="宋体" w:cs="宋体"/>
        </w:rPr>
        <w:t>第四部分磋商程序和评审方法、标准</w:t>
      </w:r>
      <w:bookmarkEnd w:id="40"/>
      <w:bookmarkEnd w:id="47"/>
      <w:bookmarkEnd w:id="48"/>
    </w:p>
    <w:p w14:paraId="7C5F11FD">
      <w:pPr>
        <w:pStyle w:val="26"/>
        <w:numPr>
          <w:ilvl w:val="5"/>
          <w:numId w:val="0"/>
        </w:numPr>
        <w:ind w:firstLine="482" w:firstLineChars="200"/>
        <w:rPr>
          <w:rFonts w:ascii="宋体" w:hAnsi="宋体" w:eastAsia="宋体" w:cs="宋体"/>
          <w:color w:val="auto"/>
          <w:sz w:val="24"/>
        </w:rPr>
      </w:pPr>
      <w:bookmarkStart w:id="49" w:name="_Toc499216482"/>
      <w:bookmarkStart w:id="50" w:name="_Toc79681393"/>
      <w:r>
        <w:rPr>
          <w:rFonts w:hint="eastAsia" w:ascii="宋体" w:hAnsi="宋体" w:eastAsia="宋体" w:cs="宋体"/>
          <w:color w:val="auto"/>
          <w:sz w:val="24"/>
        </w:rPr>
        <w:t>一、磋商程序及说明</w:t>
      </w:r>
      <w:bookmarkEnd w:id="49"/>
      <w:bookmarkEnd w:id="50"/>
    </w:p>
    <w:p w14:paraId="3894C58C">
      <w:pPr>
        <w:tabs>
          <w:tab w:val="left" w:pos="1680"/>
        </w:tabs>
        <w:spacing w:line="540" w:lineRule="exact"/>
        <w:ind w:firstLine="482" w:firstLineChars="200"/>
        <w:rPr>
          <w:rFonts w:ascii="宋体" w:hAnsi="宋体" w:eastAsia="宋体" w:cs="宋体"/>
          <w:b/>
          <w:bCs/>
          <w:sz w:val="24"/>
        </w:rPr>
      </w:pPr>
      <w:r>
        <w:rPr>
          <w:rFonts w:hint="eastAsia" w:ascii="宋体" w:hAnsi="宋体" w:eastAsia="宋体" w:cs="宋体"/>
          <w:b/>
          <w:bCs/>
          <w:sz w:val="24"/>
        </w:rPr>
        <w:t>（一）磋商的准备</w:t>
      </w:r>
    </w:p>
    <w:p w14:paraId="47E4E53B">
      <w:pPr>
        <w:tabs>
          <w:tab w:val="left" w:pos="1680"/>
        </w:tabs>
        <w:spacing w:line="540" w:lineRule="exact"/>
        <w:ind w:firstLine="600" w:firstLineChars="250"/>
        <w:rPr>
          <w:rFonts w:ascii="宋体" w:hAnsi="宋体" w:eastAsia="宋体" w:cs="宋体"/>
          <w:sz w:val="24"/>
        </w:rPr>
      </w:pPr>
      <w:r>
        <w:rPr>
          <w:rFonts w:hint="eastAsia" w:ascii="宋体" w:hAnsi="宋体" w:eastAsia="宋体" w:cs="宋体"/>
          <w:sz w:val="24"/>
        </w:rPr>
        <w:t>磋商前，采购单位人员向磋商小组成员宣布磋商纪律和磋商工作规则，并遵照执行。磋商小组成员签署《评审人员承诺书》。磋商小组成员对与自己有利害关系的磋商项目应当主动提出回避。</w:t>
      </w:r>
    </w:p>
    <w:p w14:paraId="69B168CA">
      <w:pPr>
        <w:tabs>
          <w:tab w:val="left" w:pos="1680"/>
        </w:tabs>
        <w:spacing w:line="540" w:lineRule="exact"/>
        <w:ind w:firstLine="482" w:firstLineChars="200"/>
        <w:rPr>
          <w:rFonts w:ascii="宋体" w:hAnsi="宋体" w:eastAsia="宋体" w:cs="宋体"/>
          <w:b/>
          <w:bCs/>
          <w:sz w:val="24"/>
        </w:rPr>
      </w:pPr>
      <w:r>
        <w:rPr>
          <w:rFonts w:hint="eastAsia" w:ascii="宋体" w:hAnsi="宋体" w:eastAsia="宋体" w:cs="宋体"/>
          <w:b/>
          <w:bCs/>
          <w:sz w:val="24"/>
        </w:rPr>
        <w:t>（二）磋商程序</w:t>
      </w:r>
    </w:p>
    <w:p w14:paraId="14AEC066">
      <w:pPr>
        <w:tabs>
          <w:tab w:val="left" w:pos="1680"/>
        </w:tabs>
        <w:spacing w:line="540" w:lineRule="exact"/>
        <w:ind w:firstLine="480" w:firstLineChars="200"/>
        <w:rPr>
          <w:rFonts w:ascii="宋体" w:hAnsi="宋体" w:eastAsia="宋体" w:cs="宋体"/>
          <w:sz w:val="24"/>
        </w:rPr>
      </w:pPr>
      <w:r>
        <w:rPr>
          <w:rFonts w:hint="eastAsia" w:ascii="宋体" w:hAnsi="宋体" w:eastAsia="宋体" w:cs="宋体"/>
          <w:sz w:val="24"/>
        </w:rPr>
        <w:t>磋商小组所有成员集中评审响应文件及集中与单一报价人分别进行磋商，并给予所有参加磋商的报价人平等的磋商机会。</w:t>
      </w:r>
    </w:p>
    <w:p w14:paraId="560FCE57">
      <w:pPr>
        <w:pStyle w:val="8"/>
        <w:spacing w:line="360" w:lineRule="auto"/>
        <w:ind w:firstLine="480" w:firstLineChars="200"/>
        <w:rPr>
          <w:rFonts w:hAnsi="宋体" w:eastAsia="宋体" w:cs="宋体"/>
          <w:sz w:val="24"/>
          <w:szCs w:val="24"/>
        </w:rPr>
      </w:pPr>
      <w:r>
        <w:rPr>
          <w:rFonts w:hint="eastAsia" w:hAnsi="宋体" w:eastAsia="宋体" w:cs="宋体"/>
          <w:sz w:val="24"/>
          <w:szCs w:val="24"/>
        </w:rPr>
        <w:t>1、</w:t>
      </w:r>
      <w:r>
        <w:rPr>
          <w:rFonts w:hint="eastAsia" w:hAnsi="宋体" w:eastAsia="宋体" w:cs="宋体"/>
          <w:kern w:val="2"/>
          <w:sz w:val="24"/>
          <w:szCs w:val="24"/>
        </w:rPr>
        <w:t>磋商小组首先对所有响应文件进行资格性和符合性审查。资格性审查，指对响应文件提供的资格证明文件进行审查，</w:t>
      </w:r>
      <w:r>
        <w:rPr>
          <w:rFonts w:hint="eastAsia" w:hAnsi="宋体" w:eastAsia="宋体" w:cs="宋体"/>
          <w:sz w:val="24"/>
          <w:szCs w:val="24"/>
        </w:rPr>
        <w:t>以确定报价人和报价产品是否具备有效的报价资格。符合性审查，指对响应文件的有效性、完整性和对竞争性磋商文件的响应程度进行审查。未实质性响应磋商文件的响应文件按无效响应处理，磋商小组应当告知提交响应文件的供应商。</w:t>
      </w:r>
    </w:p>
    <w:p w14:paraId="2A3FDC15">
      <w:pPr>
        <w:pStyle w:val="8"/>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2、磋商</w:t>
      </w:r>
    </w:p>
    <w:p w14:paraId="4449D296">
      <w:pPr>
        <w:pStyle w:val="8"/>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按照报价人报名顺序、递交响应文件顺序或者随机方式等确定参加磋商的报价人的磋商顺序。</w:t>
      </w:r>
    </w:p>
    <w:p w14:paraId="03D533FD">
      <w:pPr>
        <w:pStyle w:val="8"/>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所有磋商小组成员集中与每位实质性响应供应商分别进行单独磋商：</w:t>
      </w:r>
    </w:p>
    <w:p w14:paraId="7E33D313">
      <w:pPr>
        <w:pStyle w:val="8"/>
        <w:spacing w:line="360" w:lineRule="auto"/>
        <w:ind w:firstLine="480" w:firstLineChars="200"/>
        <w:rPr>
          <w:rFonts w:hAnsi="宋体" w:eastAsia="宋体" w:cs="宋体"/>
          <w:sz w:val="24"/>
          <w:szCs w:val="24"/>
        </w:rPr>
      </w:pPr>
      <w:r>
        <w:rPr>
          <w:rFonts w:hint="eastAsia" w:hAnsi="宋体" w:eastAsia="宋体" w:cs="宋体"/>
          <w:sz w:val="24"/>
          <w:szCs w:val="24"/>
        </w:rPr>
        <w:t>（1）</w:t>
      </w:r>
      <w:r>
        <w:rPr>
          <w:rFonts w:hint="eastAsia" w:hAnsi="宋体" w:eastAsia="宋体" w:cs="宋体"/>
          <w:b/>
          <w:bCs/>
          <w:kern w:val="2"/>
          <w:sz w:val="24"/>
          <w:szCs w:val="24"/>
        </w:rPr>
        <w:t>报价人</w:t>
      </w:r>
      <w:r>
        <w:rPr>
          <w:rFonts w:hint="eastAsia" w:hAnsi="宋体" w:eastAsia="宋体" w:cs="宋体"/>
          <w:b/>
          <w:bCs/>
          <w:sz w:val="24"/>
          <w:szCs w:val="24"/>
        </w:rPr>
        <w:t>代表</w:t>
      </w:r>
      <w:r>
        <w:rPr>
          <w:rFonts w:hint="eastAsia" w:hAnsi="宋体" w:eastAsia="宋体" w:cs="宋体"/>
          <w:b/>
          <w:bCs/>
          <w:color w:val="FF0000"/>
          <w:sz w:val="24"/>
          <w:szCs w:val="24"/>
        </w:rPr>
        <w:t>远程</w:t>
      </w:r>
      <w:r>
        <w:rPr>
          <w:rFonts w:hint="eastAsia" w:hAnsi="宋体" w:eastAsia="宋体" w:cs="宋体"/>
          <w:b/>
          <w:bCs/>
          <w:sz w:val="24"/>
          <w:szCs w:val="24"/>
        </w:rPr>
        <w:t>向磋商小组介绍服务方案，每家报价人限时10分钟。报价人应力求在规定时间内充分阐述其方案实施并准备回答磋商小组的问题。</w:t>
      </w:r>
    </w:p>
    <w:p w14:paraId="7A6F7836">
      <w:pPr>
        <w:pStyle w:val="8"/>
        <w:spacing w:line="360" w:lineRule="auto"/>
        <w:ind w:firstLine="480" w:firstLineChars="200"/>
        <w:rPr>
          <w:rFonts w:hAnsi="宋体" w:eastAsia="宋体" w:cs="宋体"/>
          <w:kern w:val="2"/>
          <w:sz w:val="24"/>
          <w:szCs w:val="24"/>
        </w:rPr>
      </w:pPr>
      <w:r>
        <w:rPr>
          <w:rFonts w:hint="eastAsia" w:hAnsi="宋体" w:eastAsia="宋体" w:cs="宋体"/>
          <w:sz w:val="24"/>
          <w:szCs w:val="24"/>
        </w:rPr>
        <w:t>（2）磋商小组就报价人服务方案和项目计划以及企业基本情况、财务状况、项目经验和提供服务能力等与报价人代表磋商，内容可以包括：可以对竞争性磋商文件中对某些事项有规定要求，而响应文件表述不清楚或没有提供相关资料的事项；</w:t>
      </w:r>
      <w:r>
        <w:rPr>
          <w:rFonts w:hint="eastAsia" w:hAnsi="宋体" w:eastAsia="宋体" w:cs="宋体"/>
          <w:kern w:val="2"/>
          <w:sz w:val="24"/>
          <w:szCs w:val="24"/>
        </w:rPr>
        <w:t>磋商文件不能详细列明采购标的的技术、服务要求，需经磋商由供应商提供最终服务方案或解决方案；需要质疑、询问供应商的事项；其它需要磋商的事项。</w:t>
      </w:r>
    </w:p>
    <w:p w14:paraId="1450D081">
      <w:pPr>
        <w:pStyle w:val="8"/>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（3）在与所有有效报价人分别磋商后，磋商小组应当按照少数服从多数的原则投票推荐</w:t>
      </w:r>
      <w:r>
        <w:rPr>
          <w:rFonts w:hAnsi="宋体" w:eastAsia="宋体" w:cs="宋体"/>
          <w:kern w:val="2"/>
          <w:sz w:val="24"/>
          <w:szCs w:val="24"/>
          <w:lang w:val="en-US"/>
        </w:rPr>
        <w:t>2</w:t>
      </w:r>
      <w:r>
        <w:rPr>
          <w:rFonts w:hint="eastAsia" w:hAnsi="宋体" w:eastAsia="宋体" w:cs="宋体"/>
          <w:kern w:val="2"/>
          <w:sz w:val="24"/>
          <w:szCs w:val="24"/>
        </w:rPr>
        <w:t>家或以上供应商的服务方案或解决方案，并要求其在规定时间内提交最后报价。提交最后报价的报价人不得少于</w:t>
      </w:r>
      <w:r>
        <w:rPr>
          <w:rFonts w:hAnsi="宋体" w:eastAsia="宋体" w:cs="宋体"/>
          <w:kern w:val="2"/>
          <w:sz w:val="24"/>
          <w:szCs w:val="24"/>
          <w:lang w:val="en-US"/>
        </w:rPr>
        <w:t>2</w:t>
      </w:r>
      <w:r>
        <w:rPr>
          <w:rFonts w:hint="eastAsia" w:hAnsi="宋体" w:eastAsia="宋体" w:cs="宋体"/>
          <w:kern w:val="2"/>
          <w:sz w:val="24"/>
          <w:szCs w:val="24"/>
        </w:rPr>
        <w:t>家。最后报价应以书面形式提交，并须由其法定代表人或其授权代表签字确认。</w:t>
      </w:r>
    </w:p>
    <w:p w14:paraId="003A70F3">
      <w:pPr>
        <w:pStyle w:val="8"/>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（4）经磋商确定最终采购需求和提交最后报价的供应商后，磋商小组采用综合评分法对提交最后报价的供应商的响应文件和最后报价进行综合评分。</w:t>
      </w:r>
    </w:p>
    <w:p w14:paraId="7294BA2A">
      <w:pPr>
        <w:pStyle w:val="8"/>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（5）磋商小组根据综合评分情况，</w:t>
      </w:r>
      <w:r>
        <w:rPr>
          <w:rFonts w:hint="eastAsia" w:hAnsi="宋体" w:eastAsia="宋体" w:cs="宋体"/>
          <w:sz w:val="24"/>
          <w:szCs w:val="24"/>
        </w:rPr>
        <w:t>按照评审得分由高到低确定两名成交候选供应商</w:t>
      </w:r>
      <w:r>
        <w:rPr>
          <w:rFonts w:hint="eastAsia" w:hAnsi="宋体" w:eastAsia="宋体" w:cs="宋体"/>
          <w:kern w:val="2"/>
          <w:sz w:val="24"/>
          <w:szCs w:val="24"/>
        </w:rPr>
        <w:t>，并编写评审报告。评审得分相同的，按照最后报价由低到高的顺序确定，评审得分且最后报价相同的，按照技术指标优劣顺序确定成交候选供应商。评审报告由磋商小组全体人员签字。</w:t>
      </w:r>
      <w:r>
        <w:rPr>
          <w:rFonts w:hint="eastAsia" w:hAnsi="宋体" w:eastAsia="宋体" w:cs="宋体"/>
          <w:sz w:val="24"/>
          <w:szCs w:val="24"/>
        </w:rPr>
        <w:t>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DA59A54">
      <w:pPr>
        <w:pStyle w:val="8"/>
        <w:spacing w:line="360" w:lineRule="auto"/>
        <w:ind w:firstLine="480"/>
        <w:rPr>
          <w:rFonts w:hAnsi="宋体" w:eastAsia="宋体" w:cs="宋体"/>
          <w:b/>
          <w:bCs/>
          <w:kern w:val="2"/>
          <w:sz w:val="24"/>
          <w:szCs w:val="24"/>
        </w:rPr>
      </w:pPr>
      <w:r>
        <w:rPr>
          <w:rFonts w:hint="eastAsia" w:hAnsi="宋体" w:eastAsia="宋体" w:cs="宋体"/>
          <w:b/>
          <w:bCs/>
          <w:kern w:val="2"/>
          <w:sz w:val="24"/>
          <w:szCs w:val="24"/>
        </w:rPr>
        <w:t>（三）其它须知事项</w:t>
      </w:r>
    </w:p>
    <w:p w14:paraId="75C3E2E9">
      <w:pPr>
        <w:pStyle w:val="8"/>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1、竞争性磋商文件和响应文件的澄清或修正</w:t>
      </w:r>
    </w:p>
    <w:p w14:paraId="0A93776A">
      <w:pPr>
        <w:pStyle w:val="8"/>
        <w:spacing w:line="360" w:lineRule="auto"/>
        <w:ind w:firstLine="480" w:firstLineChars="200"/>
        <w:rPr>
          <w:rFonts w:hAnsi="宋体" w:eastAsia="宋体" w:cs="宋体"/>
          <w:kern w:val="2"/>
          <w:sz w:val="24"/>
          <w:szCs w:val="24"/>
        </w:rPr>
      </w:pPr>
      <w:r>
        <w:rPr>
          <w:rFonts w:hint="eastAsia" w:hAnsi="宋体" w:eastAsia="宋体" w:cs="宋体"/>
          <w:kern w:val="2"/>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2F97D1A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小组在对响应文件的有效性、完整性和响应程度进行审查时，可以书面形式要求供应商对响应文件中含义不明确、同类问题表述不一致或者有明显文字和计算错误的内容等做出必要的澄清、说明或者更正。供应商的澄清、说明或者更正不得超出响应文件的范围或者改变响应文件的实质性内容。报价人的澄清、说明或者更正应当由法定代表人或其授权代表签字或者加盖公章。</w:t>
      </w:r>
    </w:p>
    <w:p w14:paraId="23B4F4C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活动中，应当给予每个实质性响应供应商进行磋商和报价相同的机会；磋商双方不得透露与磋商有关的其他报价人的技术资料、价格和其他任何信息。对实质性响应报价人需要澄清或修正响应文件提供和规定较充分的时间，澄清或修正响应文件逾时不交的，可视同报价人放弃磋商。</w:t>
      </w:r>
    </w:p>
    <w:p w14:paraId="598DF36B">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3、</w:t>
      </w:r>
      <w:r>
        <w:rPr>
          <w:rFonts w:hint="eastAsia" w:ascii="宋体" w:hAnsi="宋体" w:eastAsia="宋体" w:cs="宋体"/>
          <w:b/>
          <w:bCs/>
          <w:sz w:val="24"/>
        </w:rPr>
        <w:t>对最后报价，采购单位不接受可选择的报价方案和报价。</w:t>
      </w:r>
    </w:p>
    <w:p w14:paraId="232C650F">
      <w:pPr>
        <w:pStyle w:val="26"/>
        <w:numPr>
          <w:ilvl w:val="5"/>
          <w:numId w:val="0"/>
        </w:numPr>
        <w:rPr>
          <w:rFonts w:ascii="宋体" w:hAnsi="宋体" w:eastAsia="宋体" w:cs="宋体"/>
          <w:color w:val="auto"/>
          <w:sz w:val="24"/>
        </w:rPr>
      </w:pPr>
      <w:bookmarkStart w:id="51" w:name="_Toc499216483"/>
      <w:bookmarkStart w:id="52" w:name="_Toc79681394"/>
      <w:r>
        <w:rPr>
          <w:rFonts w:hint="eastAsia" w:ascii="宋体" w:hAnsi="宋体" w:eastAsia="宋体" w:cs="宋体"/>
          <w:color w:val="auto"/>
          <w:sz w:val="24"/>
        </w:rPr>
        <w:t>二、评审方法及标准</w:t>
      </w:r>
      <w:bookmarkEnd w:id="51"/>
      <w:bookmarkEnd w:id="52"/>
    </w:p>
    <w:p w14:paraId="465FE205">
      <w:pPr>
        <w:spacing w:line="360" w:lineRule="auto"/>
        <w:ind w:firstLine="472" w:firstLineChars="196"/>
        <w:rPr>
          <w:rFonts w:ascii="宋体" w:hAnsi="宋体" w:eastAsia="宋体" w:cs="宋体"/>
          <w:b/>
          <w:sz w:val="24"/>
        </w:rPr>
      </w:pPr>
      <w:r>
        <w:rPr>
          <w:rFonts w:hint="eastAsia" w:ascii="宋体" w:hAnsi="宋体" w:eastAsia="宋体" w:cs="宋体"/>
          <w:b/>
          <w:sz w:val="24"/>
        </w:rPr>
        <w:t>（一）评审总则</w:t>
      </w:r>
    </w:p>
    <w:p w14:paraId="6B86D42D">
      <w:pPr>
        <w:pStyle w:val="29"/>
        <w:ind w:firstLine="480"/>
        <w:rPr>
          <w:rFonts w:ascii="宋体" w:hAnsi="宋体" w:eastAsia="宋体" w:cs="宋体"/>
        </w:rPr>
      </w:pPr>
      <w:r>
        <w:rPr>
          <w:rFonts w:hint="eastAsia" w:ascii="宋体" w:hAnsi="宋体" w:eastAsia="宋体" w:cs="宋体"/>
        </w:rPr>
        <w:t>第一条  本项目依据《中华人民共和国政府采购法》《政府采购竞争性磋商采购方式管理暂行办法》及相应法规、文件，本着公开、公正、公平、科学合理、反不正当竞争的原则，制定评审方法及标准。</w:t>
      </w:r>
    </w:p>
    <w:p w14:paraId="32219D67">
      <w:pPr>
        <w:spacing w:line="360" w:lineRule="auto"/>
        <w:ind w:firstLine="470" w:firstLineChars="196"/>
        <w:rPr>
          <w:rFonts w:ascii="宋体" w:hAnsi="宋体" w:eastAsia="宋体" w:cs="宋体"/>
          <w:b/>
          <w:sz w:val="24"/>
        </w:rPr>
      </w:pPr>
      <w:r>
        <w:rPr>
          <w:rFonts w:hint="eastAsia" w:ascii="宋体" w:hAnsi="宋体" w:eastAsia="宋体" w:cs="宋体"/>
          <w:sz w:val="24"/>
        </w:rPr>
        <w:t>第二条  评审工作由评审专家和采购人代表组成的磋商小组承担。磋商小组由采购人代表和有关专家共三人以上的单数组成，其中，专家的人数不少于成员总数的三分之二，采购人代表不得以评审专家身份参加评审，采购单位工作人员不参加评审。</w:t>
      </w:r>
    </w:p>
    <w:p w14:paraId="5E393B5F">
      <w:pPr>
        <w:spacing w:line="360" w:lineRule="auto"/>
        <w:ind w:firstLine="480" w:firstLineChars="200"/>
        <w:rPr>
          <w:rFonts w:ascii="宋体" w:hAnsi="宋体" w:eastAsia="宋体" w:cs="宋体"/>
          <w:sz w:val="24"/>
        </w:rPr>
      </w:pPr>
      <w:r>
        <w:rPr>
          <w:rFonts w:hint="eastAsia" w:ascii="宋体" w:hAnsi="宋体" w:eastAsia="宋体" w:cs="宋体"/>
          <w:sz w:val="24"/>
        </w:rPr>
        <w:t>第三条  磋商小组成员应当按照客观、公正、审慎的原则，根据磋商文件规定的评审程序、评审方法和评审标准进行独立评审。</w:t>
      </w:r>
    </w:p>
    <w:p w14:paraId="223C1A12">
      <w:pPr>
        <w:spacing w:line="360" w:lineRule="auto"/>
        <w:ind w:firstLine="480" w:firstLineChars="200"/>
        <w:rPr>
          <w:rFonts w:ascii="宋体" w:hAnsi="宋体" w:eastAsia="宋体" w:cs="宋体"/>
          <w:sz w:val="24"/>
        </w:rPr>
      </w:pPr>
      <w:r>
        <w:rPr>
          <w:rFonts w:hint="eastAsia" w:ascii="宋体" w:hAnsi="宋体" w:eastAsia="宋体" w:cs="宋体"/>
          <w:sz w:val="24"/>
        </w:rPr>
        <w:t>第四条  磋商小组将综合分析报价人的各项指标，而不以单项指标的优劣评选出预成交人。</w:t>
      </w:r>
    </w:p>
    <w:p w14:paraId="361FE652">
      <w:pPr>
        <w:adjustRightInd w:val="0"/>
        <w:snapToGrid w:val="0"/>
        <w:spacing w:line="360" w:lineRule="auto"/>
        <w:ind w:right="-11" w:firstLine="472" w:firstLineChars="196"/>
        <w:rPr>
          <w:rFonts w:ascii="宋体" w:hAnsi="宋体" w:eastAsia="宋体" w:cs="宋体"/>
          <w:sz w:val="24"/>
        </w:rPr>
      </w:pPr>
      <w:bookmarkStart w:id="53" w:name="_Toc326336888"/>
      <w:bookmarkStart w:id="54" w:name="_Toc360545786"/>
      <w:r>
        <w:rPr>
          <w:rFonts w:hint="eastAsia" w:ascii="宋体" w:hAnsi="宋体" w:eastAsia="宋体" w:cs="宋体"/>
          <w:b/>
          <w:bCs/>
          <w:sz w:val="24"/>
        </w:rPr>
        <w:t>（二）评审办法：</w:t>
      </w:r>
      <w:bookmarkEnd w:id="53"/>
      <w:bookmarkEnd w:id="54"/>
    </w:p>
    <w:p w14:paraId="43F57B9B">
      <w:pPr>
        <w:spacing w:line="360" w:lineRule="auto"/>
        <w:ind w:firstLine="480" w:firstLineChars="200"/>
        <w:rPr>
          <w:rFonts w:ascii="宋体" w:hAnsi="宋体" w:eastAsia="宋体" w:cs="宋体"/>
          <w:sz w:val="24"/>
        </w:rPr>
      </w:pPr>
      <w:r>
        <w:rPr>
          <w:rFonts w:hint="eastAsia" w:ascii="宋体" w:hAnsi="宋体" w:eastAsia="宋体" w:cs="宋体"/>
          <w:sz w:val="24"/>
        </w:rPr>
        <w:t>1、本项目采用百分制综合评分法进行评审，即在最大限度地满足竞争性磋商文件实质性要求前提下，按照竞争性磋商文件中规定的各项因素进行综合评审后，以评审得分最高的报价人作为成交供应商的评审办法。</w:t>
      </w:r>
    </w:p>
    <w:p w14:paraId="7347EB07">
      <w:pPr>
        <w:spacing w:line="360" w:lineRule="auto"/>
        <w:ind w:firstLine="480" w:firstLineChars="200"/>
        <w:rPr>
          <w:rFonts w:ascii="宋体" w:hAnsi="宋体" w:eastAsia="宋体" w:cs="宋体"/>
          <w:sz w:val="24"/>
        </w:rPr>
      </w:pPr>
      <w:r>
        <w:rPr>
          <w:rFonts w:hint="eastAsia" w:ascii="宋体" w:hAnsi="宋体" w:eastAsia="宋体" w:cs="宋体"/>
          <w:sz w:val="24"/>
        </w:rPr>
        <w:t>2、本次评审分为商务、技术和价格三部分，评审因素及具体分值分配如下：</w:t>
      </w:r>
    </w:p>
    <w:tbl>
      <w:tblPr>
        <w:tblStyle w:val="16"/>
        <w:tblpPr w:leftFromText="180" w:rightFromText="180" w:vertAnchor="text" w:horzAnchor="page" w:tblpX="568" w:tblpY="489"/>
        <w:tblOverlap w:val="never"/>
        <w:tblW w:w="10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988"/>
        <w:gridCol w:w="7228"/>
        <w:gridCol w:w="727"/>
      </w:tblGrid>
      <w:tr w14:paraId="5AAF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blHeader/>
        </w:trPr>
        <w:tc>
          <w:tcPr>
            <w:tcW w:w="1140" w:type="dxa"/>
            <w:vAlign w:val="center"/>
          </w:tcPr>
          <w:p w14:paraId="305302B0">
            <w:pPr>
              <w:spacing w:line="360" w:lineRule="exact"/>
              <w:jc w:val="center"/>
              <w:rPr>
                <w:rFonts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rPr>
              <w:t>序号</w:t>
            </w:r>
          </w:p>
        </w:tc>
        <w:tc>
          <w:tcPr>
            <w:tcW w:w="988" w:type="dxa"/>
            <w:vAlign w:val="center"/>
          </w:tcPr>
          <w:p w14:paraId="4E8475D7">
            <w:pPr>
              <w:spacing w:line="360" w:lineRule="exact"/>
              <w:jc w:val="center"/>
              <w:rPr>
                <w:rFonts w:ascii="宋体" w:hAnsi="宋体" w:eastAsia="宋体" w:cs="宋体"/>
                <w:sz w:val="24"/>
              </w:rPr>
            </w:pPr>
            <w:r>
              <w:rPr>
                <w:rFonts w:hint="eastAsia" w:ascii="宋体" w:hAnsi="宋体" w:eastAsia="宋体" w:cs="宋体"/>
                <w:sz w:val="24"/>
              </w:rPr>
              <w:t>评分</w:t>
            </w:r>
          </w:p>
          <w:p w14:paraId="5A0D6BBC">
            <w:pPr>
              <w:spacing w:line="360" w:lineRule="exact"/>
              <w:jc w:val="center"/>
              <w:rPr>
                <w:rFonts w:ascii="宋体" w:hAnsi="宋体" w:eastAsia="宋体" w:cs="宋体"/>
                <w:sz w:val="24"/>
              </w:rPr>
            </w:pPr>
            <w:r>
              <w:rPr>
                <w:rFonts w:hint="eastAsia" w:ascii="宋体" w:hAnsi="宋体" w:eastAsia="宋体" w:cs="宋体"/>
                <w:sz w:val="24"/>
              </w:rPr>
              <w:t>因素</w:t>
            </w:r>
          </w:p>
        </w:tc>
        <w:tc>
          <w:tcPr>
            <w:tcW w:w="7228" w:type="dxa"/>
            <w:vAlign w:val="center"/>
          </w:tcPr>
          <w:p w14:paraId="4C0BABEA">
            <w:pPr>
              <w:spacing w:line="360" w:lineRule="exact"/>
              <w:jc w:val="center"/>
              <w:rPr>
                <w:rFonts w:ascii="宋体" w:hAnsi="宋体" w:eastAsia="宋体" w:cs="宋体"/>
                <w:sz w:val="24"/>
              </w:rPr>
            </w:pPr>
            <w:r>
              <w:rPr>
                <w:rFonts w:hint="eastAsia" w:ascii="宋体" w:hAnsi="宋体" w:eastAsia="宋体" w:cs="宋体"/>
                <w:sz w:val="24"/>
              </w:rPr>
              <w:t>评分标准说明</w:t>
            </w:r>
          </w:p>
        </w:tc>
        <w:tc>
          <w:tcPr>
            <w:tcW w:w="727" w:type="dxa"/>
            <w:vAlign w:val="center"/>
          </w:tcPr>
          <w:p w14:paraId="3EB9BC5A">
            <w:pPr>
              <w:spacing w:line="360" w:lineRule="exact"/>
              <w:jc w:val="center"/>
              <w:rPr>
                <w:rFonts w:ascii="宋体" w:hAnsi="宋体" w:eastAsia="宋体" w:cs="宋体"/>
                <w:sz w:val="24"/>
              </w:rPr>
            </w:pPr>
            <w:r>
              <w:rPr>
                <w:rFonts w:hint="eastAsia" w:ascii="宋体" w:hAnsi="宋体" w:eastAsia="宋体" w:cs="宋体"/>
                <w:sz w:val="24"/>
              </w:rPr>
              <w:t>分值</w:t>
            </w:r>
          </w:p>
        </w:tc>
      </w:tr>
      <w:tr w14:paraId="1FF0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140" w:type="dxa"/>
            <w:vMerge w:val="restart"/>
            <w:vAlign w:val="center"/>
          </w:tcPr>
          <w:p w14:paraId="7E17D418">
            <w:pPr>
              <w:numPr>
                <w:ilvl w:val="0"/>
                <w:numId w:val="9"/>
              </w:numPr>
              <w:spacing w:line="360" w:lineRule="exact"/>
              <w:jc w:val="center"/>
              <w:rPr>
                <w:rFonts w:ascii="宋体" w:hAnsi="宋体" w:eastAsia="宋体" w:cs="宋体"/>
                <w:sz w:val="24"/>
              </w:rPr>
            </w:pPr>
          </w:p>
          <w:p w14:paraId="4B9266DA">
            <w:pPr>
              <w:spacing w:line="360" w:lineRule="exact"/>
              <w:jc w:val="center"/>
              <w:rPr>
                <w:rFonts w:ascii="宋体" w:hAnsi="宋体" w:eastAsia="宋体" w:cs="宋体"/>
                <w:sz w:val="24"/>
              </w:rPr>
            </w:pPr>
            <w:r>
              <w:rPr>
                <w:rFonts w:hint="eastAsia" w:ascii="宋体" w:hAnsi="宋体" w:eastAsia="宋体" w:cs="宋体"/>
                <w:sz w:val="24"/>
              </w:rPr>
              <w:t>商务</w:t>
            </w:r>
          </w:p>
          <w:p w14:paraId="116FDF4C">
            <w:pPr>
              <w:spacing w:line="360" w:lineRule="exact"/>
              <w:jc w:val="center"/>
              <w:rPr>
                <w:rFonts w:ascii="宋体" w:hAnsi="宋体" w:eastAsia="宋体" w:cs="宋体"/>
                <w:sz w:val="24"/>
              </w:rPr>
            </w:pPr>
            <w:r>
              <w:rPr>
                <w:rFonts w:hint="eastAsia" w:ascii="宋体" w:hAnsi="宋体" w:eastAsia="宋体" w:cs="宋体"/>
                <w:sz w:val="24"/>
              </w:rPr>
              <w:t>部分</w:t>
            </w:r>
          </w:p>
          <w:p w14:paraId="2F96D115">
            <w:pPr>
              <w:spacing w:line="360" w:lineRule="exact"/>
              <w:jc w:val="center"/>
              <w:rPr>
                <w:rFonts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0</w:t>
            </w:r>
            <w:r>
              <w:rPr>
                <w:rFonts w:hint="eastAsia" w:ascii="宋体" w:hAnsi="宋体" w:eastAsia="宋体" w:cs="宋体"/>
                <w:sz w:val="24"/>
              </w:rPr>
              <w:t>分）</w:t>
            </w:r>
          </w:p>
        </w:tc>
        <w:tc>
          <w:tcPr>
            <w:tcW w:w="988" w:type="dxa"/>
            <w:shd w:val="clear" w:color="auto" w:fill="auto"/>
            <w:vAlign w:val="center"/>
          </w:tcPr>
          <w:p w14:paraId="33195F8A">
            <w:pPr>
              <w:spacing w:line="360" w:lineRule="exact"/>
              <w:jc w:val="center"/>
              <w:rPr>
                <w:rFonts w:ascii="宋体" w:hAnsi="宋体" w:eastAsia="宋体" w:cs="宋体"/>
                <w:sz w:val="24"/>
              </w:rPr>
            </w:pPr>
            <w:r>
              <w:rPr>
                <w:rFonts w:hint="eastAsia" w:ascii="宋体" w:hAnsi="宋体" w:eastAsia="宋体" w:cs="宋体"/>
                <w:sz w:val="24"/>
              </w:rPr>
              <w:t>同类型</w:t>
            </w:r>
          </w:p>
          <w:p w14:paraId="142D19D0">
            <w:pPr>
              <w:spacing w:line="360" w:lineRule="exact"/>
              <w:jc w:val="center"/>
              <w:rPr>
                <w:rFonts w:ascii="宋体" w:hAnsi="宋体" w:eastAsia="宋体" w:cs="宋体"/>
                <w:sz w:val="24"/>
              </w:rPr>
            </w:pPr>
            <w:r>
              <w:rPr>
                <w:rFonts w:hint="eastAsia" w:ascii="宋体" w:hAnsi="宋体" w:eastAsia="宋体" w:cs="宋体"/>
                <w:sz w:val="24"/>
              </w:rPr>
              <w:t>项目</w:t>
            </w:r>
          </w:p>
          <w:p w14:paraId="2A9C9D64">
            <w:pPr>
              <w:spacing w:line="360" w:lineRule="exact"/>
              <w:jc w:val="center"/>
              <w:rPr>
                <w:rFonts w:ascii="宋体" w:hAnsi="宋体" w:eastAsia="宋体" w:cs="宋体"/>
                <w:sz w:val="24"/>
              </w:rPr>
            </w:pPr>
            <w:r>
              <w:rPr>
                <w:rFonts w:hint="eastAsia" w:ascii="宋体" w:hAnsi="宋体" w:eastAsia="宋体" w:cs="宋体"/>
                <w:sz w:val="24"/>
              </w:rPr>
              <w:t>业绩</w:t>
            </w:r>
          </w:p>
        </w:tc>
        <w:tc>
          <w:tcPr>
            <w:tcW w:w="7228" w:type="dxa"/>
            <w:shd w:val="clear" w:color="auto" w:fill="auto"/>
            <w:vAlign w:val="center"/>
          </w:tcPr>
          <w:p w14:paraId="28582D7E">
            <w:pPr>
              <w:spacing w:line="360" w:lineRule="exact"/>
              <w:rPr>
                <w:rFonts w:ascii="宋体" w:hAnsi="宋体" w:eastAsia="宋体" w:cs="宋体"/>
                <w:sz w:val="24"/>
              </w:rPr>
            </w:pPr>
            <w:r>
              <w:rPr>
                <w:rFonts w:hint="eastAsia" w:ascii="宋体" w:hAnsi="宋体" w:eastAsia="宋体" w:cs="宋体"/>
                <w:sz w:val="24"/>
              </w:rPr>
              <w:t>主办或承办全国性赛事，包括联合主办或承办（赛事是指在同一地点连续比赛的赛事计为一次，以下均相同，包括全国性赛事的分站赛、分区赛），需要提供赛事承办合同或印刷版秩序册证明，商务部分1-3中，每个赛事不能重复打分。</w:t>
            </w:r>
          </w:p>
        </w:tc>
        <w:tc>
          <w:tcPr>
            <w:tcW w:w="727" w:type="dxa"/>
            <w:shd w:val="clear" w:color="auto" w:fill="auto"/>
            <w:vAlign w:val="center"/>
          </w:tcPr>
          <w:p w14:paraId="3AFBF994">
            <w:pPr>
              <w:spacing w:line="360" w:lineRule="exact"/>
              <w:jc w:val="center"/>
              <w:rPr>
                <w:rFonts w:ascii="宋体" w:hAnsi="宋体" w:eastAsia="宋体" w:cs="宋体"/>
                <w:sz w:val="24"/>
              </w:rPr>
            </w:pPr>
            <w:r>
              <w:rPr>
                <w:rFonts w:hint="eastAsia" w:ascii="宋体" w:hAnsi="宋体" w:eastAsia="宋体" w:cs="宋体"/>
                <w:sz w:val="24"/>
              </w:rPr>
              <w:t>/</w:t>
            </w:r>
          </w:p>
        </w:tc>
      </w:tr>
      <w:tr w14:paraId="5626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140" w:type="dxa"/>
            <w:vMerge w:val="continue"/>
            <w:vAlign w:val="center"/>
          </w:tcPr>
          <w:p w14:paraId="3DC15D7D">
            <w:pPr>
              <w:spacing w:line="360" w:lineRule="exact"/>
              <w:rPr>
                <w:rFonts w:ascii="宋体" w:hAnsi="宋体" w:eastAsia="宋体" w:cs="宋体"/>
                <w:sz w:val="24"/>
              </w:rPr>
            </w:pPr>
          </w:p>
        </w:tc>
        <w:tc>
          <w:tcPr>
            <w:tcW w:w="988" w:type="dxa"/>
            <w:shd w:val="clear" w:color="auto" w:fill="auto"/>
            <w:vAlign w:val="center"/>
          </w:tcPr>
          <w:p w14:paraId="244AA10D">
            <w:pPr>
              <w:spacing w:line="360" w:lineRule="exact"/>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7228" w:type="dxa"/>
            <w:shd w:val="clear" w:color="auto" w:fill="auto"/>
            <w:vAlign w:val="center"/>
          </w:tcPr>
          <w:p w14:paraId="231C2821">
            <w:pPr>
              <w:widowControl/>
              <w:rPr>
                <w:rFonts w:ascii="宋体" w:hAnsi="宋体" w:eastAsia="宋体" w:cs="宋体"/>
                <w:sz w:val="24"/>
              </w:rPr>
            </w:pPr>
            <w:r>
              <w:rPr>
                <w:rFonts w:hint="eastAsia" w:ascii="宋体" w:hAnsi="宋体" w:eastAsia="宋体" w:cs="宋体"/>
                <w:b/>
                <w:bCs/>
                <w:sz w:val="24"/>
              </w:rPr>
              <w:t>5年内承办过全国性集体球类联赛，特指近三届列入夏季或冬季奥运会集体球类项目（足篮排，手曲棒垒，水球，橄榄球，冰球）</w:t>
            </w:r>
          </w:p>
          <w:p w14:paraId="6A3B60D4">
            <w:pPr>
              <w:widowControl/>
              <w:rPr>
                <w:rFonts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分：承办过全国性集体球类联赛3次及以上。</w:t>
            </w:r>
          </w:p>
          <w:p w14:paraId="1EA895FF">
            <w:pPr>
              <w:widowControl/>
              <w:rPr>
                <w:rFonts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分：承办过全国性集体球类联赛2次。</w:t>
            </w:r>
          </w:p>
          <w:p w14:paraId="3963CB9F">
            <w:pPr>
              <w:widowControl/>
              <w:rPr>
                <w:rFonts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分：承办过全国性集体球类联赛1次。</w:t>
            </w:r>
          </w:p>
          <w:p w14:paraId="012397DE">
            <w:pPr>
              <w:widowControl/>
              <w:rPr>
                <w:rFonts w:ascii="宋体" w:hAnsi="宋体" w:eastAsia="宋体" w:cs="宋体"/>
                <w:sz w:val="24"/>
              </w:rPr>
            </w:pPr>
            <w:r>
              <w:rPr>
                <w:rFonts w:hint="eastAsia" w:ascii="宋体" w:hAnsi="宋体" w:eastAsia="宋体" w:cs="宋体"/>
                <w:sz w:val="24"/>
              </w:rPr>
              <w:t>0分：未承办过全国性集体球类联赛。</w:t>
            </w:r>
          </w:p>
        </w:tc>
        <w:tc>
          <w:tcPr>
            <w:tcW w:w="727" w:type="dxa"/>
            <w:shd w:val="clear" w:color="auto" w:fill="auto"/>
            <w:vAlign w:val="center"/>
          </w:tcPr>
          <w:p w14:paraId="5831FAA8">
            <w:pPr>
              <w:spacing w:line="360" w:lineRule="exact"/>
              <w:jc w:val="center"/>
              <w:rPr>
                <w:rFonts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分</w:t>
            </w:r>
          </w:p>
        </w:tc>
      </w:tr>
      <w:tr w14:paraId="5114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140" w:type="dxa"/>
            <w:vMerge w:val="continue"/>
            <w:vAlign w:val="center"/>
          </w:tcPr>
          <w:p w14:paraId="4E447CE8">
            <w:pPr>
              <w:spacing w:line="360" w:lineRule="exact"/>
              <w:rPr>
                <w:rFonts w:ascii="宋体" w:hAnsi="宋体" w:eastAsia="宋体" w:cs="宋体"/>
                <w:sz w:val="24"/>
              </w:rPr>
            </w:pPr>
          </w:p>
        </w:tc>
        <w:tc>
          <w:tcPr>
            <w:tcW w:w="988" w:type="dxa"/>
            <w:shd w:val="clear" w:color="auto" w:fill="auto"/>
            <w:vAlign w:val="center"/>
          </w:tcPr>
          <w:p w14:paraId="5FEA4C7E">
            <w:pPr>
              <w:spacing w:line="360" w:lineRule="exact"/>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7228" w:type="dxa"/>
            <w:shd w:val="clear" w:color="auto" w:fill="auto"/>
            <w:vAlign w:val="center"/>
          </w:tcPr>
          <w:p w14:paraId="1F60966C">
            <w:pPr>
              <w:rPr>
                <w:rFonts w:ascii="宋体" w:hAnsi="宋体" w:eastAsia="宋体" w:cs="宋体"/>
                <w:b/>
                <w:bCs/>
                <w:sz w:val="24"/>
              </w:rPr>
            </w:pPr>
            <w:r>
              <w:rPr>
                <w:rFonts w:hint="eastAsia" w:ascii="宋体" w:hAnsi="宋体" w:eastAsia="宋体" w:cs="宋体"/>
                <w:b/>
                <w:bCs/>
                <w:sz w:val="24"/>
              </w:rPr>
              <w:t>5年内承办过全国性棒球比赛。</w:t>
            </w:r>
          </w:p>
          <w:p w14:paraId="15BAA6CF">
            <w:pPr>
              <w:widowControl/>
              <w:rPr>
                <w:rFonts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分：承办过全国性棒球比赛3次及以上。</w:t>
            </w:r>
          </w:p>
          <w:p w14:paraId="3F8F2948">
            <w:pPr>
              <w:widowControl/>
              <w:rPr>
                <w:rFonts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分：承办过全国性棒球比赛2次。</w:t>
            </w:r>
          </w:p>
          <w:p w14:paraId="229AF8B3">
            <w:pPr>
              <w:widowControl/>
              <w:rPr>
                <w:rFonts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分：承办过全国性棒球比赛1次。</w:t>
            </w:r>
          </w:p>
          <w:p w14:paraId="6E992491">
            <w:pPr>
              <w:rPr>
                <w:rFonts w:ascii="宋体" w:hAnsi="宋体" w:eastAsia="宋体" w:cs="宋体"/>
                <w:sz w:val="24"/>
              </w:rPr>
            </w:pPr>
            <w:r>
              <w:rPr>
                <w:rFonts w:hint="eastAsia" w:ascii="宋体" w:hAnsi="宋体" w:eastAsia="宋体" w:cs="宋体"/>
                <w:sz w:val="24"/>
              </w:rPr>
              <w:t>0分：未承办过全国性棒球比赛。</w:t>
            </w:r>
          </w:p>
        </w:tc>
        <w:tc>
          <w:tcPr>
            <w:tcW w:w="727" w:type="dxa"/>
            <w:shd w:val="clear" w:color="auto" w:fill="auto"/>
            <w:vAlign w:val="center"/>
          </w:tcPr>
          <w:p w14:paraId="404765CE">
            <w:pPr>
              <w:spacing w:line="360" w:lineRule="exact"/>
              <w:jc w:val="center"/>
              <w:rPr>
                <w:rFonts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分</w:t>
            </w:r>
          </w:p>
        </w:tc>
      </w:tr>
      <w:tr w14:paraId="7753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140" w:type="dxa"/>
            <w:vMerge w:val="restart"/>
            <w:vAlign w:val="center"/>
          </w:tcPr>
          <w:p w14:paraId="6074DD4E">
            <w:pPr>
              <w:numPr>
                <w:ilvl w:val="0"/>
                <w:numId w:val="9"/>
              </w:numPr>
              <w:spacing w:line="360" w:lineRule="exact"/>
              <w:jc w:val="center"/>
              <w:rPr>
                <w:rFonts w:ascii="宋体" w:hAnsi="宋体" w:eastAsia="宋体" w:cs="宋体"/>
                <w:sz w:val="24"/>
              </w:rPr>
            </w:pPr>
          </w:p>
          <w:p w14:paraId="0AD9E309">
            <w:pPr>
              <w:spacing w:line="360" w:lineRule="exact"/>
              <w:jc w:val="center"/>
              <w:rPr>
                <w:rFonts w:ascii="宋体" w:hAnsi="宋体" w:eastAsia="宋体" w:cs="宋体"/>
                <w:sz w:val="24"/>
              </w:rPr>
            </w:pPr>
            <w:r>
              <w:rPr>
                <w:rFonts w:hint="eastAsia" w:ascii="宋体" w:hAnsi="宋体" w:eastAsia="宋体" w:cs="宋体"/>
                <w:sz w:val="24"/>
              </w:rPr>
              <w:t>技术</w:t>
            </w:r>
          </w:p>
          <w:p w14:paraId="5181C308">
            <w:pPr>
              <w:spacing w:line="360" w:lineRule="exact"/>
              <w:jc w:val="center"/>
              <w:rPr>
                <w:rFonts w:ascii="宋体" w:hAnsi="宋体" w:eastAsia="宋体" w:cs="宋体"/>
                <w:sz w:val="24"/>
              </w:rPr>
            </w:pPr>
            <w:r>
              <w:rPr>
                <w:rFonts w:hint="eastAsia" w:ascii="宋体" w:hAnsi="宋体" w:eastAsia="宋体" w:cs="宋体"/>
                <w:sz w:val="24"/>
              </w:rPr>
              <w:t>部分</w:t>
            </w:r>
          </w:p>
          <w:p w14:paraId="1BADC031">
            <w:pPr>
              <w:spacing w:line="360" w:lineRule="exact"/>
              <w:jc w:val="center"/>
              <w:rPr>
                <w:rFonts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80</w:t>
            </w:r>
            <w:r>
              <w:rPr>
                <w:rFonts w:hint="eastAsia" w:ascii="宋体" w:hAnsi="宋体" w:eastAsia="宋体" w:cs="宋体"/>
                <w:sz w:val="24"/>
              </w:rPr>
              <w:t>分）</w:t>
            </w:r>
          </w:p>
        </w:tc>
        <w:tc>
          <w:tcPr>
            <w:tcW w:w="988" w:type="dxa"/>
            <w:vAlign w:val="center"/>
          </w:tcPr>
          <w:p w14:paraId="717D4FE0">
            <w:pPr>
              <w:spacing w:line="360" w:lineRule="exact"/>
              <w:jc w:val="center"/>
              <w:rPr>
                <w:rFonts w:ascii="宋体" w:hAnsi="宋体" w:eastAsia="宋体" w:cs="宋体"/>
                <w:b/>
                <w:bCs/>
                <w:sz w:val="24"/>
              </w:rPr>
            </w:pPr>
            <w:r>
              <w:rPr>
                <w:rFonts w:hint="eastAsia" w:ascii="宋体" w:hAnsi="宋体" w:eastAsia="宋体" w:cs="宋体"/>
                <w:b/>
                <w:bCs/>
                <w:sz w:val="24"/>
              </w:rPr>
              <w:t>1、</w:t>
            </w:r>
          </w:p>
          <w:p w14:paraId="7895FA59">
            <w:pPr>
              <w:spacing w:line="360" w:lineRule="exact"/>
              <w:jc w:val="center"/>
              <w:rPr>
                <w:rFonts w:ascii="宋体" w:hAnsi="宋体" w:eastAsia="宋体" w:cs="宋体"/>
                <w:b/>
                <w:bCs/>
                <w:sz w:val="24"/>
              </w:rPr>
            </w:pPr>
            <w:r>
              <w:rPr>
                <w:rFonts w:hint="eastAsia" w:ascii="宋体" w:hAnsi="宋体" w:eastAsia="宋体" w:cs="宋体"/>
                <w:b/>
                <w:bCs/>
                <w:sz w:val="24"/>
              </w:rPr>
              <w:t>项目</w:t>
            </w:r>
          </w:p>
          <w:p w14:paraId="1FA92AAE">
            <w:pPr>
              <w:spacing w:line="360" w:lineRule="exact"/>
              <w:jc w:val="center"/>
              <w:rPr>
                <w:rFonts w:ascii="宋体" w:hAnsi="宋体" w:eastAsia="宋体" w:cs="宋体"/>
                <w:b/>
                <w:bCs/>
                <w:sz w:val="24"/>
              </w:rPr>
            </w:pPr>
            <w:r>
              <w:rPr>
                <w:rFonts w:hint="eastAsia" w:ascii="宋体" w:hAnsi="宋体" w:eastAsia="宋体" w:cs="宋体"/>
                <w:b/>
                <w:bCs/>
                <w:sz w:val="24"/>
              </w:rPr>
              <w:t>服务</w:t>
            </w:r>
          </w:p>
          <w:p w14:paraId="4FB01881">
            <w:pPr>
              <w:spacing w:line="360" w:lineRule="exact"/>
              <w:jc w:val="center"/>
              <w:rPr>
                <w:rFonts w:ascii="宋体" w:hAnsi="宋体" w:eastAsia="宋体" w:cs="宋体"/>
                <w:sz w:val="24"/>
              </w:rPr>
            </w:pPr>
            <w:r>
              <w:rPr>
                <w:rFonts w:hint="eastAsia" w:ascii="宋体" w:hAnsi="宋体" w:eastAsia="宋体" w:cs="宋体"/>
                <w:b/>
                <w:bCs/>
                <w:sz w:val="24"/>
              </w:rPr>
              <w:t>方案</w:t>
            </w:r>
          </w:p>
        </w:tc>
        <w:tc>
          <w:tcPr>
            <w:tcW w:w="7228" w:type="dxa"/>
            <w:vAlign w:val="center"/>
          </w:tcPr>
          <w:p w14:paraId="3AD69665">
            <w:pPr>
              <w:spacing w:line="360" w:lineRule="exact"/>
              <w:rPr>
                <w:rFonts w:ascii="宋体" w:hAnsi="宋体" w:eastAsia="宋体" w:cs="宋体"/>
                <w:sz w:val="24"/>
              </w:rPr>
            </w:pPr>
            <w:r>
              <w:rPr>
                <w:rFonts w:hint="eastAsia" w:ascii="宋体" w:hAnsi="宋体" w:eastAsia="宋体" w:cs="宋体"/>
                <w:sz w:val="24"/>
              </w:rPr>
              <w:t>202</w:t>
            </w:r>
            <w:r>
              <w:rPr>
                <w:rFonts w:hint="eastAsia" w:ascii="宋体" w:hAnsi="宋体" w:cs="宋体"/>
                <w:sz w:val="24"/>
                <w:lang w:val="en-US" w:eastAsia="zh-CN"/>
              </w:rPr>
              <w:t>5</w:t>
            </w:r>
            <w:r>
              <w:rPr>
                <w:rFonts w:hint="eastAsia" w:ascii="宋体" w:hAnsi="宋体" w:eastAsia="宋体" w:cs="宋体"/>
                <w:sz w:val="24"/>
              </w:rPr>
              <w:t>中国青少年棒球联赛赛事的分区赛及总决赛总体筹备方案（应包含宣传方案、开闭幕式方案、后勤保障方案、安保方案、应急预案、场地布置和管理方案、赛事组织方案、工作人员组织方案、</w:t>
            </w:r>
            <w:r>
              <w:rPr>
                <w:rFonts w:hint="eastAsia" w:ascii="宋体" w:hAnsi="宋体" w:eastAsia="宋体" w:cs="宋体"/>
                <w:sz w:val="24"/>
                <w:lang w:val="en-US" w:eastAsia="zh-CN"/>
              </w:rPr>
              <w:t>市场开发</w:t>
            </w:r>
            <w:r>
              <w:rPr>
                <w:rFonts w:hint="eastAsia" w:ascii="宋体" w:hAnsi="宋体" w:eastAsia="宋体" w:cs="宋体"/>
                <w:sz w:val="24"/>
              </w:rPr>
              <w:t>方案）。</w:t>
            </w:r>
          </w:p>
        </w:tc>
        <w:tc>
          <w:tcPr>
            <w:tcW w:w="727" w:type="dxa"/>
            <w:vAlign w:val="center"/>
          </w:tcPr>
          <w:p w14:paraId="521C5F01">
            <w:pPr>
              <w:spacing w:line="360" w:lineRule="exact"/>
              <w:jc w:val="center"/>
              <w:rPr>
                <w:rFonts w:ascii="宋体" w:hAnsi="宋体" w:eastAsia="宋体" w:cs="宋体"/>
                <w:sz w:val="24"/>
              </w:rPr>
            </w:pPr>
            <w:r>
              <w:rPr>
                <w:rFonts w:hint="eastAsia" w:ascii="宋体" w:hAnsi="宋体" w:eastAsia="宋体" w:cs="宋体"/>
                <w:sz w:val="24"/>
              </w:rPr>
              <w:t>/</w:t>
            </w:r>
          </w:p>
        </w:tc>
      </w:tr>
      <w:tr w14:paraId="1A34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140" w:type="dxa"/>
            <w:vMerge w:val="continue"/>
            <w:vAlign w:val="center"/>
          </w:tcPr>
          <w:p w14:paraId="4CFEE3D5">
            <w:pPr>
              <w:spacing w:line="360" w:lineRule="exact"/>
              <w:rPr>
                <w:rFonts w:ascii="宋体" w:hAnsi="宋体" w:eastAsia="宋体" w:cs="宋体"/>
                <w:sz w:val="24"/>
              </w:rPr>
            </w:pPr>
          </w:p>
        </w:tc>
        <w:tc>
          <w:tcPr>
            <w:tcW w:w="988" w:type="dxa"/>
            <w:vAlign w:val="center"/>
          </w:tcPr>
          <w:p w14:paraId="0ABB7FF7">
            <w:pPr>
              <w:spacing w:line="360" w:lineRule="exact"/>
              <w:jc w:val="center"/>
              <w:rPr>
                <w:rFonts w:ascii="宋体" w:hAnsi="宋体" w:eastAsia="宋体" w:cs="宋体"/>
                <w:bCs/>
                <w:sz w:val="24"/>
              </w:rPr>
            </w:pPr>
            <w:r>
              <w:rPr>
                <w:rFonts w:hint="eastAsia" w:ascii="宋体" w:hAnsi="宋体" w:eastAsia="宋体" w:cs="宋体"/>
                <w:bCs/>
                <w:sz w:val="24"/>
              </w:rPr>
              <w:t>宣传</w:t>
            </w:r>
          </w:p>
          <w:p w14:paraId="52AF1E36">
            <w:pPr>
              <w:spacing w:line="360" w:lineRule="exact"/>
              <w:jc w:val="center"/>
              <w:rPr>
                <w:rFonts w:ascii="宋体" w:hAnsi="宋体" w:eastAsia="宋体" w:cs="宋体"/>
                <w:bCs/>
                <w:sz w:val="24"/>
              </w:rPr>
            </w:pPr>
            <w:r>
              <w:rPr>
                <w:rFonts w:hint="eastAsia" w:ascii="宋体" w:hAnsi="宋体" w:eastAsia="宋体" w:cs="宋体"/>
                <w:bCs/>
                <w:sz w:val="24"/>
              </w:rPr>
              <w:t>方案</w:t>
            </w:r>
          </w:p>
        </w:tc>
        <w:tc>
          <w:tcPr>
            <w:tcW w:w="7228" w:type="dxa"/>
            <w:vAlign w:val="center"/>
          </w:tcPr>
          <w:p w14:paraId="2F79D960">
            <w:pPr>
              <w:numPr>
                <w:ilvl w:val="255"/>
                <w:numId w:val="0"/>
              </w:numPr>
              <w:spacing w:line="360" w:lineRule="exact"/>
              <w:rPr>
                <w:rFonts w:ascii="宋体" w:hAnsi="宋体" w:eastAsia="宋体" w:cs="宋体"/>
                <w:b/>
                <w:bCs/>
                <w:sz w:val="24"/>
              </w:rPr>
            </w:pPr>
            <w:r>
              <w:rPr>
                <w:rFonts w:hint="eastAsia" w:ascii="宋体" w:hAnsi="宋体" w:eastAsia="宋体" w:cs="宋体"/>
                <w:b/>
                <w:bCs/>
                <w:sz w:val="24"/>
              </w:rPr>
              <w:t>宣传方案评分标准</w:t>
            </w:r>
          </w:p>
          <w:p w14:paraId="4079F782">
            <w:pPr>
              <w:numPr>
                <w:ilvl w:val="255"/>
                <w:numId w:val="0"/>
              </w:numPr>
              <w:spacing w:line="360" w:lineRule="exact"/>
              <w:rPr>
                <w:rFonts w:ascii="宋体" w:hAnsi="宋体" w:eastAsia="宋体" w:cs="宋体"/>
                <w:sz w:val="24"/>
              </w:rPr>
            </w:pPr>
            <w:r>
              <w:rPr>
                <w:rFonts w:hint="eastAsia" w:ascii="宋体" w:hAnsi="宋体" w:cs="宋体"/>
                <w:sz w:val="24"/>
                <w:lang w:val="en-US" w:eastAsia="zh-CN"/>
              </w:rPr>
              <w:t>10</w:t>
            </w:r>
            <w:r>
              <w:rPr>
                <w:rFonts w:hint="eastAsia" w:ascii="宋体" w:hAnsi="宋体" w:eastAsia="宋体" w:cs="宋体"/>
                <w:sz w:val="24"/>
              </w:rPr>
              <w:t>分：方案充分利用了多种传统（制作转播团队有棒球比赛电视级转播经验）和新媒体渠道，内容极具创意，能广泛吸引目标受众，形成强烈的社会影响力。</w:t>
            </w:r>
          </w:p>
          <w:p w14:paraId="2F02E20F">
            <w:pPr>
              <w:numPr>
                <w:ilvl w:val="255"/>
                <w:numId w:val="0"/>
              </w:numPr>
              <w:spacing w:line="360" w:lineRule="exact"/>
              <w:rPr>
                <w:rFonts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分：方案运用了部分媒体渠道，内容有一定的创意，能够吸引一定的目标受众，但影响力有限。</w:t>
            </w:r>
          </w:p>
          <w:p w14:paraId="7CE61BF9">
            <w:pPr>
              <w:numPr>
                <w:ilvl w:val="255"/>
                <w:numId w:val="0"/>
              </w:numPr>
              <w:spacing w:line="360" w:lineRule="exact"/>
              <w:rPr>
                <w:rFonts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分：方案仅使用了有限的媒体渠道，内容缺乏创意，传播范围和吸引力都较为一般。</w:t>
            </w:r>
          </w:p>
          <w:p w14:paraId="1D2D90FD">
            <w:pPr>
              <w:numPr>
                <w:ilvl w:val="255"/>
                <w:numId w:val="0"/>
              </w:numPr>
              <w:spacing w:line="360" w:lineRule="exact"/>
              <w:rPr>
                <w:rFonts w:ascii="宋体" w:hAnsi="宋体" w:eastAsia="宋体" w:cs="宋体"/>
                <w:sz w:val="24"/>
              </w:rPr>
            </w:pPr>
            <w:r>
              <w:rPr>
                <w:rFonts w:hint="eastAsia" w:ascii="宋体" w:hAnsi="宋体" w:eastAsia="宋体" w:cs="宋体"/>
                <w:sz w:val="24"/>
              </w:rPr>
              <w:t>0分：没有提供有效的宣传方案或者方案完全不可行。</w:t>
            </w:r>
          </w:p>
        </w:tc>
        <w:tc>
          <w:tcPr>
            <w:tcW w:w="727" w:type="dxa"/>
            <w:vAlign w:val="center"/>
          </w:tcPr>
          <w:p w14:paraId="5D9C9AD4">
            <w:pPr>
              <w:spacing w:line="360" w:lineRule="exact"/>
              <w:jc w:val="center"/>
              <w:rPr>
                <w:rFonts w:ascii="宋体" w:hAnsi="宋体" w:eastAsia="宋体" w:cs="宋体"/>
                <w:sz w:val="24"/>
              </w:rPr>
            </w:pPr>
            <w:r>
              <w:rPr>
                <w:rFonts w:hint="eastAsia" w:ascii="宋体" w:hAnsi="宋体" w:cs="宋体"/>
                <w:sz w:val="24"/>
                <w:lang w:val="en-US" w:eastAsia="zh-CN"/>
              </w:rPr>
              <w:t>10</w:t>
            </w:r>
            <w:r>
              <w:rPr>
                <w:rFonts w:hint="eastAsia" w:ascii="宋体" w:hAnsi="宋体" w:eastAsia="宋体" w:cs="宋体"/>
                <w:sz w:val="24"/>
              </w:rPr>
              <w:t>分</w:t>
            </w:r>
          </w:p>
        </w:tc>
      </w:tr>
      <w:tr w14:paraId="0911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140" w:type="dxa"/>
            <w:vMerge w:val="continue"/>
            <w:vAlign w:val="center"/>
          </w:tcPr>
          <w:p w14:paraId="7F3FA981">
            <w:pPr>
              <w:spacing w:line="360" w:lineRule="exact"/>
              <w:rPr>
                <w:rFonts w:ascii="宋体" w:hAnsi="宋体" w:eastAsia="宋体" w:cs="宋体"/>
                <w:sz w:val="24"/>
              </w:rPr>
            </w:pPr>
          </w:p>
        </w:tc>
        <w:tc>
          <w:tcPr>
            <w:tcW w:w="988" w:type="dxa"/>
            <w:vAlign w:val="center"/>
          </w:tcPr>
          <w:p w14:paraId="53DB614A">
            <w:pPr>
              <w:spacing w:line="360" w:lineRule="exact"/>
              <w:jc w:val="center"/>
              <w:rPr>
                <w:rFonts w:ascii="宋体" w:hAnsi="宋体" w:eastAsia="宋体" w:cs="宋体"/>
                <w:bCs/>
                <w:sz w:val="24"/>
              </w:rPr>
            </w:pPr>
            <w:r>
              <w:rPr>
                <w:rFonts w:hint="eastAsia" w:ascii="宋体" w:hAnsi="宋体" w:eastAsia="宋体" w:cs="宋体"/>
                <w:bCs/>
                <w:sz w:val="24"/>
              </w:rPr>
              <w:t>开闭</w:t>
            </w:r>
          </w:p>
          <w:p w14:paraId="2FAE768D">
            <w:pPr>
              <w:spacing w:line="360" w:lineRule="exact"/>
              <w:jc w:val="center"/>
              <w:rPr>
                <w:rFonts w:ascii="宋体" w:hAnsi="宋体" w:eastAsia="宋体" w:cs="宋体"/>
                <w:bCs/>
                <w:sz w:val="24"/>
              </w:rPr>
            </w:pPr>
            <w:r>
              <w:rPr>
                <w:rFonts w:hint="eastAsia" w:ascii="宋体" w:hAnsi="宋体" w:eastAsia="宋体" w:cs="宋体"/>
                <w:bCs/>
                <w:sz w:val="24"/>
              </w:rPr>
              <w:t>幕式</w:t>
            </w:r>
          </w:p>
          <w:p w14:paraId="6790BCFE">
            <w:pPr>
              <w:spacing w:line="360" w:lineRule="exact"/>
              <w:jc w:val="center"/>
              <w:rPr>
                <w:rFonts w:ascii="宋体" w:hAnsi="宋体" w:eastAsia="宋体" w:cs="宋体"/>
                <w:bCs/>
                <w:sz w:val="24"/>
              </w:rPr>
            </w:pPr>
            <w:r>
              <w:rPr>
                <w:rFonts w:hint="eastAsia" w:ascii="宋体" w:hAnsi="宋体" w:eastAsia="宋体" w:cs="宋体"/>
                <w:bCs/>
                <w:sz w:val="24"/>
              </w:rPr>
              <w:t>方案</w:t>
            </w:r>
          </w:p>
        </w:tc>
        <w:tc>
          <w:tcPr>
            <w:tcW w:w="7228" w:type="dxa"/>
            <w:vAlign w:val="center"/>
          </w:tcPr>
          <w:p w14:paraId="495D26F1">
            <w:pPr>
              <w:numPr>
                <w:ilvl w:val="255"/>
                <w:numId w:val="0"/>
              </w:numPr>
              <w:spacing w:line="360" w:lineRule="exact"/>
              <w:rPr>
                <w:rFonts w:ascii="宋体" w:hAnsi="宋体" w:eastAsia="宋体" w:cs="宋体"/>
                <w:b/>
                <w:bCs/>
                <w:sz w:val="24"/>
              </w:rPr>
            </w:pPr>
            <w:r>
              <w:rPr>
                <w:rFonts w:hint="eastAsia" w:ascii="宋体" w:hAnsi="宋体" w:eastAsia="宋体" w:cs="宋体"/>
                <w:b/>
                <w:bCs/>
                <w:sz w:val="24"/>
              </w:rPr>
              <w:t>开闭幕式方案评分标准</w:t>
            </w:r>
          </w:p>
          <w:p w14:paraId="70F62BA3">
            <w:pPr>
              <w:numPr>
                <w:ilvl w:val="255"/>
                <w:numId w:val="0"/>
              </w:numPr>
              <w:spacing w:line="360" w:lineRule="exact"/>
              <w:rPr>
                <w:rFonts w:ascii="宋体" w:hAnsi="宋体" w:eastAsia="宋体" w:cs="宋体"/>
                <w:sz w:val="24"/>
              </w:rPr>
            </w:pPr>
            <w:r>
              <w:rPr>
                <w:rFonts w:hint="eastAsia" w:ascii="宋体" w:hAnsi="宋体" w:eastAsia="宋体" w:cs="宋体"/>
                <w:sz w:val="24"/>
              </w:rPr>
              <w:t>6分：开闭幕式方案非常完善，仪式完善且主题明确，嘉宾邀请和接待周到，现场布置合理，时间安排紧凑且流程顺畅。</w:t>
            </w:r>
          </w:p>
          <w:p w14:paraId="1F528913">
            <w:pPr>
              <w:numPr>
                <w:ilvl w:val="255"/>
                <w:numId w:val="0"/>
              </w:numPr>
              <w:spacing w:line="360" w:lineRule="exact"/>
              <w:rPr>
                <w:rFonts w:ascii="宋体" w:hAnsi="宋体" w:eastAsia="宋体" w:cs="宋体"/>
                <w:sz w:val="24"/>
              </w:rPr>
            </w:pPr>
            <w:r>
              <w:rPr>
                <w:rFonts w:hint="eastAsia" w:ascii="宋体" w:hAnsi="宋体" w:eastAsia="宋体" w:cs="宋体"/>
                <w:sz w:val="24"/>
              </w:rPr>
              <w:t>4分：方案整体尚可，仪式较为完善，嘉宾邀请和接待基本得体，现场布置一般，时间安排和流程有小瑕疵但不影响整体效果。</w:t>
            </w:r>
          </w:p>
          <w:p w14:paraId="0F34871A">
            <w:pPr>
              <w:numPr>
                <w:ilvl w:val="255"/>
                <w:numId w:val="0"/>
              </w:numPr>
              <w:spacing w:line="360" w:lineRule="exact"/>
              <w:rPr>
                <w:rFonts w:ascii="宋体" w:hAnsi="宋体" w:eastAsia="宋体" w:cs="宋体"/>
                <w:sz w:val="24"/>
              </w:rPr>
            </w:pPr>
            <w:r>
              <w:rPr>
                <w:rFonts w:hint="eastAsia" w:ascii="宋体" w:hAnsi="宋体" w:eastAsia="宋体" w:cs="宋体"/>
                <w:sz w:val="24"/>
              </w:rPr>
              <w:t>2分：方案存在明显不足，仪式不够完善，嘉宾邀请和接待有疏漏，现场布置简单，时间安排和流程有较多问题。</w:t>
            </w:r>
          </w:p>
          <w:p w14:paraId="1E6831E8">
            <w:pPr>
              <w:numPr>
                <w:ilvl w:val="255"/>
                <w:numId w:val="0"/>
              </w:numPr>
              <w:spacing w:line="360" w:lineRule="exact"/>
              <w:rPr>
                <w:rFonts w:ascii="宋体" w:hAnsi="宋体" w:eastAsia="宋体" w:cs="宋体"/>
                <w:sz w:val="24"/>
              </w:rPr>
            </w:pPr>
            <w:r>
              <w:rPr>
                <w:rFonts w:hint="eastAsia" w:ascii="宋体" w:hAnsi="宋体" w:eastAsia="宋体" w:cs="宋体"/>
                <w:sz w:val="24"/>
              </w:rPr>
              <w:t>0分：方案很差，无仪式，嘉宾邀请和接待混乱，现场布置简陋，时间安排和流程严重混乱。</w:t>
            </w:r>
          </w:p>
        </w:tc>
        <w:tc>
          <w:tcPr>
            <w:tcW w:w="727" w:type="dxa"/>
            <w:vAlign w:val="center"/>
          </w:tcPr>
          <w:p w14:paraId="3AB38E9D">
            <w:pPr>
              <w:spacing w:line="360" w:lineRule="exact"/>
              <w:jc w:val="center"/>
              <w:rPr>
                <w:rFonts w:ascii="宋体" w:hAnsi="宋体" w:eastAsia="宋体" w:cs="宋体"/>
                <w:sz w:val="24"/>
              </w:rPr>
            </w:pPr>
            <w:r>
              <w:rPr>
                <w:rFonts w:hint="eastAsia" w:ascii="宋体" w:hAnsi="宋体" w:eastAsia="宋体" w:cs="宋体"/>
                <w:sz w:val="24"/>
              </w:rPr>
              <w:t>6分</w:t>
            </w:r>
          </w:p>
        </w:tc>
      </w:tr>
      <w:tr w14:paraId="5F70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trPr>
        <w:tc>
          <w:tcPr>
            <w:tcW w:w="1140" w:type="dxa"/>
            <w:vMerge w:val="continue"/>
            <w:vAlign w:val="center"/>
          </w:tcPr>
          <w:p w14:paraId="5B9923A4">
            <w:pPr>
              <w:spacing w:line="360" w:lineRule="exact"/>
              <w:rPr>
                <w:rFonts w:ascii="宋体" w:hAnsi="宋体" w:eastAsia="宋体" w:cs="宋体"/>
                <w:sz w:val="24"/>
              </w:rPr>
            </w:pPr>
          </w:p>
        </w:tc>
        <w:tc>
          <w:tcPr>
            <w:tcW w:w="988" w:type="dxa"/>
            <w:vAlign w:val="center"/>
          </w:tcPr>
          <w:p w14:paraId="4186B2B1">
            <w:pPr>
              <w:spacing w:line="360" w:lineRule="exact"/>
              <w:jc w:val="center"/>
              <w:rPr>
                <w:rFonts w:ascii="宋体" w:hAnsi="宋体" w:eastAsia="宋体" w:cs="宋体"/>
                <w:bCs/>
                <w:sz w:val="24"/>
              </w:rPr>
            </w:pPr>
            <w:r>
              <w:rPr>
                <w:rFonts w:hint="eastAsia" w:ascii="宋体" w:hAnsi="宋体" w:eastAsia="宋体" w:cs="宋体"/>
                <w:bCs/>
                <w:sz w:val="24"/>
              </w:rPr>
              <w:t>后勤</w:t>
            </w:r>
          </w:p>
          <w:p w14:paraId="5A968FD0">
            <w:pPr>
              <w:spacing w:line="360" w:lineRule="exact"/>
              <w:jc w:val="center"/>
              <w:rPr>
                <w:rFonts w:ascii="宋体" w:hAnsi="宋体" w:eastAsia="宋体" w:cs="宋体"/>
                <w:bCs/>
                <w:sz w:val="24"/>
              </w:rPr>
            </w:pPr>
            <w:r>
              <w:rPr>
                <w:rFonts w:hint="eastAsia" w:ascii="宋体" w:hAnsi="宋体" w:eastAsia="宋体" w:cs="宋体"/>
                <w:bCs/>
                <w:sz w:val="24"/>
              </w:rPr>
              <w:t>保障</w:t>
            </w:r>
          </w:p>
          <w:p w14:paraId="0CBC9C09">
            <w:pPr>
              <w:spacing w:line="360" w:lineRule="exact"/>
              <w:jc w:val="center"/>
              <w:rPr>
                <w:rFonts w:ascii="宋体" w:hAnsi="宋体" w:eastAsia="宋体" w:cs="宋体"/>
                <w:bCs/>
                <w:sz w:val="24"/>
              </w:rPr>
            </w:pPr>
            <w:r>
              <w:rPr>
                <w:rFonts w:hint="eastAsia" w:ascii="宋体" w:hAnsi="宋体" w:eastAsia="宋体" w:cs="宋体"/>
                <w:bCs/>
                <w:sz w:val="24"/>
              </w:rPr>
              <w:t>方案</w:t>
            </w:r>
          </w:p>
        </w:tc>
        <w:tc>
          <w:tcPr>
            <w:tcW w:w="7228" w:type="dxa"/>
            <w:vAlign w:val="center"/>
          </w:tcPr>
          <w:p w14:paraId="00D50B6E">
            <w:pPr>
              <w:spacing w:line="360" w:lineRule="auto"/>
              <w:rPr>
                <w:rFonts w:ascii="宋体" w:hAnsi="宋体" w:eastAsia="宋体" w:cs="宋体"/>
                <w:sz w:val="24"/>
              </w:rPr>
            </w:pPr>
            <w:r>
              <w:rPr>
                <w:rFonts w:hint="eastAsia" w:ascii="宋体" w:hAnsi="宋体" w:eastAsia="宋体" w:cs="宋体"/>
                <w:b/>
                <w:bCs/>
                <w:sz w:val="24"/>
              </w:rPr>
              <w:t>后勤保障方案评分标准</w:t>
            </w:r>
          </w:p>
          <w:p w14:paraId="10B8F40B">
            <w:pPr>
              <w:numPr>
                <w:ilvl w:val="255"/>
                <w:numId w:val="0"/>
              </w:numPr>
              <w:spacing w:line="360" w:lineRule="exact"/>
              <w:rPr>
                <w:rFonts w:ascii="宋体" w:hAnsi="宋体" w:eastAsia="宋体" w:cs="宋体"/>
                <w:sz w:val="24"/>
              </w:rPr>
            </w:pPr>
            <w:r>
              <w:rPr>
                <w:rFonts w:hint="eastAsia" w:ascii="宋体" w:hAnsi="宋体" w:eastAsia="宋体" w:cs="宋体"/>
                <w:sz w:val="24"/>
              </w:rPr>
              <w:t>6分：后勤保障方案非常完善，食宿条件优越且安全无忧，交通保障便捷，物资供应充足及时，医疗卫生保障全面。</w:t>
            </w:r>
          </w:p>
          <w:p w14:paraId="118F2C49">
            <w:pPr>
              <w:numPr>
                <w:ilvl w:val="255"/>
                <w:numId w:val="0"/>
              </w:numPr>
              <w:spacing w:line="360" w:lineRule="exact"/>
              <w:rPr>
                <w:rFonts w:ascii="宋体" w:hAnsi="宋体" w:eastAsia="宋体" w:cs="宋体"/>
                <w:sz w:val="24"/>
              </w:rPr>
            </w:pPr>
            <w:r>
              <w:rPr>
                <w:rFonts w:hint="eastAsia" w:ascii="宋体" w:hAnsi="宋体" w:eastAsia="宋体" w:cs="宋体"/>
                <w:sz w:val="24"/>
              </w:rPr>
              <w:t>4分：方案整体尚可，食宿条件基本满足需求，交通保障基本顺畅，物资供应较为及时，有一定的医疗卫生保障。</w:t>
            </w:r>
          </w:p>
          <w:p w14:paraId="001590A1">
            <w:pPr>
              <w:numPr>
                <w:ilvl w:val="255"/>
                <w:numId w:val="0"/>
              </w:numPr>
              <w:spacing w:line="360" w:lineRule="exact"/>
              <w:rPr>
                <w:rFonts w:ascii="宋体" w:hAnsi="宋体" w:eastAsia="宋体" w:cs="宋体"/>
                <w:sz w:val="24"/>
              </w:rPr>
            </w:pPr>
            <w:r>
              <w:rPr>
                <w:rFonts w:hint="eastAsia" w:ascii="宋体" w:hAnsi="宋体" w:eastAsia="宋体" w:cs="宋体"/>
                <w:sz w:val="24"/>
              </w:rPr>
              <w:t>2分：方案存在明显不足，食宿条件一般且存在安全隐患，交通保障不够便捷，物资供应时有延误，医疗卫生保障有限。</w:t>
            </w:r>
          </w:p>
          <w:p w14:paraId="64EABE0B">
            <w:pPr>
              <w:numPr>
                <w:ilvl w:val="255"/>
                <w:numId w:val="0"/>
              </w:numPr>
              <w:spacing w:line="360" w:lineRule="exact"/>
              <w:rPr>
                <w:rFonts w:ascii="宋体" w:hAnsi="宋体" w:eastAsia="宋体" w:cs="宋体"/>
                <w:sz w:val="24"/>
              </w:rPr>
            </w:pPr>
            <w:r>
              <w:rPr>
                <w:rFonts w:hint="eastAsia" w:ascii="宋体" w:hAnsi="宋体" w:eastAsia="宋体" w:cs="宋体"/>
                <w:sz w:val="24"/>
              </w:rPr>
              <w:t>0分：方案很差，食宿条件恶劣且不安全，交通保障严重不足，物资供应经常延误或缺失，医疗卫生保障基本缺失。</w:t>
            </w:r>
          </w:p>
        </w:tc>
        <w:tc>
          <w:tcPr>
            <w:tcW w:w="727" w:type="dxa"/>
            <w:vAlign w:val="center"/>
          </w:tcPr>
          <w:p w14:paraId="150AA9D2">
            <w:pPr>
              <w:spacing w:line="360" w:lineRule="exact"/>
              <w:jc w:val="center"/>
              <w:rPr>
                <w:rFonts w:ascii="宋体" w:hAnsi="宋体" w:eastAsia="宋体" w:cs="宋体"/>
                <w:sz w:val="24"/>
              </w:rPr>
            </w:pPr>
            <w:r>
              <w:rPr>
                <w:rFonts w:hint="eastAsia" w:ascii="宋体" w:hAnsi="宋体" w:eastAsia="宋体" w:cs="宋体"/>
                <w:sz w:val="24"/>
              </w:rPr>
              <w:t>6分</w:t>
            </w:r>
          </w:p>
        </w:tc>
      </w:tr>
      <w:tr w14:paraId="1347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140" w:type="dxa"/>
            <w:vMerge w:val="continue"/>
            <w:vAlign w:val="center"/>
          </w:tcPr>
          <w:p w14:paraId="7CAE3518">
            <w:pPr>
              <w:spacing w:line="360" w:lineRule="exact"/>
              <w:rPr>
                <w:rFonts w:ascii="宋体" w:hAnsi="宋体" w:eastAsia="宋体" w:cs="宋体"/>
                <w:sz w:val="24"/>
              </w:rPr>
            </w:pPr>
          </w:p>
        </w:tc>
        <w:tc>
          <w:tcPr>
            <w:tcW w:w="988" w:type="dxa"/>
            <w:vAlign w:val="center"/>
          </w:tcPr>
          <w:p w14:paraId="6703086E">
            <w:pPr>
              <w:spacing w:line="360" w:lineRule="exact"/>
              <w:jc w:val="center"/>
              <w:rPr>
                <w:rFonts w:ascii="宋体" w:hAnsi="宋体" w:eastAsia="宋体" w:cs="宋体"/>
                <w:bCs/>
                <w:sz w:val="24"/>
              </w:rPr>
            </w:pPr>
            <w:r>
              <w:rPr>
                <w:rFonts w:hint="eastAsia" w:ascii="宋体" w:hAnsi="宋体" w:eastAsia="宋体" w:cs="宋体"/>
                <w:bCs/>
                <w:sz w:val="24"/>
              </w:rPr>
              <w:t>安保</w:t>
            </w:r>
          </w:p>
          <w:p w14:paraId="3C8E2752">
            <w:pPr>
              <w:spacing w:line="360" w:lineRule="exact"/>
              <w:jc w:val="center"/>
              <w:rPr>
                <w:rFonts w:ascii="宋体" w:hAnsi="宋体" w:eastAsia="宋体" w:cs="宋体"/>
                <w:bCs/>
                <w:sz w:val="24"/>
              </w:rPr>
            </w:pPr>
            <w:r>
              <w:rPr>
                <w:rFonts w:hint="eastAsia" w:ascii="宋体" w:hAnsi="宋体" w:eastAsia="宋体" w:cs="宋体"/>
                <w:bCs/>
                <w:sz w:val="24"/>
              </w:rPr>
              <w:t>方案</w:t>
            </w:r>
          </w:p>
        </w:tc>
        <w:tc>
          <w:tcPr>
            <w:tcW w:w="7228" w:type="dxa"/>
            <w:vAlign w:val="center"/>
          </w:tcPr>
          <w:p w14:paraId="30180A26">
            <w:pPr>
              <w:spacing w:line="360" w:lineRule="auto"/>
              <w:rPr>
                <w:rFonts w:ascii="宋体" w:hAnsi="宋体" w:eastAsia="宋体" w:cs="宋体"/>
                <w:b/>
                <w:bCs/>
                <w:sz w:val="24"/>
              </w:rPr>
            </w:pPr>
            <w:r>
              <w:rPr>
                <w:rFonts w:hint="eastAsia" w:ascii="宋体" w:hAnsi="宋体" w:eastAsia="宋体" w:cs="宋体"/>
                <w:b/>
                <w:bCs/>
                <w:sz w:val="24"/>
              </w:rPr>
              <w:t>安保方案评分标准</w:t>
            </w:r>
          </w:p>
          <w:p w14:paraId="5C998100">
            <w:pPr>
              <w:spacing w:line="360" w:lineRule="exact"/>
              <w:rPr>
                <w:rFonts w:ascii="宋体" w:hAnsi="宋体" w:eastAsia="宋体" w:cs="宋体"/>
                <w:sz w:val="24"/>
              </w:rPr>
            </w:pPr>
            <w:r>
              <w:rPr>
                <w:rFonts w:hint="eastAsia" w:ascii="宋体" w:hAnsi="宋体" w:eastAsia="宋体" w:cs="宋体"/>
                <w:sz w:val="24"/>
              </w:rPr>
              <w:t>6分：安保方案非常完善，人员配置充足且专业，安保措施严密，协调沟通能力强，技术防范手段先进。</w:t>
            </w:r>
          </w:p>
          <w:p w14:paraId="135A2158">
            <w:pPr>
              <w:spacing w:line="360" w:lineRule="exact"/>
              <w:rPr>
                <w:rFonts w:ascii="宋体" w:hAnsi="宋体" w:eastAsia="宋体" w:cs="宋体"/>
                <w:sz w:val="24"/>
              </w:rPr>
            </w:pPr>
            <w:r>
              <w:rPr>
                <w:rFonts w:hint="eastAsia" w:ascii="宋体" w:hAnsi="宋体" w:eastAsia="宋体" w:cs="宋体"/>
                <w:sz w:val="24"/>
              </w:rPr>
              <w:t>4分：安保方案整体尚可，人员配置基本满足需求，有一定的安保措施，协调沟通能力一般，技术防范手段较为基础。</w:t>
            </w:r>
          </w:p>
          <w:p w14:paraId="0341E558">
            <w:pPr>
              <w:spacing w:line="360" w:lineRule="exact"/>
              <w:rPr>
                <w:rFonts w:ascii="宋体" w:hAnsi="宋体" w:eastAsia="宋体" w:cs="宋体"/>
                <w:sz w:val="24"/>
              </w:rPr>
            </w:pPr>
            <w:r>
              <w:rPr>
                <w:rFonts w:hint="eastAsia" w:ascii="宋体" w:hAnsi="宋体" w:eastAsia="宋体" w:cs="宋体"/>
                <w:sz w:val="24"/>
              </w:rPr>
              <w:t>2分：安保方案存在不足，人员配置略显不足，安保措施较为简单，协调沟通能力有待提高，技术防范手段有限。</w:t>
            </w:r>
          </w:p>
          <w:p w14:paraId="614DC5C7">
            <w:pPr>
              <w:spacing w:line="360" w:lineRule="exact"/>
              <w:rPr>
                <w:rFonts w:ascii="宋体" w:hAnsi="宋体" w:eastAsia="宋体" w:cs="宋体"/>
                <w:sz w:val="24"/>
              </w:rPr>
            </w:pPr>
            <w:r>
              <w:rPr>
                <w:rFonts w:hint="eastAsia" w:ascii="宋体" w:hAnsi="宋体" w:eastAsia="宋体" w:cs="宋体"/>
                <w:sz w:val="24"/>
              </w:rPr>
              <w:t>0分：安保方案很差，人员配置严重不足，缺乏有效的安保措施，协调沟通能力差，无有效的技术防范手段。</w:t>
            </w:r>
          </w:p>
        </w:tc>
        <w:tc>
          <w:tcPr>
            <w:tcW w:w="727" w:type="dxa"/>
            <w:vAlign w:val="center"/>
          </w:tcPr>
          <w:p w14:paraId="783F51AE">
            <w:pPr>
              <w:spacing w:line="360" w:lineRule="exact"/>
              <w:jc w:val="center"/>
              <w:rPr>
                <w:rFonts w:ascii="宋体" w:hAnsi="宋体" w:eastAsia="宋体" w:cs="宋体"/>
                <w:sz w:val="24"/>
              </w:rPr>
            </w:pPr>
            <w:r>
              <w:rPr>
                <w:rFonts w:hint="eastAsia" w:ascii="宋体" w:hAnsi="宋体" w:eastAsia="宋体" w:cs="宋体"/>
                <w:sz w:val="24"/>
              </w:rPr>
              <w:t>6分</w:t>
            </w:r>
          </w:p>
        </w:tc>
      </w:tr>
      <w:tr w14:paraId="5960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140" w:type="dxa"/>
            <w:vMerge w:val="continue"/>
            <w:vAlign w:val="center"/>
          </w:tcPr>
          <w:p w14:paraId="27C233CF">
            <w:pPr>
              <w:spacing w:line="360" w:lineRule="exact"/>
              <w:rPr>
                <w:rFonts w:ascii="宋体" w:hAnsi="宋体" w:eastAsia="宋体" w:cs="宋体"/>
                <w:sz w:val="24"/>
              </w:rPr>
            </w:pPr>
          </w:p>
        </w:tc>
        <w:tc>
          <w:tcPr>
            <w:tcW w:w="988" w:type="dxa"/>
            <w:vAlign w:val="center"/>
          </w:tcPr>
          <w:p w14:paraId="4E481697">
            <w:pPr>
              <w:spacing w:line="360" w:lineRule="exact"/>
              <w:jc w:val="center"/>
              <w:rPr>
                <w:rFonts w:ascii="宋体" w:hAnsi="宋体" w:eastAsia="宋体" w:cs="宋体"/>
                <w:bCs/>
                <w:sz w:val="24"/>
              </w:rPr>
            </w:pPr>
            <w:r>
              <w:rPr>
                <w:rFonts w:hint="eastAsia" w:ascii="宋体" w:hAnsi="宋体" w:eastAsia="宋体" w:cs="宋体"/>
                <w:bCs/>
                <w:sz w:val="24"/>
              </w:rPr>
              <w:t>应急</w:t>
            </w:r>
          </w:p>
          <w:p w14:paraId="6F4BCE3D">
            <w:pPr>
              <w:spacing w:line="360" w:lineRule="exact"/>
              <w:jc w:val="center"/>
              <w:rPr>
                <w:rFonts w:ascii="宋体" w:hAnsi="宋体" w:eastAsia="宋体" w:cs="宋体"/>
                <w:bCs/>
                <w:sz w:val="24"/>
              </w:rPr>
            </w:pPr>
            <w:r>
              <w:rPr>
                <w:rFonts w:hint="eastAsia" w:ascii="宋体" w:hAnsi="宋体" w:eastAsia="宋体" w:cs="宋体"/>
                <w:bCs/>
                <w:sz w:val="24"/>
              </w:rPr>
              <w:t>预案</w:t>
            </w:r>
          </w:p>
        </w:tc>
        <w:tc>
          <w:tcPr>
            <w:tcW w:w="7228" w:type="dxa"/>
            <w:vAlign w:val="center"/>
          </w:tcPr>
          <w:p w14:paraId="63F1CD76">
            <w:pPr>
              <w:widowControl/>
              <w:spacing w:line="360" w:lineRule="auto"/>
              <w:rPr>
                <w:rFonts w:ascii="宋体" w:hAnsi="宋体" w:eastAsia="宋体" w:cs="宋体"/>
                <w:b/>
                <w:bCs/>
                <w:sz w:val="24"/>
              </w:rPr>
            </w:pPr>
            <w:r>
              <w:rPr>
                <w:rFonts w:hint="eastAsia" w:ascii="宋体" w:hAnsi="宋体" w:eastAsia="宋体" w:cs="宋体"/>
                <w:b/>
                <w:bCs/>
                <w:sz w:val="24"/>
              </w:rPr>
              <w:t>应急预案评分标准</w:t>
            </w:r>
          </w:p>
          <w:p w14:paraId="233DB8B8">
            <w:pPr>
              <w:spacing w:line="360" w:lineRule="exact"/>
              <w:rPr>
                <w:rFonts w:ascii="宋体" w:hAnsi="宋体" w:eastAsia="宋体" w:cs="宋体"/>
                <w:sz w:val="24"/>
              </w:rPr>
            </w:pPr>
            <w:r>
              <w:rPr>
                <w:rFonts w:hint="eastAsia" w:ascii="宋体" w:hAnsi="宋体" w:eastAsia="宋体" w:cs="宋体"/>
                <w:sz w:val="24"/>
              </w:rPr>
              <w:t>6分：应急预案非常周全，详细考虑了各种可能发生的突发情况，并制定了相应的人员疏散和紧急救治计划。</w:t>
            </w:r>
          </w:p>
          <w:p w14:paraId="00E07083">
            <w:pPr>
              <w:spacing w:line="360" w:lineRule="exact"/>
              <w:rPr>
                <w:rFonts w:ascii="宋体" w:hAnsi="宋体" w:eastAsia="宋体" w:cs="宋体"/>
                <w:sz w:val="24"/>
              </w:rPr>
            </w:pPr>
            <w:r>
              <w:rPr>
                <w:rFonts w:hint="eastAsia" w:ascii="宋体" w:hAnsi="宋体" w:eastAsia="宋体" w:cs="宋体"/>
                <w:sz w:val="24"/>
              </w:rPr>
              <w:t>4分：应急预案较为完善，但可能对一些不太常见的突发情况考虑不足。</w:t>
            </w:r>
          </w:p>
          <w:p w14:paraId="426A841F">
            <w:pPr>
              <w:spacing w:line="360" w:lineRule="exact"/>
              <w:rPr>
                <w:rFonts w:ascii="宋体" w:hAnsi="宋体" w:eastAsia="宋体" w:cs="宋体"/>
                <w:sz w:val="24"/>
              </w:rPr>
            </w:pPr>
            <w:r>
              <w:rPr>
                <w:rFonts w:hint="eastAsia" w:ascii="宋体" w:hAnsi="宋体" w:eastAsia="宋体" w:cs="宋体"/>
                <w:sz w:val="24"/>
              </w:rPr>
              <w:t>2分：应急预案较为简单，存在一些明显的遗漏和不足之处。</w:t>
            </w:r>
          </w:p>
          <w:p w14:paraId="0D561B68">
            <w:pPr>
              <w:spacing w:line="360" w:lineRule="exact"/>
              <w:rPr>
                <w:rFonts w:ascii="宋体" w:hAnsi="宋体" w:eastAsia="宋体" w:cs="宋体"/>
                <w:sz w:val="24"/>
              </w:rPr>
            </w:pPr>
            <w:r>
              <w:rPr>
                <w:rFonts w:hint="eastAsia" w:ascii="宋体" w:hAnsi="宋体" w:eastAsia="宋体" w:cs="宋体"/>
                <w:sz w:val="24"/>
              </w:rPr>
              <w:t>0分：没有提供有效的应急预案或方案完全不切实际。</w:t>
            </w:r>
          </w:p>
        </w:tc>
        <w:tc>
          <w:tcPr>
            <w:tcW w:w="727" w:type="dxa"/>
            <w:vAlign w:val="center"/>
          </w:tcPr>
          <w:p w14:paraId="018D413B">
            <w:pPr>
              <w:spacing w:line="360" w:lineRule="exact"/>
              <w:jc w:val="center"/>
              <w:rPr>
                <w:rFonts w:ascii="宋体" w:hAnsi="宋体" w:eastAsia="宋体" w:cs="宋体"/>
                <w:sz w:val="24"/>
              </w:rPr>
            </w:pPr>
            <w:r>
              <w:rPr>
                <w:rFonts w:hint="eastAsia" w:ascii="宋体" w:hAnsi="宋体" w:eastAsia="宋体" w:cs="宋体"/>
                <w:sz w:val="24"/>
              </w:rPr>
              <w:t>6分</w:t>
            </w:r>
          </w:p>
        </w:tc>
      </w:tr>
      <w:tr w14:paraId="0F2A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140" w:type="dxa"/>
            <w:vMerge w:val="continue"/>
            <w:vAlign w:val="center"/>
          </w:tcPr>
          <w:p w14:paraId="77CD0E8C">
            <w:pPr>
              <w:spacing w:line="360" w:lineRule="exact"/>
              <w:rPr>
                <w:rFonts w:ascii="宋体" w:hAnsi="宋体" w:eastAsia="宋体" w:cs="宋体"/>
                <w:sz w:val="24"/>
              </w:rPr>
            </w:pPr>
          </w:p>
        </w:tc>
        <w:tc>
          <w:tcPr>
            <w:tcW w:w="988" w:type="dxa"/>
            <w:vAlign w:val="center"/>
          </w:tcPr>
          <w:p w14:paraId="2F7BA637">
            <w:pPr>
              <w:spacing w:line="360" w:lineRule="exact"/>
              <w:jc w:val="center"/>
              <w:rPr>
                <w:rFonts w:ascii="宋体" w:hAnsi="宋体" w:eastAsia="宋体" w:cs="宋体"/>
                <w:bCs/>
                <w:sz w:val="24"/>
              </w:rPr>
            </w:pPr>
            <w:r>
              <w:rPr>
                <w:rFonts w:hint="eastAsia" w:ascii="宋体" w:hAnsi="宋体" w:eastAsia="宋体" w:cs="宋体"/>
                <w:bCs/>
                <w:sz w:val="24"/>
              </w:rPr>
              <w:t>场地</w:t>
            </w:r>
          </w:p>
          <w:p w14:paraId="387D6605">
            <w:pPr>
              <w:spacing w:line="360" w:lineRule="exact"/>
              <w:jc w:val="center"/>
              <w:rPr>
                <w:rFonts w:ascii="宋体" w:hAnsi="宋体" w:eastAsia="宋体" w:cs="宋体"/>
                <w:bCs/>
                <w:sz w:val="24"/>
              </w:rPr>
            </w:pPr>
            <w:r>
              <w:rPr>
                <w:rFonts w:hint="eastAsia" w:ascii="宋体" w:hAnsi="宋体" w:eastAsia="宋体" w:cs="宋体"/>
                <w:bCs/>
                <w:sz w:val="24"/>
              </w:rPr>
              <w:t>布置</w:t>
            </w:r>
          </w:p>
          <w:p w14:paraId="4D22E803">
            <w:pPr>
              <w:spacing w:line="360" w:lineRule="exact"/>
              <w:jc w:val="center"/>
              <w:rPr>
                <w:rFonts w:ascii="宋体" w:hAnsi="宋体" w:eastAsia="宋体" w:cs="宋体"/>
                <w:bCs/>
                <w:sz w:val="24"/>
              </w:rPr>
            </w:pPr>
            <w:r>
              <w:rPr>
                <w:rFonts w:hint="eastAsia" w:ascii="宋体" w:hAnsi="宋体" w:eastAsia="宋体" w:cs="宋体"/>
                <w:bCs/>
                <w:sz w:val="24"/>
              </w:rPr>
              <w:t>和</w:t>
            </w:r>
          </w:p>
          <w:p w14:paraId="1F34AD62">
            <w:pPr>
              <w:spacing w:line="360" w:lineRule="exact"/>
              <w:jc w:val="center"/>
              <w:rPr>
                <w:rFonts w:ascii="宋体" w:hAnsi="宋体" w:eastAsia="宋体" w:cs="宋体"/>
                <w:bCs/>
                <w:sz w:val="24"/>
              </w:rPr>
            </w:pPr>
            <w:r>
              <w:rPr>
                <w:rFonts w:hint="eastAsia" w:ascii="宋体" w:hAnsi="宋体" w:eastAsia="宋体" w:cs="宋体"/>
                <w:bCs/>
                <w:sz w:val="24"/>
              </w:rPr>
              <w:t>管理</w:t>
            </w:r>
          </w:p>
          <w:p w14:paraId="134A09C7">
            <w:pPr>
              <w:spacing w:line="360" w:lineRule="exact"/>
              <w:jc w:val="center"/>
              <w:rPr>
                <w:rFonts w:ascii="宋体" w:hAnsi="宋体" w:eastAsia="宋体" w:cs="宋体"/>
                <w:bCs/>
                <w:sz w:val="24"/>
              </w:rPr>
            </w:pPr>
            <w:r>
              <w:rPr>
                <w:rFonts w:hint="eastAsia" w:ascii="宋体" w:hAnsi="宋体" w:eastAsia="宋体" w:cs="宋体"/>
                <w:bCs/>
                <w:sz w:val="24"/>
              </w:rPr>
              <w:t>方案</w:t>
            </w:r>
          </w:p>
        </w:tc>
        <w:tc>
          <w:tcPr>
            <w:tcW w:w="7228" w:type="dxa"/>
            <w:vAlign w:val="center"/>
          </w:tcPr>
          <w:p w14:paraId="09DCB45E">
            <w:pPr>
              <w:spacing w:line="360" w:lineRule="exact"/>
              <w:rPr>
                <w:rFonts w:ascii="宋体" w:hAnsi="宋体" w:eastAsia="宋体" w:cs="宋体"/>
                <w:b/>
                <w:bCs/>
                <w:sz w:val="24"/>
              </w:rPr>
            </w:pPr>
            <w:r>
              <w:rPr>
                <w:rFonts w:hint="eastAsia" w:ascii="宋体" w:hAnsi="宋体" w:eastAsia="宋体" w:cs="宋体"/>
                <w:b/>
                <w:bCs/>
                <w:sz w:val="24"/>
              </w:rPr>
              <w:t>场地布置和管理方案评分标准</w:t>
            </w:r>
          </w:p>
          <w:p w14:paraId="673CB0E8">
            <w:pPr>
              <w:spacing w:line="360" w:lineRule="exact"/>
              <w:rPr>
                <w:rFonts w:ascii="宋体" w:hAnsi="宋体" w:eastAsia="宋体" w:cs="宋体"/>
                <w:sz w:val="24"/>
              </w:rPr>
            </w:pPr>
            <w:r>
              <w:rPr>
                <w:rFonts w:hint="eastAsia" w:ascii="宋体" w:hAnsi="宋体" w:cs="宋体"/>
                <w:sz w:val="24"/>
                <w:lang w:val="en-US" w:eastAsia="zh-CN"/>
              </w:rPr>
              <w:t>10</w:t>
            </w:r>
            <w:r>
              <w:rPr>
                <w:rFonts w:hint="eastAsia" w:ascii="宋体" w:hAnsi="宋体" w:eastAsia="宋体" w:cs="宋体"/>
                <w:sz w:val="24"/>
              </w:rPr>
              <w:t>分：场地布置合理，</w:t>
            </w:r>
            <w:r>
              <w:rPr>
                <w:rFonts w:hint="eastAsia" w:ascii="宋体" w:hAnsi="宋体" w:cs="宋体"/>
                <w:sz w:val="24"/>
                <w:lang w:val="en-US" w:eastAsia="zh-CN"/>
              </w:rPr>
              <w:t>符合棒球标准，</w:t>
            </w:r>
            <w:r>
              <w:rPr>
                <w:rFonts w:hint="eastAsia" w:ascii="宋体" w:hAnsi="宋体" w:eastAsia="宋体" w:cs="宋体"/>
                <w:sz w:val="24"/>
              </w:rPr>
              <w:t>管理有序，符合比赛要求，包括场地准备、设施布置等。</w:t>
            </w:r>
          </w:p>
          <w:p w14:paraId="1D7942BE">
            <w:pPr>
              <w:spacing w:line="360" w:lineRule="exact"/>
              <w:rPr>
                <w:rFonts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分：场地布置较为合理，基本满足比赛要求，可能缺乏某些细节考虑。管理方案较为有序，但可能需要进一步加强安全和秩序维护。</w:t>
            </w:r>
          </w:p>
          <w:p w14:paraId="7CB5CA98">
            <w:pPr>
              <w:spacing w:line="360" w:lineRule="exact"/>
              <w:rPr>
                <w:rFonts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分：场地布置一般，存在一些不合理之处；管理方案存在明显不足，需要加强安全和秩序维护。</w:t>
            </w:r>
          </w:p>
          <w:p w14:paraId="61928ADA">
            <w:pPr>
              <w:spacing w:line="360" w:lineRule="exact"/>
              <w:rPr>
                <w:rFonts w:ascii="宋体" w:hAnsi="宋体" w:eastAsia="宋体" w:cs="宋体"/>
                <w:sz w:val="24"/>
              </w:rPr>
            </w:pPr>
            <w:r>
              <w:rPr>
                <w:rFonts w:hint="eastAsia" w:ascii="宋体" w:hAnsi="宋体" w:eastAsia="宋体" w:cs="宋体"/>
                <w:sz w:val="24"/>
              </w:rPr>
              <w:t>0分：未提供场地布置和管理方案或方案不可行。</w:t>
            </w:r>
          </w:p>
        </w:tc>
        <w:tc>
          <w:tcPr>
            <w:tcW w:w="727" w:type="dxa"/>
            <w:vAlign w:val="center"/>
          </w:tcPr>
          <w:p w14:paraId="4CA4E2F4">
            <w:pPr>
              <w:spacing w:line="360" w:lineRule="exact"/>
              <w:jc w:val="center"/>
              <w:rPr>
                <w:rFonts w:ascii="宋体" w:hAnsi="宋体" w:eastAsia="宋体" w:cs="宋体"/>
                <w:sz w:val="24"/>
              </w:rPr>
            </w:pPr>
            <w:r>
              <w:rPr>
                <w:rFonts w:hint="eastAsia" w:ascii="宋体" w:hAnsi="宋体" w:cs="宋体"/>
                <w:sz w:val="24"/>
                <w:lang w:val="en-US" w:eastAsia="zh-CN"/>
              </w:rPr>
              <w:t>10</w:t>
            </w:r>
            <w:r>
              <w:rPr>
                <w:rFonts w:hint="eastAsia" w:ascii="宋体" w:hAnsi="宋体" w:eastAsia="宋体" w:cs="宋体"/>
                <w:sz w:val="24"/>
              </w:rPr>
              <w:t>分</w:t>
            </w:r>
          </w:p>
        </w:tc>
      </w:tr>
      <w:tr w14:paraId="3BC5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140" w:type="dxa"/>
            <w:vMerge w:val="continue"/>
            <w:vAlign w:val="center"/>
          </w:tcPr>
          <w:p w14:paraId="3555D160">
            <w:pPr>
              <w:spacing w:line="360" w:lineRule="exact"/>
              <w:rPr>
                <w:rFonts w:ascii="宋体" w:hAnsi="宋体" w:eastAsia="宋体" w:cs="宋体"/>
                <w:sz w:val="24"/>
              </w:rPr>
            </w:pPr>
          </w:p>
        </w:tc>
        <w:tc>
          <w:tcPr>
            <w:tcW w:w="988" w:type="dxa"/>
            <w:vAlign w:val="center"/>
          </w:tcPr>
          <w:p w14:paraId="7645DE3C">
            <w:pPr>
              <w:spacing w:line="360" w:lineRule="exact"/>
              <w:jc w:val="center"/>
              <w:rPr>
                <w:rFonts w:ascii="宋体" w:hAnsi="宋体" w:eastAsia="宋体" w:cs="宋体"/>
                <w:bCs/>
                <w:sz w:val="24"/>
              </w:rPr>
            </w:pPr>
            <w:r>
              <w:rPr>
                <w:rFonts w:hint="eastAsia" w:ascii="宋体" w:hAnsi="宋体" w:eastAsia="宋体" w:cs="宋体"/>
                <w:bCs/>
                <w:sz w:val="24"/>
              </w:rPr>
              <w:t>赛事</w:t>
            </w:r>
          </w:p>
          <w:p w14:paraId="0DCB704E">
            <w:pPr>
              <w:spacing w:line="360" w:lineRule="exact"/>
              <w:jc w:val="center"/>
              <w:rPr>
                <w:rFonts w:ascii="宋体" w:hAnsi="宋体" w:eastAsia="宋体" w:cs="宋体"/>
                <w:bCs/>
                <w:sz w:val="24"/>
              </w:rPr>
            </w:pPr>
            <w:r>
              <w:rPr>
                <w:rFonts w:hint="eastAsia" w:ascii="宋体" w:hAnsi="宋体" w:eastAsia="宋体" w:cs="宋体"/>
                <w:bCs/>
                <w:sz w:val="24"/>
              </w:rPr>
              <w:t>组织</w:t>
            </w:r>
          </w:p>
          <w:p w14:paraId="6273483E">
            <w:pPr>
              <w:spacing w:line="360" w:lineRule="exact"/>
              <w:jc w:val="center"/>
              <w:rPr>
                <w:rFonts w:ascii="宋体" w:hAnsi="宋体" w:eastAsia="宋体" w:cs="宋体"/>
                <w:bCs/>
                <w:sz w:val="24"/>
              </w:rPr>
            </w:pPr>
            <w:r>
              <w:rPr>
                <w:rFonts w:hint="eastAsia" w:ascii="宋体" w:hAnsi="宋体" w:eastAsia="宋体" w:cs="宋体"/>
                <w:bCs/>
                <w:sz w:val="24"/>
              </w:rPr>
              <w:t>方案</w:t>
            </w:r>
          </w:p>
        </w:tc>
        <w:tc>
          <w:tcPr>
            <w:tcW w:w="7228" w:type="dxa"/>
            <w:vAlign w:val="center"/>
          </w:tcPr>
          <w:p w14:paraId="01609F33">
            <w:pPr>
              <w:spacing w:line="360" w:lineRule="exact"/>
              <w:rPr>
                <w:rFonts w:ascii="宋体" w:hAnsi="宋体" w:eastAsia="宋体" w:cs="宋体"/>
                <w:b/>
                <w:bCs/>
                <w:sz w:val="24"/>
              </w:rPr>
            </w:pPr>
            <w:r>
              <w:rPr>
                <w:rFonts w:hint="eastAsia" w:ascii="宋体" w:hAnsi="宋体" w:eastAsia="宋体" w:cs="宋体"/>
                <w:b/>
                <w:bCs/>
                <w:sz w:val="24"/>
              </w:rPr>
              <w:t>赛事组织方案评分标准</w:t>
            </w:r>
          </w:p>
          <w:p w14:paraId="5B9104A0">
            <w:pPr>
              <w:spacing w:line="360" w:lineRule="exact"/>
              <w:rPr>
                <w:rFonts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分：赛程安排合理，比赛规则清晰，管理有序，包括比赛计划、队伍管理等。</w:t>
            </w:r>
          </w:p>
          <w:p w14:paraId="46CDB47E">
            <w:pPr>
              <w:spacing w:line="360" w:lineRule="exact"/>
              <w:rPr>
                <w:rFonts w:ascii="宋体" w:hAnsi="宋体" w:eastAsia="宋体" w:cs="宋体"/>
                <w:sz w:val="24"/>
              </w:rPr>
            </w:pPr>
            <w:r>
              <w:rPr>
                <w:rFonts w:hint="eastAsia" w:ascii="宋体" w:hAnsi="宋体" w:eastAsia="宋体" w:cs="宋体"/>
                <w:sz w:val="24"/>
              </w:rPr>
              <w:t>4分：赛程安排基本满足要求，管理一般，但可能存在一些不足之处。</w:t>
            </w:r>
          </w:p>
          <w:p w14:paraId="73CCDF50">
            <w:pPr>
              <w:spacing w:line="360" w:lineRule="exact"/>
              <w:rPr>
                <w:rFonts w:ascii="宋体" w:hAnsi="宋体" w:eastAsia="宋体" w:cs="宋体"/>
                <w:sz w:val="24"/>
              </w:rPr>
            </w:pPr>
            <w:r>
              <w:rPr>
                <w:rFonts w:hint="eastAsia" w:ascii="宋体" w:hAnsi="宋体" w:eastAsia="宋体" w:cs="宋体"/>
                <w:sz w:val="24"/>
              </w:rPr>
              <w:t>2分：赛程安排未满足需求，存在明显不足。</w:t>
            </w:r>
          </w:p>
          <w:p w14:paraId="69460EA4">
            <w:pPr>
              <w:spacing w:line="360" w:lineRule="exact"/>
              <w:rPr>
                <w:rFonts w:ascii="宋体" w:hAnsi="宋体" w:eastAsia="宋体" w:cs="宋体"/>
                <w:sz w:val="24"/>
              </w:rPr>
            </w:pPr>
            <w:r>
              <w:rPr>
                <w:rFonts w:hint="eastAsia" w:ascii="宋体" w:hAnsi="宋体" w:eastAsia="宋体" w:cs="宋体"/>
                <w:sz w:val="24"/>
              </w:rPr>
              <w:t>0分：未提供赛事组织方案或方案不切实际。</w:t>
            </w:r>
          </w:p>
        </w:tc>
        <w:tc>
          <w:tcPr>
            <w:tcW w:w="727" w:type="dxa"/>
            <w:vAlign w:val="center"/>
          </w:tcPr>
          <w:p w14:paraId="4CE1BF9A">
            <w:pPr>
              <w:spacing w:line="360" w:lineRule="exact"/>
              <w:jc w:val="center"/>
              <w:rPr>
                <w:rFonts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分</w:t>
            </w:r>
          </w:p>
        </w:tc>
      </w:tr>
      <w:tr w14:paraId="4A3A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140" w:type="dxa"/>
            <w:vMerge w:val="continue"/>
            <w:vAlign w:val="center"/>
          </w:tcPr>
          <w:p w14:paraId="3951769E">
            <w:pPr>
              <w:spacing w:line="360" w:lineRule="exact"/>
              <w:rPr>
                <w:rFonts w:ascii="宋体" w:hAnsi="宋体" w:eastAsia="宋体" w:cs="宋体"/>
                <w:sz w:val="24"/>
              </w:rPr>
            </w:pPr>
          </w:p>
        </w:tc>
        <w:tc>
          <w:tcPr>
            <w:tcW w:w="988" w:type="dxa"/>
            <w:vAlign w:val="center"/>
          </w:tcPr>
          <w:p w14:paraId="059025C1">
            <w:pPr>
              <w:spacing w:line="360" w:lineRule="exact"/>
              <w:jc w:val="center"/>
              <w:rPr>
                <w:rFonts w:hint="eastAsia" w:ascii="宋体" w:hAnsi="宋体" w:cs="宋体"/>
                <w:bCs/>
                <w:sz w:val="24"/>
                <w:lang w:val="en-US" w:eastAsia="zh-CN"/>
              </w:rPr>
            </w:pPr>
            <w:r>
              <w:rPr>
                <w:rFonts w:hint="eastAsia" w:ascii="宋体" w:hAnsi="宋体" w:cs="宋体"/>
                <w:bCs/>
                <w:sz w:val="24"/>
                <w:lang w:val="en-US" w:eastAsia="zh-CN"/>
              </w:rPr>
              <w:t>市场</w:t>
            </w:r>
          </w:p>
          <w:p w14:paraId="426A4971">
            <w:pPr>
              <w:spacing w:line="360" w:lineRule="exact"/>
              <w:jc w:val="center"/>
              <w:rPr>
                <w:rFonts w:hint="eastAsia" w:ascii="宋体" w:hAnsi="宋体" w:cs="宋体"/>
                <w:bCs/>
                <w:sz w:val="24"/>
                <w:lang w:val="en-US" w:eastAsia="zh-CN"/>
              </w:rPr>
            </w:pPr>
            <w:r>
              <w:rPr>
                <w:rFonts w:hint="eastAsia" w:ascii="宋体" w:hAnsi="宋体" w:cs="宋体"/>
                <w:bCs/>
                <w:sz w:val="24"/>
                <w:lang w:val="en-US" w:eastAsia="zh-CN"/>
              </w:rPr>
              <w:t>开发</w:t>
            </w:r>
          </w:p>
          <w:p w14:paraId="2C54D984">
            <w:pPr>
              <w:spacing w:line="360" w:lineRule="exact"/>
              <w:jc w:val="center"/>
              <w:rPr>
                <w:rFonts w:ascii="宋体" w:hAnsi="宋体" w:eastAsia="宋体" w:cs="宋体"/>
                <w:bCs/>
                <w:sz w:val="24"/>
              </w:rPr>
            </w:pPr>
            <w:r>
              <w:rPr>
                <w:rFonts w:hint="eastAsia" w:ascii="宋体" w:hAnsi="宋体" w:eastAsia="宋体" w:cs="宋体"/>
                <w:bCs/>
                <w:sz w:val="24"/>
              </w:rPr>
              <w:t>方案</w:t>
            </w:r>
          </w:p>
        </w:tc>
        <w:tc>
          <w:tcPr>
            <w:tcW w:w="7228" w:type="dxa"/>
            <w:vAlign w:val="center"/>
          </w:tcPr>
          <w:p w14:paraId="4722A50B">
            <w:pPr>
              <w:adjustRightInd w:val="0"/>
              <w:snapToGrid w:val="0"/>
              <w:jc w:val="left"/>
              <w:rPr>
                <w:rFonts w:hint="eastAsia" w:ascii="宋体" w:hAnsi="宋体" w:eastAsia="宋体" w:cs="宋体"/>
                <w:sz w:val="24"/>
                <w:lang w:eastAsia="zh-CN"/>
              </w:rPr>
            </w:pPr>
            <w:r>
              <w:rPr>
                <w:rFonts w:hint="eastAsia" w:asciiTheme="minorEastAsia" w:hAnsiTheme="minorEastAsia"/>
                <w:b/>
                <w:bCs/>
                <w:color w:val="000000"/>
                <w:sz w:val="24"/>
              </w:rPr>
              <w:t>对市场开发方案进行评审，</w:t>
            </w:r>
            <w:r>
              <w:rPr>
                <w:rFonts w:hint="eastAsia" w:asciiTheme="minorEastAsia" w:hAnsiTheme="minorEastAsia"/>
                <w:b/>
                <w:bCs/>
                <w:color w:val="000000"/>
                <w:sz w:val="24"/>
                <w:lang w:val="en-US" w:eastAsia="zh-CN"/>
              </w:rPr>
              <w:t>包括但不限于方案的完整性</w:t>
            </w:r>
            <w:r>
              <w:rPr>
                <w:rFonts w:hint="eastAsia" w:asciiTheme="minorEastAsia" w:hAnsiTheme="minorEastAsia"/>
                <w:b/>
                <w:bCs/>
                <w:color w:val="000000"/>
                <w:sz w:val="24"/>
              </w:rPr>
              <w:t>、</w:t>
            </w:r>
            <w:r>
              <w:rPr>
                <w:rFonts w:hint="eastAsia" w:asciiTheme="minorEastAsia" w:hAnsiTheme="minorEastAsia"/>
                <w:b/>
                <w:bCs/>
                <w:color w:val="000000"/>
                <w:sz w:val="24"/>
                <w:lang w:val="en-US" w:eastAsia="zh-CN"/>
              </w:rPr>
              <w:t>全面性</w:t>
            </w:r>
            <w:r>
              <w:rPr>
                <w:rFonts w:hint="eastAsia" w:asciiTheme="minorEastAsia" w:hAnsiTheme="minorEastAsia"/>
                <w:b/>
                <w:bCs/>
                <w:color w:val="000000"/>
                <w:sz w:val="24"/>
              </w:rPr>
              <w:t>、</w:t>
            </w:r>
            <w:r>
              <w:rPr>
                <w:rFonts w:hint="eastAsia" w:asciiTheme="minorEastAsia" w:hAnsiTheme="minorEastAsia"/>
                <w:b/>
                <w:bCs/>
                <w:color w:val="000000"/>
                <w:sz w:val="24"/>
                <w:lang w:val="en-US" w:eastAsia="zh-CN"/>
              </w:rPr>
              <w:t>创新性、</w:t>
            </w:r>
            <w:r>
              <w:rPr>
                <w:rFonts w:hint="eastAsia" w:asciiTheme="minorEastAsia" w:hAnsiTheme="minorEastAsia"/>
                <w:b/>
                <w:bCs/>
                <w:color w:val="000000"/>
                <w:sz w:val="24"/>
              </w:rPr>
              <w:t>可操作性</w:t>
            </w:r>
            <w:r>
              <w:rPr>
                <w:rFonts w:hint="eastAsia" w:asciiTheme="minorEastAsia" w:hAnsiTheme="minorEastAsia"/>
                <w:b/>
                <w:bCs/>
                <w:color w:val="000000"/>
                <w:sz w:val="24"/>
                <w:lang w:val="en-US" w:eastAsia="zh-CN"/>
              </w:rPr>
              <w:t>等</w:t>
            </w:r>
            <w:r>
              <w:rPr>
                <w:rFonts w:hint="eastAsia" w:asciiTheme="minorEastAsia" w:hAnsiTheme="minorEastAsia"/>
                <w:b/>
                <w:bCs/>
                <w:color w:val="000000"/>
                <w:sz w:val="24"/>
              </w:rPr>
              <w:t>。</w:t>
            </w:r>
          </w:p>
          <w:p w14:paraId="3E80FA3E">
            <w:pPr>
              <w:pStyle w:val="2"/>
              <w:ind w:left="0" w:leftChars="0" w:firstLine="0" w:firstLineChars="0"/>
              <w:rPr>
                <w:rFonts w:hint="eastAsia" w:eastAsia="宋体" w:asciiTheme="minorEastAsia" w:hAnsiTheme="minorEastAsia"/>
                <w:color w:val="000000"/>
                <w:sz w:val="24"/>
                <w:lang w:eastAsia="zh-CN"/>
              </w:rPr>
            </w:pPr>
            <w:r>
              <w:rPr>
                <w:rFonts w:hint="eastAsia" w:asciiTheme="minorEastAsia" w:hAnsiTheme="minorEastAsia"/>
                <w:color w:val="000000"/>
                <w:sz w:val="24"/>
                <w:lang w:val="en-US" w:eastAsia="zh-CN"/>
              </w:rPr>
              <w:t>10分：</w:t>
            </w:r>
            <w:r>
              <w:rPr>
                <w:rFonts w:hint="default" w:asciiTheme="minorEastAsia" w:hAnsiTheme="minorEastAsia"/>
                <w:color w:val="000000"/>
                <w:sz w:val="24"/>
              </w:rPr>
              <w:t>具有非常强的市场开发能力和丰富的资源，明显优于采购需求</w:t>
            </w:r>
            <w:r>
              <w:rPr>
                <w:rFonts w:hint="eastAsia" w:asciiTheme="minorEastAsia" w:hAnsiTheme="minorEastAsia"/>
                <w:color w:val="000000"/>
                <w:sz w:val="24"/>
                <w:lang w:eastAsia="zh-CN"/>
              </w:rPr>
              <w:t>。</w:t>
            </w:r>
          </w:p>
          <w:p w14:paraId="0B582D40">
            <w:pPr>
              <w:adjustRightInd w:val="0"/>
              <w:snapToGrid w:val="0"/>
              <w:jc w:val="left"/>
              <w:rPr>
                <w:rFonts w:hint="eastAsia" w:eastAsia="宋体" w:asciiTheme="minorEastAsia" w:hAnsiTheme="minorEastAsia"/>
                <w:color w:val="000000"/>
                <w:sz w:val="24"/>
                <w:lang w:eastAsia="zh-CN"/>
              </w:rPr>
            </w:pPr>
            <w:r>
              <w:rPr>
                <w:rFonts w:hint="eastAsia" w:asciiTheme="minorEastAsia" w:hAnsiTheme="minorEastAsia"/>
                <w:color w:val="000000"/>
                <w:sz w:val="24"/>
                <w:lang w:val="en-US" w:eastAsia="zh-CN"/>
              </w:rPr>
              <w:t>7分：</w:t>
            </w:r>
            <w:r>
              <w:rPr>
                <w:rFonts w:hint="default" w:asciiTheme="minorEastAsia" w:hAnsiTheme="minorEastAsia"/>
                <w:color w:val="000000"/>
                <w:sz w:val="24"/>
              </w:rPr>
              <w:t>具备一定的市场开发能力和资源，能够基本满足采购需求</w:t>
            </w:r>
            <w:r>
              <w:rPr>
                <w:rFonts w:hint="eastAsia" w:asciiTheme="minorEastAsia" w:hAnsiTheme="minorEastAsia"/>
                <w:color w:val="000000"/>
                <w:sz w:val="24"/>
                <w:lang w:eastAsia="zh-CN"/>
              </w:rPr>
              <w:t>。</w:t>
            </w:r>
          </w:p>
          <w:p w14:paraId="39D79E40">
            <w:pPr>
              <w:adjustRightInd w:val="0"/>
              <w:snapToGrid w:val="0"/>
              <w:jc w:val="left"/>
              <w:rPr>
                <w:rFonts w:hint="eastAsia" w:eastAsia="宋体" w:asciiTheme="minorEastAsia" w:hAnsiTheme="minorEastAsia"/>
                <w:color w:val="000000"/>
                <w:sz w:val="24"/>
                <w:lang w:eastAsia="zh-CN"/>
              </w:rPr>
            </w:pPr>
            <w:r>
              <w:rPr>
                <w:rFonts w:hint="eastAsia" w:asciiTheme="minorEastAsia" w:hAnsiTheme="minorEastAsia"/>
                <w:color w:val="000000"/>
                <w:sz w:val="24"/>
                <w:lang w:val="en-US" w:eastAsia="zh-CN"/>
              </w:rPr>
              <w:t>4分：</w:t>
            </w:r>
            <w:r>
              <w:rPr>
                <w:rFonts w:hint="default" w:asciiTheme="minorEastAsia" w:hAnsiTheme="minorEastAsia"/>
                <w:color w:val="000000"/>
                <w:sz w:val="24"/>
              </w:rPr>
              <w:t>市场开发能力和资源有限，尚能在一定程度上满足采购需求，但存在不足</w:t>
            </w:r>
            <w:r>
              <w:rPr>
                <w:rFonts w:hint="eastAsia" w:asciiTheme="minorEastAsia" w:hAnsiTheme="minorEastAsia"/>
                <w:color w:val="000000"/>
                <w:sz w:val="24"/>
                <w:lang w:eastAsia="zh-CN"/>
              </w:rPr>
              <w:t>。</w:t>
            </w:r>
          </w:p>
          <w:p w14:paraId="627CBDD1">
            <w:pPr>
              <w:rPr>
                <w:rFonts w:hint="eastAsia" w:eastAsia="宋体"/>
                <w:lang w:eastAsia="zh-CN"/>
              </w:rPr>
            </w:pPr>
            <w:r>
              <w:rPr>
                <w:rFonts w:hint="eastAsia" w:asciiTheme="minorEastAsia" w:hAnsiTheme="minorEastAsia"/>
                <w:color w:val="000000"/>
                <w:sz w:val="24"/>
                <w:lang w:val="en-US" w:eastAsia="zh-CN"/>
              </w:rPr>
              <w:t>0分：</w:t>
            </w:r>
            <w:r>
              <w:rPr>
                <w:rFonts w:hint="default" w:asciiTheme="minorEastAsia" w:hAnsiTheme="minorEastAsia"/>
                <w:color w:val="000000"/>
                <w:sz w:val="24"/>
              </w:rPr>
              <w:t>市场开发资源匮乏，无法满足采购需求</w:t>
            </w:r>
            <w:r>
              <w:rPr>
                <w:rFonts w:hint="eastAsia" w:asciiTheme="minorEastAsia" w:hAnsiTheme="minorEastAsia"/>
                <w:color w:val="000000"/>
                <w:sz w:val="24"/>
                <w:lang w:eastAsia="zh-CN"/>
              </w:rPr>
              <w:t>。</w:t>
            </w:r>
          </w:p>
        </w:tc>
        <w:tc>
          <w:tcPr>
            <w:tcW w:w="727" w:type="dxa"/>
            <w:vAlign w:val="center"/>
          </w:tcPr>
          <w:p w14:paraId="35AD9087">
            <w:pPr>
              <w:spacing w:line="360" w:lineRule="exact"/>
              <w:jc w:val="center"/>
              <w:rPr>
                <w:rFonts w:ascii="宋体" w:hAnsi="宋体" w:eastAsia="宋体" w:cs="宋体"/>
                <w:sz w:val="24"/>
              </w:rPr>
            </w:pPr>
            <w:r>
              <w:rPr>
                <w:rFonts w:hint="eastAsia" w:ascii="宋体" w:hAnsi="宋体" w:cs="宋体"/>
                <w:sz w:val="24"/>
                <w:lang w:val="en-US" w:eastAsia="zh-CN"/>
              </w:rPr>
              <w:t>10</w:t>
            </w:r>
            <w:r>
              <w:rPr>
                <w:rFonts w:hint="eastAsia" w:ascii="宋体" w:hAnsi="宋体" w:eastAsia="宋体" w:cs="宋体"/>
                <w:sz w:val="24"/>
              </w:rPr>
              <w:t>分</w:t>
            </w:r>
          </w:p>
        </w:tc>
      </w:tr>
      <w:tr w14:paraId="6440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140" w:type="dxa"/>
            <w:vMerge w:val="continue"/>
            <w:vAlign w:val="center"/>
          </w:tcPr>
          <w:p w14:paraId="0A54EE80">
            <w:pPr>
              <w:spacing w:line="360" w:lineRule="exact"/>
              <w:rPr>
                <w:rFonts w:ascii="宋体" w:hAnsi="宋体" w:eastAsia="宋体" w:cs="宋体"/>
                <w:sz w:val="24"/>
              </w:rPr>
            </w:pPr>
          </w:p>
        </w:tc>
        <w:tc>
          <w:tcPr>
            <w:tcW w:w="988" w:type="dxa"/>
            <w:vMerge w:val="restart"/>
            <w:vAlign w:val="center"/>
          </w:tcPr>
          <w:p w14:paraId="58E0D2EB">
            <w:pPr>
              <w:numPr>
                <w:ilvl w:val="0"/>
                <w:numId w:val="10"/>
              </w:numPr>
              <w:spacing w:line="360" w:lineRule="exact"/>
              <w:jc w:val="center"/>
              <w:rPr>
                <w:rFonts w:ascii="宋体" w:hAnsi="宋体" w:eastAsia="宋体" w:cs="宋体"/>
                <w:b/>
                <w:bCs/>
                <w:sz w:val="24"/>
              </w:rPr>
            </w:pPr>
          </w:p>
          <w:p w14:paraId="63D63D59">
            <w:pPr>
              <w:spacing w:line="360" w:lineRule="exact"/>
              <w:jc w:val="center"/>
              <w:rPr>
                <w:rFonts w:ascii="宋体" w:hAnsi="宋体" w:eastAsia="宋体" w:cs="宋体"/>
                <w:b/>
                <w:bCs/>
                <w:sz w:val="24"/>
              </w:rPr>
            </w:pPr>
            <w:r>
              <w:rPr>
                <w:rFonts w:hint="eastAsia" w:ascii="宋体" w:hAnsi="宋体" w:eastAsia="宋体" w:cs="宋体"/>
                <w:b/>
                <w:bCs/>
                <w:sz w:val="24"/>
              </w:rPr>
              <w:t>项目</w:t>
            </w:r>
          </w:p>
          <w:p w14:paraId="3E2A9622">
            <w:pPr>
              <w:spacing w:line="360" w:lineRule="exact"/>
              <w:jc w:val="center"/>
              <w:rPr>
                <w:rFonts w:ascii="宋体" w:hAnsi="宋体" w:eastAsia="宋体" w:cs="宋体"/>
                <w:b/>
                <w:bCs/>
                <w:sz w:val="24"/>
              </w:rPr>
            </w:pPr>
            <w:r>
              <w:rPr>
                <w:rFonts w:hint="eastAsia" w:ascii="宋体" w:hAnsi="宋体" w:eastAsia="宋体" w:cs="宋体"/>
                <w:b/>
                <w:bCs/>
                <w:sz w:val="24"/>
              </w:rPr>
              <w:t>团队</w:t>
            </w:r>
          </w:p>
          <w:p w14:paraId="19A5D558">
            <w:pPr>
              <w:spacing w:line="360" w:lineRule="exact"/>
              <w:jc w:val="center"/>
              <w:rPr>
                <w:rFonts w:ascii="宋体" w:hAnsi="宋体" w:eastAsia="宋体" w:cs="宋体"/>
                <w:b/>
                <w:bCs/>
                <w:sz w:val="24"/>
              </w:rPr>
            </w:pPr>
            <w:r>
              <w:rPr>
                <w:rFonts w:hint="eastAsia" w:ascii="宋体" w:hAnsi="宋体" w:eastAsia="宋体" w:cs="宋体"/>
                <w:b/>
                <w:bCs/>
                <w:sz w:val="24"/>
              </w:rPr>
              <w:t>人员</w:t>
            </w:r>
          </w:p>
          <w:p w14:paraId="5549A38C">
            <w:pPr>
              <w:spacing w:line="360" w:lineRule="exact"/>
              <w:jc w:val="center"/>
              <w:rPr>
                <w:rFonts w:ascii="宋体" w:hAnsi="宋体" w:eastAsia="宋体" w:cs="宋体"/>
                <w:b/>
                <w:bCs/>
                <w:sz w:val="24"/>
              </w:rPr>
            </w:pPr>
            <w:r>
              <w:rPr>
                <w:rFonts w:hint="eastAsia" w:ascii="宋体" w:hAnsi="宋体" w:eastAsia="宋体" w:cs="宋体"/>
                <w:b/>
                <w:bCs/>
                <w:sz w:val="24"/>
              </w:rPr>
              <w:t>情况</w:t>
            </w:r>
          </w:p>
        </w:tc>
        <w:tc>
          <w:tcPr>
            <w:tcW w:w="7228" w:type="dxa"/>
            <w:vAlign w:val="center"/>
          </w:tcPr>
          <w:p w14:paraId="51AF3204">
            <w:pPr>
              <w:spacing w:line="360" w:lineRule="exact"/>
              <w:rPr>
                <w:rFonts w:ascii="宋体" w:hAnsi="宋体" w:eastAsia="宋体" w:cs="宋体"/>
                <w:b/>
                <w:bCs/>
                <w:sz w:val="24"/>
              </w:rPr>
            </w:pPr>
            <w:r>
              <w:rPr>
                <w:rFonts w:hint="eastAsia" w:ascii="宋体" w:hAnsi="宋体" w:eastAsia="宋体" w:cs="宋体"/>
                <w:b/>
                <w:bCs/>
                <w:sz w:val="24"/>
              </w:rPr>
              <w:t>供应商需具有稳定的团队人员及执行能力；需提供近6个月内所有团队人员的社保证明。</w:t>
            </w:r>
          </w:p>
          <w:p w14:paraId="678920B0">
            <w:pPr>
              <w:spacing w:line="360" w:lineRule="exact"/>
              <w:rPr>
                <w:rFonts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分：团队人数30人（含）以上。</w:t>
            </w:r>
          </w:p>
          <w:p w14:paraId="6DF16576">
            <w:pPr>
              <w:spacing w:line="360" w:lineRule="exact"/>
              <w:rPr>
                <w:rFonts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分：团队人数有20人（含）-30人。</w:t>
            </w:r>
          </w:p>
          <w:p w14:paraId="6DC474E3">
            <w:pPr>
              <w:spacing w:line="360" w:lineRule="exact"/>
              <w:rPr>
                <w:rFonts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分：10人（含）-20人。</w:t>
            </w:r>
          </w:p>
          <w:p w14:paraId="0156DAD9">
            <w:pPr>
              <w:spacing w:line="360" w:lineRule="exact"/>
              <w:rPr>
                <w:rFonts w:ascii="宋体" w:hAnsi="宋体" w:eastAsia="宋体" w:cs="宋体"/>
                <w:sz w:val="24"/>
              </w:rPr>
            </w:pPr>
            <w:r>
              <w:rPr>
                <w:rFonts w:hint="eastAsia" w:ascii="宋体" w:hAnsi="宋体" w:eastAsia="宋体" w:cs="宋体"/>
                <w:sz w:val="24"/>
              </w:rPr>
              <w:t>0分：10人以下。</w:t>
            </w:r>
          </w:p>
        </w:tc>
        <w:tc>
          <w:tcPr>
            <w:tcW w:w="727" w:type="dxa"/>
            <w:vAlign w:val="center"/>
          </w:tcPr>
          <w:p w14:paraId="1A3D0AA1">
            <w:pPr>
              <w:spacing w:line="360" w:lineRule="exact"/>
              <w:jc w:val="center"/>
              <w:rPr>
                <w:rFonts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分</w:t>
            </w:r>
          </w:p>
        </w:tc>
      </w:tr>
      <w:tr w14:paraId="017D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140" w:type="dxa"/>
            <w:vMerge w:val="continue"/>
            <w:vAlign w:val="center"/>
          </w:tcPr>
          <w:p w14:paraId="1950B6B0">
            <w:pPr>
              <w:spacing w:line="360" w:lineRule="exact"/>
              <w:rPr>
                <w:rFonts w:ascii="宋体" w:hAnsi="宋体" w:eastAsia="宋体" w:cs="宋体"/>
                <w:sz w:val="24"/>
              </w:rPr>
            </w:pPr>
          </w:p>
        </w:tc>
        <w:tc>
          <w:tcPr>
            <w:tcW w:w="988" w:type="dxa"/>
            <w:vMerge w:val="continue"/>
            <w:vAlign w:val="center"/>
          </w:tcPr>
          <w:p w14:paraId="6DE69495">
            <w:pPr>
              <w:spacing w:line="360" w:lineRule="exact"/>
              <w:jc w:val="center"/>
              <w:rPr>
                <w:rFonts w:hint="eastAsia" w:ascii="宋体" w:hAnsi="宋体" w:eastAsia="宋体" w:cs="宋体"/>
                <w:b/>
                <w:bCs/>
                <w:sz w:val="24"/>
              </w:rPr>
            </w:pPr>
          </w:p>
        </w:tc>
        <w:tc>
          <w:tcPr>
            <w:tcW w:w="7228" w:type="dxa"/>
            <w:vAlign w:val="center"/>
          </w:tcPr>
          <w:p w14:paraId="48D3CEA0">
            <w:pPr>
              <w:spacing w:line="360" w:lineRule="exact"/>
              <w:rPr>
                <w:rFonts w:hint="default" w:ascii="宋体" w:hAnsi="宋体" w:eastAsia="宋体" w:cs="宋体"/>
                <w:b/>
                <w:bCs/>
                <w:sz w:val="24"/>
                <w:lang w:val="en-US" w:eastAsia="zh-CN"/>
              </w:rPr>
            </w:pPr>
            <w:r>
              <w:rPr>
                <w:rFonts w:hint="eastAsia" w:ascii="宋体" w:hAnsi="宋体" w:eastAsia="宋体" w:cs="宋体"/>
                <w:b/>
                <w:bCs/>
                <w:sz w:val="24"/>
              </w:rPr>
              <w:t>工作人员</w:t>
            </w:r>
            <w:r>
              <w:rPr>
                <w:rFonts w:hint="eastAsia" w:ascii="宋体" w:hAnsi="宋体" w:eastAsia="宋体" w:cs="宋体"/>
                <w:b/>
                <w:bCs/>
                <w:sz w:val="24"/>
                <w:lang w:val="en-US" w:eastAsia="zh-CN"/>
              </w:rPr>
              <w:t>组织分工方案</w:t>
            </w:r>
          </w:p>
          <w:p w14:paraId="25355BBC">
            <w:pPr>
              <w:spacing w:line="360" w:lineRule="exact"/>
              <w:rPr>
                <w:rFonts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分：工作人员分工合理，培训有序，责任到位，包括人员安排、培训计划等。</w:t>
            </w:r>
          </w:p>
          <w:p w14:paraId="2753BF78">
            <w:pPr>
              <w:spacing w:line="360" w:lineRule="exact"/>
              <w:rPr>
                <w:rFonts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分：工作人员分工基本合理，但可能存在一些不足之处。</w:t>
            </w:r>
          </w:p>
          <w:p w14:paraId="2D558A5A">
            <w:pPr>
              <w:spacing w:line="360" w:lineRule="exact"/>
              <w:rPr>
                <w:rFonts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分：工作人员分工不够明确或存在不合理之处。</w:t>
            </w:r>
          </w:p>
          <w:p w14:paraId="37F214E1">
            <w:pPr>
              <w:spacing w:line="360" w:lineRule="exact"/>
              <w:rPr>
                <w:rFonts w:hint="eastAsia" w:ascii="宋体" w:hAnsi="宋体" w:eastAsia="宋体" w:cs="宋体"/>
                <w:sz w:val="24"/>
              </w:rPr>
            </w:pPr>
            <w:r>
              <w:rPr>
                <w:rFonts w:hint="eastAsia" w:ascii="宋体" w:hAnsi="宋体" w:eastAsia="宋体" w:cs="宋体"/>
                <w:sz w:val="24"/>
              </w:rPr>
              <w:t>0分：未提供工作人员组织方案或方案不可行</w:t>
            </w:r>
          </w:p>
        </w:tc>
        <w:tc>
          <w:tcPr>
            <w:tcW w:w="727" w:type="dxa"/>
            <w:vAlign w:val="center"/>
          </w:tcPr>
          <w:p w14:paraId="16D1813A">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5</w:t>
            </w:r>
            <w:r>
              <w:rPr>
                <w:rFonts w:hint="eastAsia" w:ascii="宋体" w:hAnsi="宋体" w:eastAsia="宋体" w:cs="宋体"/>
                <w:sz w:val="24"/>
                <w:lang w:val="en-US" w:eastAsia="zh-CN"/>
              </w:rPr>
              <w:t>分</w:t>
            </w:r>
          </w:p>
        </w:tc>
      </w:tr>
      <w:tr w14:paraId="3F8B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140" w:type="dxa"/>
            <w:vMerge w:val="continue"/>
            <w:vAlign w:val="center"/>
          </w:tcPr>
          <w:p w14:paraId="29ACEA0B">
            <w:pPr>
              <w:spacing w:line="360" w:lineRule="exact"/>
              <w:rPr>
                <w:rFonts w:ascii="宋体" w:hAnsi="宋体" w:eastAsia="宋体" w:cs="宋体"/>
                <w:sz w:val="24"/>
              </w:rPr>
            </w:pPr>
          </w:p>
        </w:tc>
        <w:tc>
          <w:tcPr>
            <w:tcW w:w="988" w:type="dxa"/>
            <w:vAlign w:val="center"/>
          </w:tcPr>
          <w:p w14:paraId="2046471B">
            <w:pPr>
              <w:numPr>
                <w:ilvl w:val="0"/>
                <w:numId w:val="10"/>
              </w:numPr>
              <w:spacing w:line="360" w:lineRule="exact"/>
              <w:jc w:val="center"/>
              <w:rPr>
                <w:rFonts w:ascii="宋体" w:hAnsi="宋体" w:eastAsia="宋体" w:cs="宋体"/>
                <w:b/>
                <w:bCs/>
                <w:sz w:val="24"/>
              </w:rPr>
            </w:pPr>
          </w:p>
          <w:p w14:paraId="2E89A44E">
            <w:pPr>
              <w:spacing w:line="360" w:lineRule="exact"/>
              <w:jc w:val="center"/>
              <w:rPr>
                <w:rFonts w:ascii="宋体" w:hAnsi="宋体" w:eastAsia="宋体" w:cs="宋体"/>
                <w:b/>
                <w:bCs/>
                <w:sz w:val="24"/>
              </w:rPr>
            </w:pPr>
            <w:r>
              <w:rPr>
                <w:rFonts w:hint="eastAsia" w:ascii="宋体" w:hAnsi="宋体" w:eastAsia="宋体" w:cs="宋体"/>
                <w:b/>
                <w:bCs/>
                <w:sz w:val="24"/>
              </w:rPr>
              <w:t>资料</w:t>
            </w:r>
          </w:p>
          <w:p w14:paraId="40E5097D">
            <w:pPr>
              <w:spacing w:line="360" w:lineRule="exact"/>
              <w:jc w:val="center"/>
              <w:rPr>
                <w:rFonts w:ascii="宋体" w:hAnsi="宋体" w:eastAsia="宋体" w:cs="宋体"/>
                <w:b/>
                <w:bCs/>
                <w:sz w:val="24"/>
              </w:rPr>
            </w:pPr>
            <w:r>
              <w:rPr>
                <w:rFonts w:hint="eastAsia" w:ascii="宋体" w:hAnsi="宋体" w:eastAsia="宋体" w:cs="宋体"/>
                <w:b/>
                <w:bCs/>
                <w:sz w:val="24"/>
                <w:lang w:val="en-US" w:eastAsia="zh-CN"/>
              </w:rPr>
              <w:t>初审</w:t>
            </w:r>
          </w:p>
          <w:p w14:paraId="0359B952">
            <w:pPr>
              <w:spacing w:line="360" w:lineRule="exact"/>
              <w:jc w:val="center"/>
              <w:rPr>
                <w:rFonts w:ascii="宋体" w:hAnsi="宋体" w:eastAsia="宋体" w:cs="宋体"/>
                <w:sz w:val="24"/>
              </w:rPr>
            </w:pPr>
            <w:r>
              <w:rPr>
                <w:rFonts w:hint="eastAsia" w:ascii="宋体" w:hAnsi="宋体" w:eastAsia="宋体" w:cs="宋体"/>
                <w:b/>
                <w:bCs/>
                <w:sz w:val="24"/>
              </w:rPr>
              <w:t>方案</w:t>
            </w:r>
          </w:p>
        </w:tc>
        <w:tc>
          <w:tcPr>
            <w:tcW w:w="7228" w:type="dxa"/>
            <w:vAlign w:val="center"/>
          </w:tcPr>
          <w:p w14:paraId="1AE52979">
            <w:pPr>
              <w:widowControl/>
              <w:numPr>
                <w:ilvl w:val="255"/>
                <w:numId w:val="0"/>
              </w:numPr>
              <w:spacing w:line="360" w:lineRule="auto"/>
              <w:rPr>
                <w:rFonts w:ascii="宋体" w:hAnsi="宋体" w:eastAsia="宋体" w:cs="宋体"/>
                <w:b/>
                <w:bCs/>
                <w:sz w:val="24"/>
              </w:rPr>
            </w:pPr>
            <w:r>
              <w:rPr>
                <w:rFonts w:hint="eastAsia" w:ascii="宋体" w:hAnsi="宋体" w:eastAsia="宋体" w:cs="宋体"/>
                <w:b/>
                <w:bCs/>
                <w:sz w:val="24"/>
              </w:rPr>
              <w:t>202</w:t>
            </w:r>
            <w:r>
              <w:rPr>
                <w:rFonts w:hint="eastAsia" w:ascii="宋体" w:hAnsi="宋体" w:eastAsia="宋体" w:cs="宋体"/>
                <w:b/>
                <w:bCs/>
                <w:sz w:val="24"/>
                <w:lang w:val="en-US" w:eastAsia="zh-CN"/>
              </w:rPr>
              <w:t>5</w:t>
            </w:r>
            <w:r>
              <w:rPr>
                <w:rFonts w:hint="eastAsia" w:ascii="宋体" w:hAnsi="宋体" w:eastAsia="宋体" w:cs="宋体"/>
                <w:b/>
                <w:bCs/>
                <w:sz w:val="24"/>
              </w:rPr>
              <w:t>年全国青少年棒球</w:t>
            </w:r>
            <w:r>
              <w:rPr>
                <w:rFonts w:hint="eastAsia" w:ascii="宋体" w:hAnsi="宋体" w:eastAsia="宋体" w:cs="宋体"/>
                <w:b/>
                <w:bCs/>
                <w:sz w:val="24"/>
                <w:lang w:val="en-US" w:eastAsia="zh-CN"/>
              </w:rPr>
              <w:t>联</w:t>
            </w:r>
            <w:r>
              <w:rPr>
                <w:rFonts w:hint="eastAsia" w:ascii="宋体" w:hAnsi="宋体" w:eastAsia="宋体" w:cs="宋体"/>
                <w:b/>
                <w:bCs/>
                <w:sz w:val="24"/>
              </w:rPr>
              <w:t>赛分</w:t>
            </w:r>
            <w:r>
              <w:rPr>
                <w:rFonts w:hint="eastAsia" w:ascii="宋体" w:hAnsi="宋体" w:eastAsia="宋体" w:cs="宋体"/>
                <w:b/>
                <w:bCs/>
                <w:sz w:val="24"/>
                <w:lang w:val="en-US" w:eastAsia="zh-CN"/>
              </w:rPr>
              <w:t>站</w:t>
            </w:r>
            <w:r>
              <w:rPr>
                <w:rFonts w:hint="eastAsia" w:ascii="宋体" w:hAnsi="宋体" w:eastAsia="宋体" w:cs="宋体"/>
                <w:b/>
                <w:bCs/>
                <w:sz w:val="24"/>
              </w:rPr>
              <w:t>赛资料</w:t>
            </w:r>
            <w:r>
              <w:rPr>
                <w:rFonts w:hint="eastAsia" w:ascii="宋体" w:hAnsi="宋体" w:eastAsia="宋体" w:cs="宋体"/>
                <w:b/>
                <w:bCs/>
                <w:sz w:val="24"/>
                <w:lang w:val="en-US" w:eastAsia="zh-CN"/>
              </w:rPr>
              <w:t>初审</w:t>
            </w:r>
            <w:r>
              <w:rPr>
                <w:rFonts w:hint="eastAsia" w:ascii="宋体" w:hAnsi="宋体" w:eastAsia="宋体" w:cs="宋体"/>
                <w:b/>
                <w:bCs/>
                <w:sz w:val="24"/>
              </w:rPr>
              <w:t>方案评分标准。</w:t>
            </w:r>
          </w:p>
          <w:p w14:paraId="6D2DE12B">
            <w:pPr>
              <w:spacing w:line="360" w:lineRule="exact"/>
              <w:rPr>
                <w:rFonts w:ascii="宋体" w:hAnsi="宋体" w:eastAsia="宋体" w:cs="宋体"/>
                <w:sz w:val="24"/>
              </w:rPr>
            </w:pPr>
            <w:r>
              <w:rPr>
                <w:rFonts w:hint="eastAsia" w:ascii="宋体" w:hAnsi="宋体" w:cs="宋体"/>
                <w:sz w:val="24"/>
                <w:lang w:val="en-US" w:eastAsia="zh-CN"/>
              </w:rPr>
              <w:t>10</w:t>
            </w:r>
            <w:r>
              <w:rPr>
                <w:rFonts w:hint="eastAsia" w:ascii="宋体" w:hAnsi="宋体" w:eastAsia="宋体" w:cs="宋体"/>
                <w:sz w:val="24"/>
              </w:rPr>
              <w:t>分：资料</w:t>
            </w:r>
            <w:r>
              <w:rPr>
                <w:rFonts w:hint="eastAsia" w:ascii="宋体" w:hAnsi="宋体" w:eastAsia="宋体" w:cs="宋体"/>
                <w:sz w:val="24"/>
                <w:lang w:val="en-US" w:eastAsia="zh-CN"/>
              </w:rPr>
              <w:t>初审</w:t>
            </w:r>
            <w:r>
              <w:rPr>
                <w:rFonts w:hint="eastAsia" w:ascii="宋体" w:hAnsi="宋体" w:eastAsia="宋体" w:cs="宋体"/>
                <w:sz w:val="24"/>
              </w:rPr>
              <w:t>方案非常全面且严谨，包括详细的报名资格、参赛队伍名单、相关证件等审核流程，确保资料的真实性和准确性。</w:t>
            </w:r>
          </w:p>
          <w:p w14:paraId="16C43977">
            <w:pPr>
              <w:spacing w:line="360" w:lineRule="exact"/>
              <w:rPr>
                <w:rFonts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分：方案较为全面，包含基本的审核项目，但缺乏对某些细节的深入审核。</w:t>
            </w:r>
          </w:p>
          <w:p w14:paraId="10315F1B">
            <w:pPr>
              <w:spacing w:line="360" w:lineRule="exact"/>
              <w:rPr>
                <w:rFonts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分：方案审核内容较为简单，存在一些重要细节的遗漏，需要进一步完善。</w:t>
            </w:r>
          </w:p>
          <w:p w14:paraId="728A40B0">
            <w:pPr>
              <w:spacing w:line="360" w:lineRule="exact"/>
              <w:rPr>
                <w:rFonts w:ascii="宋体" w:hAnsi="宋体" w:eastAsia="宋体" w:cs="宋体"/>
                <w:sz w:val="24"/>
              </w:rPr>
            </w:pPr>
            <w:r>
              <w:rPr>
                <w:rFonts w:hint="eastAsia" w:ascii="宋体" w:hAnsi="宋体" w:eastAsia="宋体" w:cs="宋体"/>
                <w:sz w:val="24"/>
              </w:rPr>
              <w:t>0分：没有提供明确的资料</w:t>
            </w:r>
            <w:r>
              <w:rPr>
                <w:rFonts w:hint="eastAsia" w:ascii="宋体" w:hAnsi="宋体" w:eastAsia="宋体" w:cs="宋体"/>
                <w:sz w:val="24"/>
                <w:lang w:val="en-US" w:eastAsia="zh-CN"/>
              </w:rPr>
              <w:t>初审</w:t>
            </w:r>
            <w:r>
              <w:rPr>
                <w:rFonts w:hint="eastAsia" w:ascii="宋体" w:hAnsi="宋体" w:eastAsia="宋体" w:cs="宋体"/>
                <w:sz w:val="24"/>
              </w:rPr>
              <w:t>方案或方案存在严重漏洞，难以保证资料的真实性和准确性。</w:t>
            </w:r>
          </w:p>
        </w:tc>
        <w:tc>
          <w:tcPr>
            <w:tcW w:w="727" w:type="dxa"/>
            <w:vAlign w:val="center"/>
          </w:tcPr>
          <w:p w14:paraId="6547148B">
            <w:pPr>
              <w:spacing w:line="360" w:lineRule="exact"/>
              <w:jc w:val="center"/>
              <w:rPr>
                <w:rFonts w:ascii="宋体" w:hAnsi="宋体" w:eastAsia="宋体" w:cs="宋体"/>
                <w:sz w:val="24"/>
              </w:rPr>
            </w:pPr>
            <w:r>
              <w:rPr>
                <w:rFonts w:hint="eastAsia" w:ascii="宋体" w:hAnsi="宋体" w:cs="宋体"/>
                <w:sz w:val="24"/>
                <w:lang w:val="en-US" w:eastAsia="zh-CN"/>
              </w:rPr>
              <w:t>10</w:t>
            </w:r>
            <w:r>
              <w:rPr>
                <w:rFonts w:hint="eastAsia" w:ascii="宋体" w:hAnsi="宋体" w:eastAsia="宋体" w:cs="宋体"/>
                <w:sz w:val="24"/>
              </w:rPr>
              <w:t>分</w:t>
            </w:r>
          </w:p>
        </w:tc>
      </w:tr>
      <w:tr w14:paraId="3CA7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2128" w:type="dxa"/>
            <w:gridSpan w:val="2"/>
            <w:vAlign w:val="center"/>
          </w:tcPr>
          <w:p w14:paraId="42BE7AE7">
            <w:pPr>
              <w:spacing w:line="360" w:lineRule="exact"/>
              <w:jc w:val="center"/>
              <w:rPr>
                <w:rFonts w:ascii="宋体" w:hAnsi="宋体" w:eastAsia="宋体" w:cs="宋体"/>
                <w:sz w:val="24"/>
              </w:rPr>
            </w:pPr>
            <w:r>
              <w:rPr>
                <w:rFonts w:hint="eastAsia" w:ascii="宋体" w:hAnsi="宋体" w:eastAsia="宋体" w:cs="宋体"/>
                <w:sz w:val="24"/>
              </w:rPr>
              <w:t>三、价格部分</w:t>
            </w:r>
          </w:p>
          <w:p w14:paraId="6FFBA5AA">
            <w:pPr>
              <w:spacing w:line="360" w:lineRule="exact"/>
              <w:jc w:val="center"/>
              <w:rPr>
                <w:rFonts w:ascii="宋体" w:hAnsi="宋体" w:eastAsia="宋体" w:cs="宋体"/>
                <w:sz w:val="24"/>
              </w:rPr>
            </w:pPr>
            <w:r>
              <w:rPr>
                <w:rFonts w:hint="eastAsia" w:ascii="宋体" w:hAnsi="宋体" w:eastAsia="宋体" w:cs="宋体"/>
                <w:sz w:val="24"/>
              </w:rPr>
              <w:t>（10分）</w:t>
            </w:r>
          </w:p>
        </w:tc>
        <w:tc>
          <w:tcPr>
            <w:tcW w:w="7228" w:type="dxa"/>
            <w:vAlign w:val="center"/>
          </w:tcPr>
          <w:p w14:paraId="6F329986">
            <w:pPr>
              <w:spacing w:line="360" w:lineRule="exact"/>
              <w:rPr>
                <w:rFonts w:ascii="宋体" w:hAnsi="宋体" w:eastAsia="宋体" w:cs="宋体"/>
                <w:sz w:val="24"/>
              </w:rPr>
            </w:pPr>
            <w:r>
              <w:rPr>
                <w:rFonts w:hint="eastAsia" w:ascii="宋体" w:hAnsi="宋体" w:eastAsia="宋体" w:cs="宋体"/>
                <w:sz w:val="24"/>
              </w:rPr>
              <w:t>满足竞争性磋商文件要求且报价最低的最后报价为评价基准价，其价格为满分。其他报价人的价格分统一按照下列公式计算：报价得分＝（评标基准价/磋商最后报价）×10</w:t>
            </w:r>
          </w:p>
        </w:tc>
        <w:tc>
          <w:tcPr>
            <w:tcW w:w="727" w:type="dxa"/>
            <w:vAlign w:val="center"/>
          </w:tcPr>
          <w:p w14:paraId="6E7F3440">
            <w:pPr>
              <w:spacing w:line="360" w:lineRule="exact"/>
              <w:jc w:val="center"/>
              <w:rPr>
                <w:rFonts w:ascii="宋体" w:hAnsi="宋体" w:eastAsia="宋体" w:cs="宋体"/>
                <w:sz w:val="24"/>
              </w:rPr>
            </w:pPr>
            <w:r>
              <w:rPr>
                <w:rFonts w:hint="eastAsia" w:ascii="宋体" w:hAnsi="宋体" w:eastAsia="宋体" w:cs="宋体"/>
                <w:sz w:val="24"/>
              </w:rPr>
              <w:t>10分</w:t>
            </w:r>
          </w:p>
        </w:tc>
      </w:tr>
      <w:tr w14:paraId="1863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9356" w:type="dxa"/>
            <w:gridSpan w:val="3"/>
            <w:vAlign w:val="center"/>
          </w:tcPr>
          <w:p w14:paraId="5016B929">
            <w:pPr>
              <w:spacing w:line="360" w:lineRule="exact"/>
              <w:rPr>
                <w:rFonts w:ascii="宋体" w:hAnsi="宋体" w:eastAsia="宋体" w:cs="宋体"/>
                <w:sz w:val="24"/>
              </w:rPr>
            </w:pPr>
            <w:r>
              <w:rPr>
                <w:rFonts w:hint="eastAsia" w:ascii="宋体" w:hAnsi="宋体" w:eastAsia="宋体" w:cs="宋体"/>
                <w:sz w:val="24"/>
              </w:rPr>
              <w:t>总分</w:t>
            </w:r>
          </w:p>
        </w:tc>
        <w:tc>
          <w:tcPr>
            <w:tcW w:w="727" w:type="dxa"/>
            <w:vAlign w:val="center"/>
          </w:tcPr>
          <w:p w14:paraId="4A1F8135">
            <w:pPr>
              <w:spacing w:line="360" w:lineRule="exact"/>
              <w:jc w:val="center"/>
              <w:rPr>
                <w:rFonts w:ascii="宋体" w:hAnsi="宋体" w:eastAsia="宋体" w:cs="宋体"/>
                <w:sz w:val="24"/>
              </w:rPr>
            </w:pPr>
            <w:r>
              <w:rPr>
                <w:rFonts w:hint="eastAsia" w:ascii="宋体" w:hAnsi="宋体" w:eastAsia="宋体" w:cs="宋体"/>
                <w:sz w:val="24"/>
              </w:rPr>
              <w:t>100分</w:t>
            </w:r>
          </w:p>
        </w:tc>
      </w:tr>
    </w:tbl>
    <w:p w14:paraId="5D97D92B">
      <w:pPr>
        <w:spacing w:line="360" w:lineRule="auto"/>
        <w:rPr>
          <w:rFonts w:ascii="宋体" w:hAnsi="宋体" w:eastAsia="宋体" w:cs="宋体"/>
          <w:sz w:val="24"/>
        </w:rPr>
      </w:pPr>
    </w:p>
    <w:p w14:paraId="2C605590">
      <w:pPr>
        <w:pStyle w:val="15"/>
        <w:rPr>
          <w:rFonts w:ascii="宋体" w:hAnsi="宋体" w:eastAsia="宋体" w:cs="宋体"/>
        </w:rPr>
      </w:pPr>
      <w:bookmarkStart w:id="55" w:name="_Toc79681395"/>
      <w:bookmarkStart w:id="56" w:name="_Toc499216484"/>
      <w:bookmarkStart w:id="57" w:name="_Toc115756053"/>
      <w:r>
        <w:rPr>
          <w:rFonts w:hint="eastAsia" w:ascii="宋体" w:hAnsi="宋体" w:eastAsia="宋体" w:cs="宋体"/>
        </w:rPr>
        <w:t>第五部分响应文件格式</w:t>
      </w:r>
      <w:bookmarkEnd w:id="55"/>
      <w:bookmarkEnd w:id="56"/>
      <w:bookmarkEnd w:id="57"/>
    </w:p>
    <w:p w14:paraId="2D8D065C">
      <w:pPr>
        <w:pStyle w:val="26"/>
        <w:numPr>
          <w:ilvl w:val="5"/>
          <w:numId w:val="0"/>
        </w:numPr>
        <w:rPr>
          <w:rFonts w:ascii="宋体" w:hAnsi="宋体" w:eastAsia="宋体" w:cs="宋体"/>
          <w:color w:val="auto"/>
          <w:sz w:val="24"/>
        </w:rPr>
      </w:pPr>
      <w:bookmarkStart w:id="58" w:name="_Toc79681396"/>
      <w:bookmarkStart w:id="59" w:name="_Toc499216485"/>
      <w:r>
        <w:rPr>
          <w:rFonts w:hint="eastAsia" w:ascii="宋体" w:hAnsi="宋体" w:eastAsia="宋体" w:cs="宋体"/>
          <w:color w:val="auto"/>
          <w:sz w:val="24"/>
        </w:rPr>
        <w:t>报价人提交文件须知</w:t>
      </w:r>
      <w:bookmarkEnd w:id="58"/>
      <w:bookmarkEnd w:id="59"/>
    </w:p>
    <w:p w14:paraId="23CB0074">
      <w:pPr>
        <w:pStyle w:val="29"/>
        <w:ind w:firstLine="480"/>
        <w:rPr>
          <w:rFonts w:ascii="宋体" w:hAnsi="宋体" w:eastAsia="宋体" w:cs="宋体"/>
        </w:rPr>
      </w:pPr>
      <w:r>
        <w:rPr>
          <w:rFonts w:hint="eastAsia" w:ascii="宋体" w:hAnsi="宋体" w:eastAsia="宋体" w:cs="宋体"/>
        </w:rPr>
        <w:t>1.报价人应按照以下顺序填写和提交下述规定的全部格式文件，本文件第9条规定提交的其他有关资料未给出格式文件的，由报价人自行设计编写。混乱地编排导致响应文件被误读或查找不到，后果由报价人承担。</w:t>
      </w:r>
    </w:p>
    <w:p w14:paraId="20F52E6F">
      <w:pPr>
        <w:pStyle w:val="29"/>
        <w:ind w:firstLine="480"/>
        <w:rPr>
          <w:rFonts w:ascii="宋体" w:hAnsi="宋体" w:eastAsia="宋体" w:cs="宋体"/>
        </w:rPr>
      </w:pPr>
      <w:r>
        <w:rPr>
          <w:rFonts w:hint="eastAsia" w:ascii="宋体" w:hAnsi="宋体" w:eastAsia="宋体" w:cs="宋体"/>
        </w:rPr>
        <w:t>2.所附表格中要求回答的全部问题和信息都必须正面回答。</w:t>
      </w:r>
    </w:p>
    <w:p w14:paraId="612633AB">
      <w:pPr>
        <w:pStyle w:val="29"/>
        <w:ind w:firstLine="480"/>
        <w:rPr>
          <w:rFonts w:ascii="宋体" w:hAnsi="宋体" w:eastAsia="宋体" w:cs="宋体"/>
        </w:rPr>
      </w:pPr>
      <w:r>
        <w:rPr>
          <w:rFonts w:hint="eastAsia" w:ascii="宋体" w:hAnsi="宋体" w:eastAsia="宋体" w:cs="宋体"/>
        </w:rPr>
        <w:t>3.本资格声明的签字人应保证全部声明和问题的回答是真实的和准确的。</w:t>
      </w:r>
    </w:p>
    <w:p w14:paraId="3C2B9780">
      <w:pPr>
        <w:pStyle w:val="29"/>
        <w:ind w:firstLine="480"/>
        <w:rPr>
          <w:rFonts w:ascii="宋体" w:hAnsi="宋体" w:eastAsia="宋体" w:cs="宋体"/>
          <w:b/>
        </w:rPr>
      </w:pPr>
      <w:r>
        <w:rPr>
          <w:rFonts w:hint="eastAsia" w:ascii="宋体" w:hAnsi="宋体" w:eastAsia="宋体" w:cs="宋体"/>
        </w:rPr>
        <w:t>4.报价人提交的材料将被保密保存，且不退还。</w:t>
      </w:r>
    </w:p>
    <w:p w14:paraId="5F8B9E19">
      <w:pPr>
        <w:pStyle w:val="29"/>
        <w:ind w:firstLine="480"/>
        <w:rPr>
          <w:rFonts w:ascii="宋体" w:hAnsi="宋体" w:eastAsia="宋体" w:cs="宋体"/>
        </w:rPr>
      </w:pPr>
      <w:r>
        <w:rPr>
          <w:rFonts w:hint="eastAsia" w:ascii="宋体" w:hAnsi="宋体" w:eastAsia="宋体" w:cs="宋体"/>
        </w:rPr>
        <w:t>5.全部文件应按报价须知中规定的语言和份数提交。</w:t>
      </w:r>
    </w:p>
    <w:p w14:paraId="4597EBA6">
      <w:pPr>
        <w:pStyle w:val="5"/>
        <w:numPr>
          <w:ilvl w:val="5"/>
          <w:numId w:val="0"/>
        </w:numPr>
        <w:jc w:val="center"/>
        <w:rPr>
          <w:rFonts w:ascii="宋体" w:hAnsi="宋体" w:eastAsia="宋体" w:cs="宋体"/>
          <w:sz w:val="28"/>
          <w:szCs w:val="28"/>
        </w:rPr>
      </w:pPr>
      <w:r>
        <w:rPr>
          <w:rFonts w:hint="eastAsia" w:ascii="宋体" w:hAnsi="宋体" w:eastAsia="宋体" w:cs="宋体"/>
          <w:sz w:val="28"/>
          <w:szCs w:val="28"/>
        </w:rPr>
        <w:br w:type="page"/>
      </w:r>
      <w:bookmarkStart w:id="60" w:name="_Toc115756054"/>
      <w:bookmarkStart w:id="61" w:name="_Toc499216486"/>
      <w:bookmarkStart w:id="62" w:name="_Toc79681397"/>
      <w:r>
        <w:rPr>
          <w:rFonts w:hint="eastAsia" w:ascii="宋体" w:hAnsi="宋体" w:eastAsia="宋体" w:cs="宋体"/>
          <w:sz w:val="28"/>
          <w:szCs w:val="28"/>
        </w:rPr>
        <w:t>附件一（封面）</w:t>
      </w:r>
      <w:bookmarkEnd w:id="60"/>
      <w:bookmarkEnd w:id="61"/>
      <w:bookmarkEnd w:id="62"/>
    </w:p>
    <w:p w14:paraId="4335B065">
      <w:pPr>
        <w:pStyle w:val="30"/>
        <w:spacing w:line="500" w:lineRule="exact"/>
        <w:jc w:val="both"/>
        <w:rPr>
          <w:rFonts w:ascii="宋体" w:hAnsi="宋体" w:eastAsia="宋体" w:cs="宋体"/>
          <w:b/>
          <w:sz w:val="24"/>
        </w:rPr>
      </w:pPr>
    </w:p>
    <w:p w14:paraId="25636564">
      <w:pPr>
        <w:pStyle w:val="30"/>
        <w:spacing w:line="500" w:lineRule="exact"/>
        <w:rPr>
          <w:rFonts w:ascii="宋体" w:hAnsi="宋体" w:eastAsia="宋体" w:cs="宋体"/>
          <w:b/>
          <w:sz w:val="24"/>
        </w:rPr>
      </w:pPr>
    </w:p>
    <w:p w14:paraId="51DAD93C">
      <w:pPr>
        <w:pStyle w:val="30"/>
        <w:rPr>
          <w:rFonts w:ascii="宋体" w:hAnsi="宋体" w:eastAsia="宋体" w:cs="宋体"/>
          <w:b/>
          <w:sz w:val="24"/>
        </w:rPr>
      </w:pPr>
    </w:p>
    <w:p w14:paraId="4D87098D">
      <w:pPr>
        <w:pStyle w:val="30"/>
        <w:rPr>
          <w:rFonts w:ascii="宋体" w:hAnsi="宋体" w:eastAsia="宋体" w:cs="宋体"/>
          <w:b/>
          <w:sz w:val="72"/>
        </w:rPr>
      </w:pPr>
      <w:r>
        <w:rPr>
          <w:rFonts w:hint="eastAsia" w:ascii="宋体" w:hAnsi="宋体" w:eastAsia="宋体" w:cs="宋体"/>
          <w:b/>
          <w:sz w:val="72"/>
        </w:rPr>
        <w:t xml:space="preserve">响应文件 </w:t>
      </w:r>
    </w:p>
    <w:p w14:paraId="2713E30E">
      <w:pPr>
        <w:pStyle w:val="30"/>
        <w:spacing w:line="500" w:lineRule="exact"/>
        <w:jc w:val="both"/>
        <w:rPr>
          <w:rFonts w:ascii="宋体" w:hAnsi="宋体" w:eastAsia="宋体" w:cs="宋体"/>
          <w:b/>
          <w:sz w:val="24"/>
        </w:rPr>
      </w:pPr>
    </w:p>
    <w:p w14:paraId="4DE97A59">
      <w:pPr>
        <w:spacing w:line="500" w:lineRule="exact"/>
        <w:ind w:firstLine="1405" w:firstLineChars="500"/>
        <w:rPr>
          <w:rFonts w:ascii="宋体" w:hAnsi="宋体" w:eastAsia="宋体" w:cs="宋体"/>
          <w:b/>
          <w:bCs/>
          <w:sz w:val="28"/>
          <w:szCs w:val="28"/>
          <w:u w:val="single"/>
        </w:rPr>
      </w:pPr>
      <w:r>
        <w:rPr>
          <w:rFonts w:hint="eastAsia" w:ascii="宋体" w:hAnsi="宋体" w:eastAsia="宋体" w:cs="宋体"/>
          <w:b/>
          <w:sz w:val="28"/>
          <w:szCs w:val="28"/>
        </w:rPr>
        <w:t>采购项目：</w:t>
      </w:r>
      <w:r>
        <w:rPr>
          <w:rFonts w:hint="eastAsia" w:ascii="宋体" w:hAnsi="宋体" w:eastAsia="宋体" w:cs="宋体"/>
          <w:sz w:val="28"/>
          <w:u w:val="single"/>
        </w:rPr>
        <w:t xml:space="preserve">                      </w:t>
      </w:r>
      <w:r>
        <w:rPr>
          <w:rFonts w:hint="eastAsia" w:ascii="宋体" w:hAnsi="宋体" w:eastAsia="宋体" w:cs="宋体"/>
          <w:b/>
          <w:sz w:val="28"/>
          <w:szCs w:val="28"/>
        </w:rPr>
        <w:t xml:space="preserve">              </w:t>
      </w:r>
    </w:p>
    <w:p w14:paraId="721E0928">
      <w:pPr>
        <w:spacing w:line="500" w:lineRule="exact"/>
        <w:ind w:firstLine="1405" w:firstLineChars="500"/>
        <w:rPr>
          <w:rFonts w:ascii="宋体" w:hAnsi="宋体" w:eastAsia="宋体" w:cs="宋体"/>
          <w:b/>
          <w:bCs/>
          <w:sz w:val="28"/>
          <w:szCs w:val="28"/>
          <w:u w:val="single"/>
        </w:rPr>
      </w:pPr>
      <w:r>
        <w:rPr>
          <w:rFonts w:hint="eastAsia" w:ascii="宋体" w:hAnsi="宋体" w:eastAsia="宋体" w:cs="宋体"/>
          <w:b/>
          <w:sz w:val="28"/>
          <w:szCs w:val="28"/>
        </w:rPr>
        <w:t>项目编号：</w:t>
      </w:r>
      <w:r>
        <w:rPr>
          <w:rFonts w:hint="eastAsia" w:ascii="宋体" w:hAnsi="宋体" w:eastAsia="宋体" w:cs="宋体"/>
          <w:sz w:val="28"/>
          <w:u w:val="single"/>
        </w:rPr>
        <w:t xml:space="preserve">                      </w:t>
      </w:r>
      <w:r>
        <w:rPr>
          <w:rFonts w:hint="eastAsia" w:ascii="宋体" w:hAnsi="宋体" w:eastAsia="宋体" w:cs="宋体"/>
          <w:b/>
          <w:sz w:val="28"/>
          <w:szCs w:val="28"/>
        </w:rPr>
        <w:t xml:space="preserve">             </w:t>
      </w:r>
    </w:p>
    <w:p w14:paraId="5B3F881B">
      <w:pPr>
        <w:pStyle w:val="31"/>
        <w:spacing w:line="500" w:lineRule="exact"/>
        <w:rPr>
          <w:rFonts w:ascii="宋体" w:hAnsi="宋体" w:eastAsia="宋体" w:cs="宋体"/>
          <w:b/>
        </w:rPr>
      </w:pPr>
    </w:p>
    <w:p w14:paraId="1CEFF238">
      <w:pPr>
        <w:pStyle w:val="31"/>
        <w:spacing w:line="500" w:lineRule="exact"/>
        <w:rPr>
          <w:rFonts w:ascii="宋体" w:hAnsi="宋体" w:eastAsia="宋体" w:cs="宋体"/>
          <w:b/>
        </w:rPr>
      </w:pPr>
    </w:p>
    <w:p w14:paraId="7110531C">
      <w:pPr>
        <w:pStyle w:val="31"/>
        <w:spacing w:line="360" w:lineRule="auto"/>
        <w:rPr>
          <w:rFonts w:ascii="宋体" w:hAnsi="宋体" w:eastAsia="宋体" w:cs="宋体"/>
          <w:sz w:val="28"/>
          <w:u w:val="single"/>
        </w:rPr>
      </w:pPr>
      <w:r>
        <w:rPr>
          <w:rFonts w:hint="eastAsia" w:ascii="宋体" w:hAnsi="宋体" w:eastAsia="宋体" w:cs="宋体"/>
          <w:sz w:val="28"/>
        </w:rPr>
        <w:t>报价人全称：</w:t>
      </w:r>
      <w:r>
        <w:rPr>
          <w:rFonts w:hint="eastAsia" w:ascii="宋体" w:hAnsi="宋体" w:eastAsia="宋体" w:cs="宋体"/>
          <w:sz w:val="28"/>
          <w:u w:val="single"/>
        </w:rPr>
        <w:t xml:space="preserve">                                    </w:t>
      </w:r>
    </w:p>
    <w:p w14:paraId="0F68E754">
      <w:pPr>
        <w:pStyle w:val="31"/>
        <w:spacing w:line="360" w:lineRule="auto"/>
        <w:rPr>
          <w:rFonts w:ascii="宋体" w:hAnsi="宋体" w:eastAsia="宋体" w:cs="宋体"/>
          <w:sz w:val="28"/>
        </w:rPr>
      </w:pPr>
      <w:r>
        <w:rPr>
          <w:rFonts w:hint="eastAsia" w:ascii="宋体" w:hAnsi="宋体" w:eastAsia="宋体" w:cs="宋体"/>
          <w:sz w:val="28"/>
        </w:rPr>
        <w:t>（盖章）</w:t>
      </w:r>
    </w:p>
    <w:p w14:paraId="25878896">
      <w:pPr>
        <w:pStyle w:val="31"/>
        <w:spacing w:line="360" w:lineRule="auto"/>
        <w:rPr>
          <w:rFonts w:ascii="宋体" w:hAnsi="宋体" w:eastAsia="宋体" w:cs="宋体"/>
          <w:sz w:val="28"/>
          <w:u w:val="single"/>
        </w:rPr>
      </w:pPr>
      <w:r>
        <w:rPr>
          <w:rFonts w:hint="eastAsia" w:ascii="宋体" w:hAnsi="宋体" w:eastAsia="宋体" w:cs="宋体"/>
          <w:sz w:val="28"/>
        </w:rPr>
        <w:t>法人代表：</w:t>
      </w:r>
      <w:r>
        <w:rPr>
          <w:rFonts w:hint="eastAsia" w:ascii="宋体" w:hAnsi="宋体" w:eastAsia="宋体" w:cs="宋体"/>
          <w:sz w:val="28"/>
          <w:u w:val="single"/>
        </w:rPr>
        <w:t xml:space="preserve">                                    </w:t>
      </w:r>
    </w:p>
    <w:p w14:paraId="456A8FEE">
      <w:pPr>
        <w:pStyle w:val="31"/>
        <w:spacing w:line="360" w:lineRule="auto"/>
        <w:rPr>
          <w:rFonts w:ascii="宋体" w:hAnsi="宋体" w:eastAsia="宋体" w:cs="宋体"/>
          <w:sz w:val="28"/>
        </w:rPr>
      </w:pPr>
      <w:r>
        <w:rPr>
          <w:rFonts w:hint="eastAsia" w:ascii="宋体" w:hAnsi="宋体" w:eastAsia="宋体" w:cs="宋体"/>
          <w:sz w:val="28"/>
        </w:rPr>
        <w:t>（签 字）</w:t>
      </w:r>
    </w:p>
    <w:p w14:paraId="1A4A062A">
      <w:pPr>
        <w:pStyle w:val="31"/>
        <w:spacing w:line="360" w:lineRule="auto"/>
        <w:rPr>
          <w:rFonts w:ascii="宋体" w:hAnsi="宋体" w:eastAsia="宋体" w:cs="宋体"/>
          <w:sz w:val="28"/>
          <w:u w:val="single"/>
        </w:rPr>
      </w:pPr>
      <w:r>
        <w:rPr>
          <w:rFonts w:hint="eastAsia" w:ascii="宋体" w:hAnsi="宋体" w:eastAsia="宋体" w:cs="宋体"/>
          <w:sz w:val="28"/>
        </w:rPr>
        <w:t>授权代表：</w:t>
      </w:r>
      <w:r>
        <w:rPr>
          <w:rFonts w:hint="eastAsia" w:ascii="宋体" w:hAnsi="宋体" w:eastAsia="宋体" w:cs="宋体"/>
          <w:sz w:val="28"/>
          <w:u w:val="single"/>
        </w:rPr>
        <w:t xml:space="preserve">                                    </w:t>
      </w:r>
    </w:p>
    <w:p w14:paraId="55841FC0">
      <w:pPr>
        <w:pStyle w:val="31"/>
        <w:spacing w:line="360" w:lineRule="auto"/>
        <w:rPr>
          <w:rFonts w:ascii="宋体" w:hAnsi="宋体" w:eastAsia="宋体" w:cs="宋体"/>
          <w:sz w:val="28"/>
        </w:rPr>
      </w:pPr>
      <w:r>
        <w:rPr>
          <w:rFonts w:hint="eastAsia" w:ascii="宋体" w:hAnsi="宋体" w:eastAsia="宋体" w:cs="宋体"/>
          <w:sz w:val="28"/>
        </w:rPr>
        <w:t>（签 字）</w:t>
      </w:r>
    </w:p>
    <w:p w14:paraId="67C5319B">
      <w:pPr>
        <w:pStyle w:val="31"/>
        <w:spacing w:line="360" w:lineRule="auto"/>
        <w:rPr>
          <w:rFonts w:ascii="宋体" w:hAnsi="宋体" w:eastAsia="宋体" w:cs="宋体"/>
          <w:sz w:val="28"/>
        </w:rPr>
      </w:pPr>
      <w:r>
        <w:rPr>
          <w:rFonts w:hint="eastAsia" w:ascii="宋体" w:hAnsi="宋体" w:eastAsia="宋体" w:cs="宋体"/>
          <w:sz w:val="28"/>
        </w:rPr>
        <w:t>报价时间：</w:t>
      </w:r>
      <w:r>
        <w:rPr>
          <w:rFonts w:hint="eastAsia" w:ascii="宋体" w:hAnsi="宋体" w:eastAsia="宋体" w:cs="宋体"/>
          <w:sz w:val="28"/>
          <w:u w:val="single"/>
        </w:rPr>
        <w:t xml:space="preserve">                                    </w:t>
      </w:r>
    </w:p>
    <w:p w14:paraId="0E790B27">
      <w:pPr>
        <w:pStyle w:val="31"/>
        <w:spacing w:line="360" w:lineRule="auto"/>
        <w:rPr>
          <w:rFonts w:ascii="宋体" w:hAnsi="宋体" w:eastAsia="宋体" w:cs="宋体"/>
          <w:sz w:val="28"/>
          <w:u w:val="single"/>
        </w:rPr>
      </w:pPr>
      <w:r>
        <w:rPr>
          <w:rFonts w:hint="eastAsia" w:ascii="宋体" w:hAnsi="宋体" w:eastAsia="宋体" w:cs="宋体"/>
          <w:sz w:val="28"/>
        </w:rPr>
        <w:t>报价人地址：</w:t>
      </w:r>
      <w:r>
        <w:rPr>
          <w:rFonts w:hint="eastAsia" w:ascii="宋体" w:hAnsi="宋体" w:eastAsia="宋体" w:cs="宋体"/>
          <w:sz w:val="28"/>
          <w:u w:val="single"/>
        </w:rPr>
        <w:t xml:space="preserve">                                    </w:t>
      </w:r>
    </w:p>
    <w:p w14:paraId="69B6BB77">
      <w:pPr>
        <w:spacing w:line="360" w:lineRule="auto"/>
        <w:outlineLvl w:val="0"/>
        <w:rPr>
          <w:rFonts w:ascii="宋体" w:hAnsi="宋体" w:eastAsia="宋体" w:cs="宋体"/>
          <w:sz w:val="28"/>
          <w:u w:val="single"/>
        </w:rPr>
      </w:pPr>
      <w:r>
        <w:rPr>
          <w:rFonts w:hint="eastAsia" w:ascii="宋体" w:hAnsi="宋体" w:eastAsia="宋体" w:cs="宋体"/>
          <w:sz w:val="28"/>
        </w:rPr>
        <w:t>联系电话：</w:t>
      </w:r>
      <w:r>
        <w:rPr>
          <w:rFonts w:hint="eastAsia" w:ascii="宋体" w:hAnsi="宋体" w:eastAsia="宋体" w:cs="宋体"/>
          <w:sz w:val="28"/>
          <w:u w:val="single"/>
        </w:rPr>
        <w:t xml:space="preserve">                                    </w:t>
      </w:r>
    </w:p>
    <w:p w14:paraId="687E60D7">
      <w:pPr>
        <w:pStyle w:val="5"/>
        <w:numPr>
          <w:ilvl w:val="5"/>
          <w:numId w:val="0"/>
        </w:numPr>
        <w:jc w:val="both"/>
        <w:rPr>
          <w:rFonts w:ascii="宋体" w:hAnsi="宋体" w:eastAsia="宋体" w:cs="宋体"/>
          <w:sz w:val="28"/>
          <w:szCs w:val="28"/>
        </w:rPr>
      </w:pPr>
      <w:bookmarkStart w:id="63" w:name="_Toc79681398"/>
      <w:bookmarkStart w:id="64" w:name="_Toc132786437"/>
      <w:bookmarkStart w:id="65" w:name="_Toc499216487"/>
    </w:p>
    <w:p w14:paraId="50CE8EDD">
      <w:pPr>
        <w:pStyle w:val="5"/>
        <w:numPr>
          <w:ilvl w:val="5"/>
          <w:numId w:val="0"/>
        </w:numPr>
        <w:jc w:val="center"/>
        <w:rPr>
          <w:rFonts w:ascii="宋体" w:hAnsi="宋体" w:eastAsia="宋体" w:cs="宋体"/>
          <w:sz w:val="28"/>
          <w:szCs w:val="28"/>
        </w:rPr>
      </w:pPr>
    </w:p>
    <w:p w14:paraId="2C7C4F1B">
      <w:pPr>
        <w:pStyle w:val="5"/>
        <w:numPr>
          <w:ilvl w:val="5"/>
          <w:numId w:val="0"/>
        </w:numPr>
        <w:jc w:val="center"/>
        <w:rPr>
          <w:rFonts w:ascii="宋体" w:hAnsi="宋体" w:eastAsia="宋体" w:cs="宋体"/>
          <w:sz w:val="28"/>
          <w:szCs w:val="28"/>
        </w:rPr>
      </w:pPr>
      <w:r>
        <w:rPr>
          <w:rFonts w:hint="eastAsia" w:ascii="宋体" w:hAnsi="宋体" w:eastAsia="宋体" w:cs="宋体"/>
          <w:sz w:val="28"/>
          <w:szCs w:val="28"/>
        </w:rPr>
        <w:t>附件二  法定代表人证明书</w:t>
      </w:r>
      <w:bookmarkEnd w:id="63"/>
      <w:bookmarkEnd w:id="64"/>
      <w:bookmarkEnd w:id="65"/>
    </w:p>
    <w:p w14:paraId="256559B8">
      <w:pPr>
        <w:spacing w:line="360" w:lineRule="auto"/>
        <w:rPr>
          <w:rFonts w:ascii="宋体" w:hAnsi="宋体" w:eastAsia="宋体" w:cs="宋体"/>
          <w:sz w:val="24"/>
        </w:rPr>
      </w:pPr>
      <w:r>
        <w:rPr>
          <w:rFonts w:hint="eastAsia" w:ascii="宋体" w:hAnsi="宋体" w:eastAsia="宋体" w:cs="宋体"/>
          <w:sz w:val="24"/>
        </w:rPr>
        <w:t>国家体育总局体育器材装备中心：</w:t>
      </w:r>
    </w:p>
    <w:p w14:paraId="37571DEF">
      <w:pPr>
        <w:spacing w:line="500" w:lineRule="exact"/>
        <w:ind w:firstLine="2652" w:firstLineChars="1105"/>
        <w:rPr>
          <w:rFonts w:ascii="宋体" w:hAnsi="宋体" w:eastAsia="宋体" w:cs="宋体"/>
          <w:sz w:val="24"/>
        </w:rPr>
      </w:pPr>
      <w:r>
        <w:rPr>
          <w:rFonts w:ascii="宋体" w:hAnsi="宋体" w:eastAsia="宋体" w:cs="宋体"/>
          <w:sz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4445" r="0" b="5080"/>
                <wp:wrapNone/>
                <wp:docPr id="17" name="Line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bPGM1QAAAAgBAAAPAAAAAAAAAAEAIAAAACIA&#10;AABkcnMvZG93bnJldi54bWxQSwECFAAUAAAACACHTuJAmxFg+dMBAADO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eastAsia="宋体" w:cs="宋体"/>
          <w:sz w:val="24"/>
        </w:rPr>
        <w:t>（姓名、性别、年龄）在我单位任</w:t>
      </w:r>
      <w:r>
        <w:rPr>
          <w:rFonts w:hint="eastAsia" w:ascii="宋体" w:hAnsi="宋体" w:eastAsia="宋体" w:cs="宋体"/>
          <w:sz w:val="24"/>
          <w:u w:val="single"/>
        </w:rPr>
        <w:t xml:space="preserve">         </w:t>
      </w:r>
      <w:r>
        <w:rPr>
          <w:rFonts w:hint="eastAsia" w:ascii="宋体" w:hAnsi="宋体" w:eastAsia="宋体" w:cs="宋体"/>
          <w:sz w:val="24"/>
        </w:rPr>
        <w:t>（职务名称）职务，是我单位的法定代表人。</w:t>
      </w:r>
      <w:r>
        <w:rPr>
          <w:rFonts w:hint="eastAsia" w:ascii="宋体" w:hAnsi="宋体" w:eastAsia="宋体" w:cs="宋体"/>
          <w:sz w:val="24"/>
        </w:rPr>
        <w:br w:type="textWrapping"/>
      </w:r>
      <w:r>
        <w:rPr>
          <w:rFonts w:hint="eastAsia" w:ascii="宋体" w:hAnsi="宋体" w:eastAsia="宋体" w:cs="宋体"/>
          <w:sz w:val="24"/>
        </w:rPr>
        <w:t>　　特此证明。</w:t>
      </w:r>
      <w:r>
        <w:rPr>
          <w:rFonts w:hint="eastAsia" w:ascii="宋体" w:hAnsi="宋体" w:eastAsia="宋体" w:cs="宋体"/>
          <w:sz w:val="24"/>
        </w:rPr>
        <w:br w:type="textWrapping"/>
      </w:r>
    </w:p>
    <w:p w14:paraId="345B1D51">
      <w:pPr>
        <w:spacing w:line="500" w:lineRule="exact"/>
        <w:ind w:firstLine="720" w:firstLineChars="300"/>
        <w:rPr>
          <w:rFonts w:ascii="宋体" w:hAnsi="宋体" w:eastAsia="宋体" w:cs="宋体"/>
          <w:sz w:val="24"/>
        </w:rPr>
      </w:pPr>
    </w:p>
    <w:p w14:paraId="5CF4821D">
      <w:pPr>
        <w:spacing w:line="500" w:lineRule="exact"/>
        <w:rPr>
          <w:rFonts w:ascii="宋体" w:hAnsi="宋体" w:eastAsia="宋体" w:cs="宋体"/>
          <w:sz w:val="24"/>
        </w:rPr>
      </w:pPr>
      <w:r>
        <w:rPr>
          <w:rFonts w:hint="eastAsia" w:ascii="宋体" w:hAnsi="宋体" w:eastAsia="宋体" w:cs="宋体"/>
          <w:sz w:val="24"/>
        </w:rPr>
        <w:t>法定代表人住址：法定代表人身份证号：</w:t>
      </w:r>
      <w:r>
        <w:rPr>
          <w:rFonts w:hint="eastAsia" w:ascii="宋体" w:hAnsi="宋体" w:eastAsia="宋体" w:cs="宋体"/>
          <w:sz w:val="24"/>
          <w:u w:val="single"/>
        </w:rPr>
        <w:t xml:space="preserve">         （</w:t>
      </w:r>
      <w:r>
        <w:rPr>
          <w:rFonts w:hint="eastAsia" w:ascii="宋体" w:hAnsi="宋体" w:eastAsia="宋体" w:cs="宋体"/>
          <w:sz w:val="24"/>
        </w:rPr>
        <w:t>身份证复印件附后）</w:t>
      </w:r>
    </w:p>
    <w:p w14:paraId="46C6F98B">
      <w:pPr>
        <w:spacing w:line="500" w:lineRule="exact"/>
        <w:rPr>
          <w:rFonts w:ascii="宋体" w:hAnsi="宋体" w:eastAsia="宋体" w:cs="宋体"/>
          <w:sz w:val="24"/>
          <w:u w:val="single"/>
        </w:rPr>
      </w:pPr>
      <w:r>
        <w:rPr>
          <w:rFonts w:hint="eastAsia" w:ascii="宋体" w:hAnsi="宋体" w:eastAsia="宋体" w:cs="宋体"/>
          <w:sz w:val="24"/>
        </w:rPr>
        <w:t>法定代表人电话：</w:t>
      </w:r>
      <w:r>
        <w:rPr>
          <w:rFonts w:hint="eastAsia" w:ascii="宋体" w:hAnsi="宋体" w:eastAsia="宋体" w:cs="宋体"/>
          <w:sz w:val="24"/>
          <w:u w:val="single"/>
        </w:rPr>
        <w:t xml:space="preserve">             </w:t>
      </w:r>
      <w:r>
        <w:rPr>
          <w:rFonts w:hint="eastAsia" w:ascii="宋体" w:hAnsi="宋体" w:eastAsia="宋体" w:cs="宋体"/>
          <w:sz w:val="24"/>
        </w:rPr>
        <w:br w:type="textWrapping"/>
      </w:r>
      <w:r>
        <w:rPr>
          <w:rFonts w:hint="eastAsia" w:ascii="宋体" w:hAnsi="宋体" w:eastAsia="宋体" w:cs="宋体"/>
          <w:sz w:val="24"/>
        </w:rPr>
        <w:t>报价人全称（公章）：</w:t>
      </w:r>
      <w:r>
        <w:rPr>
          <w:rFonts w:hint="eastAsia" w:ascii="宋体" w:hAnsi="宋体" w:eastAsia="宋体" w:cs="宋体"/>
          <w:sz w:val="24"/>
          <w:u w:val="single"/>
        </w:rPr>
        <w:t xml:space="preserve">                    </w:t>
      </w:r>
    </w:p>
    <w:p w14:paraId="56F946D3">
      <w:pPr>
        <w:spacing w:line="500" w:lineRule="exact"/>
        <w:rPr>
          <w:rFonts w:ascii="宋体" w:hAnsi="宋体" w:eastAsia="宋体" w:cs="宋体"/>
          <w:b/>
          <w:sz w:val="24"/>
        </w:rPr>
      </w:pPr>
      <w:r>
        <w:rPr>
          <w:rFonts w:hint="eastAsia" w:ascii="宋体" w:hAnsi="宋体" w:eastAsia="宋体" w:cs="宋体"/>
          <w:sz w:val="24"/>
        </w:rPr>
        <w:t>日期：  年   月  日</w:t>
      </w:r>
    </w:p>
    <w:p w14:paraId="0157E39A">
      <w:pPr>
        <w:spacing w:line="500" w:lineRule="exact"/>
        <w:outlineLvl w:val="0"/>
        <w:rPr>
          <w:rFonts w:ascii="Times New Roman" w:hAnsi="Times New Roman" w:eastAsia="宋体" w:cs="Times New Roman"/>
          <w:b/>
          <w:sz w:val="24"/>
        </w:rPr>
      </w:pPr>
    </w:p>
    <w:p w14:paraId="027F6F19">
      <w:pPr>
        <w:pStyle w:val="5"/>
        <w:numPr>
          <w:ilvl w:val="5"/>
          <w:numId w:val="0"/>
        </w:numPr>
        <w:jc w:val="center"/>
        <w:rPr>
          <w:rStyle w:val="32"/>
          <w:rFonts w:ascii="宋体" w:hAnsi="宋体" w:eastAsia="宋体" w:cs="宋体"/>
          <w:b w:val="0"/>
          <w:bCs w:val="0"/>
          <w:color w:val="auto"/>
          <w:szCs w:val="28"/>
        </w:rPr>
      </w:pPr>
      <w:bookmarkStart w:id="66" w:name="_Toc499216488"/>
      <w:bookmarkStart w:id="67" w:name="_Toc79681399"/>
      <w:bookmarkStart w:id="68" w:name="_Toc132786438"/>
      <w:r>
        <w:rPr>
          <w:rFonts w:hint="eastAsia" w:ascii="宋体" w:hAnsi="宋体" w:eastAsia="宋体" w:cs="宋体"/>
          <w:sz w:val="28"/>
          <w:szCs w:val="28"/>
        </w:rPr>
        <w:t>附件三  法定代表人的授权委托书</w:t>
      </w:r>
      <w:bookmarkEnd w:id="66"/>
      <w:bookmarkEnd w:id="67"/>
      <w:bookmarkEnd w:id="68"/>
    </w:p>
    <w:p w14:paraId="745FC023">
      <w:pPr>
        <w:pStyle w:val="5"/>
        <w:numPr>
          <w:ilvl w:val="5"/>
          <w:numId w:val="0"/>
        </w:numPr>
        <w:jc w:val="center"/>
        <w:rPr>
          <w:rFonts w:ascii="宋体" w:hAnsi="宋体" w:eastAsia="宋体" w:cs="宋体"/>
          <w:sz w:val="28"/>
          <w:szCs w:val="28"/>
        </w:rPr>
      </w:pPr>
      <w:bookmarkStart w:id="69" w:name="_Toc79681400"/>
      <w:r>
        <w:rPr>
          <w:rFonts w:hint="eastAsia" w:ascii="宋体" w:hAnsi="宋体" w:eastAsia="宋体" w:cs="宋体"/>
          <w:sz w:val="28"/>
          <w:szCs w:val="28"/>
        </w:rPr>
        <w:t>（如非法定代表人亲自参与磋商时提供，加盖单位公章）</w:t>
      </w:r>
      <w:bookmarkEnd w:id="69"/>
    </w:p>
    <w:p w14:paraId="0BB46E21">
      <w:pPr>
        <w:spacing w:line="500" w:lineRule="exact"/>
        <w:jc w:val="center"/>
        <w:rPr>
          <w:rFonts w:ascii="宋体" w:hAnsi="宋体" w:eastAsia="宋体" w:cs="宋体"/>
          <w:b/>
          <w:bCs/>
          <w:sz w:val="24"/>
        </w:rPr>
      </w:pPr>
    </w:p>
    <w:p w14:paraId="1BB792CF">
      <w:pPr>
        <w:spacing w:line="500" w:lineRule="exact"/>
        <w:rPr>
          <w:rFonts w:ascii="宋体" w:hAnsi="宋体" w:eastAsia="宋体" w:cs="宋体"/>
          <w:sz w:val="24"/>
        </w:rPr>
      </w:pPr>
      <w:r>
        <w:rPr>
          <w:rFonts w:hint="eastAsia" w:ascii="宋体" w:hAnsi="宋体" w:eastAsia="宋体" w:cs="宋体"/>
          <w:sz w:val="24"/>
        </w:rPr>
        <w:t>国家体育总局体育器材装备中心：</w:t>
      </w:r>
    </w:p>
    <w:p w14:paraId="1426B9DA">
      <w:pPr>
        <w:spacing w:line="500" w:lineRule="exact"/>
        <w:ind w:firstLine="480" w:firstLineChars="200"/>
        <w:rPr>
          <w:rFonts w:ascii="宋体" w:hAnsi="宋体" w:eastAsia="宋体" w:cs="宋体"/>
          <w:sz w:val="24"/>
        </w:rPr>
      </w:pPr>
      <w:r>
        <w:rPr>
          <w:rFonts w:hint="eastAsia" w:ascii="宋体" w:hAnsi="宋体" w:eastAsia="宋体" w:cs="宋体"/>
          <w:sz w:val="24"/>
        </w:rPr>
        <w:t>本授权委托书声明：注册于</w:t>
      </w:r>
      <w:r>
        <w:rPr>
          <w:rFonts w:hint="eastAsia" w:ascii="宋体" w:hAnsi="宋体" w:eastAsia="宋体" w:cs="宋体"/>
          <w:sz w:val="24"/>
          <w:u w:val="single"/>
        </w:rPr>
        <w:t xml:space="preserve">               </w:t>
      </w:r>
      <w:r>
        <w:rPr>
          <w:rFonts w:hint="eastAsia" w:ascii="宋体" w:hAnsi="宋体" w:eastAsia="宋体" w:cs="宋体"/>
          <w:sz w:val="24"/>
        </w:rPr>
        <w:t>（报价人地址）的</w:t>
      </w:r>
      <w:r>
        <w:rPr>
          <w:rFonts w:hint="eastAsia" w:ascii="宋体" w:hAnsi="宋体" w:eastAsia="宋体" w:cs="宋体"/>
          <w:sz w:val="24"/>
          <w:u w:val="single"/>
        </w:rPr>
        <w:t xml:space="preserve">              </w:t>
      </w:r>
      <w:r>
        <w:rPr>
          <w:rFonts w:hint="eastAsia" w:ascii="宋体" w:hAnsi="宋体" w:eastAsia="宋体" w:cs="宋体"/>
          <w:sz w:val="24"/>
        </w:rPr>
        <w:t>（报价人名称）法定代表人</w:t>
      </w:r>
      <w:r>
        <w:rPr>
          <w:rFonts w:hint="eastAsia" w:ascii="宋体" w:hAnsi="宋体" w:eastAsia="宋体" w:cs="宋体"/>
          <w:sz w:val="24"/>
          <w:u w:val="single"/>
        </w:rPr>
        <w:t xml:space="preserve">                 </w:t>
      </w:r>
      <w:r>
        <w:rPr>
          <w:rFonts w:hint="eastAsia" w:ascii="宋体" w:hAnsi="宋体" w:eastAsia="宋体" w:cs="宋体"/>
          <w:sz w:val="24"/>
        </w:rPr>
        <w:t>（法定代表人姓名、职务）代表本公司授权在下面签字的</w:t>
      </w:r>
      <w:r>
        <w:rPr>
          <w:rFonts w:hint="eastAsia" w:ascii="宋体" w:hAnsi="宋体" w:eastAsia="宋体" w:cs="宋体"/>
          <w:sz w:val="24"/>
          <w:u w:val="single"/>
        </w:rPr>
        <w:t xml:space="preserve">        </w:t>
      </w:r>
      <w:r>
        <w:rPr>
          <w:rFonts w:hint="eastAsia" w:ascii="宋体" w:hAnsi="宋体" w:eastAsia="宋体" w:cs="宋体"/>
          <w:sz w:val="24"/>
        </w:rPr>
        <w:t>（报价人代表职务、姓名）为本公司的合法代理人，就贵方组织的</w:t>
      </w:r>
      <w:r>
        <w:rPr>
          <w:rFonts w:hint="eastAsia" w:ascii="宋体" w:hAnsi="宋体" w:eastAsia="宋体" w:cs="宋体"/>
          <w:sz w:val="24"/>
          <w:u w:val="single"/>
        </w:rPr>
        <w:t xml:space="preserve">             </w:t>
      </w:r>
      <w:r>
        <w:rPr>
          <w:rFonts w:hint="eastAsia" w:ascii="宋体" w:hAnsi="宋体" w:eastAsia="宋体" w:cs="宋体"/>
          <w:bCs/>
          <w:sz w:val="24"/>
        </w:rPr>
        <w:t>（项目名称）</w:t>
      </w:r>
      <w:r>
        <w:rPr>
          <w:rFonts w:hint="eastAsia" w:ascii="宋体" w:hAnsi="宋体" w:eastAsia="宋体" w:cs="宋体"/>
          <w:sz w:val="24"/>
        </w:rPr>
        <w:t>项目，采购编号：</w:t>
      </w:r>
      <w:r>
        <w:rPr>
          <w:rFonts w:hint="eastAsia" w:ascii="宋体" w:hAnsi="宋体" w:eastAsia="宋体" w:cs="宋体"/>
          <w:sz w:val="24"/>
          <w:u w:val="single"/>
        </w:rPr>
        <w:t xml:space="preserve">             </w:t>
      </w:r>
      <w:r>
        <w:rPr>
          <w:rFonts w:hint="eastAsia" w:ascii="宋体" w:hAnsi="宋体" w:eastAsia="宋体" w:cs="宋体"/>
          <w:sz w:val="24"/>
        </w:rPr>
        <w:t>，以本公司名义参加竞争性谈判。谈判代表在报价、谈判过程中签署的一切文件及成交后签订的采购合同，以及处理与之有关的一切事务，我公司均予以承认。授权代表无转委托权。</w:t>
      </w:r>
    </w:p>
    <w:p w14:paraId="0E03914C">
      <w:pPr>
        <w:spacing w:line="360" w:lineRule="auto"/>
        <w:ind w:firstLine="480" w:firstLineChars="200"/>
        <w:rPr>
          <w:rFonts w:ascii="宋体" w:hAnsi="宋体" w:eastAsia="宋体" w:cs="宋体"/>
          <w:sz w:val="24"/>
        </w:rPr>
      </w:pPr>
      <w:r>
        <w:rPr>
          <w:rFonts w:hint="eastAsia" w:ascii="宋体" w:hAnsi="宋体" w:eastAsia="宋体" w:cs="宋体"/>
          <w:sz w:val="24"/>
        </w:rPr>
        <w:t xml:space="preserve">    本授权书于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日签字生效，特此声明。</w:t>
      </w:r>
    </w:p>
    <w:p w14:paraId="74F288E7">
      <w:pPr>
        <w:spacing w:line="500" w:lineRule="exact"/>
        <w:rPr>
          <w:rFonts w:ascii="宋体" w:hAnsi="宋体" w:eastAsia="宋体" w:cs="宋体"/>
          <w:sz w:val="24"/>
        </w:rPr>
      </w:pPr>
    </w:p>
    <w:p w14:paraId="1BB4AEBF">
      <w:pPr>
        <w:spacing w:line="500" w:lineRule="exact"/>
        <w:rPr>
          <w:rFonts w:ascii="宋体" w:hAnsi="宋体" w:eastAsia="宋体" w:cs="宋体"/>
          <w:sz w:val="24"/>
        </w:rPr>
      </w:pPr>
    </w:p>
    <w:p w14:paraId="7117ACB5">
      <w:pPr>
        <w:spacing w:line="500" w:lineRule="exact"/>
        <w:rPr>
          <w:rFonts w:ascii="宋体" w:hAnsi="宋体" w:eastAsia="宋体" w:cs="宋体"/>
          <w:sz w:val="24"/>
          <w:u w:val="single"/>
        </w:rPr>
      </w:pPr>
      <w:r>
        <w:rPr>
          <w:rFonts w:hint="eastAsia" w:ascii="宋体" w:hAnsi="宋体" w:eastAsia="宋体" w:cs="宋体"/>
          <w:sz w:val="24"/>
        </w:rPr>
        <w:t>法定代表人印刷体姓名：</w:t>
      </w:r>
      <w:r>
        <w:rPr>
          <w:rFonts w:hint="eastAsia" w:ascii="宋体" w:hAnsi="宋体" w:eastAsia="宋体" w:cs="宋体"/>
          <w:sz w:val="24"/>
          <w:u w:val="single"/>
        </w:rPr>
        <w:t xml:space="preserve">             </w:t>
      </w:r>
      <w:r>
        <w:rPr>
          <w:rFonts w:hint="eastAsia" w:ascii="宋体" w:hAnsi="宋体" w:eastAsia="宋体" w:cs="宋体"/>
          <w:sz w:val="24"/>
        </w:rPr>
        <w:t xml:space="preserve">  签字：</w:t>
      </w:r>
      <w:r>
        <w:rPr>
          <w:rFonts w:hint="eastAsia" w:ascii="宋体" w:hAnsi="宋体" w:eastAsia="宋体" w:cs="宋体"/>
          <w:sz w:val="24"/>
          <w:u w:val="single"/>
        </w:rPr>
        <w:t xml:space="preserve">             </w:t>
      </w:r>
    </w:p>
    <w:p w14:paraId="708C28DC">
      <w:pPr>
        <w:spacing w:line="500" w:lineRule="exact"/>
        <w:rPr>
          <w:rFonts w:ascii="宋体" w:hAnsi="宋体" w:eastAsia="宋体" w:cs="宋体"/>
          <w:sz w:val="24"/>
          <w:u w:val="single"/>
        </w:rPr>
      </w:pPr>
      <w:r>
        <w:rPr>
          <w:rFonts w:hint="eastAsia" w:ascii="宋体" w:hAnsi="宋体" w:eastAsia="宋体" w:cs="宋体"/>
          <w:sz w:val="24"/>
        </w:rPr>
        <w:t>报价人代表印刷体姓名：</w:t>
      </w:r>
      <w:r>
        <w:rPr>
          <w:rFonts w:hint="eastAsia" w:ascii="宋体" w:hAnsi="宋体" w:eastAsia="宋体" w:cs="宋体"/>
          <w:sz w:val="24"/>
          <w:u w:val="single"/>
        </w:rPr>
        <w:t xml:space="preserve">             </w:t>
      </w:r>
      <w:r>
        <w:rPr>
          <w:rFonts w:hint="eastAsia" w:ascii="宋体" w:hAnsi="宋体" w:eastAsia="宋体" w:cs="宋体"/>
          <w:sz w:val="24"/>
        </w:rPr>
        <w:t xml:space="preserve">  签字：</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14:paraId="1934AC0E">
      <w:pPr>
        <w:spacing w:line="500" w:lineRule="exact"/>
        <w:rPr>
          <w:rFonts w:ascii="宋体" w:hAnsi="宋体" w:eastAsia="宋体" w:cs="宋体"/>
          <w:sz w:val="24"/>
        </w:rPr>
      </w:pPr>
      <w:r>
        <w:rPr>
          <w:rFonts w:hint="eastAsia" w:ascii="宋体" w:hAnsi="宋体" w:eastAsia="宋体" w:cs="宋体"/>
          <w:sz w:val="24"/>
        </w:rPr>
        <w:t>报价人代表身份证号：</w:t>
      </w:r>
      <w:r>
        <w:rPr>
          <w:rFonts w:hint="eastAsia" w:ascii="宋体" w:hAnsi="宋体" w:eastAsia="宋体" w:cs="宋体"/>
          <w:sz w:val="24"/>
          <w:u w:val="single"/>
        </w:rPr>
        <w:t xml:space="preserve">             </w:t>
      </w:r>
      <w:r>
        <w:rPr>
          <w:rFonts w:hint="eastAsia" w:ascii="宋体" w:hAnsi="宋体" w:eastAsia="宋体" w:cs="宋体"/>
          <w:sz w:val="24"/>
        </w:rPr>
        <w:t>（身份证复印件附后）</w:t>
      </w:r>
    </w:p>
    <w:p w14:paraId="74A98E73">
      <w:pPr>
        <w:spacing w:line="500" w:lineRule="exact"/>
        <w:rPr>
          <w:rFonts w:ascii="宋体" w:hAnsi="宋体" w:eastAsia="宋体" w:cs="宋体"/>
          <w:sz w:val="24"/>
          <w:u w:val="single"/>
        </w:rPr>
      </w:pPr>
      <w:r>
        <w:rPr>
          <w:rFonts w:hint="eastAsia" w:ascii="宋体" w:hAnsi="宋体" w:eastAsia="宋体" w:cs="宋体"/>
          <w:sz w:val="24"/>
        </w:rPr>
        <w:t>报价人全称（公章）：</w:t>
      </w:r>
      <w:r>
        <w:rPr>
          <w:rFonts w:hint="eastAsia" w:ascii="宋体" w:hAnsi="宋体" w:eastAsia="宋体" w:cs="宋体"/>
          <w:sz w:val="24"/>
          <w:u w:val="single"/>
        </w:rPr>
        <w:t xml:space="preserve">             </w:t>
      </w:r>
    </w:p>
    <w:p w14:paraId="76C52B68">
      <w:pPr>
        <w:spacing w:line="500" w:lineRule="exact"/>
        <w:rPr>
          <w:rFonts w:ascii="宋体" w:hAnsi="宋体" w:eastAsia="宋体" w:cs="宋体"/>
          <w:sz w:val="24"/>
          <w:u w:val="single"/>
        </w:rPr>
      </w:pPr>
    </w:p>
    <w:p w14:paraId="054621CE">
      <w:pPr>
        <w:spacing w:line="500" w:lineRule="exact"/>
        <w:rPr>
          <w:rFonts w:ascii="宋体" w:hAnsi="宋体" w:eastAsia="宋体" w:cs="宋体"/>
          <w:sz w:val="24"/>
          <w:u w:val="single"/>
        </w:rPr>
      </w:pPr>
    </w:p>
    <w:p w14:paraId="0E05652C">
      <w:pPr>
        <w:pStyle w:val="5"/>
        <w:numPr>
          <w:ilvl w:val="5"/>
          <w:numId w:val="0"/>
        </w:numPr>
        <w:jc w:val="center"/>
        <w:rPr>
          <w:rFonts w:ascii="宋体" w:hAnsi="宋体" w:eastAsia="宋体" w:cs="宋体"/>
          <w:sz w:val="28"/>
          <w:szCs w:val="28"/>
        </w:rPr>
      </w:pPr>
      <w:bookmarkStart w:id="70" w:name="_Toc499216490"/>
      <w:bookmarkStart w:id="71" w:name="_Toc79681401"/>
      <w:bookmarkStart w:id="72" w:name="_Toc132786448"/>
      <w:r>
        <w:rPr>
          <w:rFonts w:hint="eastAsia" w:ascii="宋体" w:hAnsi="宋体" w:eastAsia="宋体" w:cs="宋体"/>
          <w:sz w:val="28"/>
          <w:szCs w:val="28"/>
        </w:rPr>
        <w:t>附件四  报价明细表</w:t>
      </w:r>
      <w:bookmarkEnd w:id="70"/>
      <w:bookmarkEnd w:id="71"/>
      <w:bookmarkEnd w:id="72"/>
    </w:p>
    <w:p w14:paraId="4D622B65">
      <w:pPr>
        <w:tabs>
          <w:tab w:val="left" w:pos="1680"/>
        </w:tabs>
        <w:rPr>
          <w:rFonts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ab/>
      </w:r>
    </w:p>
    <w:p w14:paraId="1895BF6D">
      <w:pPr>
        <w:rPr>
          <w:rFonts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14:paraId="61A93331">
      <w:pPr>
        <w:rPr>
          <w:rFonts w:ascii="宋体" w:hAnsi="宋体" w:eastAsia="宋体" w:cs="宋体"/>
          <w:sz w:val="24"/>
        </w:rPr>
      </w:pPr>
    </w:p>
    <w:p w14:paraId="245773D0">
      <w:pPr>
        <w:rPr>
          <w:rFonts w:ascii="宋体" w:hAnsi="宋体" w:eastAsia="宋体" w:cs="宋体"/>
          <w:sz w:val="24"/>
        </w:rPr>
      </w:pPr>
      <w:r>
        <w:rPr>
          <w:rFonts w:hint="eastAsia" w:ascii="宋体" w:hAnsi="宋体" w:eastAsia="宋体" w:cs="宋体"/>
          <w:sz w:val="24"/>
        </w:rPr>
        <w:t xml:space="preserve">                                                      价格单位：人民币元</w:t>
      </w:r>
    </w:p>
    <w:p w14:paraId="329F1B37">
      <w:pPr>
        <w:rPr>
          <w:rFonts w:ascii="宋体" w:hAnsi="宋体" w:eastAsia="宋体" w:cs="宋体"/>
          <w:sz w:val="24"/>
        </w:rPr>
      </w:pPr>
    </w:p>
    <w:tbl>
      <w:tblPr>
        <w:tblStyle w:val="16"/>
        <w:tblW w:w="94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94"/>
        <w:gridCol w:w="1559"/>
        <w:gridCol w:w="982"/>
        <w:gridCol w:w="1217"/>
        <w:gridCol w:w="1217"/>
        <w:gridCol w:w="1844"/>
      </w:tblGrid>
      <w:tr w14:paraId="4900D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D206542">
            <w:pPr>
              <w:autoSpaceDE w:val="0"/>
              <w:autoSpaceDN w:val="0"/>
              <w:adjustRightInd w:val="0"/>
              <w:snapToGrid w:val="0"/>
              <w:spacing w:before="156" w:beforeLines="50" w:line="300" w:lineRule="auto"/>
              <w:jc w:val="center"/>
              <w:rPr>
                <w:rFonts w:ascii="宋体" w:hAnsi="宋体" w:eastAsia="宋体" w:cs="宋体"/>
                <w:kern w:val="0"/>
                <w:sz w:val="22"/>
              </w:rPr>
            </w:pPr>
            <w:r>
              <w:rPr>
                <w:rFonts w:hint="eastAsia" w:ascii="宋体" w:hAnsi="宋体" w:eastAsia="宋体" w:cs="宋体"/>
                <w:kern w:val="0"/>
                <w:sz w:val="22"/>
              </w:rPr>
              <w:t>序号</w:t>
            </w:r>
          </w:p>
        </w:tc>
        <w:tc>
          <w:tcPr>
            <w:tcW w:w="1794" w:type="dxa"/>
          </w:tcPr>
          <w:p w14:paraId="5F13880D">
            <w:pPr>
              <w:autoSpaceDE w:val="0"/>
              <w:autoSpaceDN w:val="0"/>
              <w:adjustRightInd w:val="0"/>
              <w:snapToGrid w:val="0"/>
              <w:spacing w:before="156" w:beforeLines="50" w:line="300" w:lineRule="auto"/>
              <w:jc w:val="center"/>
              <w:rPr>
                <w:rFonts w:ascii="宋体" w:hAnsi="宋体" w:eastAsia="宋体" w:cs="宋体"/>
                <w:kern w:val="0"/>
                <w:sz w:val="22"/>
              </w:rPr>
            </w:pPr>
            <w:r>
              <w:rPr>
                <w:rFonts w:hint="eastAsia" w:ascii="宋体" w:hAnsi="宋体" w:eastAsia="宋体" w:cs="宋体"/>
                <w:kern w:val="0"/>
                <w:sz w:val="22"/>
              </w:rPr>
              <w:t xml:space="preserve">项目名称 </w:t>
            </w:r>
          </w:p>
        </w:tc>
        <w:tc>
          <w:tcPr>
            <w:tcW w:w="1559" w:type="dxa"/>
          </w:tcPr>
          <w:p w14:paraId="7DE5465C">
            <w:pPr>
              <w:autoSpaceDE w:val="0"/>
              <w:autoSpaceDN w:val="0"/>
              <w:adjustRightInd w:val="0"/>
              <w:snapToGrid w:val="0"/>
              <w:spacing w:before="156" w:beforeLines="50" w:line="300" w:lineRule="auto"/>
              <w:jc w:val="center"/>
              <w:rPr>
                <w:rFonts w:ascii="宋体" w:hAnsi="宋体" w:eastAsia="宋体" w:cs="宋体"/>
                <w:kern w:val="0"/>
                <w:sz w:val="22"/>
              </w:rPr>
            </w:pPr>
            <w:r>
              <w:rPr>
                <w:rFonts w:hint="eastAsia" w:ascii="宋体" w:hAnsi="宋体" w:eastAsia="宋体" w:cs="宋体"/>
                <w:kern w:val="0"/>
                <w:sz w:val="22"/>
              </w:rPr>
              <w:t>工作描述</w:t>
            </w:r>
          </w:p>
        </w:tc>
        <w:tc>
          <w:tcPr>
            <w:tcW w:w="982" w:type="dxa"/>
          </w:tcPr>
          <w:p w14:paraId="626CF2BC">
            <w:pPr>
              <w:autoSpaceDE w:val="0"/>
              <w:autoSpaceDN w:val="0"/>
              <w:adjustRightInd w:val="0"/>
              <w:snapToGrid w:val="0"/>
              <w:spacing w:before="156" w:beforeLines="50" w:line="300" w:lineRule="auto"/>
              <w:jc w:val="center"/>
              <w:rPr>
                <w:rFonts w:ascii="宋体" w:hAnsi="宋体" w:eastAsia="宋体" w:cs="宋体"/>
                <w:kern w:val="0"/>
                <w:sz w:val="22"/>
              </w:rPr>
            </w:pPr>
            <w:r>
              <w:rPr>
                <w:rFonts w:hint="eastAsia" w:ascii="宋体" w:hAnsi="宋体" w:eastAsia="宋体" w:cs="宋体"/>
                <w:kern w:val="0"/>
                <w:sz w:val="22"/>
              </w:rPr>
              <w:t>数  量</w:t>
            </w:r>
          </w:p>
        </w:tc>
        <w:tc>
          <w:tcPr>
            <w:tcW w:w="1217" w:type="dxa"/>
          </w:tcPr>
          <w:p w14:paraId="0B352E1B">
            <w:pPr>
              <w:autoSpaceDE w:val="0"/>
              <w:autoSpaceDN w:val="0"/>
              <w:adjustRightInd w:val="0"/>
              <w:snapToGrid w:val="0"/>
              <w:spacing w:before="156" w:beforeLines="50" w:line="300" w:lineRule="auto"/>
              <w:jc w:val="center"/>
              <w:rPr>
                <w:rFonts w:ascii="宋体" w:hAnsi="宋体" w:eastAsia="宋体" w:cs="宋体"/>
                <w:kern w:val="0"/>
                <w:sz w:val="22"/>
              </w:rPr>
            </w:pPr>
            <w:r>
              <w:rPr>
                <w:rFonts w:hint="eastAsia" w:ascii="宋体" w:hAnsi="宋体" w:eastAsia="宋体" w:cs="宋体"/>
                <w:kern w:val="0"/>
                <w:sz w:val="22"/>
              </w:rPr>
              <w:t>单  价</w:t>
            </w:r>
          </w:p>
        </w:tc>
        <w:tc>
          <w:tcPr>
            <w:tcW w:w="1217" w:type="dxa"/>
          </w:tcPr>
          <w:p w14:paraId="1EBEE9CD">
            <w:pPr>
              <w:autoSpaceDE w:val="0"/>
              <w:autoSpaceDN w:val="0"/>
              <w:adjustRightInd w:val="0"/>
              <w:snapToGrid w:val="0"/>
              <w:spacing w:before="156" w:beforeLines="50" w:line="300" w:lineRule="auto"/>
              <w:jc w:val="center"/>
              <w:rPr>
                <w:rFonts w:ascii="宋体" w:hAnsi="宋体" w:eastAsia="宋体" w:cs="宋体"/>
                <w:kern w:val="0"/>
                <w:sz w:val="22"/>
              </w:rPr>
            </w:pPr>
            <w:r>
              <w:rPr>
                <w:rFonts w:hint="eastAsia" w:ascii="宋体" w:hAnsi="宋体" w:eastAsia="宋体" w:cs="宋体"/>
                <w:kern w:val="0"/>
                <w:sz w:val="22"/>
              </w:rPr>
              <w:t>合  计</w:t>
            </w:r>
          </w:p>
        </w:tc>
        <w:tc>
          <w:tcPr>
            <w:tcW w:w="1844" w:type="dxa"/>
          </w:tcPr>
          <w:p w14:paraId="3CCFFDF1">
            <w:pPr>
              <w:autoSpaceDE w:val="0"/>
              <w:autoSpaceDN w:val="0"/>
              <w:adjustRightInd w:val="0"/>
              <w:snapToGrid w:val="0"/>
              <w:spacing w:before="156" w:beforeLines="50" w:line="300" w:lineRule="auto"/>
              <w:jc w:val="center"/>
              <w:rPr>
                <w:rFonts w:ascii="宋体" w:hAnsi="宋体" w:eastAsia="宋体" w:cs="宋体"/>
                <w:kern w:val="0"/>
                <w:sz w:val="22"/>
              </w:rPr>
            </w:pPr>
            <w:r>
              <w:rPr>
                <w:rFonts w:hint="eastAsia" w:ascii="宋体" w:hAnsi="宋体" w:eastAsia="宋体" w:cs="宋体"/>
                <w:kern w:val="0"/>
                <w:sz w:val="22"/>
              </w:rPr>
              <w:t>说  明</w:t>
            </w:r>
          </w:p>
        </w:tc>
      </w:tr>
      <w:tr w14:paraId="1D611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520AA4EF">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14:paraId="7A80A96F">
            <w:pPr>
              <w:autoSpaceDE w:val="0"/>
              <w:autoSpaceDN w:val="0"/>
              <w:adjustRightInd w:val="0"/>
              <w:snapToGrid w:val="0"/>
              <w:spacing w:before="156" w:beforeLines="50" w:line="300" w:lineRule="auto"/>
              <w:jc w:val="left"/>
              <w:rPr>
                <w:rFonts w:ascii="宋体" w:hAnsi="宋体" w:eastAsia="宋体" w:cs="宋体"/>
                <w:kern w:val="0"/>
                <w:sz w:val="24"/>
              </w:rPr>
            </w:pPr>
          </w:p>
        </w:tc>
        <w:tc>
          <w:tcPr>
            <w:tcW w:w="1559" w:type="dxa"/>
          </w:tcPr>
          <w:p w14:paraId="3C5ACDE0">
            <w:pPr>
              <w:autoSpaceDE w:val="0"/>
              <w:autoSpaceDN w:val="0"/>
              <w:adjustRightInd w:val="0"/>
              <w:snapToGrid w:val="0"/>
              <w:spacing w:before="156" w:beforeLines="50" w:line="300" w:lineRule="auto"/>
              <w:jc w:val="left"/>
              <w:rPr>
                <w:rFonts w:ascii="宋体" w:hAnsi="宋体" w:eastAsia="宋体" w:cs="宋体"/>
                <w:kern w:val="0"/>
                <w:sz w:val="24"/>
              </w:rPr>
            </w:pPr>
          </w:p>
        </w:tc>
        <w:tc>
          <w:tcPr>
            <w:tcW w:w="982" w:type="dxa"/>
          </w:tcPr>
          <w:p w14:paraId="51350574">
            <w:pPr>
              <w:autoSpaceDE w:val="0"/>
              <w:autoSpaceDN w:val="0"/>
              <w:adjustRightInd w:val="0"/>
              <w:snapToGrid w:val="0"/>
              <w:spacing w:before="156" w:beforeLines="50" w:line="300" w:lineRule="auto"/>
              <w:jc w:val="left"/>
              <w:rPr>
                <w:rFonts w:ascii="宋体" w:hAnsi="宋体" w:eastAsia="宋体" w:cs="宋体"/>
                <w:kern w:val="0"/>
                <w:sz w:val="24"/>
              </w:rPr>
            </w:pPr>
          </w:p>
        </w:tc>
        <w:tc>
          <w:tcPr>
            <w:tcW w:w="1217" w:type="dxa"/>
          </w:tcPr>
          <w:p w14:paraId="3D9E5FC4">
            <w:pPr>
              <w:autoSpaceDE w:val="0"/>
              <w:autoSpaceDN w:val="0"/>
              <w:adjustRightInd w:val="0"/>
              <w:snapToGrid w:val="0"/>
              <w:spacing w:before="156" w:beforeLines="50" w:line="300" w:lineRule="auto"/>
              <w:jc w:val="left"/>
              <w:rPr>
                <w:rFonts w:ascii="宋体" w:hAnsi="宋体" w:eastAsia="宋体" w:cs="宋体"/>
                <w:kern w:val="0"/>
                <w:sz w:val="24"/>
              </w:rPr>
            </w:pPr>
          </w:p>
        </w:tc>
        <w:tc>
          <w:tcPr>
            <w:tcW w:w="1217" w:type="dxa"/>
          </w:tcPr>
          <w:p w14:paraId="00D6ECB9">
            <w:pPr>
              <w:autoSpaceDE w:val="0"/>
              <w:autoSpaceDN w:val="0"/>
              <w:adjustRightInd w:val="0"/>
              <w:snapToGrid w:val="0"/>
              <w:spacing w:before="156" w:beforeLines="50" w:line="300" w:lineRule="auto"/>
              <w:jc w:val="left"/>
              <w:rPr>
                <w:rFonts w:ascii="宋体" w:hAnsi="宋体" w:eastAsia="宋体" w:cs="宋体"/>
                <w:kern w:val="0"/>
                <w:sz w:val="24"/>
              </w:rPr>
            </w:pPr>
          </w:p>
        </w:tc>
        <w:tc>
          <w:tcPr>
            <w:tcW w:w="1844" w:type="dxa"/>
          </w:tcPr>
          <w:p w14:paraId="5D48CB96">
            <w:pPr>
              <w:autoSpaceDE w:val="0"/>
              <w:autoSpaceDN w:val="0"/>
              <w:adjustRightInd w:val="0"/>
              <w:snapToGrid w:val="0"/>
              <w:spacing w:before="156" w:beforeLines="50" w:line="300" w:lineRule="auto"/>
              <w:jc w:val="left"/>
              <w:rPr>
                <w:rFonts w:ascii="宋体" w:hAnsi="宋体" w:eastAsia="宋体" w:cs="宋体"/>
                <w:kern w:val="0"/>
                <w:sz w:val="24"/>
              </w:rPr>
            </w:pPr>
          </w:p>
        </w:tc>
      </w:tr>
      <w:tr w14:paraId="66BE3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25A4B879">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14:paraId="3501B9CE">
            <w:pPr>
              <w:autoSpaceDE w:val="0"/>
              <w:autoSpaceDN w:val="0"/>
              <w:adjustRightInd w:val="0"/>
              <w:snapToGrid w:val="0"/>
              <w:spacing w:before="156" w:beforeLines="50" w:line="300" w:lineRule="auto"/>
              <w:jc w:val="left"/>
              <w:rPr>
                <w:rFonts w:ascii="宋体" w:hAnsi="宋体" w:eastAsia="宋体" w:cs="宋体"/>
                <w:kern w:val="0"/>
                <w:sz w:val="24"/>
              </w:rPr>
            </w:pPr>
          </w:p>
        </w:tc>
        <w:tc>
          <w:tcPr>
            <w:tcW w:w="1559" w:type="dxa"/>
          </w:tcPr>
          <w:p w14:paraId="3C5C3387">
            <w:pPr>
              <w:autoSpaceDE w:val="0"/>
              <w:autoSpaceDN w:val="0"/>
              <w:adjustRightInd w:val="0"/>
              <w:snapToGrid w:val="0"/>
              <w:spacing w:before="156" w:beforeLines="50" w:line="300" w:lineRule="auto"/>
              <w:jc w:val="left"/>
              <w:rPr>
                <w:rFonts w:ascii="宋体" w:hAnsi="宋体" w:eastAsia="宋体" w:cs="宋体"/>
                <w:kern w:val="0"/>
                <w:sz w:val="24"/>
              </w:rPr>
            </w:pPr>
          </w:p>
        </w:tc>
        <w:tc>
          <w:tcPr>
            <w:tcW w:w="982" w:type="dxa"/>
          </w:tcPr>
          <w:p w14:paraId="0EBC5C42">
            <w:pPr>
              <w:autoSpaceDE w:val="0"/>
              <w:autoSpaceDN w:val="0"/>
              <w:adjustRightInd w:val="0"/>
              <w:snapToGrid w:val="0"/>
              <w:spacing w:before="156" w:beforeLines="50" w:line="300" w:lineRule="auto"/>
              <w:jc w:val="left"/>
              <w:rPr>
                <w:rFonts w:ascii="宋体" w:hAnsi="宋体" w:eastAsia="宋体" w:cs="宋体"/>
                <w:kern w:val="0"/>
                <w:sz w:val="24"/>
              </w:rPr>
            </w:pPr>
          </w:p>
        </w:tc>
        <w:tc>
          <w:tcPr>
            <w:tcW w:w="1217" w:type="dxa"/>
          </w:tcPr>
          <w:p w14:paraId="64004470">
            <w:pPr>
              <w:autoSpaceDE w:val="0"/>
              <w:autoSpaceDN w:val="0"/>
              <w:adjustRightInd w:val="0"/>
              <w:snapToGrid w:val="0"/>
              <w:spacing w:before="156" w:beforeLines="50" w:line="300" w:lineRule="auto"/>
              <w:jc w:val="left"/>
              <w:rPr>
                <w:rFonts w:ascii="宋体" w:hAnsi="宋体" w:eastAsia="宋体" w:cs="宋体"/>
                <w:kern w:val="0"/>
                <w:sz w:val="24"/>
              </w:rPr>
            </w:pPr>
          </w:p>
        </w:tc>
        <w:tc>
          <w:tcPr>
            <w:tcW w:w="1217" w:type="dxa"/>
          </w:tcPr>
          <w:p w14:paraId="1D4186C5">
            <w:pPr>
              <w:autoSpaceDE w:val="0"/>
              <w:autoSpaceDN w:val="0"/>
              <w:adjustRightInd w:val="0"/>
              <w:snapToGrid w:val="0"/>
              <w:spacing w:before="156" w:beforeLines="50" w:line="300" w:lineRule="auto"/>
              <w:jc w:val="left"/>
              <w:rPr>
                <w:rFonts w:ascii="宋体" w:hAnsi="宋体" w:eastAsia="宋体" w:cs="宋体"/>
                <w:kern w:val="0"/>
                <w:sz w:val="24"/>
              </w:rPr>
            </w:pPr>
          </w:p>
        </w:tc>
        <w:tc>
          <w:tcPr>
            <w:tcW w:w="1844" w:type="dxa"/>
          </w:tcPr>
          <w:p w14:paraId="32935A2F">
            <w:pPr>
              <w:autoSpaceDE w:val="0"/>
              <w:autoSpaceDN w:val="0"/>
              <w:adjustRightInd w:val="0"/>
              <w:snapToGrid w:val="0"/>
              <w:spacing w:before="156" w:beforeLines="50" w:line="300" w:lineRule="auto"/>
              <w:jc w:val="left"/>
              <w:rPr>
                <w:rFonts w:ascii="宋体" w:hAnsi="宋体" w:eastAsia="宋体" w:cs="宋体"/>
                <w:kern w:val="0"/>
                <w:sz w:val="24"/>
              </w:rPr>
            </w:pPr>
          </w:p>
        </w:tc>
      </w:tr>
      <w:tr w14:paraId="44641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29B4F017">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14:paraId="09F8223F">
            <w:pPr>
              <w:autoSpaceDE w:val="0"/>
              <w:autoSpaceDN w:val="0"/>
              <w:adjustRightInd w:val="0"/>
              <w:snapToGrid w:val="0"/>
              <w:spacing w:before="156" w:beforeLines="50" w:line="300" w:lineRule="auto"/>
              <w:jc w:val="left"/>
              <w:rPr>
                <w:rFonts w:ascii="宋体" w:hAnsi="宋体" w:eastAsia="宋体" w:cs="宋体"/>
                <w:kern w:val="0"/>
                <w:sz w:val="24"/>
              </w:rPr>
            </w:pPr>
          </w:p>
        </w:tc>
        <w:tc>
          <w:tcPr>
            <w:tcW w:w="1559" w:type="dxa"/>
          </w:tcPr>
          <w:p w14:paraId="00322B24">
            <w:pPr>
              <w:autoSpaceDE w:val="0"/>
              <w:autoSpaceDN w:val="0"/>
              <w:adjustRightInd w:val="0"/>
              <w:snapToGrid w:val="0"/>
              <w:spacing w:before="156" w:beforeLines="50" w:line="300" w:lineRule="auto"/>
              <w:jc w:val="left"/>
              <w:rPr>
                <w:rFonts w:ascii="宋体" w:hAnsi="宋体" w:eastAsia="宋体" w:cs="宋体"/>
                <w:kern w:val="0"/>
                <w:sz w:val="24"/>
              </w:rPr>
            </w:pPr>
          </w:p>
        </w:tc>
        <w:tc>
          <w:tcPr>
            <w:tcW w:w="982" w:type="dxa"/>
          </w:tcPr>
          <w:p w14:paraId="0BE8C6D9">
            <w:pPr>
              <w:autoSpaceDE w:val="0"/>
              <w:autoSpaceDN w:val="0"/>
              <w:adjustRightInd w:val="0"/>
              <w:snapToGrid w:val="0"/>
              <w:spacing w:before="156" w:beforeLines="50" w:line="300" w:lineRule="auto"/>
              <w:jc w:val="left"/>
              <w:rPr>
                <w:rFonts w:ascii="宋体" w:hAnsi="宋体" w:eastAsia="宋体" w:cs="宋体"/>
                <w:kern w:val="0"/>
                <w:sz w:val="24"/>
              </w:rPr>
            </w:pPr>
          </w:p>
        </w:tc>
        <w:tc>
          <w:tcPr>
            <w:tcW w:w="1217" w:type="dxa"/>
          </w:tcPr>
          <w:p w14:paraId="4D31C258">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33A580A0">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844" w:type="dxa"/>
          </w:tcPr>
          <w:p w14:paraId="58A0F1D2">
            <w:pPr>
              <w:autoSpaceDE w:val="0"/>
              <w:autoSpaceDN w:val="0"/>
              <w:adjustRightInd w:val="0"/>
              <w:snapToGrid w:val="0"/>
              <w:spacing w:before="156" w:beforeLines="50" w:line="300" w:lineRule="auto"/>
              <w:jc w:val="left"/>
              <w:rPr>
                <w:rFonts w:ascii="宋体" w:hAnsi="宋体" w:eastAsia="宋体" w:cs="宋体"/>
                <w:b/>
                <w:bCs/>
                <w:kern w:val="0"/>
                <w:sz w:val="24"/>
              </w:rPr>
            </w:pPr>
          </w:p>
        </w:tc>
      </w:tr>
      <w:tr w14:paraId="578F3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01DE6AFA">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14:paraId="01C40AA3">
            <w:pPr>
              <w:autoSpaceDE w:val="0"/>
              <w:autoSpaceDN w:val="0"/>
              <w:adjustRightInd w:val="0"/>
              <w:snapToGrid w:val="0"/>
              <w:spacing w:before="156" w:beforeLines="50" w:line="300" w:lineRule="auto"/>
              <w:jc w:val="left"/>
              <w:rPr>
                <w:rFonts w:ascii="宋体" w:hAnsi="宋体" w:eastAsia="宋体" w:cs="宋体"/>
                <w:kern w:val="0"/>
                <w:sz w:val="24"/>
              </w:rPr>
            </w:pPr>
          </w:p>
        </w:tc>
        <w:tc>
          <w:tcPr>
            <w:tcW w:w="1559" w:type="dxa"/>
          </w:tcPr>
          <w:p w14:paraId="51D4A8DA">
            <w:pPr>
              <w:autoSpaceDE w:val="0"/>
              <w:autoSpaceDN w:val="0"/>
              <w:adjustRightInd w:val="0"/>
              <w:snapToGrid w:val="0"/>
              <w:spacing w:before="156" w:beforeLines="50" w:line="300" w:lineRule="auto"/>
              <w:jc w:val="left"/>
              <w:rPr>
                <w:rFonts w:ascii="宋体" w:hAnsi="宋体" w:eastAsia="宋体" w:cs="宋体"/>
                <w:kern w:val="0"/>
                <w:sz w:val="24"/>
              </w:rPr>
            </w:pPr>
          </w:p>
        </w:tc>
        <w:tc>
          <w:tcPr>
            <w:tcW w:w="982" w:type="dxa"/>
          </w:tcPr>
          <w:p w14:paraId="3D695358">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7649E9BF">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1D4DE900">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844" w:type="dxa"/>
          </w:tcPr>
          <w:p w14:paraId="5D87E456">
            <w:pPr>
              <w:autoSpaceDE w:val="0"/>
              <w:autoSpaceDN w:val="0"/>
              <w:adjustRightInd w:val="0"/>
              <w:snapToGrid w:val="0"/>
              <w:spacing w:before="156" w:beforeLines="50" w:line="300" w:lineRule="auto"/>
              <w:jc w:val="left"/>
              <w:rPr>
                <w:rFonts w:ascii="宋体" w:hAnsi="宋体" w:eastAsia="宋体" w:cs="宋体"/>
                <w:b/>
                <w:bCs/>
                <w:kern w:val="0"/>
                <w:sz w:val="24"/>
              </w:rPr>
            </w:pPr>
          </w:p>
        </w:tc>
      </w:tr>
      <w:tr w14:paraId="7FECA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A6A59E7">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14:paraId="09352326">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559" w:type="dxa"/>
          </w:tcPr>
          <w:p w14:paraId="230C9427">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982" w:type="dxa"/>
          </w:tcPr>
          <w:p w14:paraId="4BE0A9FA">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0E31DEB2">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3D4E66BA">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844" w:type="dxa"/>
          </w:tcPr>
          <w:p w14:paraId="2C26685F">
            <w:pPr>
              <w:autoSpaceDE w:val="0"/>
              <w:autoSpaceDN w:val="0"/>
              <w:adjustRightInd w:val="0"/>
              <w:snapToGrid w:val="0"/>
              <w:spacing w:before="156" w:beforeLines="50" w:line="300" w:lineRule="auto"/>
              <w:jc w:val="left"/>
              <w:rPr>
                <w:rFonts w:ascii="宋体" w:hAnsi="宋体" w:eastAsia="宋体" w:cs="宋体"/>
                <w:b/>
                <w:bCs/>
                <w:kern w:val="0"/>
                <w:sz w:val="24"/>
              </w:rPr>
            </w:pPr>
          </w:p>
        </w:tc>
      </w:tr>
      <w:tr w14:paraId="41883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0823280E">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14:paraId="7E3129FD">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559" w:type="dxa"/>
          </w:tcPr>
          <w:p w14:paraId="4D709A5B">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982" w:type="dxa"/>
          </w:tcPr>
          <w:p w14:paraId="548D5B1F">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48EECE1C">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5C2CAF08">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844" w:type="dxa"/>
          </w:tcPr>
          <w:p w14:paraId="0EC372D5">
            <w:pPr>
              <w:autoSpaceDE w:val="0"/>
              <w:autoSpaceDN w:val="0"/>
              <w:adjustRightInd w:val="0"/>
              <w:snapToGrid w:val="0"/>
              <w:spacing w:before="156" w:beforeLines="50" w:line="300" w:lineRule="auto"/>
              <w:jc w:val="left"/>
              <w:rPr>
                <w:rFonts w:ascii="宋体" w:hAnsi="宋体" w:eastAsia="宋体" w:cs="宋体"/>
                <w:b/>
                <w:bCs/>
                <w:kern w:val="0"/>
                <w:sz w:val="24"/>
              </w:rPr>
            </w:pPr>
          </w:p>
        </w:tc>
      </w:tr>
      <w:tr w14:paraId="01586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23777CA2">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14:paraId="5D91D614">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559" w:type="dxa"/>
          </w:tcPr>
          <w:p w14:paraId="262A55E8">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982" w:type="dxa"/>
          </w:tcPr>
          <w:p w14:paraId="39BFA154">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66D2B81C">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51B890AB">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844" w:type="dxa"/>
          </w:tcPr>
          <w:p w14:paraId="613BDB22">
            <w:pPr>
              <w:autoSpaceDE w:val="0"/>
              <w:autoSpaceDN w:val="0"/>
              <w:adjustRightInd w:val="0"/>
              <w:snapToGrid w:val="0"/>
              <w:spacing w:before="156" w:beforeLines="50" w:line="300" w:lineRule="auto"/>
              <w:jc w:val="left"/>
              <w:rPr>
                <w:rFonts w:ascii="宋体" w:hAnsi="宋体" w:eastAsia="宋体" w:cs="宋体"/>
                <w:b/>
                <w:bCs/>
                <w:kern w:val="0"/>
                <w:sz w:val="24"/>
              </w:rPr>
            </w:pPr>
          </w:p>
        </w:tc>
      </w:tr>
      <w:tr w14:paraId="5AAB3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BB1E678">
            <w:pPr>
              <w:autoSpaceDE w:val="0"/>
              <w:autoSpaceDN w:val="0"/>
              <w:adjustRightInd w:val="0"/>
              <w:snapToGrid w:val="0"/>
              <w:spacing w:before="156" w:beforeLines="50" w:line="300" w:lineRule="auto"/>
              <w:jc w:val="left"/>
              <w:rPr>
                <w:rFonts w:ascii="宋体" w:hAnsi="宋体" w:eastAsia="宋体" w:cs="宋体"/>
                <w:kern w:val="0"/>
                <w:sz w:val="24"/>
              </w:rPr>
            </w:pPr>
          </w:p>
        </w:tc>
        <w:tc>
          <w:tcPr>
            <w:tcW w:w="1794" w:type="dxa"/>
          </w:tcPr>
          <w:p w14:paraId="48D6C30E">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559" w:type="dxa"/>
          </w:tcPr>
          <w:p w14:paraId="164798AA">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982" w:type="dxa"/>
          </w:tcPr>
          <w:p w14:paraId="787D0E81">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513E98D3">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217" w:type="dxa"/>
          </w:tcPr>
          <w:p w14:paraId="22489E1C">
            <w:pPr>
              <w:autoSpaceDE w:val="0"/>
              <w:autoSpaceDN w:val="0"/>
              <w:adjustRightInd w:val="0"/>
              <w:snapToGrid w:val="0"/>
              <w:spacing w:before="156" w:beforeLines="50" w:line="300" w:lineRule="auto"/>
              <w:jc w:val="left"/>
              <w:rPr>
                <w:rFonts w:ascii="宋体" w:hAnsi="宋体" w:eastAsia="宋体" w:cs="宋体"/>
                <w:b/>
                <w:bCs/>
                <w:kern w:val="0"/>
                <w:sz w:val="24"/>
              </w:rPr>
            </w:pPr>
          </w:p>
        </w:tc>
        <w:tc>
          <w:tcPr>
            <w:tcW w:w="1844" w:type="dxa"/>
          </w:tcPr>
          <w:p w14:paraId="67DD5FF1">
            <w:pPr>
              <w:autoSpaceDE w:val="0"/>
              <w:autoSpaceDN w:val="0"/>
              <w:adjustRightInd w:val="0"/>
              <w:snapToGrid w:val="0"/>
              <w:spacing w:before="156" w:beforeLines="50" w:line="300" w:lineRule="auto"/>
              <w:jc w:val="left"/>
              <w:rPr>
                <w:rFonts w:ascii="宋体" w:hAnsi="宋体" w:eastAsia="宋体" w:cs="宋体"/>
                <w:b/>
                <w:bCs/>
                <w:kern w:val="0"/>
                <w:sz w:val="24"/>
              </w:rPr>
            </w:pPr>
          </w:p>
        </w:tc>
      </w:tr>
    </w:tbl>
    <w:p w14:paraId="7E0163BB">
      <w:pPr>
        <w:ind w:firstLine="240" w:firstLineChars="100"/>
        <w:rPr>
          <w:rFonts w:ascii="宋体" w:hAnsi="宋体" w:eastAsia="宋体" w:cs="宋体"/>
          <w:sz w:val="24"/>
        </w:rPr>
      </w:pPr>
    </w:p>
    <w:p w14:paraId="4751CF03">
      <w:pPr>
        <w:ind w:firstLine="240" w:firstLineChars="100"/>
        <w:rPr>
          <w:rFonts w:ascii="宋体" w:hAnsi="宋体" w:eastAsia="宋体" w:cs="宋体"/>
          <w:sz w:val="24"/>
          <w:u w:val="single"/>
        </w:rPr>
      </w:pPr>
      <w:r>
        <w:rPr>
          <w:rFonts w:hint="eastAsia" w:ascii="宋体" w:hAnsi="宋体" w:eastAsia="宋体" w:cs="宋体"/>
          <w:sz w:val="24"/>
        </w:rPr>
        <w:t>总计：人民币</w:t>
      </w:r>
      <w:r>
        <w:rPr>
          <w:rFonts w:hint="eastAsia" w:ascii="宋体" w:hAnsi="宋体" w:eastAsia="宋体" w:cs="宋体"/>
          <w:sz w:val="24"/>
          <w:u w:val="single"/>
        </w:rPr>
        <w:t xml:space="preserve">                     </w:t>
      </w:r>
      <w:r>
        <w:rPr>
          <w:rFonts w:hint="eastAsia" w:ascii="宋体" w:hAnsi="宋体" w:eastAsia="宋体" w:cs="宋体"/>
          <w:sz w:val="24"/>
        </w:rPr>
        <w:t>元</w:t>
      </w:r>
    </w:p>
    <w:p w14:paraId="7258BCF2">
      <w:pPr>
        <w:spacing w:line="360" w:lineRule="auto"/>
        <w:ind w:firstLine="240" w:firstLineChars="100"/>
        <w:rPr>
          <w:rFonts w:ascii="宋体" w:hAnsi="宋体" w:eastAsia="宋体" w:cs="宋体"/>
          <w:kern w:val="0"/>
          <w:sz w:val="24"/>
        </w:rPr>
      </w:pPr>
    </w:p>
    <w:p w14:paraId="1504C779">
      <w:pPr>
        <w:spacing w:line="360" w:lineRule="auto"/>
        <w:ind w:firstLine="240" w:firstLineChars="100"/>
        <w:rPr>
          <w:rFonts w:ascii="宋体" w:hAnsi="宋体" w:eastAsia="宋体" w:cs="宋体"/>
          <w:kern w:val="0"/>
          <w:sz w:val="24"/>
        </w:rPr>
      </w:pPr>
      <w:r>
        <w:rPr>
          <w:rFonts w:hint="eastAsia" w:ascii="宋体" w:hAnsi="宋体" w:eastAsia="宋体" w:cs="宋体"/>
          <w:kern w:val="0"/>
          <w:sz w:val="24"/>
        </w:rPr>
        <w:t>注：1、项目总报价应该包括报价人认为能完成本项目的全部费用（包括但不限于人工费、差旅费、咨询费、委托专家等第三方相关费用、保险、税金、利润等全部费用）。</w:t>
      </w:r>
    </w:p>
    <w:p w14:paraId="104D6B2D">
      <w:pPr>
        <w:pStyle w:val="27"/>
        <w:tabs>
          <w:tab w:val="left" w:pos="4524"/>
        </w:tabs>
        <w:ind w:firstLine="600" w:firstLineChars="250"/>
        <w:rPr>
          <w:rFonts w:ascii="宋体" w:hAnsi="宋体" w:eastAsia="宋体" w:cs="宋体"/>
          <w:kern w:val="0"/>
        </w:rPr>
      </w:pPr>
      <w:r>
        <w:rPr>
          <w:rFonts w:hint="eastAsia" w:ascii="宋体" w:hAnsi="宋体" w:eastAsia="宋体" w:cs="宋体"/>
        </w:rPr>
        <w:t>2、</w:t>
      </w:r>
      <w:r>
        <w:rPr>
          <w:rFonts w:hint="eastAsia" w:ascii="宋体" w:hAnsi="宋体" w:eastAsia="宋体" w:cs="宋体"/>
          <w:kern w:val="0"/>
        </w:rPr>
        <w:t>表格不够可以自行加页。</w:t>
      </w:r>
      <w:r>
        <w:rPr>
          <w:rFonts w:hint="eastAsia" w:ascii="宋体" w:hAnsi="宋体" w:eastAsia="宋体" w:cs="宋体"/>
          <w:kern w:val="0"/>
        </w:rPr>
        <w:tab/>
      </w:r>
    </w:p>
    <w:p w14:paraId="12FA169C">
      <w:pPr>
        <w:spacing w:line="360" w:lineRule="auto"/>
        <w:ind w:firstLine="240" w:firstLineChars="100"/>
        <w:rPr>
          <w:rFonts w:ascii="宋体" w:hAnsi="宋体" w:eastAsia="宋体" w:cs="宋体"/>
          <w:sz w:val="24"/>
        </w:rPr>
      </w:pPr>
    </w:p>
    <w:p w14:paraId="5E8CB9AE">
      <w:pPr>
        <w:spacing w:line="360" w:lineRule="auto"/>
        <w:ind w:firstLine="240" w:firstLineChars="100"/>
        <w:rPr>
          <w:rFonts w:ascii="宋体" w:hAnsi="宋体" w:eastAsia="宋体" w:cs="宋体"/>
          <w:sz w:val="24"/>
          <w:u w:val="single"/>
        </w:rPr>
      </w:pPr>
      <w:r>
        <w:rPr>
          <w:rFonts w:hint="eastAsia" w:ascii="宋体" w:hAnsi="宋体" w:eastAsia="宋体" w:cs="宋体"/>
          <w:sz w:val="24"/>
        </w:rPr>
        <w:t>报价人全称（公章）：</w:t>
      </w:r>
      <w:r>
        <w:rPr>
          <w:rFonts w:hint="eastAsia" w:ascii="宋体" w:hAnsi="宋体" w:eastAsia="宋体" w:cs="宋体"/>
          <w:sz w:val="24"/>
          <w:u w:val="single"/>
        </w:rPr>
        <w:t xml:space="preserve">                     </w:t>
      </w:r>
    </w:p>
    <w:p w14:paraId="08AC54B5">
      <w:pPr>
        <w:spacing w:line="360" w:lineRule="auto"/>
        <w:ind w:firstLine="240" w:firstLineChars="100"/>
        <w:rPr>
          <w:rFonts w:ascii="宋体" w:hAnsi="宋体" w:eastAsia="宋体" w:cs="宋体"/>
          <w:sz w:val="24"/>
          <w:u w:val="single"/>
        </w:rPr>
      </w:pPr>
      <w:r>
        <w:rPr>
          <w:rFonts w:hint="eastAsia" w:ascii="宋体" w:hAnsi="宋体" w:eastAsia="宋体" w:cs="宋体"/>
          <w:sz w:val="24"/>
        </w:rPr>
        <w:t>法定代表人或授权代表签字：</w:t>
      </w:r>
      <w:r>
        <w:rPr>
          <w:rFonts w:hint="eastAsia" w:ascii="宋体" w:hAnsi="宋体" w:eastAsia="宋体" w:cs="宋体"/>
          <w:sz w:val="24"/>
          <w:u w:val="single"/>
        </w:rPr>
        <w:t xml:space="preserve">                     </w:t>
      </w:r>
    </w:p>
    <w:p w14:paraId="1910FFA3">
      <w:pPr>
        <w:spacing w:line="360" w:lineRule="auto"/>
        <w:ind w:firstLine="240" w:firstLineChars="100"/>
        <w:rPr>
          <w:rFonts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p>
    <w:p w14:paraId="6B4099EE">
      <w:pPr>
        <w:pStyle w:val="5"/>
        <w:numPr>
          <w:ilvl w:val="5"/>
          <w:numId w:val="0"/>
        </w:numPr>
        <w:jc w:val="center"/>
        <w:rPr>
          <w:rFonts w:ascii="宋体" w:hAnsi="宋体" w:eastAsia="宋体" w:cs="宋体"/>
          <w:sz w:val="24"/>
          <w:u w:val="single"/>
        </w:rPr>
      </w:pPr>
      <w:bookmarkStart w:id="73" w:name="_Toc79681402"/>
      <w:r>
        <w:rPr>
          <w:rFonts w:hint="eastAsia" w:ascii="宋体" w:hAnsi="宋体" w:eastAsia="宋体" w:cs="宋体"/>
          <w:sz w:val="28"/>
          <w:szCs w:val="28"/>
        </w:rPr>
        <w:t xml:space="preserve">附件五 </w:t>
      </w:r>
      <w:bookmarkStart w:id="74" w:name="_Toc499216491"/>
      <w:r>
        <w:rPr>
          <w:rFonts w:hint="eastAsia" w:ascii="宋体" w:hAnsi="宋体" w:eastAsia="宋体" w:cs="宋体"/>
          <w:sz w:val="28"/>
          <w:szCs w:val="28"/>
        </w:rPr>
        <w:t>报价人资格声明</w:t>
      </w:r>
      <w:bookmarkEnd w:id="73"/>
      <w:bookmarkEnd w:id="74"/>
    </w:p>
    <w:p w14:paraId="2717D580">
      <w:pPr>
        <w:spacing w:before="60" w:after="60"/>
        <w:rPr>
          <w:rFonts w:ascii="宋体" w:hAnsi="宋体" w:eastAsia="宋体" w:cs="宋体"/>
          <w:sz w:val="24"/>
        </w:rPr>
      </w:pPr>
      <w:bookmarkStart w:id="75" w:name="_Toc145215446"/>
      <w:bookmarkStart w:id="76" w:name="_Toc499216495"/>
      <w:bookmarkStart w:id="77" w:name="_Toc150737675"/>
      <w:bookmarkStart w:id="78" w:name="_Toc201641339"/>
      <w:r>
        <w:rPr>
          <w:rFonts w:hint="eastAsia" w:ascii="宋体" w:hAnsi="宋体" w:eastAsia="宋体" w:cs="宋体"/>
          <w:sz w:val="24"/>
        </w:rPr>
        <w:t>1、名称及基本情况：</w:t>
      </w:r>
    </w:p>
    <w:p w14:paraId="09B52863">
      <w:pPr>
        <w:spacing w:before="100" w:after="100"/>
        <w:rPr>
          <w:rFonts w:ascii="宋体" w:hAnsi="宋体" w:eastAsia="宋体" w:cs="宋体"/>
          <w:sz w:val="24"/>
        </w:rPr>
      </w:pPr>
      <w:r>
        <w:rPr>
          <w:rFonts w:hint="eastAsia" w:ascii="宋体" w:hAnsi="宋体" w:eastAsia="宋体" w:cs="宋体"/>
          <w:sz w:val="24"/>
        </w:rPr>
        <w:t>（1）报价人全称：</w:t>
      </w:r>
      <w:r>
        <w:rPr>
          <w:rFonts w:hint="eastAsia" w:ascii="宋体" w:hAnsi="宋体" w:eastAsia="宋体" w:cs="宋体"/>
          <w:sz w:val="24"/>
          <w:u w:val="single"/>
        </w:rPr>
        <w:t xml:space="preserve">             </w:t>
      </w:r>
    </w:p>
    <w:p w14:paraId="4756D86A">
      <w:pPr>
        <w:tabs>
          <w:tab w:val="left" w:pos="4320"/>
        </w:tabs>
        <w:spacing w:before="100" w:after="100"/>
        <w:rPr>
          <w:rFonts w:ascii="宋体" w:hAnsi="宋体" w:eastAsia="宋体" w:cs="宋体"/>
          <w:sz w:val="24"/>
        </w:rPr>
      </w:pPr>
      <w:r>
        <w:rPr>
          <w:rFonts w:hint="eastAsia" w:ascii="宋体" w:hAnsi="宋体" w:eastAsia="宋体" w:cs="宋体"/>
          <w:sz w:val="24"/>
        </w:rPr>
        <w:t>（2）地址：</w:t>
      </w:r>
      <w:r>
        <w:rPr>
          <w:rFonts w:hint="eastAsia" w:ascii="宋体" w:hAnsi="宋体" w:eastAsia="宋体" w:cs="宋体"/>
          <w:sz w:val="24"/>
          <w:u w:val="single"/>
        </w:rPr>
        <w:t xml:space="preserve">             </w:t>
      </w:r>
      <w:r>
        <w:rPr>
          <w:rFonts w:hint="eastAsia" w:ascii="宋体" w:hAnsi="宋体" w:eastAsia="宋体" w:cs="宋体"/>
          <w:sz w:val="24"/>
        </w:rPr>
        <w:tab/>
      </w:r>
      <w:r>
        <w:rPr>
          <w:rFonts w:hint="eastAsia" w:ascii="宋体" w:hAnsi="宋体" w:eastAsia="宋体" w:cs="宋体"/>
          <w:sz w:val="24"/>
        </w:rPr>
        <w:t>邮编：</w:t>
      </w:r>
      <w:r>
        <w:rPr>
          <w:rFonts w:hint="eastAsia" w:ascii="宋体" w:hAnsi="宋体" w:eastAsia="宋体" w:cs="宋体"/>
          <w:sz w:val="24"/>
          <w:u w:val="single"/>
        </w:rPr>
        <w:t xml:space="preserve">             </w:t>
      </w:r>
    </w:p>
    <w:p w14:paraId="2A630CE2">
      <w:pPr>
        <w:tabs>
          <w:tab w:val="left" w:pos="600"/>
          <w:tab w:val="left" w:pos="4320"/>
        </w:tabs>
        <w:spacing w:before="100" w:after="100"/>
        <w:ind w:firstLine="600" w:firstLineChars="250"/>
        <w:rPr>
          <w:rFonts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p>
    <w:p w14:paraId="31F2DC38">
      <w:pPr>
        <w:spacing w:before="100" w:after="100"/>
        <w:rPr>
          <w:rFonts w:ascii="宋体" w:hAnsi="宋体" w:eastAsia="宋体" w:cs="宋体"/>
          <w:sz w:val="24"/>
          <w:u w:val="single"/>
        </w:rPr>
      </w:pPr>
      <w:r>
        <w:rPr>
          <w:rFonts w:hint="eastAsia" w:ascii="宋体" w:hAnsi="宋体" w:eastAsia="宋体" w:cs="宋体"/>
          <w:sz w:val="24"/>
        </w:rPr>
        <w:t>（3）成立和/或注册日期：</w:t>
      </w:r>
      <w:r>
        <w:rPr>
          <w:rFonts w:hint="eastAsia" w:ascii="宋体" w:hAnsi="宋体" w:eastAsia="宋体" w:cs="宋体"/>
          <w:sz w:val="24"/>
          <w:u w:val="single"/>
        </w:rPr>
        <w:t xml:space="preserve">             </w:t>
      </w:r>
    </w:p>
    <w:p w14:paraId="4F5F04F9">
      <w:pPr>
        <w:spacing w:before="100" w:after="100"/>
        <w:rPr>
          <w:rFonts w:ascii="宋体" w:hAnsi="宋体" w:eastAsia="宋体" w:cs="宋体"/>
          <w:sz w:val="24"/>
        </w:rPr>
      </w:pPr>
      <w:r>
        <w:rPr>
          <w:rFonts w:hint="eastAsia" w:ascii="宋体" w:hAnsi="宋体" w:eastAsia="宋体" w:cs="宋体"/>
          <w:sz w:val="24"/>
        </w:rPr>
        <w:t>（4）公司性质：</w:t>
      </w:r>
      <w:r>
        <w:rPr>
          <w:rFonts w:hint="eastAsia" w:ascii="宋体" w:hAnsi="宋体" w:eastAsia="宋体" w:cs="宋体"/>
          <w:sz w:val="24"/>
          <w:u w:val="single"/>
        </w:rPr>
        <w:t xml:space="preserve">             </w:t>
      </w:r>
    </w:p>
    <w:p w14:paraId="504765ED">
      <w:pPr>
        <w:spacing w:before="100" w:after="100"/>
        <w:rPr>
          <w:rFonts w:ascii="宋体" w:hAnsi="宋体" w:eastAsia="宋体" w:cs="宋体"/>
          <w:sz w:val="24"/>
        </w:rPr>
      </w:pPr>
      <w:r>
        <w:rPr>
          <w:rFonts w:hint="eastAsia" w:ascii="宋体" w:hAnsi="宋体" w:eastAsia="宋体" w:cs="宋体"/>
          <w:sz w:val="24"/>
        </w:rPr>
        <w:t>（5）法定代表人：</w:t>
      </w:r>
      <w:r>
        <w:rPr>
          <w:rFonts w:hint="eastAsia" w:ascii="宋体" w:hAnsi="宋体" w:eastAsia="宋体" w:cs="宋体"/>
          <w:sz w:val="24"/>
          <w:u w:val="single"/>
        </w:rPr>
        <w:t xml:space="preserve">             </w:t>
      </w:r>
    </w:p>
    <w:p w14:paraId="4D6C1FAF">
      <w:pPr>
        <w:spacing w:before="100" w:after="100"/>
        <w:rPr>
          <w:rFonts w:ascii="宋体" w:hAnsi="宋体" w:eastAsia="宋体" w:cs="宋体"/>
          <w:sz w:val="24"/>
          <w:u w:val="single"/>
        </w:rPr>
      </w:pPr>
      <w:r>
        <w:rPr>
          <w:rFonts w:hint="eastAsia" w:ascii="宋体" w:hAnsi="宋体" w:eastAsia="宋体" w:cs="宋体"/>
          <w:sz w:val="24"/>
        </w:rPr>
        <w:t>（6）职员人数：</w:t>
      </w:r>
      <w:r>
        <w:rPr>
          <w:rFonts w:hint="eastAsia" w:ascii="宋体" w:hAnsi="宋体" w:eastAsia="宋体" w:cs="宋体"/>
          <w:sz w:val="24"/>
          <w:u w:val="single"/>
        </w:rPr>
        <w:t xml:space="preserve">             </w:t>
      </w:r>
    </w:p>
    <w:p w14:paraId="6A2F17D9">
      <w:pPr>
        <w:spacing w:before="100" w:after="100"/>
        <w:rPr>
          <w:rFonts w:ascii="宋体" w:hAnsi="宋体" w:eastAsia="宋体" w:cs="宋体"/>
          <w:sz w:val="24"/>
          <w:u w:val="single"/>
        </w:rPr>
      </w:pPr>
      <w:r>
        <w:rPr>
          <w:rFonts w:hint="eastAsia" w:ascii="宋体" w:hAnsi="宋体" w:eastAsia="宋体" w:cs="宋体"/>
          <w:sz w:val="24"/>
        </w:rPr>
        <w:t>（7）专业技术人员人数：</w:t>
      </w:r>
      <w:r>
        <w:rPr>
          <w:rFonts w:hint="eastAsia" w:ascii="宋体" w:hAnsi="宋体" w:eastAsia="宋体" w:cs="宋体"/>
          <w:sz w:val="24"/>
          <w:u w:val="single"/>
        </w:rPr>
        <w:t xml:space="preserve">             </w:t>
      </w:r>
    </w:p>
    <w:p w14:paraId="1A7BBD8E">
      <w:pPr>
        <w:spacing w:before="100" w:after="100"/>
        <w:rPr>
          <w:rFonts w:ascii="宋体" w:hAnsi="宋体" w:eastAsia="宋体" w:cs="宋体"/>
          <w:sz w:val="24"/>
          <w:u w:val="single"/>
        </w:rPr>
      </w:pPr>
      <w:r>
        <w:rPr>
          <w:rFonts w:hint="eastAsia" w:ascii="宋体" w:hAnsi="宋体" w:eastAsia="宋体" w:cs="宋体"/>
          <w:sz w:val="24"/>
        </w:rPr>
        <w:t>（7）注册资本：</w:t>
      </w:r>
      <w:r>
        <w:rPr>
          <w:rFonts w:hint="eastAsia" w:ascii="宋体" w:hAnsi="宋体" w:eastAsia="宋体" w:cs="宋体"/>
          <w:sz w:val="24"/>
          <w:u w:val="single"/>
        </w:rPr>
        <w:t xml:space="preserve">             </w:t>
      </w:r>
    </w:p>
    <w:p w14:paraId="75E186C5">
      <w:pPr>
        <w:spacing w:before="100" w:after="100"/>
        <w:rPr>
          <w:rFonts w:ascii="宋体" w:hAnsi="宋体" w:eastAsia="宋体" w:cs="宋体"/>
          <w:sz w:val="24"/>
          <w:u w:val="single"/>
        </w:rPr>
      </w:pPr>
      <w:r>
        <w:rPr>
          <w:rFonts w:hint="eastAsia" w:ascii="宋体" w:hAnsi="宋体" w:eastAsia="宋体" w:cs="宋体"/>
          <w:sz w:val="24"/>
        </w:rPr>
        <w:t>（8）实收资本：</w:t>
      </w:r>
      <w:r>
        <w:rPr>
          <w:rFonts w:hint="eastAsia" w:ascii="宋体" w:hAnsi="宋体" w:eastAsia="宋体" w:cs="宋体"/>
          <w:sz w:val="24"/>
          <w:u w:val="single"/>
        </w:rPr>
        <w:t xml:space="preserve">             </w:t>
      </w:r>
    </w:p>
    <w:p w14:paraId="79181B7E">
      <w:pPr>
        <w:spacing w:before="100" w:after="100"/>
        <w:rPr>
          <w:rFonts w:ascii="宋体" w:hAnsi="宋体" w:eastAsia="宋体" w:cs="宋体"/>
          <w:sz w:val="24"/>
        </w:rPr>
      </w:pPr>
      <w:r>
        <w:rPr>
          <w:rFonts w:hint="eastAsia" w:ascii="宋体" w:hAnsi="宋体" w:eastAsia="宋体" w:cs="宋体"/>
          <w:sz w:val="24"/>
        </w:rPr>
        <w:t>（9）近一年资产负债表：</w:t>
      </w:r>
    </w:p>
    <w:p w14:paraId="5E4B3216">
      <w:pPr>
        <w:spacing w:before="100" w:after="100"/>
        <w:rPr>
          <w:rFonts w:ascii="宋体" w:hAnsi="宋体" w:eastAsia="宋体" w:cs="宋体"/>
          <w:sz w:val="24"/>
        </w:rPr>
      </w:pPr>
      <w:r>
        <w:rPr>
          <w:rFonts w:hint="eastAsia" w:ascii="宋体" w:hAnsi="宋体" w:eastAsia="宋体" w:cs="宋体"/>
          <w:sz w:val="24"/>
        </w:rPr>
        <w:t>&lt;1&gt; 固定资产：</w:t>
      </w:r>
      <w:r>
        <w:rPr>
          <w:rFonts w:hint="eastAsia" w:ascii="宋体" w:hAnsi="宋体" w:eastAsia="宋体" w:cs="宋体"/>
          <w:sz w:val="24"/>
          <w:u w:val="single"/>
        </w:rPr>
        <w:t xml:space="preserve">             </w:t>
      </w:r>
    </w:p>
    <w:p w14:paraId="6FE64227">
      <w:pPr>
        <w:spacing w:before="100" w:after="100"/>
        <w:ind w:firstLine="240"/>
        <w:rPr>
          <w:rFonts w:ascii="宋体" w:hAnsi="宋体" w:eastAsia="宋体" w:cs="宋体"/>
          <w:sz w:val="24"/>
        </w:rPr>
      </w:pPr>
      <w:r>
        <w:rPr>
          <w:rFonts w:hint="eastAsia" w:ascii="宋体" w:hAnsi="宋体" w:eastAsia="宋体" w:cs="宋体"/>
          <w:sz w:val="24"/>
        </w:rPr>
        <w:t xml:space="preserve">         原值：</w:t>
      </w:r>
      <w:r>
        <w:rPr>
          <w:rFonts w:hint="eastAsia" w:ascii="宋体" w:hAnsi="宋体" w:eastAsia="宋体" w:cs="宋体"/>
          <w:sz w:val="24"/>
          <w:u w:val="single"/>
        </w:rPr>
        <w:t xml:space="preserve">             </w:t>
      </w:r>
    </w:p>
    <w:p w14:paraId="21398E7C">
      <w:pPr>
        <w:spacing w:before="100" w:after="100"/>
        <w:ind w:firstLine="240"/>
        <w:rPr>
          <w:rFonts w:ascii="宋体" w:hAnsi="宋体" w:eastAsia="宋体" w:cs="宋体"/>
          <w:sz w:val="24"/>
        </w:rPr>
      </w:pPr>
      <w:r>
        <w:rPr>
          <w:rFonts w:hint="eastAsia" w:ascii="宋体" w:hAnsi="宋体" w:eastAsia="宋体" w:cs="宋体"/>
          <w:sz w:val="24"/>
        </w:rPr>
        <w:t xml:space="preserve">         净值：</w:t>
      </w:r>
      <w:r>
        <w:rPr>
          <w:rFonts w:hint="eastAsia" w:ascii="宋体" w:hAnsi="宋体" w:eastAsia="宋体" w:cs="宋体"/>
          <w:sz w:val="24"/>
          <w:u w:val="single"/>
        </w:rPr>
        <w:t xml:space="preserve">             </w:t>
      </w:r>
    </w:p>
    <w:p w14:paraId="41B3A098">
      <w:pPr>
        <w:spacing w:before="100" w:after="100"/>
        <w:ind w:firstLine="240"/>
        <w:rPr>
          <w:rFonts w:ascii="宋体" w:hAnsi="宋体" w:eastAsia="宋体" w:cs="宋体"/>
          <w:sz w:val="24"/>
        </w:rPr>
      </w:pPr>
      <w:r>
        <w:rPr>
          <w:rFonts w:hint="eastAsia" w:ascii="宋体" w:hAnsi="宋体" w:eastAsia="宋体" w:cs="宋体"/>
          <w:sz w:val="24"/>
        </w:rPr>
        <w:t>&lt;2&gt; 流动资金：</w:t>
      </w:r>
      <w:r>
        <w:rPr>
          <w:rFonts w:hint="eastAsia" w:ascii="宋体" w:hAnsi="宋体" w:eastAsia="宋体" w:cs="宋体"/>
          <w:sz w:val="24"/>
          <w:u w:val="single"/>
        </w:rPr>
        <w:t xml:space="preserve">             </w:t>
      </w:r>
    </w:p>
    <w:p w14:paraId="2AD4C6A1">
      <w:pPr>
        <w:spacing w:before="100" w:after="100"/>
        <w:ind w:firstLine="240"/>
        <w:rPr>
          <w:rFonts w:ascii="宋体" w:hAnsi="宋体" w:eastAsia="宋体" w:cs="宋体"/>
          <w:sz w:val="24"/>
        </w:rPr>
      </w:pPr>
      <w:r>
        <w:rPr>
          <w:rFonts w:hint="eastAsia" w:ascii="宋体" w:hAnsi="宋体" w:eastAsia="宋体" w:cs="宋体"/>
          <w:sz w:val="24"/>
        </w:rPr>
        <w:t>&lt;3&gt; 长期负债：</w:t>
      </w:r>
      <w:r>
        <w:rPr>
          <w:rFonts w:hint="eastAsia" w:ascii="宋体" w:hAnsi="宋体" w:eastAsia="宋体" w:cs="宋体"/>
          <w:sz w:val="24"/>
          <w:u w:val="single"/>
        </w:rPr>
        <w:t xml:space="preserve">             </w:t>
      </w:r>
    </w:p>
    <w:p w14:paraId="6BDB2041">
      <w:pPr>
        <w:spacing w:before="100" w:after="100"/>
        <w:ind w:firstLine="240"/>
        <w:rPr>
          <w:rFonts w:ascii="宋体" w:hAnsi="宋体" w:eastAsia="宋体" w:cs="宋体"/>
          <w:sz w:val="24"/>
          <w:u w:val="single"/>
        </w:rPr>
      </w:pPr>
      <w:r>
        <w:rPr>
          <w:rFonts w:hint="eastAsia" w:ascii="宋体" w:hAnsi="宋体" w:eastAsia="宋体" w:cs="宋体"/>
          <w:sz w:val="24"/>
        </w:rPr>
        <w:t>&lt;4&gt; 短期负债：</w:t>
      </w:r>
      <w:r>
        <w:rPr>
          <w:rFonts w:hint="eastAsia" w:ascii="宋体" w:hAnsi="宋体" w:eastAsia="宋体" w:cs="宋体"/>
          <w:sz w:val="24"/>
          <w:u w:val="single"/>
        </w:rPr>
        <w:t xml:space="preserve">             </w:t>
      </w:r>
    </w:p>
    <w:p w14:paraId="148C5318">
      <w:pPr>
        <w:spacing w:before="100" w:after="100"/>
        <w:rPr>
          <w:rFonts w:ascii="宋体" w:hAnsi="宋体" w:eastAsia="宋体" w:cs="宋体"/>
          <w:sz w:val="24"/>
        </w:rPr>
      </w:pPr>
      <w:r>
        <w:rPr>
          <w:rFonts w:hint="eastAsia" w:ascii="宋体" w:hAnsi="宋体" w:eastAsia="宋体" w:cs="宋体"/>
          <w:sz w:val="24"/>
        </w:rPr>
        <w:t xml:space="preserve">2、与提供所采购服务有关的情况： </w:t>
      </w:r>
    </w:p>
    <w:p w14:paraId="142154E3">
      <w:pPr>
        <w:spacing w:before="100" w:after="100"/>
        <w:rPr>
          <w:rFonts w:ascii="宋体" w:hAnsi="宋体" w:eastAsia="宋体" w:cs="宋体"/>
          <w:sz w:val="24"/>
        </w:rPr>
      </w:pPr>
      <w:r>
        <w:rPr>
          <w:rFonts w:hint="eastAsia" w:ascii="宋体" w:hAnsi="宋体" w:eastAsia="宋体" w:cs="宋体"/>
          <w:sz w:val="24"/>
        </w:rPr>
        <w:t>（1）提供此类服务的经验（包括年限、业绩等）：</w:t>
      </w:r>
    </w:p>
    <w:p w14:paraId="385446D1">
      <w:pPr>
        <w:spacing w:before="100" w:after="100"/>
        <w:ind w:firstLine="547" w:firstLineChars="228"/>
        <w:rPr>
          <w:rFonts w:ascii="宋体" w:hAnsi="宋体" w:eastAsia="宋体" w:cs="宋体"/>
          <w:sz w:val="24"/>
          <w:u w:val="single"/>
        </w:rPr>
      </w:pPr>
      <w:r>
        <w:rPr>
          <w:rFonts w:hint="eastAsia" w:ascii="宋体" w:hAnsi="宋体" w:eastAsia="宋体" w:cs="宋体"/>
          <w:sz w:val="24"/>
          <w:u w:val="single"/>
        </w:rPr>
        <w:t>　　　　　　　　　　　　　　　　　　　　　　　　　　　　　　　</w:t>
      </w:r>
    </w:p>
    <w:p w14:paraId="120D9E6C">
      <w:pPr>
        <w:spacing w:before="100" w:after="100"/>
        <w:ind w:firstLine="547" w:firstLineChars="228"/>
        <w:rPr>
          <w:rFonts w:ascii="宋体" w:hAnsi="宋体" w:eastAsia="宋体" w:cs="宋体"/>
          <w:sz w:val="24"/>
          <w:u w:val="single"/>
        </w:rPr>
      </w:pPr>
      <w:r>
        <w:rPr>
          <w:rFonts w:hint="eastAsia" w:ascii="宋体" w:hAnsi="宋体" w:eastAsia="宋体" w:cs="宋体"/>
          <w:sz w:val="24"/>
          <w:u w:val="single"/>
        </w:rPr>
        <w:t>　　　　　　　　　　　　　　　　　　　　　　　　　　　　　　　</w:t>
      </w:r>
    </w:p>
    <w:p w14:paraId="7BE8FFD0">
      <w:pPr>
        <w:spacing w:before="100" w:after="100"/>
        <w:rPr>
          <w:rFonts w:ascii="宋体" w:hAnsi="宋体" w:eastAsia="宋体" w:cs="宋体"/>
          <w:sz w:val="24"/>
        </w:rPr>
      </w:pPr>
      <w:r>
        <w:rPr>
          <w:rFonts w:hint="eastAsia" w:ascii="宋体" w:hAnsi="宋体" w:eastAsia="宋体" w:cs="宋体"/>
          <w:sz w:val="24"/>
        </w:rPr>
        <w:t>（2）拥有第三方合作资源的情况（可另行附表）：</w:t>
      </w:r>
    </w:p>
    <w:p w14:paraId="41903FE1">
      <w:pPr>
        <w:spacing w:before="100" w:after="100"/>
        <w:ind w:firstLine="547" w:firstLineChars="228"/>
        <w:rPr>
          <w:rFonts w:ascii="宋体" w:hAnsi="宋体" w:eastAsia="宋体" w:cs="宋体"/>
          <w:sz w:val="24"/>
          <w:u w:val="single"/>
        </w:rPr>
      </w:pPr>
      <w:r>
        <w:rPr>
          <w:rFonts w:hint="eastAsia" w:ascii="宋体" w:hAnsi="宋体" w:eastAsia="宋体" w:cs="宋体"/>
          <w:sz w:val="24"/>
          <w:u w:val="single"/>
        </w:rPr>
        <w:t>　　　　　　　　　　　　　　　　　　　　　　　　　　　　　　　</w:t>
      </w:r>
    </w:p>
    <w:p w14:paraId="6E4C87F9">
      <w:pPr>
        <w:spacing w:before="100" w:after="100"/>
        <w:ind w:firstLine="720"/>
        <w:rPr>
          <w:rFonts w:ascii="宋体" w:hAnsi="宋体" w:eastAsia="宋体" w:cs="宋体"/>
          <w:sz w:val="24"/>
          <w:u w:val="single"/>
        </w:rPr>
      </w:pPr>
      <w:r>
        <w:rPr>
          <w:rFonts w:hint="eastAsia" w:ascii="宋体" w:hAnsi="宋体" w:eastAsia="宋体" w:cs="宋体"/>
          <w:sz w:val="24"/>
          <w:u w:val="single"/>
        </w:rPr>
        <w:t>　　　　　　　　　　　　　　　　　　　　　　　　　　　　　　　</w:t>
      </w:r>
    </w:p>
    <w:p w14:paraId="6B52F309">
      <w:pPr>
        <w:spacing w:before="100" w:after="100"/>
        <w:ind w:left="410" w:hanging="410"/>
        <w:rPr>
          <w:rFonts w:ascii="宋体" w:hAnsi="宋体" w:eastAsia="宋体" w:cs="宋体"/>
          <w:sz w:val="24"/>
        </w:rPr>
      </w:pPr>
      <w:r>
        <w:rPr>
          <w:rFonts w:hint="eastAsia" w:ascii="宋体" w:hAnsi="宋体" w:eastAsia="宋体" w:cs="宋体"/>
          <w:sz w:val="24"/>
        </w:rPr>
        <w:t>3、报价人认为需要声明的其他情况：</w:t>
      </w:r>
    </w:p>
    <w:p w14:paraId="3D47DA2E">
      <w:pPr>
        <w:ind w:firstLine="360" w:firstLineChars="150"/>
        <w:rPr>
          <w:rFonts w:ascii="宋体" w:hAnsi="宋体" w:eastAsia="宋体" w:cs="宋体"/>
          <w:sz w:val="24"/>
        </w:rPr>
      </w:pPr>
    </w:p>
    <w:p w14:paraId="4E237A36">
      <w:pPr>
        <w:spacing w:before="100" w:after="100"/>
        <w:rPr>
          <w:rFonts w:ascii="宋体" w:hAnsi="宋体" w:eastAsia="宋体" w:cs="宋体"/>
          <w:sz w:val="24"/>
        </w:rPr>
      </w:pPr>
      <w:r>
        <w:rPr>
          <w:rFonts w:hint="eastAsia" w:ascii="宋体" w:hAnsi="宋体" w:eastAsia="宋体" w:cs="宋体"/>
          <w:sz w:val="24"/>
        </w:rPr>
        <w:t xml:space="preserve">    兹证明上述声明是真实的、正确的，并提供了全部能提供的资料和数据，我们同意遵照贵方要求出示有关证明文件。</w:t>
      </w:r>
    </w:p>
    <w:p w14:paraId="586CC183">
      <w:pPr>
        <w:spacing w:before="100" w:after="100"/>
        <w:ind w:firstLine="960" w:firstLineChars="400"/>
        <w:rPr>
          <w:rFonts w:ascii="宋体" w:hAnsi="宋体" w:eastAsia="宋体" w:cs="宋体"/>
          <w:sz w:val="24"/>
        </w:rPr>
      </w:pPr>
      <w:r>
        <w:rPr>
          <w:rFonts w:hint="eastAsia" w:ascii="宋体" w:hAnsi="宋体" w:eastAsia="宋体" w:cs="宋体"/>
          <w:sz w:val="24"/>
        </w:rPr>
        <w:t>报价人全称（公章）：</w:t>
      </w:r>
      <w:r>
        <w:rPr>
          <w:rFonts w:hint="eastAsia" w:ascii="宋体" w:hAnsi="宋体" w:eastAsia="宋体" w:cs="宋体"/>
          <w:sz w:val="24"/>
          <w:u w:val="single"/>
        </w:rPr>
        <w:t xml:space="preserve">             </w:t>
      </w:r>
    </w:p>
    <w:p w14:paraId="00C67F69">
      <w:pPr>
        <w:spacing w:before="100" w:after="100"/>
        <w:rPr>
          <w:rFonts w:ascii="宋体" w:hAnsi="宋体" w:eastAsia="宋体" w:cs="宋体"/>
          <w:sz w:val="24"/>
        </w:rPr>
      </w:pPr>
      <w:r>
        <w:rPr>
          <w:rFonts w:hint="eastAsia" w:ascii="宋体" w:hAnsi="宋体" w:eastAsia="宋体" w:cs="宋体"/>
          <w:sz w:val="24"/>
        </w:rPr>
        <w:t xml:space="preserve">        法定代表人或授权的报价人代表签字：</w:t>
      </w:r>
      <w:r>
        <w:rPr>
          <w:rFonts w:hint="eastAsia" w:ascii="宋体" w:hAnsi="宋体" w:eastAsia="宋体" w:cs="宋体"/>
          <w:sz w:val="24"/>
          <w:u w:val="single"/>
        </w:rPr>
        <w:t xml:space="preserve">             </w:t>
      </w:r>
    </w:p>
    <w:p w14:paraId="5DAACC1D">
      <w:pPr>
        <w:spacing w:before="100" w:after="100"/>
        <w:rPr>
          <w:rFonts w:ascii="宋体" w:hAnsi="宋体" w:eastAsia="宋体" w:cs="宋体"/>
          <w:sz w:val="24"/>
        </w:rPr>
      </w:pPr>
      <w:r>
        <w:rPr>
          <w:rFonts w:hint="eastAsia" w:ascii="宋体" w:hAnsi="宋体" w:eastAsia="宋体" w:cs="宋体"/>
          <w:sz w:val="24"/>
        </w:rPr>
        <w:t xml:space="preserve">        日期：年月日        </w:t>
      </w:r>
    </w:p>
    <w:p w14:paraId="4F0E728A">
      <w:pPr>
        <w:pStyle w:val="5"/>
        <w:numPr>
          <w:ilvl w:val="5"/>
          <w:numId w:val="0"/>
        </w:numPr>
        <w:jc w:val="center"/>
        <w:rPr>
          <w:rFonts w:ascii="宋体" w:hAnsi="宋体" w:eastAsia="宋体" w:cs="宋体"/>
          <w:b w:val="0"/>
          <w:sz w:val="24"/>
        </w:rPr>
      </w:pPr>
      <w:bookmarkStart w:id="79" w:name="_Toc79681403"/>
      <w:r>
        <w:rPr>
          <w:rFonts w:hint="eastAsia" w:ascii="宋体" w:hAnsi="宋体" w:eastAsia="宋体" w:cs="宋体"/>
          <w:sz w:val="28"/>
          <w:szCs w:val="28"/>
        </w:rPr>
        <w:t>附件六          中小企业声明函（工程、服务）</w:t>
      </w:r>
      <w:bookmarkEnd w:id="79"/>
    </w:p>
    <w:p w14:paraId="522D17F0">
      <w:pPr>
        <w:snapToGrid w:val="0"/>
        <w:spacing w:line="312" w:lineRule="auto"/>
        <w:ind w:firstLine="600" w:firstLineChars="250"/>
        <w:rPr>
          <w:rFonts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238DABE">
      <w:pPr>
        <w:snapToGrid w:val="0"/>
        <w:spacing w:line="312" w:lineRule="auto"/>
        <w:ind w:firstLine="600" w:firstLineChars="250"/>
        <w:rPr>
          <w:rFonts w:ascii="宋体" w:hAnsi="宋体" w:eastAsia="宋体" w:cs="宋体"/>
          <w:sz w:val="24"/>
        </w:rPr>
      </w:pPr>
      <w:r>
        <w:rPr>
          <w:rFonts w:hint="eastAsia" w:ascii="宋体" w:hAnsi="宋体" w:eastAsia="宋体" w:cs="宋体"/>
          <w:sz w:val="24"/>
        </w:rPr>
        <w:t>1. （标的名称），属于（采购文件中明确的所属行业）；承建（承接）企业为（企业名称），从业人员  人，营业收入为 万元，资产总额为 万元1，属于（中型企业、小型企业、微型企业）；</w:t>
      </w:r>
    </w:p>
    <w:p w14:paraId="16612075">
      <w:pPr>
        <w:snapToGrid w:val="0"/>
        <w:spacing w:line="312" w:lineRule="auto"/>
        <w:ind w:firstLine="600" w:firstLineChars="250"/>
        <w:rPr>
          <w:rFonts w:ascii="宋体" w:hAnsi="宋体" w:eastAsia="宋体" w:cs="宋体"/>
          <w:sz w:val="24"/>
        </w:rPr>
      </w:pPr>
      <w:r>
        <w:rPr>
          <w:rFonts w:hint="eastAsia" w:ascii="宋体" w:hAnsi="宋体" w:eastAsia="宋体" w:cs="宋体"/>
          <w:sz w:val="24"/>
        </w:rPr>
        <w:t>2. （标的名称），属于（采购文件中明确的所属行业）；承建（承接）企业为（企业名称），从业人员 人，营业收入为 万元，资产总额为 万元，属于（中型企业、小型企业、微型企业）；</w:t>
      </w:r>
    </w:p>
    <w:p w14:paraId="31B0B0BF">
      <w:pPr>
        <w:snapToGrid w:val="0"/>
        <w:spacing w:line="312" w:lineRule="auto"/>
        <w:ind w:firstLine="600" w:firstLineChars="250"/>
        <w:rPr>
          <w:rFonts w:ascii="宋体" w:hAnsi="宋体" w:eastAsia="宋体" w:cs="宋体"/>
          <w:sz w:val="24"/>
        </w:rPr>
      </w:pPr>
      <w:r>
        <w:rPr>
          <w:rFonts w:hint="eastAsia" w:ascii="宋体" w:hAnsi="宋体" w:eastAsia="宋体" w:cs="宋体"/>
          <w:sz w:val="24"/>
        </w:rPr>
        <w:t>……</w:t>
      </w:r>
    </w:p>
    <w:p w14:paraId="31B6736D">
      <w:pPr>
        <w:snapToGrid w:val="0"/>
        <w:spacing w:line="312" w:lineRule="auto"/>
        <w:ind w:firstLine="600" w:firstLineChars="250"/>
        <w:rPr>
          <w:rFonts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055847A0">
      <w:pPr>
        <w:snapToGrid w:val="0"/>
        <w:spacing w:line="312" w:lineRule="auto"/>
        <w:ind w:firstLine="600" w:firstLineChars="25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0F2D3634">
      <w:pPr>
        <w:snapToGrid w:val="0"/>
        <w:spacing w:line="312" w:lineRule="auto"/>
        <w:ind w:right="1444" w:firstLine="600" w:firstLineChars="250"/>
        <w:jc w:val="right"/>
        <w:rPr>
          <w:rFonts w:ascii="宋体" w:hAnsi="宋体" w:eastAsia="宋体" w:cs="宋体"/>
          <w:sz w:val="24"/>
        </w:rPr>
      </w:pPr>
      <w:r>
        <w:rPr>
          <w:rFonts w:hint="eastAsia" w:ascii="宋体" w:hAnsi="宋体" w:eastAsia="宋体" w:cs="宋体"/>
          <w:sz w:val="24"/>
        </w:rPr>
        <w:t xml:space="preserve">企业名称（盖章）： </w:t>
      </w:r>
    </w:p>
    <w:p w14:paraId="2161247F">
      <w:pPr>
        <w:snapToGrid w:val="0"/>
        <w:spacing w:line="312" w:lineRule="auto"/>
        <w:ind w:right="1444" w:firstLine="600" w:firstLineChars="250"/>
        <w:jc w:val="right"/>
        <w:rPr>
          <w:rFonts w:ascii="宋体" w:hAnsi="宋体" w:eastAsia="宋体" w:cs="宋体"/>
          <w:sz w:val="24"/>
        </w:rPr>
      </w:pPr>
      <w:r>
        <w:rPr>
          <w:rFonts w:hint="eastAsia" w:ascii="宋体" w:hAnsi="宋体" w:eastAsia="宋体" w:cs="宋体"/>
          <w:sz w:val="24"/>
        </w:rPr>
        <w:t>日 期：</w:t>
      </w:r>
    </w:p>
    <w:p w14:paraId="63741C80">
      <w:pPr>
        <w:snapToGrid w:val="0"/>
        <w:spacing w:line="360" w:lineRule="auto"/>
        <w:rPr>
          <w:rFonts w:ascii="宋体" w:hAnsi="宋体" w:eastAsia="宋体" w:cs="宋体"/>
          <w:sz w:val="24"/>
        </w:rPr>
      </w:pPr>
      <w:r>
        <w:rPr>
          <w:rFonts w:hint="eastAsia" w:ascii="宋体" w:hAnsi="宋体" w:eastAsia="宋体" w:cs="宋体"/>
          <w:sz w:val="24"/>
        </w:rPr>
        <w:t>备注说明：</w:t>
      </w:r>
    </w:p>
    <w:p w14:paraId="1DF0F724">
      <w:pPr>
        <w:snapToGrid w:val="0"/>
        <w:spacing w:line="360" w:lineRule="auto"/>
        <w:rPr>
          <w:rFonts w:ascii="宋体" w:hAnsi="宋体" w:eastAsia="宋体" w:cs="宋体"/>
          <w:sz w:val="24"/>
        </w:rPr>
      </w:pPr>
      <w:r>
        <w:rPr>
          <w:rFonts w:hint="eastAsia" w:ascii="宋体" w:hAnsi="宋体" w:eastAsia="宋体" w:cs="宋体"/>
          <w:sz w:val="24"/>
        </w:rPr>
        <w:t>如联合体投标时，联合体各方均为小型、微型企业的，联合体各方须提供《中小企业声明函》；联合体其中一方为小型、微型企业的，联合协议中须约定小型、微型企业的协议合同金额占到联合体协议合同总额30%以上。</w:t>
      </w:r>
    </w:p>
    <w:p w14:paraId="5AA623F7">
      <w:pPr>
        <w:rPr>
          <w:rFonts w:ascii="宋体" w:hAnsi="宋体" w:eastAsia="宋体" w:cs="宋体"/>
        </w:rPr>
      </w:pPr>
    </w:p>
    <w:p w14:paraId="187818B8">
      <w:pPr>
        <w:pStyle w:val="5"/>
        <w:numPr>
          <w:ilvl w:val="5"/>
          <w:numId w:val="0"/>
        </w:numPr>
        <w:jc w:val="center"/>
        <w:rPr>
          <w:rFonts w:ascii="宋体" w:hAnsi="宋体" w:eastAsia="宋体" w:cs="宋体"/>
          <w:b w:val="0"/>
          <w:sz w:val="28"/>
          <w:szCs w:val="28"/>
        </w:rPr>
      </w:pPr>
      <w:bookmarkStart w:id="80" w:name="_Toc79681404"/>
      <w:bookmarkStart w:id="81" w:name="_Toc499216494"/>
      <w:r>
        <w:rPr>
          <w:rFonts w:hint="eastAsia" w:ascii="宋体" w:hAnsi="宋体" w:eastAsia="宋体" w:cs="宋体"/>
          <w:spacing w:val="6"/>
          <w:sz w:val="28"/>
          <w:szCs w:val="28"/>
        </w:rPr>
        <w:t>附件七 残疾人福利性单位声明函</w:t>
      </w:r>
      <w:bookmarkEnd w:id="80"/>
      <w:bookmarkEnd w:id="81"/>
    </w:p>
    <w:p w14:paraId="5323A785">
      <w:pPr>
        <w:spacing w:line="588" w:lineRule="exact"/>
        <w:jc w:val="center"/>
        <w:rPr>
          <w:rFonts w:ascii="宋体" w:hAnsi="宋体" w:eastAsia="宋体" w:cs="宋体"/>
          <w:b/>
          <w:spacing w:val="6"/>
          <w:sz w:val="24"/>
        </w:rPr>
      </w:pPr>
      <w:r>
        <w:rPr>
          <w:rFonts w:hint="eastAsia" w:ascii="宋体" w:hAnsi="宋体" w:eastAsia="宋体" w:cs="宋体"/>
          <w:b/>
          <w:spacing w:val="6"/>
          <w:sz w:val="24"/>
        </w:rPr>
        <w:t>（如报价人满足残疾人福利性单位条件时提供）</w:t>
      </w:r>
    </w:p>
    <w:p w14:paraId="760EE0C8">
      <w:pPr>
        <w:spacing w:line="360" w:lineRule="auto"/>
        <w:ind w:firstLine="504" w:firstLineChars="200"/>
        <w:rPr>
          <w:rFonts w:ascii="宋体" w:hAnsi="宋体" w:eastAsia="宋体" w:cs="宋体"/>
          <w:bCs/>
          <w:spacing w:val="6"/>
          <w:sz w:val="24"/>
        </w:rPr>
      </w:pPr>
      <w:r>
        <w:rPr>
          <w:rFonts w:hint="eastAsia" w:ascii="宋体" w:hAnsi="宋体" w:eastAsia="宋体" w:cs="宋体"/>
          <w:bCs/>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FEC809">
      <w:pPr>
        <w:spacing w:line="360" w:lineRule="auto"/>
        <w:ind w:firstLine="504" w:firstLineChars="200"/>
        <w:rPr>
          <w:rFonts w:ascii="宋体" w:hAnsi="宋体" w:eastAsia="宋体" w:cs="宋体"/>
          <w:bCs/>
          <w:spacing w:val="6"/>
          <w:sz w:val="24"/>
        </w:rPr>
      </w:pPr>
      <w:r>
        <w:rPr>
          <w:rFonts w:hint="eastAsia" w:ascii="宋体" w:hAnsi="宋体" w:eastAsia="宋体" w:cs="宋体"/>
          <w:bCs/>
          <w:spacing w:val="6"/>
          <w:sz w:val="24"/>
        </w:rPr>
        <w:t>本单位对上述声明的真实性负责。如有虚假，将依法承担相应责任。</w:t>
      </w:r>
    </w:p>
    <w:p w14:paraId="5259B9B3">
      <w:pPr>
        <w:tabs>
          <w:tab w:val="left" w:pos="4860"/>
        </w:tabs>
        <w:spacing w:line="360" w:lineRule="auto"/>
        <w:ind w:right="1560" w:firstLine="504" w:firstLineChars="200"/>
        <w:jc w:val="center"/>
        <w:rPr>
          <w:rFonts w:ascii="宋体" w:hAnsi="宋体" w:eastAsia="宋体" w:cs="宋体"/>
          <w:spacing w:val="6"/>
          <w:sz w:val="24"/>
        </w:rPr>
      </w:pPr>
      <w:r>
        <w:rPr>
          <w:rFonts w:hint="eastAsia" w:ascii="宋体" w:hAnsi="宋体" w:eastAsia="宋体" w:cs="宋体"/>
          <w:spacing w:val="6"/>
          <w:sz w:val="24"/>
        </w:rPr>
        <w:t>单位名称（盖章）：</w:t>
      </w:r>
    </w:p>
    <w:p w14:paraId="6AE0D232">
      <w:pPr>
        <w:tabs>
          <w:tab w:val="left" w:pos="4860"/>
        </w:tabs>
        <w:spacing w:line="360" w:lineRule="auto"/>
        <w:ind w:right="1560" w:firstLine="504" w:firstLineChars="200"/>
        <w:jc w:val="center"/>
        <w:rPr>
          <w:rFonts w:ascii="Times New Roman" w:hAnsi="Times New Roman" w:eastAsia="宋体" w:cs="Times New Roman"/>
        </w:rPr>
      </w:pPr>
      <w:r>
        <w:rPr>
          <w:rFonts w:hint="eastAsia" w:ascii="宋体" w:hAnsi="宋体" w:eastAsia="宋体" w:cs="宋体"/>
          <w:spacing w:val="6"/>
          <w:sz w:val="24"/>
        </w:rPr>
        <w:t>日  期：</w:t>
      </w:r>
      <w:bookmarkStart w:id="82" w:name="_Toc79681405"/>
    </w:p>
    <w:p w14:paraId="51B8E7A8">
      <w:pPr>
        <w:widowControl/>
        <w:jc w:val="left"/>
        <w:rPr>
          <w:rFonts w:ascii="Times New Roman" w:hAnsi="Times New Roman" w:eastAsia="宋体" w:cs="Times New Roman"/>
          <w:b/>
          <w:bCs/>
          <w:sz w:val="32"/>
          <w:szCs w:val="32"/>
        </w:rPr>
      </w:pPr>
      <w:r>
        <w:rPr>
          <w:rFonts w:ascii="Times New Roman" w:hAnsi="Times New Roman" w:eastAsia="宋体" w:cs="Times New Roman"/>
        </w:rPr>
        <w:br w:type="page"/>
      </w:r>
    </w:p>
    <w:bookmarkEnd w:id="75"/>
    <w:bookmarkEnd w:id="76"/>
    <w:bookmarkEnd w:id="77"/>
    <w:bookmarkEnd w:id="78"/>
    <w:bookmarkEnd w:id="82"/>
    <w:p w14:paraId="0AFB7905">
      <w:pPr>
        <w:spacing w:line="360" w:lineRule="auto"/>
        <w:jc w:val="right"/>
        <w:rPr>
          <w:rFonts w:ascii="Times New Roman" w:hAnsi="Times New Roman"/>
          <w:color w:val="000000"/>
          <w:shd w:val="clear" w:color="auto" w:fill="FFFFFF"/>
        </w:rPr>
      </w:pPr>
    </w:p>
    <w:p w14:paraId="589B8265">
      <w:pPr>
        <w:spacing w:line="360" w:lineRule="auto"/>
        <w:jc w:val="center"/>
        <w:rPr>
          <w:rFonts w:ascii="Times New Roman" w:hAnsi="Times New Roman" w:eastAsia="黑体"/>
          <w:b/>
          <w:color w:val="000000"/>
          <w:sz w:val="52"/>
          <w:szCs w:val="44"/>
          <w:shd w:val="clear" w:color="auto" w:fill="FFFFFF"/>
        </w:rPr>
      </w:pPr>
      <w:r>
        <w:rPr>
          <w:rFonts w:hint="eastAsia" w:ascii="Times New Roman" w:hAnsi="Times New Roman" w:eastAsia="黑体"/>
          <w:b/>
          <w:color w:val="000000"/>
          <w:sz w:val="52"/>
          <w:szCs w:val="44"/>
          <w:highlight w:val="yellow"/>
          <w:shd w:val="clear" w:color="auto" w:fill="FFFFFF"/>
        </w:rPr>
        <w:t>赛事</w:t>
      </w:r>
      <w:r>
        <w:rPr>
          <w:rFonts w:ascii="Times New Roman" w:hAnsi="Times New Roman" w:eastAsia="黑体"/>
          <w:b/>
          <w:color w:val="000000"/>
          <w:sz w:val="52"/>
          <w:szCs w:val="44"/>
          <w:highlight w:val="yellow"/>
          <w:shd w:val="clear" w:color="auto" w:fill="FFFFFF"/>
        </w:rPr>
        <w:t>服务工作</w:t>
      </w:r>
      <w:r>
        <w:rPr>
          <w:rFonts w:ascii="Times New Roman" w:hAnsi="Times New Roman" w:eastAsia="黑体"/>
          <w:b/>
          <w:color w:val="000000"/>
          <w:sz w:val="52"/>
          <w:szCs w:val="44"/>
          <w:shd w:val="clear" w:color="auto" w:fill="FFFFFF"/>
        </w:rPr>
        <w:t>合同</w:t>
      </w:r>
    </w:p>
    <w:p w14:paraId="57FC4584">
      <w:pPr>
        <w:spacing w:line="360" w:lineRule="auto"/>
        <w:jc w:val="center"/>
        <w:rPr>
          <w:rFonts w:ascii="Times New Roman" w:hAnsi="Times New Roman" w:eastAsia="黑体"/>
          <w:b/>
          <w:color w:val="000000"/>
          <w:sz w:val="52"/>
          <w:szCs w:val="44"/>
          <w:shd w:val="clear" w:color="auto" w:fill="FFFFFF"/>
        </w:rPr>
      </w:pPr>
    </w:p>
    <w:p w14:paraId="6E3ADB19">
      <w:pPr>
        <w:spacing w:line="480" w:lineRule="exact"/>
        <w:ind w:left="-283" w:leftChars="-135"/>
        <w:jc w:val="left"/>
        <w:rPr>
          <w:rFonts w:ascii="Times New Roman" w:hAnsi="Times New Roman" w:eastAsia="仿宋_GB2312"/>
          <w:color w:val="000000"/>
          <w:sz w:val="28"/>
          <w:shd w:val="clear" w:color="auto" w:fill="FFFFFF"/>
        </w:rPr>
      </w:pPr>
      <w:r>
        <w:rPr>
          <w:rFonts w:ascii="Times New Roman" w:hAnsi="Times New Roman" w:eastAsia="仿宋_GB2312"/>
          <w:color w:val="000000"/>
          <w:sz w:val="28"/>
          <w:shd w:val="clear" w:color="auto" w:fill="FFFFFF"/>
        </w:rPr>
        <w:t>项目名称：</w:t>
      </w:r>
      <w:r>
        <w:rPr>
          <w:rFonts w:hint="eastAsia" w:ascii="Times New Roman" w:hAnsi="Times New Roman" w:eastAsia="仿宋_GB2312"/>
          <w:color w:val="000000"/>
          <w:sz w:val="28"/>
          <w:shd w:val="clear" w:color="auto" w:fill="FFFFFF"/>
        </w:rPr>
        <w:t>X</w:t>
      </w:r>
      <w:r>
        <w:rPr>
          <w:rFonts w:ascii="Times New Roman" w:hAnsi="Times New Roman" w:eastAsia="仿宋_GB2312"/>
          <w:color w:val="000000"/>
          <w:sz w:val="28"/>
          <w:shd w:val="clear" w:color="auto" w:fill="FFFFFF"/>
        </w:rPr>
        <w:t>XXXXXXXXXXXXXXXXXXXXX</w:t>
      </w:r>
    </w:p>
    <w:p w14:paraId="59782710">
      <w:pPr>
        <w:spacing w:line="480" w:lineRule="exact"/>
        <w:ind w:left="-283" w:leftChars="-135"/>
        <w:jc w:val="left"/>
        <w:rPr>
          <w:rFonts w:ascii="Times New Roman" w:hAnsi="Times New Roman" w:eastAsia="仿宋_GB2312"/>
          <w:color w:val="000000"/>
          <w:sz w:val="28"/>
          <w:shd w:val="clear" w:color="auto" w:fill="FFFFFF"/>
        </w:rPr>
      </w:pPr>
    </w:p>
    <w:p w14:paraId="7CA5B785">
      <w:pPr>
        <w:adjustRightInd w:val="0"/>
        <w:snapToGrid w:val="0"/>
        <w:spacing w:line="480" w:lineRule="exact"/>
        <w:ind w:left="-283" w:leftChars="-135" w:right="-197" w:rightChars="-94"/>
        <w:jc w:val="left"/>
        <w:rPr>
          <w:rFonts w:ascii="Times New Roman" w:hAnsi="Times New Roman" w:eastAsia="仿宋_GB2312"/>
          <w:color w:val="000000"/>
          <w:sz w:val="28"/>
          <w:shd w:val="clear" w:color="auto" w:fill="FFFFFF"/>
        </w:rPr>
      </w:pPr>
      <w:r>
        <w:rPr>
          <w:rFonts w:ascii="Times New Roman" w:hAnsi="Times New Roman" w:eastAsia="仿宋_GB2312"/>
          <w:color w:val="000000"/>
          <w:sz w:val="28"/>
          <w:shd w:val="clear" w:color="auto" w:fill="FFFFFF"/>
        </w:rPr>
        <w:t>服务购买主体（甲方）：</w:t>
      </w:r>
      <w:r>
        <w:rPr>
          <w:rFonts w:hint="eastAsia" w:ascii="Times New Roman" w:hAnsi="Times New Roman" w:eastAsia="仿宋_GB2312"/>
          <w:color w:val="000000"/>
          <w:sz w:val="28"/>
          <w:highlight w:val="yellow"/>
          <w:shd w:val="clear" w:color="auto" w:fill="FFFFFF"/>
        </w:rPr>
        <w:t>中国棒球协会</w:t>
      </w:r>
      <w:r>
        <w:rPr>
          <w:rFonts w:ascii="Times New Roman" w:hAnsi="Times New Roman" w:eastAsia="仿宋_GB2312"/>
          <w:color w:val="000000"/>
          <w:sz w:val="28"/>
          <w:shd w:val="clear" w:color="auto" w:fill="FFFFFF"/>
        </w:rPr>
        <w:t xml:space="preserve">               （盖章）</w:t>
      </w:r>
    </w:p>
    <w:p w14:paraId="7B931181">
      <w:pPr>
        <w:adjustRightInd w:val="0"/>
        <w:snapToGrid w:val="0"/>
        <w:spacing w:line="480" w:lineRule="exact"/>
        <w:ind w:left="-283" w:leftChars="-135"/>
        <w:jc w:val="left"/>
        <w:rPr>
          <w:rFonts w:hint="eastAsia" w:ascii="Times New Roman" w:hAnsi="Times New Roman" w:eastAsia="仿宋_GB2312"/>
          <w:color w:val="000000"/>
          <w:sz w:val="28"/>
          <w:shd w:val="clear" w:color="auto" w:fill="FFFFFF"/>
          <w:lang w:val="en-US" w:eastAsia="zh-CN"/>
        </w:rPr>
      </w:pPr>
      <w:r>
        <w:rPr>
          <w:rFonts w:hint="eastAsia" w:ascii="Times New Roman" w:hAnsi="Times New Roman" w:eastAsia="仿宋_GB2312"/>
          <w:color w:val="000000"/>
          <w:sz w:val="28"/>
          <w:shd w:val="clear" w:color="auto" w:fill="FFFFFF"/>
        </w:rPr>
        <w:t>单位</w:t>
      </w:r>
      <w:r>
        <w:rPr>
          <w:rFonts w:ascii="Times New Roman" w:hAnsi="Times New Roman" w:eastAsia="仿宋_GB2312"/>
          <w:color w:val="000000"/>
          <w:sz w:val="28"/>
          <w:shd w:val="clear" w:color="auto" w:fill="FFFFFF"/>
        </w:rPr>
        <w:t>负责人：</w:t>
      </w:r>
      <w:r>
        <w:rPr>
          <w:rFonts w:hint="eastAsia" w:ascii="Times New Roman" w:hAnsi="Times New Roman" w:eastAsia="仿宋_GB2312"/>
          <w:color w:val="000000"/>
          <w:sz w:val="28"/>
          <w:shd w:val="clear" w:color="auto" w:fill="FFFFFF"/>
          <w:lang w:val="en-US" w:eastAsia="zh-CN"/>
        </w:rPr>
        <w:t>陈旭</w:t>
      </w:r>
    </w:p>
    <w:p w14:paraId="13D83249">
      <w:pPr>
        <w:adjustRightInd w:val="0"/>
        <w:snapToGrid w:val="0"/>
        <w:spacing w:line="480" w:lineRule="exact"/>
        <w:ind w:left="-283" w:leftChars="-135"/>
        <w:jc w:val="left"/>
        <w:rPr>
          <w:rFonts w:hint="default" w:ascii="Times New Roman" w:hAnsi="Times New Roman" w:eastAsia="仿宋_GB2312"/>
          <w:color w:val="000000"/>
          <w:sz w:val="28"/>
          <w:shd w:val="clear" w:color="auto" w:fill="FFFFFF"/>
          <w:lang w:val="en-US" w:eastAsia="zh-CN"/>
        </w:rPr>
      </w:pPr>
      <w:r>
        <w:rPr>
          <w:rFonts w:ascii="Times New Roman" w:hAnsi="Times New Roman" w:eastAsia="仿宋_GB2312"/>
          <w:color w:val="000000"/>
          <w:sz w:val="28"/>
          <w:shd w:val="clear" w:color="auto" w:fill="FFFFFF"/>
        </w:rPr>
        <w:t>联系电话（手机）：</w:t>
      </w:r>
      <w:r>
        <w:rPr>
          <w:rFonts w:ascii="Times New Roman" w:hAnsi="Times New Roman" w:eastAsia="仿宋_GB2312"/>
          <w:color w:val="000000"/>
          <w:sz w:val="28"/>
          <w:highlight w:val="yellow"/>
          <w:shd w:val="clear" w:color="auto" w:fill="FFFFFF"/>
        </w:rPr>
        <w:t>010-</w:t>
      </w:r>
      <w:r>
        <w:rPr>
          <w:rFonts w:ascii="Times New Roman" w:hAnsi="Times New Roman" w:eastAsia="仿宋_GB2312"/>
          <w:color w:val="000000"/>
          <w:sz w:val="28"/>
          <w:shd w:val="clear" w:color="auto" w:fill="FFFFFF"/>
        </w:rPr>
        <w:t>86398373</w:t>
      </w:r>
      <w:r>
        <w:rPr>
          <w:rFonts w:hint="eastAsia" w:ascii="Times New Roman" w:hAnsi="Times New Roman" w:eastAsia="仿宋_GB2312"/>
          <w:color w:val="000000"/>
          <w:sz w:val="28"/>
          <w:shd w:val="clear" w:color="auto" w:fill="FFFFFF"/>
          <w:lang w:val="en-US" w:eastAsia="zh-CN"/>
        </w:rPr>
        <w:t>-801</w:t>
      </w:r>
    </w:p>
    <w:p w14:paraId="02FAF0FF">
      <w:pPr>
        <w:adjustRightInd w:val="0"/>
        <w:snapToGrid w:val="0"/>
        <w:spacing w:line="480" w:lineRule="exact"/>
        <w:ind w:left="-283" w:leftChars="-135"/>
        <w:jc w:val="left"/>
        <w:rPr>
          <w:rFonts w:ascii="Times New Roman" w:hAnsi="Times New Roman" w:eastAsia="仿宋_GB2312"/>
          <w:color w:val="000000"/>
          <w:sz w:val="28"/>
          <w:shd w:val="clear" w:color="auto" w:fill="FFFFFF"/>
        </w:rPr>
      </w:pPr>
      <w:r>
        <w:rPr>
          <w:rFonts w:ascii="Times New Roman" w:hAnsi="Times New Roman" w:eastAsia="仿宋_GB2312"/>
          <w:color w:val="000000"/>
          <w:sz w:val="28"/>
          <w:shd w:val="clear" w:color="auto" w:fill="FFFFFF"/>
        </w:rPr>
        <w:t>通讯地址：</w:t>
      </w:r>
      <w:r>
        <w:rPr>
          <w:rFonts w:hint="eastAsia" w:ascii="Times New Roman" w:hAnsi="Times New Roman" w:eastAsia="仿宋_GB2312"/>
          <w:color w:val="000000"/>
          <w:sz w:val="28"/>
          <w:highlight w:val="yellow"/>
          <w:shd w:val="clear" w:color="auto" w:fill="FFFFFF"/>
        </w:rPr>
        <w:t>北京市石景山区阜石路88号首钢体育大厦</w:t>
      </w:r>
    </w:p>
    <w:p w14:paraId="47CB6D71">
      <w:pPr>
        <w:adjustRightInd w:val="0"/>
        <w:snapToGrid w:val="0"/>
        <w:spacing w:line="480" w:lineRule="exact"/>
        <w:ind w:left="-283" w:leftChars="-135"/>
        <w:jc w:val="left"/>
        <w:rPr>
          <w:rFonts w:ascii="Times New Roman" w:hAnsi="Times New Roman" w:eastAsia="仿宋_GB2312"/>
          <w:color w:val="000000"/>
          <w:sz w:val="28"/>
          <w:shd w:val="clear" w:color="auto" w:fill="FFFFFF"/>
        </w:rPr>
      </w:pPr>
    </w:p>
    <w:p w14:paraId="2127FBA7">
      <w:pPr>
        <w:adjustRightInd w:val="0"/>
        <w:snapToGrid w:val="0"/>
        <w:spacing w:line="480" w:lineRule="exact"/>
        <w:ind w:left="-283" w:leftChars="-135"/>
        <w:jc w:val="left"/>
        <w:rPr>
          <w:rFonts w:ascii="Times New Roman" w:hAnsi="Times New Roman" w:eastAsia="仿宋_GB2312"/>
          <w:color w:val="000000"/>
          <w:sz w:val="28"/>
          <w:shd w:val="clear" w:color="auto" w:fill="FFFFFF"/>
        </w:rPr>
      </w:pPr>
      <w:r>
        <w:rPr>
          <w:rFonts w:hint="eastAsia" w:ascii="Times New Roman" w:hAnsi="Times New Roman" w:eastAsia="仿宋_GB2312"/>
          <w:color w:val="000000"/>
          <w:sz w:val="28"/>
          <w:shd w:val="clear" w:color="auto" w:fill="FFFFFF"/>
        </w:rPr>
        <w:t>服务付款单位（乙方）：</w:t>
      </w:r>
      <w:r>
        <w:rPr>
          <w:rFonts w:hint="eastAsia" w:ascii="Times New Roman" w:hAnsi="Times New Roman" w:eastAsia="仿宋_GB2312"/>
          <w:color w:val="000000"/>
          <w:sz w:val="28"/>
          <w:highlight w:val="yellow"/>
          <w:shd w:val="clear" w:color="auto" w:fill="FFFFFF"/>
        </w:rPr>
        <w:t>国家体育总局手曲棒垒球运动管理中心</w:t>
      </w:r>
      <w:r>
        <w:rPr>
          <w:rFonts w:hint="eastAsia" w:ascii="Times New Roman" w:hAnsi="Times New Roman" w:eastAsia="仿宋_GB2312"/>
          <w:color w:val="000000"/>
          <w:sz w:val="28"/>
          <w:shd w:val="clear" w:color="auto" w:fill="FFFFFF"/>
        </w:rPr>
        <w:t>（盖章）</w:t>
      </w:r>
    </w:p>
    <w:p w14:paraId="59DEAA78">
      <w:pPr>
        <w:adjustRightInd w:val="0"/>
        <w:snapToGrid w:val="0"/>
        <w:spacing w:line="480" w:lineRule="exact"/>
        <w:ind w:left="-283" w:leftChars="-135"/>
        <w:jc w:val="left"/>
        <w:rPr>
          <w:rFonts w:ascii="Times New Roman" w:hAnsi="Times New Roman" w:eastAsia="仿宋_GB2312"/>
          <w:color w:val="000000"/>
          <w:sz w:val="28"/>
          <w:shd w:val="clear" w:color="auto" w:fill="FFFFFF"/>
        </w:rPr>
      </w:pPr>
      <w:r>
        <w:rPr>
          <w:rFonts w:hint="eastAsia" w:ascii="Times New Roman" w:hAnsi="Times New Roman" w:eastAsia="仿宋_GB2312"/>
          <w:color w:val="000000"/>
          <w:sz w:val="28"/>
          <w:shd w:val="clear" w:color="auto" w:fill="FFFFFF"/>
        </w:rPr>
        <w:t>单位负责人</w:t>
      </w:r>
      <w:r>
        <w:rPr>
          <w:rFonts w:ascii="Times New Roman" w:hAnsi="Times New Roman" w:eastAsia="仿宋_GB2312"/>
          <w:color w:val="000000"/>
          <w:sz w:val="28"/>
          <w:shd w:val="clear" w:color="auto" w:fill="FFFFFF"/>
        </w:rPr>
        <w:t>：</w:t>
      </w:r>
    </w:p>
    <w:p w14:paraId="07B5BD2C">
      <w:pPr>
        <w:adjustRightInd w:val="0"/>
        <w:snapToGrid w:val="0"/>
        <w:spacing w:line="480" w:lineRule="exact"/>
        <w:ind w:left="-283" w:leftChars="-135"/>
        <w:jc w:val="left"/>
        <w:rPr>
          <w:rFonts w:ascii="Times New Roman" w:hAnsi="Times New Roman" w:eastAsia="仿宋_GB2312"/>
          <w:color w:val="000000"/>
          <w:sz w:val="28"/>
          <w:shd w:val="clear" w:color="auto" w:fill="FFFFFF"/>
        </w:rPr>
      </w:pPr>
      <w:r>
        <w:rPr>
          <w:rFonts w:ascii="Times New Roman" w:hAnsi="Times New Roman" w:eastAsia="仿宋_GB2312"/>
          <w:color w:val="000000"/>
          <w:sz w:val="28"/>
          <w:shd w:val="clear" w:color="auto" w:fill="FFFFFF"/>
        </w:rPr>
        <w:t>联系电话</w:t>
      </w:r>
      <w:r>
        <w:rPr>
          <w:rFonts w:hint="eastAsia" w:ascii="Times New Roman" w:hAnsi="Times New Roman" w:eastAsia="仿宋_GB2312"/>
          <w:color w:val="000000"/>
          <w:sz w:val="28"/>
          <w:shd w:val="clear" w:color="auto" w:fill="FFFFFF"/>
        </w:rPr>
        <w:t>（手机）：</w:t>
      </w:r>
      <w:r>
        <w:rPr>
          <w:rFonts w:ascii="Times New Roman" w:hAnsi="Times New Roman" w:eastAsia="仿宋_GB2312"/>
          <w:color w:val="000000"/>
          <w:sz w:val="28"/>
          <w:highlight w:val="yellow"/>
          <w:shd w:val="clear" w:color="auto" w:fill="FFFFFF"/>
        </w:rPr>
        <w:t>010-86398373</w:t>
      </w:r>
    </w:p>
    <w:p w14:paraId="4E13A480">
      <w:pPr>
        <w:adjustRightInd w:val="0"/>
        <w:snapToGrid w:val="0"/>
        <w:spacing w:line="480" w:lineRule="exact"/>
        <w:ind w:left="-283" w:leftChars="-135"/>
        <w:jc w:val="left"/>
        <w:rPr>
          <w:rFonts w:ascii="Times New Roman" w:hAnsi="Times New Roman" w:eastAsia="仿宋_GB2312"/>
          <w:color w:val="000000"/>
          <w:sz w:val="28"/>
          <w:shd w:val="clear" w:color="auto" w:fill="FFFFFF"/>
        </w:rPr>
      </w:pPr>
      <w:r>
        <w:rPr>
          <w:rFonts w:ascii="Times New Roman" w:hAnsi="Times New Roman" w:eastAsia="仿宋_GB2312"/>
          <w:color w:val="000000"/>
          <w:sz w:val="28"/>
          <w:shd w:val="clear" w:color="auto" w:fill="FFFFFF"/>
        </w:rPr>
        <w:t>通讯地址：</w:t>
      </w:r>
      <w:r>
        <w:rPr>
          <w:rFonts w:ascii="Times New Roman" w:hAnsi="Times New Roman" w:eastAsia="仿宋_GB2312"/>
          <w:color w:val="000000"/>
          <w:sz w:val="28"/>
          <w:highlight w:val="yellow"/>
          <w:shd w:val="clear" w:color="auto" w:fill="FFFFFF"/>
        </w:rPr>
        <w:t>北京市东城区体育馆路</w:t>
      </w:r>
      <w:r>
        <w:rPr>
          <w:rFonts w:hint="eastAsia" w:ascii="Times New Roman" w:hAnsi="Times New Roman" w:eastAsia="仿宋_GB2312"/>
          <w:color w:val="000000"/>
          <w:sz w:val="28"/>
          <w:highlight w:val="yellow"/>
          <w:shd w:val="clear" w:color="auto" w:fill="FFFFFF"/>
        </w:rPr>
        <w:t>2</w:t>
      </w:r>
      <w:r>
        <w:rPr>
          <w:rFonts w:ascii="Times New Roman" w:hAnsi="Times New Roman" w:eastAsia="仿宋_GB2312"/>
          <w:color w:val="000000"/>
          <w:sz w:val="28"/>
          <w:highlight w:val="yellow"/>
          <w:shd w:val="clear" w:color="auto" w:fill="FFFFFF"/>
        </w:rPr>
        <w:t>号</w:t>
      </w:r>
    </w:p>
    <w:p w14:paraId="74BDB8FC">
      <w:pPr>
        <w:spacing w:line="480" w:lineRule="exact"/>
        <w:ind w:left="-283" w:leftChars="-135"/>
        <w:jc w:val="left"/>
        <w:rPr>
          <w:rFonts w:ascii="Times New Roman" w:hAnsi="Times New Roman" w:eastAsia="仿宋_GB2312"/>
          <w:color w:val="000000"/>
          <w:sz w:val="28"/>
          <w:shd w:val="clear" w:color="auto" w:fill="FFFFFF"/>
        </w:rPr>
      </w:pPr>
    </w:p>
    <w:p w14:paraId="1716656D">
      <w:pPr>
        <w:adjustRightInd w:val="0"/>
        <w:snapToGrid w:val="0"/>
        <w:spacing w:line="480" w:lineRule="exact"/>
        <w:ind w:left="-283" w:leftChars="-135"/>
        <w:jc w:val="left"/>
        <w:rPr>
          <w:rFonts w:ascii="Times New Roman" w:hAnsi="Times New Roman" w:eastAsia="仿宋_GB2312"/>
          <w:color w:val="000000"/>
          <w:sz w:val="28"/>
          <w:shd w:val="clear" w:color="auto" w:fill="FFFFFF"/>
        </w:rPr>
      </w:pPr>
      <w:r>
        <w:rPr>
          <w:rFonts w:ascii="Times New Roman" w:hAnsi="Times New Roman" w:eastAsia="仿宋_GB2312"/>
          <w:color w:val="000000"/>
          <w:sz w:val="28"/>
          <w:shd w:val="clear" w:color="auto" w:fill="FFFFFF"/>
        </w:rPr>
        <w:t>服务承接主体（丙方）：</w:t>
      </w:r>
      <w:r>
        <w:rPr>
          <w:rFonts w:hint="eastAsia" w:ascii="Times New Roman" w:hAnsi="Times New Roman" w:eastAsia="仿宋_GB2312"/>
          <w:color w:val="000000"/>
          <w:sz w:val="28"/>
          <w:shd w:val="clear" w:color="auto" w:fill="FFFFFF"/>
        </w:rPr>
        <w:t>X</w:t>
      </w:r>
      <w:r>
        <w:rPr>
          <w:rFonts w:ascii="Times New Roman" w:hAnsi="Times New Roman" w:eastAsia="仿宋_GB2312"/>
          <w:color w:val="000000"/>
          <w:sz w:val="28"/>
          <w:shd w:val="clear" w:color="auto" w:fill="FFFFFF"/>
        </w:rPr>
        <w:t xml:space="preserve">XXXXXXX                （盖章）                     </w:t>
      </w:r>
    </w:p>
    <w:p w14:paraId="424CFF8C">
      <w:pPr>
        <w:adjustRightInd w:val="0"/>
        <w:snapToGrid w:val="0"/>
        <w:spacing w:line="480" w:lineRule="exact"/>
        <w:ind w:left="-283" w:leftChars="-135"/>
        <w:jc w:val="left"/>
        <w:rPr>
          <w:rFonts w:ascii="Times New Roman" w:hAnsi="Times New Roman" w:eastAsia="仿宋_GB2312"/>
          <w:color w:val="000000"/>
          <w:sz w:val="28"/>
          <w:shd w:val="clear" w:color="auto" w:fill="FFFFFF"/>
        </w:rPr>
      </w:pPr>
      <w:r>
        <w:rPr>
          <w:rFonts w:ascii="Times New Roman" w:hAnsi="Times New Roman" w:eastAsia="仿宋_GB2312"/>
          <w:color w:val="000000"/>
          <w:sz w:val="28"/>
          <w:shd w:val="clear" w:color="auto" w:fill="FFFFFF"/>
        </w:rPr>
        <w:t>服务负责人：</w:t>
      </w:r>
      <w:r>
        <w:rPr>
          <w:rFonts w:hint="eastAsia" w:ascii="Times New Roman" w:hAnsi="Times New Roman" w:eastAsia="仿宋_GB2312"/>
          <w:color w:val="000000"/>
          <w:sz w:val="28"/>
          <w:shd w:val="clear" w:color="auto" w:fill="FFFFFF"/>
        </w:rPr>
        <w:t>X</w:t>
      </w:r>
      <w:r>
        <w:rPr>
          <w:rFonts w:ascii="Times New Roman" w:hAnsi="Times New Roman" w:eastAsia="仿宋_GB2312"/>
          <w:color w:val="000000"/>
          <w:sz w:val="28"/>
          <w:shd w:val="clear" w:color="auto" w:fill="FFFFFF"/>
        </w:rPr>
        <w:t>XXXXXXXXXXXXX</w:t>
      </w:r>
    </w:p>
    <w:p w14:paraId="751C9471">
      <w:pPr>
        <w:adjustRightInd w:val="0"/>
        <w:snapToGrid w:val="0"/>
        <w:spacing w:line="480" w:lineRule="exact"/>
        <w:ind w:left="-283" w:leftChars="-135"/>
        <w:jc w:val="left"/>
        <w:rPr>
          <w:rFonts w:ascii="Times New Roman" w:hAnsi="Times New Roman" w:eastAsia="仿宋_GB2312"/>
          <w:color w:val="000000"/>
          <w:sz w:val="28"/>
          <w:shd w:val="clear" w:color="auto" w:fill="FFFFFF"/>
        </w:rPr>
      </w:pPr>
      <w:r>
        <w:rPr>
          <w:rFonts w:ascii="Times New Roman" w:hAnsi="Times New Roman" w:eastAsia="仿宋_GB2312"/>
          <w:color w:val="000000"/>
          <w:sz w:val="28"/>
          <w:shd w:val="clear" w:color="auto" w:fill="FFFFFF"/>
        </w:rPr>
        <w:t>联系电话（手机）：XXXXXXXXXXXXX</w:t>
      </w:r>
    </w:p>
    <w:p w14:paraId="1746C7D9">
      <w:pPr>
        <w:adjustRightInd w:val="0"/>
        <w:snapToGrid w:val="0"/>
        <w:spacing w:line="480" w:lineRule="exact"/>
        <w:ind w:left="-283" w:leftChars="-135"/>
        <w:jc w:val="left"/>
        <w:rPr>
          <w:rFonts w:ascii="Times New Roman" w:hAnsi="Times New Roman" w:eastAsia="仿宋_GB2312"/>
          <w:color w:val="000000"/>
          <w:sz w:val="28"/>
          <w:shd w:val="clear" w:color="auto" w:fill="FFFFFF"/>
        </w:rPr>
      </w:pPr>
      <w:r>
        <w:rPr>
          <w:rFonts w:ascii="Times New Roman" w:hAnsi="Times New Roman" w:eastAsia="仿宋_GB2312"/>
          <w:color w:val="000000"/>
          <w:sz w:val="28"/>
          <w:shd w:val="clear" w:color="auto" w:fill="FFFFFF"/>
        </w:rPr>
        <w:t>通讯地址：</w:t>
      </w:r>
      <w:r>
        <w:rPr>
          <w:rFonts w:hint="eastAsia" w:ascii="Times New Roman" w:hAnsi="Times New Roman" w:eastAsia="仿宋_GB2312"/>
          <w:color w:val="000000"/>
          <w:sz w:val="28"/>
          <w:shd w:val="clear" w:color="auto" w:fill="FFFFFF"/>
        </w:rPr>
        <w:t>X</w:t>
      </w:r>
      <w:r>
        <w:rPr>
          <w:rFonts w:ascii="Times New Roman" w:hAnsi="Times New Roman" w:eastAsia="仿宋_GB2312"/>
          <w:color w:val="000000"/>
          <w:sz w:val="28"/>
          <w:shd w:val="clear" w:color="auto" w:fill="FFFFFF"/>
        </w:rPr>
        <w:t>XXXXXXXXXXXXXXXX</w:t>
      </w:r>
    </w:p>
    <w:p w14:paraId="41838F7C">
      <w:pPr>
        <w:spacing w:line="480" w:lineRule="exact"/>
        <w:jc w:val="left"/>
        <w:rPr>
          <w:rFonts w:hint="eastAsia" w:ascii="Times New Roman" w:hAnsi="Times New Roman"/>
          <w:color w:val="000000"/>
          <w:sz w:val="24"/>
          <w:shd w:val="clear" w:color="auto" w:fill="FFFFFF"/>
        </w:rPr>
      </w:pPr>
    </w:p>
    <w:p w14:paraId="72F95157">
      <w:pPr>
        <w:pStyle w:val="3"/>
      </w:pPr>
    </w:p>
    <w:p w14:paraId="5A1F9427">
      <w:pPr>
        <w:spacing w:line="480" w:lineRule="exact"/>
        <w:jc w:val="center"/>
        <w:rPr>
          <w:rFonts w:ascii="Times New Roman" w:hAnsi="Times New Roman" w:eastAsia="黑体"/>
          <w:color w:val="000000"/>
          <w:sz w:val="26"/>
          <w:highlight w:val="yellow"/>
          <w:shd w:val="clear" w:color="auto" w:fill="FFFFFF"/>
        </w:rPr>
      </w:pPr>
      <w:r>
        <w:rPr>
          <w:rFonts w:ascii="Times New Roman" w:hAnsi="Times New Roman" w:eastAsia="黑体"/>
          <w:color w:val="000000"/>
          <w:sz w:val="26"/>
          <w:highlight w:val="yellow"/>
          <w:shd w:val="clear" w:color="auto" w:fill="FFFFFF"/>
        </w:rPr>
        <w:t>中国</w:t>
      </w:r>
      <w:r>
        <w:rPr>
          <w:rFonts w:hint="eastAsia" w:ascii="Times New Roman" w:hAnsi="Times New Roman" w:eastAsia="黑体"/>
          <w:color w:val="000000"/>
          <w:sz w:val="26"/>
          <w:highlight w:val="yellow"/>
          <w:shd w:val="clear" w:color="auto" w:fill="FFFFFF"/>
        </w:rPr>
        <w:t>棒球</w:t>
      </w:r>
      <w:r>
        <w:rPr>
          <w:rFonts w:ascii="Times New Roman" w:hAnsi="Times New Roman" w:eastAsia="黑体"/>
          <w:color w:val="000000"/>
          <w:sz w:val="26"/>
          <w:highlight w:val="yellow"/>
          <w:shd w:val="clear" w:color="auto" w:fill="FFFFFF"/>
        </w:rPr>
        <w:t>协会制</w:t>
      </w:r>
    </w:p>
    <w:p w14:paraId="0C054804">
      <w:pPr>
        <w:spacing w:line="480" w:lineRule="exact"/>
        <w:jc w:val="center"/>
        <w:rPr>
          <w:rFonts w:ascii="Times New Roman" w:hAnsi="Times New Roman" w:eastAsia="黑体"/>
          <w:color w:val="000000"/>
          <w:sz w:val="26"/>
          <w:shd w:val="clear" w:color="auto" w:fill="FFFFFF"/>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Times New Roman" w:hAnsi="Times New Roman" w:eastAsia="黑体"/>
          <w:color w:val="000000"/>
          <w:sz w:val="26"/>
          <w:highlight w:val="yellow"/>
          <w:shd w:val="clear" w:color="auto" w:fill="FFFFFF"/>
        </w:rPr>
        <w:t>二〇</w:t>
      </w:r>
      <w:r>
        <w:rPr>
          <w:rFonts w:ascii="Times New Roman" w:hAnsi="Times New Roman" w:eastAsia="黑体"/>
          <w:color w:val="000000"/>
          <w:sz w:val="26"/>
          <w:highlight w:val="yellow"/>
          <w:shd w:val="clear" w:color="auto" w:fill="FFFFFF"/>
        </w:rPr>
        <w:t>二</w:t>
      </w:r>
      <w:r>
        <w:rPr>
          <w:rFonts w:hint="eastAsia" w:ascii="Times New Roman" w:hAnsi="Times New Roman" w:eastAsia="黑体"/>
          <w:color w:val="000000"/>
          <w:sz w:val="26"/>
          <w:highlight w:val="yellow"/>
          <w:shd w:val="clear" w:color="auto" w:fill="FFFFFF"/>
          <w:lang w:val="en-US" w:eastAsia="zh-CN"/>
        </w:rPr>
        <w:t>五</w:t>
      </w:r>
      <w:r>
        <w:rPr>
          <w:rFonts w:ascii="Times New Roman" w:hAnsi="Times New Roman" w:eastAsia="黑体"/>
          <w:color w:val="000000"/>
          <w:sz w:val="26"/>
          <w:highlight w:val="yellow"/>
          <w:shd w:val="clear" w:color="auto" w:fill="FFFFFF"/>
        </w:rPr>
        <w:t>年</w:t>
      </w:r>
    </w:p>
    <w:p w14:paraId="2B8D173E">
      <w:pPr>
        <w:widowControl/>
        <w:adjustRightInd w:val="0"/>
        <w:snapToGrid w:val="0"/>
        <w:spacing w:after="3" w:line="360" w:lineRule="auto"/>
        <w:ind w:firstLine="560" w:firstLineChars="200"/>
        <w:rPr>
          <w:rFonts w:ascii="Times New Roman" w:hAnsi="Times New Roman" w:eastAsia="仿宋_GB2312"/>
          <w:color w:val="000000"/>
          <w:sz w:val="28"/>
          <w:shd w:val="clear" w:color="auto" w:fill="FFFFFF"/>
        </w:rPr>
      </w:pPr>
      <w:r>
        <w:rPr>
          <w:rFonts w:ascii="Times New Roman" w:hAnsi="Times New Roman" w:eastAsia="仿宋_GB2312"/>
          <w:color w:val="000000"/>
          <w:sz w:val="28"/>
          <w:shd w:val="clear" w:color="auto" w:fill="FFFFFF"/>
        </w:rPr>
        <w:t>依据《中华人民共和国民法典》和国家体育总局的有关规定，经</w:t>
      </w:r>
      <w:r>
        <w:rPr>
          <w:rFonts w:hint="eastAsia" w:ascii="Times New Roman" w:hAnsi="Times New Roman" w:eastAsia="仿宋_GB2312"/>
          <w:color w:val="000000"/>
          <w:sz w:val="28"/>
          <w:shd w:val="clear" w:color="auto" w:fill="FFFFFF"/>
        </w:rPr>
        <w:t>甲、乙、丙三方</w:t>
      </w:r>
      <w:r>
        <w:rPr>
          <w:rFonts w:ascii="Times New Roman" w:hAnsi="Times New Roman" w:eastAsia="仿宋_GB2312"/>
          <w:color w:val="000000"/>
          <w:sz w:val="28"/>
          <w:shd w:val="clear" w:color="auto" w:fill="FFFFFF"/>
        </w:rPr>
        <w:t>就</w:t>
      </w:r>
      <w:r>
        <w:rPr>
          <w:rFonts w:hint="eastAsia" w:ascii="Times New Roman" w:hAnsi="Times New Roman" w:eastAsia="仿宋_GB2312"/>
          <w:color w:val="000000"/>
          <w:sz w:val="28"/>
          <w:shd w:val="clear" w:color="auto" w:fill="FFFFFF"/>
        </w:rPr>
        <w:t>《X</w:t>
      </w:r>
      <w:r>
        <w:rPr>
          <w:rFonts w:ascii="Times New Roman" w:hAnsi="Times New Roman" w:eastAsia="仿宋_GB2312"/>
          <w:color w:val="000000"/>
          <w:sz w:val="28"/>
          <w:shd w:val="clear" w:color="auto" w:fill="FFFFFF"/>
        </w:rPr>
        <w:t>XXXXXXXXXXXXXXXXXXXXXXXXXXXXXXXX</w:t>
      </w:r>
      <w:r>
        <w:rPr>
          <w:rFonts w:hint="eastAsia" w:ascii="Times New Roman" w:hAnsi="Times New Roman" w:eastAsia="仿宋_GB2312"/>
          <w:color w:val="000000"/>
          <w:sz w:val="28"/>
          <w:shd w:val="clear" w:color="auto" w:fill="FFFFFF"/>
        </w:rPr>
        <w:t>》</w:t>
      </w:r>
      <w:r>
        <w:rPr>
          <w:rFonts w:ascii="Times New Roman" w:hAnsi="Times New Roman" w:eastAsia="仿宋_GB2312"/>
          <w:color w:val="000000"/>
          <w:sz w:val="28"/>
          <w:shd w:val="clear" w:color="auto" w:fill="FFFFFF"/>
        </w:rPr>
        <w:t>项目的服务工作协商一致，签订本合同。</w:t>
      </w:r>
    </w:p>
    <w:p w14:paraId="25300E65">
      <w:pPr>
        <w:widowControl/>
        <w:adjustRightInd w:val="0"/>
        <w:snapToGrid w:val="0"/>
        <w:spacing w:before="156" w:beforeLines="50" w:after="156" w:afterLines="50" w:line="360" w:lineRule="auto"/>
        <w:ind w:firstLine="562" w:firstLineChars="200"/>
        <w:rPr>
          <w:rFonts w:ascii="Times New Roman" w:hAnsi="Times New Roman" w:eastAsia="仿宋_GB2312"/>
          <w:b/>
          <w:color w:val="000000"/>
          <w:sz w:val="28"/>
          <w:szCs w:val="26"/>
          <w:shd w:val="clear" w:color="auto" w:fill="FFFFFF"/>
        </w:rPr>
      </w:pPr>
      <w:r>
        <w:rPr>
          <w:rFonts w:ascii="Times New Roman" w:hAnsi="Times New Roman" w:eastAsia="仿宋_GB2312"/>
          <w:b/>
          <w:color w:val="000000"/>
          <w:sz w:val="28"/>
          <w:szCs w:val="26"/>
          <w:shd w:val="clear" w:color="auto" w:fill="FFFFFF"/>
        </w:rPr>
        <w:t>一、甲方的责任与义务</w:t>
      </w:r>
    </w:p>
    <w:p w14:paraId="1E23D0B3">
      <w:pPr>
        <w:widowControl/>
        <w:adjustRightInd w:val="0"/>
        <w:snapToGrid w:val="0"/>
        <w:spacing w:after="3" w:line="360" w:lineRule="auto"/>
        <w:ind w:firstLine="560" w:firstLineChars="200"/>
        <w:rPr>
          <w:rFonts w:ascii="Times New Roman" w:hAnsi="Times New Roman" w:eastAsia="仿宋_GB2312"/>
          <w:color w:val="000000"/>
          <w:sz w:val="28"/>
          <w:shd w:val="clear" w:color="auto" w:fill="FFFFFF"/>
        </w:rPr>
      </w:pPr>
      <w:r>
        <w:rPr>
          <w:rFonts w:ascii="Times New Roman" w:hAnsi="Times New Roman" w:eastAsia="仿宋_GB2312"/>
          <w:color w:val="000000"/>
          <w:sz w:val="28"/>
          <w:shd w:val="clear" w:color="auto" w:fill="FFFFFF"/>
        </w:rPr>
        <w:t>（</w:t>
      </w:r>
      <w:r>
        <w:rPr>
          <w:rFonts w:hint="eastAsia" w:ascii="Times New Roman" w:hAnsi="Times New Roman" w:eastAsia="仿宋_GB2312"/>
          <w:color w:val="000000"/>
          <w:sz w:val="28"/>
          <w:shd w:val="clear" w:color="auto" w:fill="FFFFFF"/>
        </w:rPr>
        <w:t>一</w:t>
      </w:r>
      <w:r>
        <w:rPr>
          <w:rFonts w:ascii="Times New Roman" w:hAnsi="Times New Roman" w:eastAsia="仿宋_GB2312"/>
          <w:color w:val="000000"/>
          <w:sz w:val="28"/>
          <w:shd w:val="clear" w:color="auto" w:fill="FFFFFF"/>
        </w:rPr>
        <w:t>）甲方协助丙方做好与</w:t>
      </w:r>
      <w:r>
        <w:rPr>
          <w:rFonts w:hint="eastAsia" w:ascii="Times New Roman" w:hAnsi="Times New Roman" w:eastAsia="仿宋_GB2312"/>
          <w:color w:val="000000"/>
          <w:sz w:val="28"/>
          <w:shd w:val="clear" w:color="auto" w:fill="FFFFFF"/>
        </w:rPr>
        <w:t>赛区</w:t>
      </w:r>
      <w:r>
        <w:rPr>
          <w:rFonts w:ascii="Times New Roman" w:hAnsi="Times New Roman" w:eastAsia="仿宋_GB2312"/>
          <w:color w:val="000000"/>
          <w:sz w:val="28"/>
          <w:shd w:val="clear" w:color="auto" w:fill="FFFFFF"/>
        </w:rPr>
        <w:t>的协调沟通工作，确保</w:t>
      </w:r>
      <w:r>
        <w:rPr>
          <w:rFonts w:hint="eastAsia" w:ascii="Times New Roman" w:hAnsi="Times New Roman" w:eastAsia="仿宋_GB2312"/>
          <w:color w:val="000000"/>
          <w:sz w:val="28"/>
          <w:shd w:val="clear" w:color="auto" w:fill="FFFFFF"/>
        </w:rPr>
        <w:t>比赛</w:t>
      </w:r>
      <w:r>
        <w:rPr>
          <w:rFonts w:ascii="Times New Roman" w:hAnsi="Times New Roman" w:eastAsia="仿宋_GB2312"/>
          <w:color w:val="000000"/>
          <w:sz w:val="28"/>
          <w:shd w:val="clear" w:color="auto" w:fill="FFFFFF"/>
        </w:rPr>
        <w:t>服务的质量。</w:t>
      </w:r>
    </w:p>
    <w:p w14:paraId="132FD1A6">
      <w:pPr>
        <w:widowControl/>
        <w:adjustRightInd w:val="0"/>
        <w:snapToGrid w:val="0"/>
        <w:spacing w:after="3" w:line="360" w:lineRule="auto"/>
        <w:ind w:firstLine="560" w:firstLineChars="200"/>
        <w:rPr>
          <w:rFonts w:ascii="Times New Roman" w:hAnsi="Times New Roman" w:eastAsia="仿宋_GB2312"/>
          <w:color w:val="000000"/>
          <w:sz w:val="28"/>
          <w:shd w:val="clear" w:color="auto" w:fill="FFFFFF"/>
        </w:rPr>
      </w:pPr>
      <w:r>
        <w:rPr>
          <w:rFonts w:ascii="Times New Roman" w:hAnsi="Times New Roman" w:eastAsia="仿宋_GB2312"/>
          <w:color w:val="000000"/>
          <w:sz w:val="28"/>
          <w:shd w:val="clear" w:color="auto" w:fill="FFFFFF"/>
        </w:rPr>
        <w:t>（</w:t>
      </w:r>
      <w:r>
        <w:rPr>
          <w:rFonts w:hint="eastAsia" w:ascii="Times New Roman" w:hAnsi="Times New Roman" w:eastAsia="仿宋_GB2312"/>
          <w:color w:val="000000"/>
          <w:sz w:val="28"/>
          <w:shd w:val="clear" w:color="auto" w:fill="FFFFFF"/>
        </w:rPr>
        <w:t>二</w:t>
      </w:r>
      <w:r>
        <w:rPr>
          <w:rFonts w:ascii="Times New Roman" w:hAnsi="Times New Roman" w:eastAsia="仿宋_GB2312"/>
          <w:color w:val="000000"/>
          <w:sz w:val="28"/>
          <w:shd w:val="clear" w:color="auto" w:fill="FFFFFF"/>
        </w:rPr>
        <w:t>）服务工作过程中，甲方有权对丙方工作内容及经费使用情况进行监督检查</w:t>
      </w:r>
      <w:r>
        <w:rPr>
          <w:rFonts w:hint="eastAsia" w:ascii="Times New Roman" w:hAnsi="Times New Roman" w:eastAsia="仿宋_GB2312"/>
          <w:color w:val="000000"/>
          <w:sz w:val="28"/>
          <w:shd w:val="clear" w:color="auto" w:fill="FFFFFF"/>
        </w:rPr>
        <w:t>。</w:t>
      </w:r>
      <w:r>
        <w:rPr>
          <w:rFonts w:ascii="Times New Roman" w:hAnsi="Times New Roman" w:eastAsia="仿宋_GB2312"/>
          <w:color w:val="000000"/>
          <w:sz w:val="28"/>
          <w:shd w:val="clear" w:color="auto" w:fill="FFFFFF"/>
        </w:rPr>
        <w:t>丙方如出现不符合合同约定要求</w:t>
      </w:r>
      <w:r>
        <w:rPr>
          <w:rFonts w:hint="eastAsia" w:ascii="Times New Roman" w:hAnsi="Times New Roman" w:eastAsia="仿宋_GB2312"/>
          <w:color w:val="000000"/>
          <w:sz w:val="28"/>
          <w:shd w:val="clear" w:color="auto" w:fill="FFFFFF"/>
        </w:rPr>
        <w:t>、</w:t>
      </w:r>
      <w:r>
        <w:rPr>
          <w:rFonts w:ascii="Times New Roman" w:hAnsi="Times New Roman" w:eastAsia="仿宋_GB2312"/>
          <w:color w:val="000000"/>
          <w:sz w:val="28"/>
          <w:shd w:val="clear" w:color="auto" w:fill="FFFFFF"/>
        </w:rPr>
        <w:t>未能达到甲方绩效考核目标或经费使用违规等现象，甲方有权终止合同，所拨经费、物资追回。</w:t>
      </w:r>
    </w:p>
    <w:p w14:paraId="2E7391A3">
      <w:pPr>
        <w:widowControl/>
        <w:adjustRightInd w:val="0"/>
        <w:snapToGrid w:val="0"/>
        <w:spacing w:after="3" w:line="360" w:lineRule="auto"/>
        <w:ind w:firstLine="560" w:firstLineChars="200"/>
        <w:rPr>
          <w:rFonts w:ascii="Times New Roman" w:hAnsi="Times New Roman" w:eastAsia="仿宋_GB2312"/>
          <w:color w:val="000000"/>
          <w:sz w:val="28"/>
          <w:shd w:val="clear" w:color="auto" w:fill="FFFFFF"/>
        </w:rPr>
      </w:pPr>
      <w:r>
        <w:rPr>
          <w:rFonts w:ascii="Times New Roman" w:hAnsi="Times New Roman" w:eastAsia="仿宋_GB2312"/>
          <w:color w:val="000000"/>
          <w:sz w:val="28"/>
          <w:shd w:val="clear" w:color="auto" w:fill="FFFFFF"/>
        </w:rPr>
        <w:t>（</w:t>
      </w:r>
      <w:r>
        <w:rPr>
          <w:rFonts w:hint="eastAsia" w:ascii="Times New Roman" w:hAnsi="Times New Roman" w:eastAsia="仿宋_GB2312"/>
          <w:color w:val="000000"/>
          <w:sz w:val="28"/>
          <w:shd w:val="clear" w:color="auto" w:fill="FFFFFF"/>
        </w:rPr>
        <w:t>三</w:t>
      </w:r>
      <w:r>
        <w:rPr>
          <w:rFonts w:ascii="Times New Roman" w:hAnsi="Times New Roman" w:eastAsia="仿宋_GB2312"/>
          <w:color w:val="000000"/>
          <w:sz w:val="28"/>
          <w:shd w:val="clear" w:color="auto" w:fill="FFFFFF"/>
        </w:rPr>
        <w:t>）甲方提出变更合同有关内容时，要与</w:t>
      </w:r>
      <w:r>
        <w:rPr>
          <w:rFonts w:hint="eastAsia" w:ascii="Times New Roman" w:hAnsi="Times New Roman" w:eastAsia="仿宋_GB2312"/>
          <w:color w:val="000000"/>
          <w:sz w:val="28"/>
          <w:shd w:val="clear" w:color="auto" w:fill="FFFFFF"/>
        </w:rPr>
        <w:t>乙方、</w:t>
      </w:r>
      <w:r>
        <w:rPr>
          <w:rFonts w:ascii="Times New Roman" w:hAnsi="Times New Roman" w:eastAsia="仿宋_GB2312"/>
          <w:color w:val="000000"/>
          <w:sz w:val="28"/>
          <w:shd w:val="clear" w:color="auto" w:fill="FFFFFF"/>
        </w:rPr>
        <w:t>丙方协商达成书面</w:t>
      </w:r>
      <w:r>
        <w:rPr>
          <w:rFonts w:hint="eastAsia" w:ascii="Times New Roman" w:hAnsi="Times New Roman" w:eastAsia="仿宋_GB2312"/>
          <w:color w:val="000000"/>
          <w:sz w:val="28"/>
          <w:shd w:val="clear" w:color="auto" w:fill="FFFFFF"/>
        </w:rPr>
        <w:t>补充</w:t>
      </w:r>
      <w:r>
        <w:rPr>
          <w:rFonts w:ascii="Times New Roman" w:hAnsi="Times New Roman" w:eastAsia="仿宋_GB2312"/>
          <w:color w:val="000000"/>
          <w:sz w:val="28"/>
          <w:shd w:val="clear" w:color="auto" w:fill="FFFFFF"/>
        </w:rPr>
        <w:t>协议。</w:t>
      </w:r>
    </w:p>
    <w:p w14:paraId="01A66360">
      <w:pPr>
        <w:overflowPunct w:val="0"/>
        <w:autoSpaceDE w:val="0"/>
        <w:autoSpaceDN w:val="0"/>
        <w:snapToGrid w:val="0"/>
        <w:spacing w:line="560" w:lineRule="exact"/>
        <w:ind w:firstLine="560" w:firstLineChars="200"/>
        <w:rPr>
          <w:rFonts w:ascii="Times New Roman" w:hAnsi="Times New Roman" w:eastAsia="仿宋"/>
          <w:color w:val="000000"/>
          <w:sz w:val="32"/>
          <w:szCs w:val="32"/>
          <w:shd w:val="clear" w:color="auto" w:fill="FFFFFF"/>
        </w:rPr>
      </w:pPr>
      <w:r>
        <w:rPr>
          <w:rFonts w:ascii="Times New Roman" w:hAnsi="Times New Roman" w:eastAsia="仿宋_GB2312"/>
          <w:color w:val="000000"/>
          <w:sz w:val="28"/>
          <w:shd w:val="clear" w:color="auto" w:fill="FFFFFF"/>
        </w:rPr>
        <w:t>（</w:t>
      </w:r>
      <w:r>
        <w:rPr>
          <w:rFonts w:hint="eastAsia" w:ascii="Times New Roman" w:hAnsi="Times New Roman" w:eastAsia="仿宋_GB2312"/>
          <w:color w:val="000000"/>
          <w:sz w:val="28"/>
          <w:shd w:val="clear" w:color="auto" w:fill="FFFFFF"/>
        </w:rPr>
        <w:t>四</w:t>
      </w:r>
      <w:r>
        <w:rPr>
          <w:rFonts w:ascii="Times New Roman" w:hAnsi="Times New Roman" w:eastAsia="仿宋_GB2312"/>
          <w:color w:val="000000"/>
          <w:sz w:val="28"/>
          <w:shd w:val="clear" w:color="auto" w:fill="FFFFFF"/>
        </w:rPr>
        <w:t>）甲方必须严格执行国家体育总局和中</w:t>
      </w:r>
      <w:r>
        <w:rPr>
          <w:rFonts w:hint="eastAsia" w:ascii="Times New Roman" w:hAnsi="Times New Roman" w:eastAsia="仿宋_GB2312"/>
          <w:color w:val="000000"/>
          <w:sz w:val="28"/>
          <w:shd w:val="clear" w:color="auto" w:fill="FFFFFF"/>
        </w:rPr>
        <w:t>华全国体育总会</w:t>
      </w:r>
      <w:r>
        <w:rPr>
          <w:rFonts w:ascii="Times New Roman" w:hAnsi="Times New Roman" w:eastAsia="仿宋_GB2312"/>
          <w:color w:val="000000"/>
          <w:sz w:val="28"/>
          <w:shd w:val="clear" w:color="auto" w:fill="FFFFFF"/>
        </w:rPr>
        <w:t>有关</w:t>
      </w:r>
      <w:r>
        <w:rPr>
          <w:rFonts w:hint="eastAsia" w:ascii="Times New Roman" w:hAnsi="Times New Roman" w:eastAsia="仿宋_GB2312"/>
          <w:color w:val="000000"/>
          <w:sz w:val="28"/>
          <w:shd w:val="clear" w:color="auto" w:fill="FFFFFF"/>
        </w:rPr>
        <w:t>赛事</w:t>
      </w:r>
      <w:r>
        <w:rPr>
          <w:rFonts w:ascii="Times New Roman" w:hAnsi="Times New Roman" w:eastAsia="仿宋_GB2312"/>
          <w:color w:val="000000"/>
          <w:sz w:val="28"/>
          <w:shd w:val="clear" w:color="auto" w:fill="FFFFFF"/>
        </w:rPr>
        <w:t>工作管理规定。</w:t>
      </w:r>
    </w:p>
    <w:p w14:paraId="6072B66B">
      <w:pPr>
        <w:widowControl/>
        <w:adjustRightInd w:val="0"/>
        <w:snapToGrid w:val="0"/>
        <w:spacing w:before="312" w:beforeLines="100" w:after="156" w:afterLines="50" w:line="360" w:lineRule="auto"/>
        <w:ind w:firstLine="562" w:firstLineChars="200"/>
        <w:rPr>
          <w:rFonts w:ascii="Times New Roman" w:hAnsi="Times New Roman" w:eastAsia="仿宋_GB2312"/>
          <w:b/>
          <w:color w:val="000000"/>
          <w:sz w:val="28"/>
          <w:szCs w:val="26"/>
          <w:shd w:val="clear" w:color="auto" w:fill="FFFFFF"/>
        </w:rPr>
      </w:pPr>
      <w:r>
        <w:rPr>
          <w:rFonts w:hint="eastAsia" w:ascii="Times New Roman" w:hAnsi="Times New Roman" w:eastAsia="仿宋_GB2312"/>
          <w:b/>
          <w:color w:val="000000"/>
          <w:sz w:val="28"/>
          <w:szCs w:val="26"/>
          <w:shd w:val="clear" w:color="auto" w:fill="FFFFFF"/>
        </w:rPr>
        <w:t>二</w:t>
      </w:r>
      <w:r>
        <w:rPr>
          <w:rFonts w:ascii="Times New Roman" w:hAnsi="Times New Roman" w:eastAsia="仿宋_GB2312"/>
          <w:b/>
          <w:color w:val="000000"/>
          <w:sz w:val="28"/>
          <w:szCs w:val="26"/>
          <w:shd w:val="clear" w:color="auto" w:fill="FFFFFF"/>
        </w:rPr>
        <w:t>、</w:t>
      </w:r>
      <w:r>
        <w:rPr>
          <w:rFonts w:hint="eastAsia" w:ascii="Times New Roman" w:hAnsi="Times New Roman" w:eastAsia="仿宋_GB2312"/>
          <w:b/>
          <w:color w:val="000000"/>
          <w:sz w:val="28"/>
          <w:szCs w:val="26"/>
          <w:shd w:val="clear" w:color="auto" w:fill="FFFFFF"/>
        </w:rPr>
        <w:t>乙方</w:t>
      </w:r>
      <w:r>
        <w:rPr>
          <w:rFonts w:ascii="Times New Roman" w:hAnsi="Times New Roman" w:eastAsia="仿宋_GB2312"/>
          <w:b/>
          <w:color w:val="000000"/>
          <w:sz w:val="28"/>
          <w:szCs w:val="26"/>
          <w:shd w:val="clear" w:color="auto" w:fill="FFFFFF"/>
        </w:rPr>
        <w:t>的责任与义务</w:t>
      </w:r>
    </w:p>
    <w:p w14:paraId="5659376F">
      <w:pPr>
        <w:widowControl/>
        <w:adjustRightInd w:val="0"/>
        <w:snapToGrid w:val="0"/>
        <w:spacing w:after="3" w:line="360" w:lineRule="auto"/>
        <w:ind w:firstLine="560" w:firstLineChars="200"/>
        <w:rPr>
          <w:rFonts w:ascii="Times New Roman" w:hAnsi="Times New Roman" w:eastAsia="仿宋_GB2312"/>
          <w:color w:val="000000"/>
          <w:sz w:val="28"/>
          <w:shd w:val="clear" w:color="auto" w:fill="FFFFFF"/>
        </w:rPr>
      </w:pPr>
      <w:r>
        <w:rPr>
          <w:rFonts w:ascii="Times New Roman" w:hAnsi="Times New Roman" w:eastAsia="仿宋_GB2312"/>
          <w:color w:val="000000"/>
          <w:sz w:val="28"/>
          <w:shd w:val="clear" w:color="auto" w:fill="FFFFFF"/>
        </w:rPr>
        <w:t>支付丙方服务工作经费：</w:t>
      </w:r>
      <w:r>
        <w:rPr>
          <w:rFonts w:ascii="Times New Roman" w:hAnsi="Times New Roman" w:eastAsia="仿宋_GB2312"/>
          <w:color w:val="000000"/>
          <w:sz w:val="28"/>
          <w:u w:val="single"/>
          <w:shd w:val="clear" w:color="auto" w:fill="FFFFFF"/>
        </w:rPr>
        <w:t xml:space="preserve"> </w:t>
      </w:r>
      <w:r>
        <w:rPr>
          <w:rFonts w:hint="eastAsia" w:ascii="Times New Roman" w:hAnsi="Times New Roman" w:eastAsia="仿宋_GB2312"/>
          <w:color w:val="000000"/>
          <w:sz w:val="28"/>
          <w:u w:val="single"/>
          <w:shd w:val="clear" w:color="auto" w:fill="FFFFFF"/>
          <w:lang w:val="en-US" w:eastAsia="zh-CN"/>
        </w:rPr>
        <w:t>190</w:t>
      </w:r>
      <w:r>
        <w:rPr>
          <w:rFonts w:ascii="Times New Roman" w:hAnsi="Times New Roman" w:eastAsia="仿宋_GB2312"/>
          <w:color w:val="000000"/>
          <w:sz w:val="28"/>
          <w:u w:val="single"/>
          <w:shd w:val="clear" w:color="auto" w:fill="FFFFFF"/>
        </w:rPr>
        <w:t xml:space="preserve"> </w:t>
      </w:r>
      <w:r>
        <w:rPr>
          <w:rFonts w:ascii="Times New Roman" w:hAnsi="Times New Roman" w:eastAsia="仿宋_GB2312"/>
          <w:color w:val="000000"/>
          <w:sz w:val="28"/>
          <w:shd w:val="clear" w:color="auto" w:fill="FFFFFF"/>
        </w:rPr>
        <w:t>万元（大写：人民币</w:t>
      </w:r>
      <w:r>
        <w:rPr>
          <w:rFonts w:ascii="Times New Roman" w:hAnsi="Times New Roman" w:eastAsia="仿宋_GB2312"/>
          <w:color w:val="000000"/>
          <w:sz w:val="28"/>
          <w:u w:val="single"/>
          <w:shd w:val="clear" w:color="auto" w:fill="FFFFFF"/>
        </w:rPr>
        <w:t xml:space="preserve"> </w:t>
      </w:r>
      <w:r>
        <w:rPr>
          <w:rFonts w:hint="eastAsia" w:ascii="Times New Roman" w:hAnsi="Times New Roman" w:eastAsia="仿宋_GB2312"/>
          <w:color w:val="000000"/>
          <w:sz w:val="28"/>
          <w:u w:val="single"/>
          <w:shd w:val="clear" w:color="auto" w:fill="FFFFFF"/>
          <w:lang w:val="en-US" w:eastAsia="zh-CN"/>
        </w:rPr>
        <w:t>壹佰玖拾</w:t>
      </w:r>
      <w:r>
        <w:rPr>
          <w:rFonts w:hint="eastAsia" w:ascii="Times New Roman" w:hAnsi="Times New Roman" w:eastAsia="仿宋_GB2312"/>
          <w:color w:val="000000"/>
          <w:sz w:val="28"/>
          <w:u w:val="single"/>
          <w:shd w:val="clear" w:color="auto" w:fill="FFFFFF"/>
        </w:rPr>
        <w:t xml:space="preserve"> 万元整</w:t>
      </w:r>
      <w:r>
        <w:rPr>
          <w:rFonts w:ascii="Times New Roman" w:hAnsi="Times New Roman" w:eastAsia="仿宋_GB2312"/>
          <w:color w:val="000000"/>
          <w:sz w:val="28"/>
          <w:u w:val="single"/>
          <w:shd w:val="clear" w:color="auto" w:fill="FFFFFF"/>
        </w:rPr>
        <w:t xml:space="preserve"> </w:t>
      </w:r>
      <w:r>
        <w:rPr>
          <w:rFonts w:ascii="Times New Roman" w:hAnsi="Times New Roman" w:eastAsia="仿宋_GB2312"/>
          <w:color w:val="000000"/>
          <w:sz w:val="28"/>
          <w:shd w:val="clear" w:color="auto" w:fill="FFFFFF"/>
        </w:rPr>
        <w:t>）。</w:t>
      </w:r>
    </w:p>
    <w:p w14:paraId="44BBC3A5">
      <w:pPr>
        <w:widowControl/>
        <w:adjustRightInd w:val="0"/>
        <w:snapToGrid w:val="0"/>
        <w:spacing w:after="3" w:line="360" w:lineRule="auto"/>
        <w:ind w:firstLine="560" w:firstLineChars="200"/>
        <w:rPr>
          <w:rFonts w:ascii="Times New Roman" w:hAnsi="Times New Roman" w:eastAsia="仿宋_GB2312"/>
          <w:color w:val="000000"/>
          <w:sz w:val="28"/>
          <w:shd w:val="clear" w:color="auto" w:fill="FFFFFF"/>
        </w:rPr>
      </w:pPr>
      <w:r>
        <w:rPr>
          <w:rFonts w:ascii="Times New Roman" w:hAnsi="Times New Roman" w:eastAsia="仿宋_GB2312"/>
          <w:color w:val="000000"/>
          <w:sz w:val="28"/>
          <w:shd w:val="clear" w:color="auto" w:fill="FFFFFF"/>
        </w:rPr>
        <w:t>经费支付方式为分期支付：</w:t>
      </w:r>
    </w:p>
    <w:p w14:paraId="794DD747">
      <w:pPr>
        <w:widowControl/>
        <w:adjustRightInd w:val="0"/>
        <w:snapToGrid w:val="0"/>
        <w:spacing w:after="3" w:line="360" w:lineRule="auto"/>
        <w:ind w:firstLine="560" w:firstLineChars="200"/>
        <w:rPr>
          <w:rFonts w:ascii="Times New Roman" w:hAnsi="Times New Roman" w:eastAsia="仿宋_GB2312"/>
          <w:color w:val="000000"/>
          <w:sz w:val="28"/>
          <w:shd w:val="clear" w:color="auto" w:fill="FFFFFF"/>
        </w:rPr>
      </w:pPr>
      <w:r>
        <w:rPr>
          <w:rFonts w:hint="eastAsia" w:ascii="Times New Roman" w:hAnsi="Times New Roman" w:eastAsia="仿宋_GB2312"/>
          <w:color w:val="000000"/>
          <w:sz w:val="28"/>
          <w:shd w:val="clear" w:color="auto" w:fill="FFFFFF"/>
        </w:rPr>
        <w:t>（一）</w:t>
      </w:r>
      <w:r>
        <w:rPr>
          <w:rFonts w:ascii="Times New Roman" w:hAnsi="Times New Roman" w:eastAsia="仿宋_GB2312"/>
          <w:color w:val="000000"/>
          <w:sz w:val="28"/>
          <w:shd w:val="clear" w:color="auto" w:fill="FFFFFF"/>
        </w:rPr>
        <w:t>第一次支付</w:t>
      </w:r>
      <w:r>
        <w:rPr>
          <w:rFonts w:hint="eastAsia" w:ascii="Times New Roman" w:hAnsi="Times New Roman" w:eastAsia="仿宋_GB2312"/>
          <w:color w:val="000000"/>
          <w:sz w:val="28"/>
          <w:shd w:val="clear" w:color="auto" w:fill="FFFFFF"/>
          <w:lang w:val="en-US" w:eastAsia="zh-CN"/>
        </w:rPr>
        <w:t>152</w:t>
      </w:r>
      <w:r>
        <w:rPr>
          <w:rFonts w:ascii="Times New Roman" w:hAnsi="Times New Roman" w:eastAsia="仿宋_GB2312"/>
          <w:color w:val="000000"/>
          <w:sz w:val="28"/>
          <w:u w:val="single"/>
          <w:shd w:val="clear" w:color="auto" w:fill="FFFFFF"/>
        </w:rPr>
        <w:t xml:space="preserve"> </w:t>
      </w:r>
      <w:r>
        <w:rPr>
          <w:rFonts w:ascii="Times New Roman" w:hAnsi="Times New Roman" w:eastAsia="仿宋_GB2312"/>
          <w:color w:val="000000"/>
          <w:sz w:val="28"/>
          <w:shd w:val="clear" w:color="auto" w:fill="FFFFFF"/>
        </w:rPr>
        <w:t>万元（大写：人民币</w:t>
      </w:r>
      <w:r>
        <w:rPr>
          <w:rFonts w:hint="eastAsia" w:ascii="Times New Roman" w:hAnsi="Times New Roman" w:eastAsia="仿宋_GB2312"/>
          <w:color w:val="000000"/>
          <w:sz w:val="28"/>
          <w:shd w:val="clear" w:color="auto" w:fill="FFFFFF"/>
        </w:rPr>
        <w:t xml:space="preserve">  </w:t>
      </w:r>
      <w:r>
        <w:rPr>
          <w:rFonts w:hint="eastAsia" w:ascii="Times New Roman" w:hAnsi="Times New Roman" w:eastAsia="仿宋_GB2312"/>
          <w:color w:val="000000"/>
          <w:sz w:val="28"/>
          <w:highlight w:val="yellow"/>
          <w:u w:val="single"/>
          <w:shd w:val="clear" w:color="auto" w:fill="FFFFFF"/>
        </w:rPr>
        <w:t xml:space="preserve">  </w:t>
      </w:r>
      <w:r>
        <w:rPr>
          <w:rFonts w:hint="eastAsia" w:ascii="Times New Roman" w:hAnsi="Times New Roman" w:eastAsia="仿宋_GB2312"/>
          <w:color w:val="000000"/>
          <w:sz w:val="28"/>
          <w:highlight w:val="yellow"/>
          <w:u w:val="single"/>
          <w:shd w:val="clear" w:color="auto" w:fill="FFFFFF"/>
          <w:lang w:val="en-US" w:eastAsia="zh-CN"/>
        </w:rPr>
        <w:t>壹佰伍拾贰万</w:t>
      </w:r>
      <w:r>
        <w:rPr>
          <w:rFonts w:hint="eastAsia" w:ascii="Times New Roman" w:hAnsi="Times New Roman" w:eastAsia="仿宋_GB2312"/>
          <w:color w:val="000000"/>
          <w:sz w:val="28"/>
          <w:highlight w:val="yellow"/>
          <w:u w:val="single"/>
          <w:shd w:val="clear" w:color="auto" w:fill="FFFFFF"/>
        </w:rPr>
        <w:t xml:space="preserve"> 元整</w:t>
      </w:r>
      <w:r>
        <w:rPr>
          <w:rFonts w:ascii="Times New Roman" w:hAnsi="Times New Roman" w:eastAsia="仿宋_GB2312"/>
          <w:color w:val="000000"/>
          <w:sz w:val="28"/>
          <w:u w:val="single"/>
          <w:shd w:val="clear" w:color="auto" w:fill="FFFFFF"/>
        </w:rPr>
        <w:t xml:space="preserve"> </w:t>
      </w:r>
      <w:r>
        <w:rPr>
          <w:rFonts w:ascii="Times New Roman" w:hAnsi="Times New Roman" w:eastAsia="仿宋_GB2312"/>
          <w:color w:val="000000"/>
          <w:sz w:val="28"/>
          <w:shd w:val="clear" w:color="auto" w:fill="FFFFFF"/>
        </w:rPr>
        <w:t>），时间：</w:t>
      </w:r>
      <w:r>
        <w:rPr>
          <w:rFonts w:ascii="Times New Roman" w:hAnsi="Times New Roman" w:eastAsia="仿宋_GB2312"/>
          <w:color w:val="000000"/>
          <w:sz w:val="28"/>
          <w:u w:val="single"/>
          <w:shd w:val="clear" w:color="auto" w:fill="FFFFFF"/>
        </w:rPr>
        <w:t xml:space="preserve"> </w:t>
      </w:r>
      <w:r>
        <w:rPr>
          <w:rFonts w:ascii="Times New Roman" w:hAnsi="Times New Roman" w:eastAsia="仿宋_GB2312"/>
          <w:color w:val="000000"/>
          <w:sz w:val="28"/>
          <w:highlight w:val="yellow"/>
          <w:u w:val="single"/>
          <w:shd w:val="clear" w:color="auto" w:fill="FFFFFF"/>
        </w:rPr>
        <w:t>202</w:t>
      </w:r>
      <w:r>
        <w:rPr>
          <w:rFonts w:hint="eastAsia" w:ascii="Times New Roman" w:hAnsi="Times New Roman" w:eastAsia="仿宋_GB2312"/>
          <w:color w:val="000000"/>
          <w:sz w:val="28"/>
          <w:highlight w:val="yellow"/>
          <w:u w:val="single"/>
          <w:shd w:val="clear" w:color="auto" w:fill="FFFFFF"/>
          <w:lang w:val="en-US" w:eastAsia="zh-CN"/>
        </w:rPr>
        <w:t>5</w:t>
      </w:r>
      <w:r>
        <w:rPr>
          <w:rFonts w:ascii="Times New Roman" w:hAnsi="Times New Roman" w:eastAsia="仿宋_GB2312"/>
          <w:color w:val="000000"/>
          <w:sz w:val="28"/>
          <w:highlight w:val="yellow"/>
          <w:u w:val="single"/>
          <w:shd w:val="clear" w:color="auto" w:fill="FFFFFF"/>
        </w:rPr>
        <w:t>年</w:t>
      </w:r>
      <w:r>
        <w:rPr>
          <w:rFonts w:hint="eastAsia" w:ascii="Times New Roman" w:hAnsi="Times New Roman" w:eastAsia="仿宋_GB2312"/>
          <w:color w:val="000000"/>
          <w:sz w:val="28"/>
          <w:highlight w:val="yellow"/>
          <w:u w:val="single"/>
          <w:shd w:val="clear" w:color="auto" w:fill="FFFFFF"/>
          <w:lang w:val="en-US" w:eastAsia="zh-CN"/>
        </w:rPr>
        <w:t>X</w:t>
      </w:r>
      <w:r>
        <w:rPr>
          <w:rFonts w:ascii="Times New Roman" w:hAnsi="Times New Roman" w:eastAsia="仿宋_GB2312"/>
          <w:color w:val="000000"/>
          <w:sz w:val="28"/>
          <w:highlight w:val="yellow"/>
          <w:u w:val="single"/>
          <w:shd w:val="clear" w:color="auto" w:fill="FFFFFF"/>
        </w:rPr>
        <w:t>月</w:t>
      </w:r>
      <w:r>
        <w:rPr>
          <w:rFonts w:hint="eastAsia" w:ascii="Times New Roman" w:hAnsi="Times New Roman" w:eastAsia="仿宋_GB2312"/>
          <w:color w:val="000000"/>
          <w:sz w:val="28"/>
          <w:u w:val="single"/>
          <w:shd w:val="clear" w:color="auto" w:fill="FFFFFF"/>
        </w:rPr>
        <w:t>（8</w:t>
      </w:r>
      <w:r>
        <w:rPr>
          <w:rFonts w:ascii="Times New Roman" w:hAnsi="Times New Roman" w:eastAsia="仿宋_GB2312"/>
          <w:color w:val="000000"/>
          <w:sz w:val="28"/>
          <w:u w:val="single"/>
          <w:shd w:val="clear" w:color="auto" w:fill="FFFFFF"/>
        </w:rPr>
        <w:t>0</w:t>
      </w:r>
      <w:r>
        <w:rPr>
          <w:rFonts w:hint="eastAsia" w:ascii="Times New Roman" w:hAnsi="Times New Roman" w:eastAsia="仿宋_GB2312"/>
          <w:color w:val="000000"/>
          <w:sz w:val="28"/>
          <w:u w:val="single"/>
          <w:shd w:val="clear" w:color="auto" w:fill="FFFFFF"/>
        </w:rPr>
        <w:t>%，壹佰伍拾玖万贰仟</w:t>
      </w:r>
      <w:r>
        <w:rPr>
          <w:rFonts w:hint="eastAsia" w:ascii="Times New Roman" w:hAnsi="Times New Roman" w:eastAsia="仿宋_GB2312"/>
          <w:color w:val="000000"/>
          <w:sz w:val="28"/>
          <w:u w:val="single"/>
          <w:shd w:val="clear" w:color="auto" w:fill="FFFFFF"/>
          <w:lang w:val="en-US" w:eastAsia="zh-CN"/>
        </w:rPr>
        <w:t>元</w:t>
      </w:r>
      <w:r>
        <w:rPr>
          <w:rFonts w:hint="eastAsia" w:ascii="Times New Roman" w:hAnsi="Times New Roman" w:eastAsia="仿宋_GB2312"/>
          <w:color w:val="000000"/>
          <w:sz w:val="28"/>
          <w:u w:val="single"/>
          <w:shd w:val="clear" w:color="auto" w:fill="FFFFFF"/>
        </w:rPr>
        <w:t xml:space="preserve"> </w:t>
      </w:r>
      <w:r>
        <w:rPr>
          <w:rFonts w:ascii="Times New Roman" w:hAnsi="Times New Roman" w:eastAsia="仿宋_GB2312"/>
          <w:color w:val="000000"/>
          <w:sz w:val="28"/>
          <w:u w:val="single"/>
          <w:shd w:val="clear" w:color="auto" w:fill="FFFFFF"/>
        </w:rPr>
        <w:t>整</w:t>
      </w:r>
      <w:r>
        <w:rPr>
          <w:rFonts w:hint="eastAsia" w:ascii="Times New Roman" w:hAnsi="Times New Roman" w:eastAsia="仿宋_GB2312"/>
          <w:color w:val="000000"/>
          <w:sz w:val="28"/>
          <w:u w:val="single"/>
          <w:shd w:val="clear" w:color="auto" w:fill="FFFFFF"/>
        </w:rPr>
        <w:t>）</w:t>
      </w:r>
      <w:r>
        <w:rPr>
          <w:rFonts w:ascii="Times New Roman" w:hAnsi="Times New Roman" w:eastAsia="仿宋_GB2312"/>
          <w:color w:val="000000"/>
          <w:sz w:val="28"/>
          <w:shd w:val="clear" w:color="auto" w:fill="FFFFFF"/>
        </w:rPr>
        <w:t>。</w:t>
      </w:r>
    </w:p>
    <w:p w14:paraId="737C7CD7">
      <w:pPr>
        <w:widowControl/>
        <w:adjustRightInd w:val="0"/>
        <w:snapToGrid w:val="0"/>
        <w:spacing w:after="3" w:line="360" w:lineRule="auto"/>
        <w:ind w:firstLine="560" w:firstLineChars="200"/>
        <w:rPr>
          <w:rFonts w:ascii="Times New Roman" w:hAnsi="Times New Roman" w:eastAsia="仿宋_GB2312"/>
          <w:color w:val="000000"/>
          <w:sz w:val="28"/>
          <w:shd w:val="clear" w:color="auto" w:fill="FFFFFF"/>
        </w:rPr>
      </w:pPr>
      <w:r>
        <w:rPr>
          <w:rFonts w:hint="eastAsia" w:ascii="Times New Roman" w:hAnsi="Times New Roman" w:eastAsia="仿宋_GB2312"/>
          <w:color w:val="000000"/>
          <w:sz w:val="28"/>
          <w:shd w:val="clear" w:color="auto" w:fill="FFFFFF"/>
        </w:rPr>
        <w:t>（二）</w:t>
      </w:r>
      <w:r>
        <w:rPr>
          <w:rFonts w:ascii="Times New Roman" w:hAnsi="Times New Roman" w:eastAsia="仿宋_GB2312"/>
          <w:color w:val="000000"/>
          <w:sz w:val="28"/>
          <w:shd w:val="clear" w:color="auto" w:fill="FFFFFF"/>
        </w:rPr>
        <w:t>第</w:t>
      </w:r>
      <w:r>
        <w:rPr>
          <w:rFonts w:hint="eastAsia" w:ascii="Times New Roman" w:hAnsi="Times New Roman" w:eastAsia="仿宋_GB2312"/>
          <w:color w:val="000000"/>
          <w:sz w:val="28"/>
          <w:shd w:val="clear" w:color="auto" w:fill="FFFFFF"/>
        </w:rPr>
        <w:t>二</w:t>
      </w:r>
      <w:r>
        <w:rPr>
          <w:rFonts w:ascii="Times New Roman" w:hAnsi="Times New Roman" w:eastAsia="仿宋_GB2312"/>
          <w:color w:val="000000"/>
          <w:sz w:val="28"/>
          <w:shd w:val="clear" w:color="auto" w:fill="FFFFFF"/>
        </w:rPr>
        <w:t>次支付</w:t>
      </w:r>
      <w:r>
        <w:rPr>
          <w:rFonts w:ascii="Times New Roman" w:hAnsi="Times New Roman" w:eastAsia="仿宋_GB2312"/>
          <w:color w:val="000000"/>
          <w:sz w:val="28"/>
          <w:u w:val="single"/>
          <w:shd w:val="clear" w:color="auto" w:fill="FFFFFF"/>
        </w:rPr>
        <w:t xml:space="preserve"> </w:t>
      </w:r>
      <w:r>
        <w:rPr>
          <w:rFonts w:hint="eastAsia" w:ascii="Times New Roman" w:hAnsi="Times New Roman" w:eastAsia="仿宋_GB2312"/>
          <w:color w:val="000000"/>
          <w:sz w:val="28"/>
          <w:u w:val="single"/>
          <w:shd w:val="clear" w:color="auto" w:fill="FFFFFF"/>
        </w:rPr>
        <w:t xml:space="preserve"> </w:t>
      </w:r>
      <w:r>
        <w:rPr>
          <w:rFonts w:ascii="Times New Roman" w:hAnsi="Times New Roman" w:eastAsia="仿宋_GB2312"/>
          <w:color w:val="000000"/>
          <w:sz w:val="28"/>
          <w:shd w:val="clear" w:color="auto" w:fill="FFFFFF"/>
        </w:rPr>
        <w:t>万元（大写：人民币</w:t>
      </w:r>
      <w:r>
        <w:rPr>
          <w:rFonts w:ascii="Times New Roman" w:hAnsi="Times New Roman" w:eastAsia="仿宋_GB2312"/>
          <w:color w:val="000000"/>
          <w:sz w:val="28"/>
          <w:u w:val="single"/>
          <w:shd w:val="clear" w:color="auto" w:fill="FFFFFF"/>
        </w:rPr>
        <w:t xml:space="preserve"> </w:t>
      </w:r>
      <w:r>
        <w:rPr>
          <w:rFonts w:hint="eastAsia" w:ascii="Times New Roman" w:hAnsi="Times New Roman" w:eastAsia="仿宋_GB2312"/>
          <w:color w:val="000000"/>
          <w:sz w:val="28"/>
          <w:u w:val="single"/>
          <w:shd w:val="clear" w:color="auto" w:fill="FFFFFF"/>
          <w:lang w:val="en-US" w:eastAsia="zh-CN"/>
        </w:rPr>
        <w:t>38万</w:t>
      </w:r>
      <w:r>
        <w:rPr>
          <w:rFonts w:hint="eastAsia" w:ascii="Times New Roman" w:hAnsi="Times New Roman" w:eastAsia="仿宋_GB2312"/>
          <w:color w:val="000000"/>
          <w:sz w:val="28"/>
          <w:u w:val="single"/>
          <w:shd w:val="clear" w:color="auto" w:fill="FFFFFF"/>
        </w:rPr>
        <w:t xml:space="preserve">  </w:t>
      </w:r>
      <w:r>
        <w:rPr>
          <w:rFonts w:hint="eastAsia" w:ascii="Times New Roman" w:hAnsi="Times New Roman" w:eastAsia="仿宋_GB2312"/>
          <w:color w:val="000000"/>
          <w:sz w:val="28"/>
          <w:highlight w:val="yellow"/>
          <w:u w:val="single"/>
          <w:shd w:val="clear" w:color="auto" w:fill="FFFFFF"/>
        </w:rPr>
        <w:t>元</w:t>
      </w:r>
      <w:r>
        <w:rPr>
          <w:rFonts w:hint="eastAsia" w:ascii="Times New Roman" w:hAnsi="Times New Roman" w:eastAsia="仿宋_GB2312"/>
          <w:color w:val="000000"/>
          <w:sz w:val="28"/>
          <w:u w:val="single"/>
          <w:shd w:val="clear" w:color="auto" w:fill="FFFFFF"/>
        </w:rPr>
        <w:t>整</w:t>
      </w:r>
      <w:r>
        <w:rPr>
          <w:rFonts w:ascii="Times New Roman" w:hAnsi="Times New Roman" w:eastAsia="仿宋_GB2312"/>
          <w:color w:val="000000"/>
          <w:sz w:val="28"/>
          <w:u w:val="single"/>
          <w:shd w:val="clear" w:color="auto" w:fill="FFFFFF"/>
        </w:rPr>
        <w:t xml:space="preserve"> </w:t>
      </w:r>
      <w:r>
        <w:rPr>
          <w:rFonts w:ascii="Times New Roman" w:hAnsi="Times New Roman" w:eastAsia="仿宋_GB2312"/>
          <w:color w:val="000000"/>
          <w:sz w:val="28"/>
          <w:shd w:val="clear" w:color="auto" w:fill="FFFFFF"/>
        </w:rPr>
        <w:t>），时间：</w:t>
      </w:r>
      <w:r>
        <w:rPr>
          <w:rFonts w:ascii="Times New Roman" w:hAnsi="Times New Roman" w:eastAsia="仿宋_GB2312"/>
          <w:color w:val="000000"/>
          <w:sz w:val="28"/>
          <w:u w:val="single"/>
          <w:shd w:val="clear" w:color="auto" w:fill="FFFFFF"/>
        </w:rPr>
        <w:t xml:space="preserve"> </w:t>
      </w:r>
      <w:r>
        <w:rPr>
          <w:rFonts w:ascii="Times New Roman" w:hAnsi="Times New Roman" w:eastAsia="仿宋_GB2312"/>
          <w:color w:val="000000"/>
          <w:sz w:val="28"/>
          <w:highlight w:val="yellow"/>
          <w:u w:val="single"/>
          <w:shd w:val="clear" w:color="auto" w:fill="FFFFFF"/>
        </w:rPr>
        <w:t>202</w:t>
      </w:r>
      <w:r>
        <w:rPr>
          <w:rFonts w:hint="eastAsia" w:ascii="Times New Roman" w:hAnsi="Times New Roman" w:eastAsia="仿宋_GB2312"/>
          <w:color w:val="000000"/>
          <w:sz w:val="28"/>
          <w:highlight w:val="yellow"/>
          <w:u w:val="single"/>
          <w:shd w:val="clear" w:color="auto" w:fill="FFFFFF"/>
          <w:lang w:val="en-US" w:eastAsia="zh-CN"/>
        </w:rPr>
        <w:t>5</w:t>
      </w:r>
      <w:r>
        <w:rPr>
          <w:rFonts w:ascii="Times New Roman" w:hAnsi="Times New Roman" w:eastAsia="仿宋_GB2312"/>
          <w:color w:val="000000"/>
          <w:sz w:val="28"/>
          <w:highlight w:val="yellow"/>
          <w:u w:val="single"/>
          <w:shd w:val="clear" w:color="auto" w:fill="FFFFFF"/>
        </w:rPr>
        <w:t>年</w:t>
      </w:r>
      <w:r>
        <w:rPr>
          <w:rFonts w:hint="eastAsia" w:ascii="Times New Roman" w:hAnsi="Times New Roman" w:eastAsia="仿宋_GB2312"/>
          <w:color w:val="000000"/>
          <w:sz w:val="28"/>
          <w:highlight w:val="yellow"/>
          <w:u w:val="single"/>
          <w:shd w:val="clear" w:color="auto" w:fill="FFFFFF"/>
          <w:lang w:val="en-US" w:eastAsia="zh-CN"/>
        </w:rPr>
        <w:t>X</w:t>
      </w:r>
      <w:r>
        <w:rPr>
          <w:rFonts w:ascii="Times New Roman" w:hAnsi="Times New Roman" w:eastAsia="仿宋_GB2312"/>
          <w:color w:val="000000"/>
          <w:sz w:val="28"/>
          <w:highlight w:val="yellow"/>
          <w:u w:val="single"/>
          <w:shd w:val="clear" w:color="auto" w:fill="FFFFFF"/>
        </w:rPr>
        <w:t>月</w:t>
      </w:r>
      <w:r>
        <w:rPr>
          <w:rFonts w:ascii="Times New Roman" w:hAnsi="Times New Roman" w:eastAsia="仿宋_GB2312"/>
          <w:color w:val="000000"/>
          <w:sz w:val="28"/>
          <w:u w:val="single"/>
          <w:shd w:val="clear" w:color="auto" w:fill="FFFFFF"/>
        </w:rPr>
        <w:t>（</w:t>
      </w:r>
      <w:r>
        <w:rPr>
          <w:rFonts w:hint="eastAsia" w:ascii="Times New Roman" w:hAnsi="Times New Roman" w:eastAsia="仿宋_GB2312"/>
          <w:color w:val="000000"/>
          <w:sz w:val="28"/>
          <w:u w:val="single"/>
          <w:shd w:val="clear" w:color="auto" w:fill="FFFFFF"/>
        </w:rPr>
        <w:t>20</w:t>
      </w:r>
      <w:r>
        <w:rPr>
          <w:rFonts w:ascii="Times New Roman" w:hAnsi="Times New Roman" w:eastAsia="仿宋_GB2312"/>
          <w:color w:val="000000"/>
          <w:sz w:val="28"/>
          <w:u w:val="single"/>
          <w:shd w:val="clear" w:color="auto" w:fill="FFFFFF"/>
        </w:rPr>
        <w:t>%，</w:t>
      </w:r>
      <w:r>
        <w:rPr>
          <w:rFonts w:hint="eastAsia" w:ascii="Times New Roman" w:hAnsi="Times New Roman" w:eastAsia="仿宋_GB2312"/>
          <w:color w:val="000000"/>
          <w:sz w:val="28"/>
          <w:u w:val="single"/>
          <w:shd w:val="clear" w:color="auto" w:fill="FFFFFF"/>
          <w:lang w:val="en-US" w:eastAsia="zh-CN"/>
        </w:rPr>
        <w:t xml:space="preserve">叁拾捌万元整 </w:t>
      </w:r>
      <w:r>
        <w:rPr>
          <w:rFonts w:ascii="Times New Roman" w:hAnsi="Times New Roman" w:eastAsia="仿宋_GB2312"/>
          <w:color w:val="000000"/>
          <w:sz w:val="28"/>
          <w:u w:val="single"/>
          <w:shd w:val="clear" w:color="auto" w:fill="FFFFFF"/>
        </w:rPr>
        <w:t>余款）</w:t>
      </w:r>
      <w:r>
        <w:rPr>
          <w:rFonts w:ascii="Times New Roman" w:hAnsi="Times New Roman" w:eastAsia="仿宋_GB2312"/>
          <w:color w:val="000000"/>
          <w:sz w:val="28"/>
          <w:shd w:val="clear" w:color="auto" w:fill="FFFFFF"/>
        </w:rPr>
        <w:t>。</w:t>
      </w:r>
    </w:p>
    <w:p w14:paraId="3C4AEF37">
      <w:pPr>
        <w:widowControl/>
        <w:adjustRightInd w:val="0"/>
        <w:snapToGrid w:val="0"/>
        <w:spacing w:after="3" w:line="360" w:lineRule="auto"/>
        <w:rPr>
          <w:rFonts w:ascii="Times New Roman" w:hAnsi="Times New Roman" w:eastAsia="仿宋_GB2312"/>
          <w:color w:val="000000"/>
          <w:sz w:val="28"/>
          <w:shd w:val="clear" w:color="auto" w:fill="FFFFFF"/>
        </w:rPr>
      </w:pPr>
    </w:p>
    <w:p w14:paraId="3F16F5DE">
      <w:pPr>
        <w:widowControl/>
        <w:adjustRightInd w:val="0"/>
        <w:snapToGrid w:val="0"/>
        <w:spacing w:after="3" w:line="360" w:lineRule="auto"/>
        <w:ind w:firstLine="560" w:firstLineChars="200"/>
        <w:rPr>
          <w:rFonts w:ascii="Times New Roman" w:hAnsi="Times New Roman" w:eastAsia="仿宋_GB2312"/>
          <w:color w:val="000000"/>
          <w:sz w:val="28"/>
          <w:shd w:val="clear" w:color="auto" w:fill="FFFFFF"/>
        </w:rPr>
      </w:pPr>
      <w:r>
        <w:rPr>
          <w:rFonts w:hint="eastAsia" w:ascii="Times New Roman" w:hAnsi="Times New Roman" w:eastAsia="仿宋_GB2312"/>
          <w:color w:val="000000"/>
          <w:sz w:val="28"/>
          <w:shd w:val="clear" w:color="auto" w:fill="FFFFFF"/>
        </w:rPr>
        <w:t>如因政策等客观原因导致乙方无法完成付款，乙方不承担违约责任，由甲方负责相应费用支付。</w:t>
      </w:r>
    </w:p>
    <w:p w14:paraId="6DA3E191">
      <w:pPr>
        <w:widowControl/>
        <w:adjustRightInd w:val="0"/>
        <w:snapToGrid w:val="0"/>
        <w:spacing w:before="156" w:beforeLines="50" w:after="156" w:afterLines="50" w:line="360" w:lineRule="auto"/>
        <w:ind w:firstLine="562" w:firstLineChars="200"/>
        <w:rPr>
          <w:rFonts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三</w:t>
      </w:r>
      <w:r>
        <w:rPr>
          <w:rFonts w:ascii="仿宋_GB2312" w:hAnsi="宋体" w:eastAsia="仿宋_GB2312" w:cs="微软雅黑"/>
          <w:b/>
          <w:color w:val="000000"/>
          <w:sz w:val="28"/>
          <w:szCs w:val="26"/>
        </w:rPr>
        <w:t>、丙方的责任与义务</w:t>
      </w:r>
    </w:p>
    <w:p w14:paraId="2FF36060">
      <w:pPr>
        <w:widowControl/>
        <w:adjustRightInd w:val="0"/>
        <w:snapToGrid w:val="0"/>
        <w:spacing w:after="3" w:line="360" w:lineRule="auto"/>
        <w:ind w:firstLine="560" w:firstLineChars="200"/>
        <w:rPr>
          <w:rFonts w:ascii="仿宋_GB2312" w:hAnsi="宋体" w:eastAsia="仿宋_GB2312" w:cs="微软雅黑"/>
          <w:color w:val="000000"/>
          <w:sz w:val="28"/>
        </w:rPr>
      </w:pPr>
      <w:r>
        <w:rPr>
          <w:rFonts w:ascii="仿宋_GB2312" w:hAnsi="宋体" w:eastAsia="仿宋_GB2312" w:cs="微软雅黑"/>
          <w:color w:val="000000"/>
          <w:sz w:val="28"/>
        </w:rPr>
        <w:t>（一）</w:t>
      </w:r>
      <w:r>
        <w:rPr>
          <w:rFonts w:hint="eastAsia" w:ascii="仿宋_GB2312" w:hAnsi="宋体" w:eastAsia="仿宋_GB2312" w:cs="微软雅黑"/>
          <w:color w:val="000000"/>
          <w:sz w:val="28"/>
        </w:rPr>
        <w:t>丙方承诺，丙方为依法设立，能独立承担民事责任的主体，无重大违法记录，信用状况良好，具备提供服务所必需的设备、人员和专业技术能力和资质。</w:t>
      </w:r>
    </w:p>
    <w:p w14:paraId="707A44F2">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（二）丙方必须遵守国家体育总局、中华全国体育总会及国际单项组织的规定，并遵守</w:t>
      </w:r>
      <w:r>
        <w:rPr>
          <w:rFonts w:hint="eastAsia" w:ascii="仿宋_GB2312" w:hAnsi="宋体" w:eastAsia="仿宋_GB2312" w:cs="微软雅黑"/>
          <w:color w:val="000000"/>
          <w:sz w:val="28"/>
          <w:highlight w:val="yellow"/>
        </w:rPr>
        <w:t>甲方相关行业规定</w:t>
      </w:r>
      <w:r>
        <w:rPr>
          <w:rFonts w:hint="eastAsia" w:ascii="仿宋_GB2312" w:hAnsi="宋体" w:eastAsia="仿宋_GB2312" w:cs="微软雅黑"/>
          <w:color w:val="000000"/>
          <w:sz w:val="28"/>
        </w:rPr>
        <w:t>。</w:t>
      </w:r>
    </w:p>
    <w:p w14:paraId="47504BF5">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（三）丙方承诺其进行的所有工作以及向甲方提供的任何资料、数据、信息、建议、分析报告等真实有效，均不违反中国现行法律法规的规定，且</w:t>
      </w:r>
      <w:r>
        <w:rPr>
          <w:rFonts w:hint="eastAsia" w:ascii="仿宋_GB2312" w:hAnsi="宋体" w:eastAsia="仿宋_GB2312" w:cs="微软雅黑"/>
          <w:color w:val="000000"/>
          <w:sz w:val="28"/>
          <w:highlight w:val="yellow"/>
        </w:rPr>
        <w:t>未违反</w:t>
      </w:r>
      <w:r>
        <w:rPr>
          <w:rFonts w:hint="eastAsia" w:ascii="仿宋_GB2312" w:hAnsi="宋体" w:eastAsia="仿宋_GB2312" w:cs="微软雅黑"/>
          <w:color w:val="000000"/>
          <w:sz w:val="28"/>
        </w:rPr>
        <w:t>国际单项组织、国家体育总局及甲方等有关规定。</w:t>
      </w:r>
    </w:p>
    <w:p w14:paraId="4C638037">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ascii="仿宋_GB2312" w:hAnsi="宋体" w:eastAsia="仿宋_GB2312" w:cs="微软雅黑"/>
          <w:color w:val="000000"/>
          <w:sz w:val="28"/>
        </w:rPr>
        <w:t>（</w:t>
      </w:r>
      <w:r>
        <w:rPr>
          <w:rFonts w:hint="eastAsia" w:ascii="仿宋_GB2312" w:hAnsi="宋体" w:eastAsia="仿宋_GB2312" w:cs="微软雅黑"/>
          <w:color w:val="000000"/>
          <w:sz w:val="28"/>
        </w:rPr>
        <w:t>四</w:t>
      </w:r>
      <w:r>
        <w:rPr>
          <w:rFonts w:ascii="仿宋_GB2312" w:hAnsi="宋体" w:eastAsia="仿宋_GB2312" w:cs="微软雅黑"/>
          <w:color w:val="000000"/>
          <w:sz w:val="28"/>
        </w:rPr>
        <w:t>）</w:t>
      </w:r>
      <w:r>
        <w:rPr>
          <w:rFonts w:hint="eastAsia" w:ascii="仿宋_GB2312" w:hAnsi="宋体" w:eastAsia="仿宋_GB2312" w:cs="微软雅黑"/>
          <w:color w:val="000000"/>
          <w:sz w:val="28"/>
        </w:rPr>
        <w:t>无论基于何种原因，丙方违反本条第（三）款之约定的，丙方应当返还甲方和/或乙方支付的全部费用，并赔偿甲方、乙方及其他相关方由此产生的全部损失。</w:t>
      </w:r>
    </w:p>
    <w:p w14:paraId="3C2BE225">
      <w:pPr>
        <w:widowControl/>
        <w:adjustRightInd w:val="0"/>
        <w:snapToGrid w:val="0"/>
        <w:spacing w:after="3" w:line="360" w:lineRule="auto"/>
        <w:ind w:firstLine="560" w:firstLineChars="200"/>
        <w:rPr>
          <w:rFonts w:ascii="仿宋_GB2312" w:hAnsi="宋体" w:eastAsia="仿宋_GB2312" w:cs="微软雅黑"/>
          <w:color w:val="000000"/>
          <w:sz w:val="28"/>
        </w:rPr>
      </w:pPr>
      <w:r>
        <w:rPr>
          <w:rFonts w:ascii="仿宋_GB2312" w:hAnsi="宋体" w:eastAsia="仿宋_GB2312" w:cs="微软雅黑"/>
          <w:color w:val="000000"/>
          <w:sz w:val="28"/>
        </w:rPr>
        <w:t>（</w:t>
      </w:r>
      <w:r>
        <w:rPr>
          <w:rFonts w:hint="eastAsia" w:ascii="仿宋_GB2312" w:hAnsi="宋体" w:eastAsia="仿宋_GB2312" w:cs="微软雅黑"/>
          <w:color w:val="000000"/>
          <w:sz w:val="28"/>
        </w:rPr>
        <w:t>五</w:t>
      </w:r>
      <w:r>
        <w:rPr>
          <w:rFonts w:ascii="仿宋_GB2312" w:hAnsi="宋体" w:eastAsia="仿宋_GB2312" w:cs="微软雅黑"/>
          <w:color w:val="000000"/>
          <w:sz w:val="28"/>
        </w:rPr>
        <w:t>）</w:t>
      </w:r>
      <w:r>
        <w:rPr>
          <w:rFonts w:ascii="仿宋_GB2312" w:hAnsi="宋体" w:eastAsia="仿宋_GB2312" w:cs="微软雅黑"/>
          <w:color w:val="000000"/>
          <w:sz w:val="28"/>
          <w:highlight w:val="yellow"/>
        </w:rPr>
        <w:t>丙方必须严格</w:t>
      </w:r>
      <w:r>
        <w:rPr>
          <w:rFonts w:hint="eastAsia" w:ascii="仿宋_GB2312" w:hAnsi="宋体" w:eastAsia="仿宋_GB2312" w:cs="微软雅黑"/>
          <w:color w:val="000000"/>
          <w:sz w:val="28"/>
          <w:highlight w:val="yellow"/>
        </w:rPr>
        <w:t>遵守体育总局和甲方</w:t>
      </w:r>
      <w:r>
        <w:rPr>
          <w:rFonts w:ascii="仿宋_GB2312" w:hAnsi="宋体" w:eastAsia="仿宋_GB2312" w:cs="微软雅黑"/>
          <w:color w:val="000000"/>
          <w:sz w:val="28"/>
          <w:highlight w:val="yellow"/>
        </w:rPr>
        <w:t>财务管理</w:t>
      </w:r>
      <w:r>
        <w:rPr>
          <w:rFonts w:ascii="仿宋_GB2312" w:hAnsi="宋体" w:eastAsia="仿宋_GB2312" w:cs="微软雅黑"/>
          <w:color w:val="000000"/>
          <w:sz w:val="28"/>
        </w:rPr>
        <w:t>的</w:t>
      </w:r>
      <w:r>
        <w:rPr>
          <w:rFonts w:hint="eastAsia" w:ascii="仿宋_GB2312" w:hAnsi="宋体" w:eastAsia="仿宋_GB2312" w:cs="微软雅黑"/>
          <w:color w:val="000000"/>
          <w:sz w:val="28"/>
        </w:rPr>
        <w:t>相关</w:t>
      </w:r>
      <w:r>
        <w:rPr>
          <w:rFonts w:ascii="仿宋_GB2312" w:hAnsi="宋体" w:eastAsia="仿宋_GB2312" w:cs="微软雅黑"/>
          <w:color w:val="000000"/>
          <w:sz w:val="28"/>
        </w:rPr>
        <w:t>规定，确保</w:t>
      </w:r>
      <w:r>
        <w:rPr>
          <w:rFonts w:hint="eastAsia" w:ascii="仿宋_GB2312" w:hAnsi="宋体" w:eastAsia="仿宋_GB2312" w:cs="微软雅黑"/>
          <w:color w:val="000000"/>
          <w:sz w:val="28"/>
        </w:rPr>
        <w:t>财政</w:t>
      </w:r>
      <w:r>
        <w:rPr>
          <w:rFonts w:ascii="仿宋_GB2312" w:hAnsi="宋体" w:eastAsia="仿宋_GB2312" w:cs="微软雅黑"/>
          <w:color w:val="000000"/>
          <w:sz w:val="28"/>
        </w:rPr>
        <w:t>经费专款专</w:t>
      </w:r>
      <w:r>
        <w:rPr>
          <w:rFonts w:hint="eastAsia" w:ascii="仿宋_GB2312" w:hAnsi="宋体" w:eastAsia="仿宋_GB2312" w:cs="微软雅黑"/>
          <w:color w:val="000000"/>
          <w:sz w:val="28"/>
        </w:rPr>
        <w:t>用</w:t>
      </w:r>
      <w:r>
        <w:rPr>
          <w:rFonts w:ascii="仿宋_GB2312" w:hAnsi="宋体" w:eastAsia="仿宋_GB2312" w:cs="微软雅黑"/>
          <w:color w:val="000000"/>
          <w:sz w:val="28"/>
        </w:rPr>
        <w:t>，独立核算。</w:t>
      </w:r>
    </w:p>
    <w:p w14:paraId="6600105C">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（七）</w:t>
      </w:r>
      <w:r>
        <w:rPr>
          <w:rFonts w:ascii="仿宋_GB2312" w:hAnsi="宋体" w:eastAsia="仿宋_GB2312" w:cs="微软雅黑"/>
          <w:color w:val="000000"/>
          <w:sz w:val="28"/>
        </w:rPr>
        <w:t>丙方</w:t>
      </w:r>
      <w:r>
        <w:rPr>
          <w:rFonts w:hint="eastAsia" w:ascii="仿宋_GB2312" w:hAnsi="宋体" w:eastAsia="仿宋_GB2312" w:cs="微软雅黑"/>
          <w:color w:val="000000"/>
          <w:sz w:val="28"/>
        </w:rPr>
        <w:t>确</w:t>
      </w:r>
      <w:r>
        <w:rPr>
          <w:rFonts w:ascii="仿宋_GB2312" w:hAnsi="宋体" w:eastAsia="仿宋_GB2312" w:cs="微软雅黑"/>
          <w:color w:val="000000"/>
          <w:sz w:val="28"/>
        </w:rPr>
        <w:t>需调整合同</w:t>
      </w:r>
      <w:r>
        <w:rPr>
          <w:rFonts w:hint="eastAsia" w:ascii="仿宋_GB2312" w:hAnsi="宋体" w:eastAsia="仿宋_GB2312" w:cs="微软雅黑"/>
          <w:color w:val="000000"/>
          <w:sz w:val="28"/>
        </w:rPr>
        <w:t>业务重要</w:t>
      </w:r>
      <w:r>
        <w:rPr>
          <w:rFonts w:ascii="仿宋_GB2312" w:hAnsi="宋体" w:eastAsia="仿宋_GB2312" w:cs="微软雅黑"/>
          <w:color w:val="000000"/>
          <w:sz w:val="28"/>
        </w:rPr>
        <w:t>内容，应书面提出申请，并</w:t>
      </w:r>
      <w:r>
        <w:rPr>
          <w:rFonts w:hint="eastAsia" w:ascii="仿宋_GB2312" w:hAnsi="宋体" w:eastAsia="仿宋_GB2312" w:cs="微软雅黑"/>
          <w:color w:val="000000"/>
          <w:sz w:val="28"/>
        </w:rPr>
        <w:t>经</w:t>
      </w:r>
      <w:r>
        <w:rPr>
          <w:rFonts w:ascii="仿宋_GB2312" w:hAnsi="宋体" w:eastAsia="仿宋_GB2312" w:cs="微软雅黑"/>
          <w:color w:val="000000"/>
          <w:sz w:val="28"/>
        </w:rPr>
        <w:t>甲</w:t>
      </w:r>
      <w:r>
        <w:rPr>
          <w:rFonts w:ascii="仿宋_GB2312" w:hAnsi="宋体" w:eastAsia="仿宋_GB2312" w:cs="微软雅黑"/>
          <w:color w:val="000000"/>
          <w:sz w:val="28"/>
        </w:rPr>
        <w:drawing>
          <wp:inline distT="0" distB="0" distL="114300" distR="114300">
            <wp:extent cx="4445" cy="889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
                    <a:stretch>
                      <a:fillRect/>
                    </a:stretch>
                  </pic:blipFill>
                  <pic:spPr>
                    <a:xfrm>
                      <a:off x="0" y="0"/>
                      <a:ext cx="4445" cy="8890"/>
                    </a:xfrm>
                    <a:prstGeom prst="rect">
                      <a:avLst/>
                    </a:prstGeom>
                    <a:noFill/>
                    <a:ln>
                      <a:noFill/>
                    </a:ln>
                  </pic:spPr>
                </pic:pic>
              </a:graphicData>
            </a:graphic>
          </wp:inline>
        </w:drawing>
      </w:r>
      <w:r>
        <w:rPr>
          <w:rFonts w:ascii="仿宋_GB2312" w:hAnsi="宋体" w:eastAsia="仿宋_GB2312" w:cs="微软雅黑"/>
          <w:color w:val="000000"/>
          <w:sz w:val="28"/>
        </w:rPr>
        <w:t>方</w:t>
      </w:r>
      <w:r>
        <w:rPr>
          <w:rFonts w:hint="eastAsia" w:ascii="仿宋_GB2312" w:hAnsi="宋体" w:eastAsia="仿宋_GB2312" w:cs="微软雅黑"/>
          <w:color w:val="000000"/>
          <w:sz w:val="28"/>
        </w:rPr>
        <w:t>同意后，签订补充</w:t>
      </w:r>
      <w:r>
        <w:rPr>
          <w:rFonts w:ascii="仿宋_GB2312" w:hAnsi="宋体" w:eastAsia="仿宋_GB2312" w:cs="微软雅黑"/>
          <w:color w:val="000000"/>
          <w:sz w:val="28"/>
        </w:rPr>
        <w:t>协议</w:t>
      </w:r>
      <w:r>
        <w:rPr>
          <w:rFonts w:hint="eastAsia" w:ascii="仿宋_GB2312" w:hAnsi="宋体" w:eastAsia="仿宋_GB2312" w:cs="微软雅黑"/>
          <w:color w:val="000000"/>
          <w:sz w:val="28"/>
        </w:rPr>
        <w:t>后施行</w:t>
      </w:r>
      <w:r>
        <w:rPr>
          <w:rFonts w:ascii="仿宋_GB2312" w:hAnsi="宋体" w:eastAsia="仿宋_GB2312" w:cs="微软雅黑"/>
          <w:color w:val="000000"/>
          <w:sz w:val="28"/>
        </w:rPr>
        <w:t>。</w:t>
      </w:r>
    </w:p>
    <w:p w14:paraId="4157BAED">
      <w:pPr>
        <w:widowControl/>
        <w:adjustRightInd w:val="0"/>
        <w:snapToGrid w:val="0"/>
        <w:spacing w:after="3" w:line="360" w:lineRule="auto"/>
        <w:ind w:firstLine="560" w:firstLineChars="200"/>
        <w:rPr>
          <w:rFonts w:ascii="仿宋_GB2312" w:hAnsi="宋体" w:eastAsia="仿宋_GB2312" w:cs="微软雅黑"/>
          <w:color w:val="000000"/>
          <w:sz w:val="28"/>
        </w:rPr>
      </w:pPr>
      <w:r>
        <w:rPr>
          <w:rFonts w:ascii="仿宋_GB2312" w:hAnsi="宋体" w:eastAsia="仿宋_GB2312" w:cs="微软雅黑"/>
          <w:color w:val="000000"/>
          <w:sz w:val="28"/>
        </w:rPr>
        <w:t>（</w:t>
      </w:r>
      <w:r>
        <w:rPr>
          <w:rFonts w:hint="eastAsia" w:ascii="仿宋_GB2312" w:hAnsi="宋体" w:eastAsia="仿宋_GB2312" w:cs="微软雅黑"/>
          <w:color w:val="000000"/>
          <w:sz w:val="28"/>
        </w:rPr>
        <w:t>八</w:t>
      </w:r>
      <w:r>
        <w:rPr>
          <w:rFonts w:ascii="仿宋_GB2312" w:hAnsi="宋体" w:eastAsia="仿宋_GB2312" w:cs="微软雅黑"/>
          <w:color w:val="000000"/>
          <w:sz w:val="28"/>
        </w:rPr>
        <w:t>）</w:t>
      </w:r>
      <w:r>
        <w:rPr>
          <w:color w:val="000000"/>
        </w:rPr>
        <w:drawing>
          <wp:anchor distT="0" distB="0" distL="114300" distR="114300" simplePos="0" relativeHeight="251661312" behindDoc="0" locked="0" layoutInCell="1" allowOverlap="0">
            <wp:simplePos x="0" y="0"/>
            <wp:positionH relativeFrom="page">
              <wp:posOffset>749300</wp:posOffset>
            </wp:positionH>
            <wp:positionV relativeFrom="page">
              <wp:posOffset>3313430</wp:posOffset>
            </wp:positionV>
            <wp:extent cx="8890" cy="8890"/>
            <wp:effectExtent l="0" t="0" r="0" b="0"/>
            <wp:wrapSquare wrapText="bothSides"/>
            <wp:docPr id="14" name="Picture 6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033"/>
                    <pic:cNvPicPr>
                      <a:picLocks noChangeAspect="1"/>
                    </pic:cNvPicPr>
                  </pic:nvPicPr>
                  <pic:blipFill>
                    <a:blip r:embed="rId9"/>
                    <a:stretch>
                      <a:fillRect/>
                    </a:stretch>
                  </pic:blipFill>
                  <pic:spPr>
                    <a:xfrm>
                      <a:off x="0" y="0"/>
                      <a:ext cx="8890" cy="8890"/>
                    </a:xfrm>
                    <a:prstGeom prst="rect">
                      <a:avLst/>
                    </a:prstGeom>
                    <a:noFill/>
                    <a:ln>
                      <a:noFill/>
                    </a:ln>
                  </pic:spPr>
                </pic:pic>
              </a:graphicData>
            </a:graphic>
          </wp:anchor>
        </w:drawing>
      </w:r>
      <w:r>
        <w:rPr>
          <w:color w:val="000000"/>
        </w:rPr>
        <w:drawing>
          <wp:anchor distT="0" distB="0" distL="114300" distR="114300" simplePos="0" relativeHeight="251662336" behindDoc="0" locked="0" layoutInCell="1" allowOverlap="0">
            <wp:simplePos x="0" y="0"/>
            <wp:positionH relativeFrom="page">
              <wp:posOffset>347345</wp:posOffset>
            </wp:positionH>
            <wp:positionV relativeFrom="page">
              <wp:posOffset>3340735</wp:posOffset>
            </wp:positionV>
            <wp:extent cx="4445" cy="18415"/>
            <wp:effectExtent l="0" t="0" r="8255" b="635"/>
            <wp:wrapSquare wrapText="bothSides"/>
            <wp:docPr id="15" name="Picture 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034"/>
                    <pic:cNvPicPr>
                      <a:picLocks noChangeAspect="1"/>
                    </pic:cNvPicPr>
                  </pic:nvPicPr>
                  <pic:blipFill>
                    <a:blip r:embed="rId10"/>
                    <a:stretch>
                      <a:fillRect/>
                    </a:stretch>
                  </pic:blipFill>
                  <pic:spPr>
                    <a:xfrm>
                      <a:off x="0" y="0"/>
                      <a:ext cx="4445" cy="18415"/>
                    </a:xfrm>
                    <a:prstGeom prst="rect">
                      <a:avLst/>
                    </a:prstGeom>
                    <a:noFill/>
                    <a:ln>
                      <a:noFill/>
                    </a:ln>
                  </pic:spPr>
                </pic:pic>
              </a:graphicData>
            </a:graphic>
          </wp:anchor>
        </w:drawing>
      </w:r>
      <w:r>
        <w:rPr>
          <w:color w:val="000000"/>
        </w:rPr>
        <w:drawing>
          <wp:anchor distT="0" distB="0" distL="114300" distR="114300" simplePos="0" relativeHeight="251663360" behindDoc="0" locked="0" layoutInCell="1" allowOverlap="0">
            <wp:simplePos x="0" y="0"/>
            <wp:positionH relativeFrom="page">
              <wp:posOffset>868045</wp:posOffset>
            </wp:positionH>
            <wp:positionV relativeFrom="page">
              <wp:posOffset>4986020</wp:posOffset>
            </wp:positionV>
            <wp:extent cx="8890" cy="13970"/>
            <wp:effectExtent l="0" t="0" r="3810" b="5080"/>
            <wp:wrapSquare wrapText="bothSides"/>
            <wp:docPr id="16" name="Picture 6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043"/>
                    <pic:cNvPicPr>
                      <a:picLocks noChangeAspect="1"/>
                    </pic:cNvPicPr>
                  </pic:nvPicPr>
                  <pic:blipFill>
                    <a:blip r:embed="rId11"/>
                    <a:stretch>
                      <a:fillRect/>
                    </a:stretch>
                  </pic:blipFill>
                  <pic:spPr>
                    <a:xfrm>
                      <a:off x="0" y="0"/>
                      <a:ext cx="8890" cy="13970"/>
                    </a:xfrm>
                    <a:prstGeom prst="rect">
                      <a:avLst/>
                    </a:prstGeom>
                    <a:noFill/>
                    <a:ln>
                      <a:noFill/>
                    </a:ln>
                  </pic:spPr>
                </pic:pic>
              </a:graphicData>
            </a:graphic>
          </wp:anchor>
        </w:drawing>
      </w:r>
      <w:r>
        <w:rPr>
          <w:color w:val="000000"/>
        </w:rPr>
        <w:drawing>
          <wp:anchor distT="0" distB="0" distL="114300" distR="114300" simplePos="0" relativeHeight="251664384" behindDoc="0" locked="0" layoutInCell="1" allowOverlap="0">
            <wp:simplePos x="0" y="0"/>
            <wp:positionH relativeFrom="page">
              <wp:posOffset>6901815</wp:posOffset>
            </wp:positionH>
            <wp:positionV relativeFrom="page">
              <wp:posOffset>5479415</wp:posOffset>
            </wp:positionV>
            <wp:extent cx="4445" cy="13970"/>
            <wp:effectExtent l="0" t="0" r="8255" b="5080"/>
            <wp:wrapTopAndBottom/>
            <wp:docPr id="18" name="Picture 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048"/>
                    <pic:cNvPicPr>
                      <a:picLocks noChangeAspect="1"/>
                    </pic:cNvPicPr>
                  </pic:nvPicPr>
                  <pic:blipFill>
                    <a:blip r:embed="rId12"/>
                    <a:stretch>
                      <a:fillRect/>
                    </a:stretch>
                  </pic:blipFill>
                  <pic:spPr>
                    <a:xfrm>
                      <a:off x="0" y="0"/>
                      <a:ext cx="4445" cy="13970"/>
                    </a:xfrm>
                    <a:prstGeom prst="rect">
                      <a:avLst/>
                    </a:prstGeom>
                    <a:noFill/>
                    <a:ln>
                      <a:noFill/>
                    </a:ln>
                  </pic:spPr>
                </pic:pic>
              </a:graphicData>
            </a:graphic>
          </wp:anchor>
        </w:drawing>
      </w:r>
      <w:r>
        <w:rPr>
          <w:color w:val="000000"/>
        </w:rPr>
        <w:drawing>
          <wp:anchor distT="0" distB="0" distL="114300" distR="114300" simplePos="0" relativeHeight="251665408" behindDoc="0" locked="0" layoutInCell="1" allowOverlap="0">
            <wp:simplePos x="0" y="0"/>
            <wp:positionH relativeFrom="page">
              <wp:posOffset>6979285</wp:posOffset>
            </wp:positionH>
            <wp:positionV relativeFrom="page">
              <wp:posOffset>3696970</wp:posOffset>
            </wp:positionV>
            <wp:extent cx="54610" cy="178435"/>
            <wp:effectExtent l="0" t="0" r="8890" b="12065"/>
            <wp:wrapSquare wrapText="bothSides"/>
            <wp:docPr id="19" name="Picture 2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2502"/>
                    <pic:cNvPicPr>
                      <a:picLocks noChangeAspect="1"/>
                    </pic:cNvPicPr>
                  </pic:nvPicPr>
                  <pic:blipFill>
                    <a:blip r:embed="rId13"/>
                    <a:stretch>
                      <a:fillRect/>
                    </a:stretch>
                  </pic:blipFill>
                  <pic:spPr>
                    <a:xfrm>
                      <a:off x="0" y="0"/>
                      <a:ext cx="54610" cy="178435"/>
                    </a:xfrm>
                    <a:prstGeom prst="rect">
                      <a:avLst/>
                    </a:prstGeom>
                    <a:noFill/>
                    <a:ln>
                      <a:noFill/>
                    </a:ln>
                  </pic:spPr>
                </pic:pic>
              </a:graphicData>
            </a:graphic>
          </wp:anchor>
        </w:drawing>
      </w:r>
      <w:r>
        <w:rPr>
          <w:color w:val="000000"/>
        </w:rPr>
        <w:drawing>
          <wp:anchor distT="0" distB="0" distL="114300" distR="114300" simplePos="0" relativeHeight="251666432" behindDoc="0" locked="0" layoutInCell="1" allowOverlap="0">
            <wp:simplePos x="0" y="0"/>
            <wp:positionH relativeFrom="page">
              <wp:posOffset>666750</wp:posOffset>
            </wp:positionH>
            <wp:positionV relativeFrom="page">
              <wp:posOffset>4547235</wp:posOffset>
            </wp:positionV>
            <wp:extent cx="4445" cy="13970"/>
            <wp:effectExtent l="0" t="0" r="8255" b="5080"/>
            <wp:wrapSquare wrapText="bothSides"/>
            <wp:docPr id="20" name="Picture 6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6041"/>
                    <pic:cNvPicPr>
                      <a:picLocks noChangeAspect="1"/>
                    </pic:cNvPicPr>
                  </pic:nvPicPr>
                  <pic:blipFill>
                    <a:blip r:embed="rId14"/>
                    <a:stretch>
                      <a:fillRect/>
                    </a:stretch>
                  </pic:blipFill>
                  <pic:spPr>
                    <a:xfrm>
                      <a:off x="0" y="0"/>
                      <a:ext cx="4445" cy="13970"/>
                    </a:xfrm>
                    <a:prstGeom prst="rect">
                      <a:avLst/>
                    </a:prstGeom>
                    <a:noFill/>
                    <a:ln>
                      <a:noFill/>
                    </a:ln>
                  </pic:spPr>
                </pic:pic>
              </a:graphicData>
            </a:graphic>
          </wp:anchor>
        </w:drawing>
      </w:r>
      <w:r>
        <w:rPr>
          <w:color w:val="000000"/>
        </w:rPr>
        <w:drawing>
          <wp:anchor distT="0" distB="0" distL="114300" distR="114300" simplePos="0" relativeHeight="251667456" behindDoc="0" locked="0" layoutInCell="1" allowOverlap="0">
            <wp:simplePos x="0" y="0"/>
            <wp:positionH relativeFrom="page">
              <wp:posOffset>676275</wp:posOffset>
            </wp:positionH>
            <wp:positionV relativeFrom="page">
              <wp:posOffset>4634230</wp:posOffset>
            </wp:positionV>
            <wp:extent cx="8890" cy="8890"/>
            <wp:effectExtent l="0" t="0" r="0" b="0"/>
            <wp:wrapSquare wrapText="bothSides"/>
            <wp:docPr id="21" name="Picture 6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042"/>
                    <pic:cNvPicPr>
                      <a:picLocks noChangeAspect="1"/>
                    </pic:cNvPicPr>
                  </pic:nvPicPr>
                  <pic:blipFill>
                    <a:blip r:embed="rId15"/>
                    <a:stretch>
                      <a:fillRect/>
                    </a:stretch>
                  </pic:blipFill>
                  <pic:spPr>
                    <a:xfrm>
                      <a:off x="0" y="0"/>
                      <a:ext cx="8890" cy="8890"/>
                    </a:xfrm>
                    <a:prstGeom prst="rect">
                      <a:avLst/>
                    </a:prstGeom>
                    <a:noFill/>
                    <a:ln>
                      <a:noFill/>
                    </a:ln>
                  </pic:spPr>
                </pic:pic>
              </a:graphicData>
            </a:graphic>
          </wp:anchor>
        </w:drawing>
      </w:r>
      <w:r>
        <w:rPr>
          <w:rFonts w:ascii="仿宋_GB2312" w:hAnsi="宋体" w:eastAsia="仿宋_GB2312" w:cs="微软雅黑"/>
          <w:color w:val="000000"/>
          <w:sz w:val="28"/>
        </w:rPr>
        <w:t>如因丙方</w:t>
      </w:r>
      <w:r>
        <w:rPr>
          <w:rFonts w:hint="eastAsia" w:ascii="仿宋_GB2312" w:hAnsi="宋体" w:eastAsia="仿宋_GB2312" w:cs="微软雅黑"/>
          <w:color w:val="000000"/>
          <w:sz w:val="28"/>
        </w:rPr>
        <w:t>单方</w:t>
      </w:r>
      <w:r>
        <w:rPr>
          <w:rFonts w:ascii="仿宋_GB2312" w:hAnsi="宋体" w:eastAsia="仿宋_GB2312" w:cs="微软雅黑"/>
          <w:color w:val="000000"/>
          <w:sz w:val="28"/>
        </w:rPr>
        <w:t>原因终止</w:t>
      </w:r>
      <w:r>
        <w:rPr>
          <w:rFonts w:hint="eastAsia" w:ascii="仿宋_GB2312" w:hAnsi="宋体" w:eastAsia="仿宋_GB2312" w:cs="微软雅黑"/>
          <w:color w:val="000000"/>
          <w:sz w:val="28"/>
        </w:rPr>
        <w:t>、</w:t>
      </w:r>
      <w:r>
        <w:rPr>
          <w:rFonts w:ascii="仿宋_GB2312" w:hAnsi="宋体" w:eastAsia="仿宋_GB2312" w:cs="微软雅黑"/>
          <w:color w:val="000000"/>
          <w:sz w:val="28"/>
        </w:rPr>
        <w:t>解除协议</w:t>
      </w:r>
      <w:r>
        <w:rPr>
          <w:rFonts w:hint="eastAsia" w:ascii="仿宋_GB2312" w:hAnsi="宋体" w:eastAsia="仿宋_GB2312" w:cs="微软雅黑"/>
          <w:color w:val="000000"/>
          <w:sz w:val="28"/>
        </w:rPr>
        <w:t>，</w:t>
      </w:r>
      <w:r>
        <w:rPr>
          <w:rFonts w:ascii="仿宋_GB2312" w:hAnsi="宋体" w:eastAsia="仿宋_GB2312" w:cs="微软雅黑"/>
          <w:color w:val="000000"/>
          <w:sz w:val="28"/>
        </w:rPr>
        <w:t>丙方</w:t>
      </w:r>
      <w:r>
        <w:rPr>
          <w:rFonts w:hint="eastAsia" w:ascii="仿宋_GB2312" w:hAnsi="宋体" w:eastAsia="仿宋_GB2312" w:cs="微软雅黑"/>
          <w:color w:val="000000"/>
          <w:sz w:val="28"/>
        </w:rPr>
        <w:t>需</w:t>
      </w:r>
      <w:r>
        <w:rPr>
          <w:rFonts w:ascii="仿宋_GB2312" w:hAnsi="宋体" w:eastAsia="仿宋_GB2312" w:cs="微软雅黑"/>
          <w:color w:val="000000"/>
          <w:sz w:val="28"/>
        </w:rPr>
        <w:t>全部退回所拨经费</w:t>
      </w:r>
      <w:r>
        <w:rPr>
          <w:rFonts w:hint="eastAsia" w:ascii="仿宋_GB2312" w:hAnsi="宋体" w:eastAsia="仿宋_GB2312" w:cs="微软雅黑"/>
          <w:color w:val="000000"/>
          <w:sz w:val="28"/>
        </w:rPr>
        <w:t>，并承担本协议总金额20%的违约责任，且须赔偿甲方的全部损失（包括但不限于任何实际投入损失、可得利益损失、律师费等）</w:t>
      </w:r>
      <w:r>
        <w:rPr>
          <w:rFonts w:ascii="仿宋_GB2312" w:hAnsi="宋体" w:eastAsia="仿宋_GB2312" w:cs="微软雅黑"/>
          <w:color w:val="000000"/>
          <w:sz w:val="28"/>
        </w:rPr>
        <w:t>。</w:t>
      </w:r>
    </w:p>
    <w:p w14:paraId="5056EABE">
      <w:pPr>
        <w:widowControl/>
        <w:adjustRightInd w:val="0"/>
        <w:snapToGrid w:val="0"/>
        <w:spacing w:after="3" w:line="360" w:lineRule="auto"/>
        <w:ind w:firstLine="420" w:firstLineChars="200"/>
        <w:rPr>
          <w:rFonts w:ascii="仿宋_GB2312" w:hAnsi="宋体" w:eastAsia="仿宋_GB2312" w:cs="微软雅黑"/>
          <w:color w:val="000000"/>
          <w:sz w:val="28"/>
        </w:rPr>
      </w:pPr>
      <w:r>
        <w:rPr>
          <w:color w:val="000000"/>
        </w:rPr>
        <w:drawing>
          <wp:anchor distT="0" distB="0" distL="114300" distR="114300" simplePos="0" relativeHeight="251668480" behindDoc="0" locked="0" layoutInCell="1" allowOverlap="0">
            <wp:simplePos x="0" y="0"/>
            <wp:positionH relativeFrom="column">
              <wp:posOffset>5384165</wp:posOffset>
            </wp:positionH>
            <wp:positionV relativeFrom="paragraph">
              <wp:posOffset>86360</wp:posOffset>
            </wp:positionV>
            <wp:extent cx="4445" cy="13970"/>
            <wp:effectExtent l="0" t="0" r="8255" b="5080"/>
            <wp:wrapSquare wrapText="bothSides"/>
            <wp:docPr id="22" name="Picture 6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049"/>
                    <pic:cNvPicPr>
                      <a:picLocks noChangeAspect="1"/>
                    </pic:cNvPicPr>
                  </pic:nvPicPr>
                  <pic:blipFill>
                    <a:blip r:embed="rId16"/>
                    <a:stretch>
                      <a:fillRect/>
                    </a:stretch>
                  </pic:blipFill>
                  <pic:spPr>
                    <a:xfrm>
                      <a:off x="0" y="0"/>
                      <a:ext cx="4445" cy="13970"/>
                    </a:xfrm>
                    <a:prstGeom prst="rect">
                      <a:avLst/>
                    </a:prstGeom>
                    <a:noFill/>
                    <a:ln>
                      <a:noFill/>
                    </a:ln>
                  </pic:spPr>
                </pic:pic>
              </a:graphicData>
            </a:graphic>
          </wp:anchor>
        </w:drawing>
      </w:r>
      <w:r>
        <w:rPr>
          <w:rFonts w:ascii="仿宋_GB2312" w:hAnsi="宋体" w:eastAsia="仿宋_GB2312" w:cs="微软雅黑"/>
          <w:color w:val="000000"/>
          <w:sz w:val="28"/>
        </w:rPr>
        <w:t>（</w:t>
      </w:r>
      <w:r>
        <w:rPr>
          <w:rFonts w:hint="eastAsia" w:ascii="仿宋_GB2312" w:hAnsi="宋体" w:eastAsia="仿宋_GB2312" w:cs="微软雅黑"/>
          <w:color w:val="000000"/>
          <w:sz w:val="28"/>
        </w:rPr>
        <w:t>十</w:t>
      </w:r>
      <w:r>
        <w:rPr>
          <w:rFonts w:ascii="仿宋_GB2312" w:hAnsi="宋体" w:eastAsia="仿宋_GB2312" w:cs="微软雅黑"/>
          <w:color w:val="000000"/>
          <w:sz w:val="28"/>
        </w:rPr>
        <w:t>）丙方为甲方提供服务的内容和主要指标要求</w:t>
      </w:r>
      <w:r>
        <w:rPr>
          <w:rFonts w:hint="eastAsia" w:ascii="仿宋_GB2312" w:hAnsi="宋体" w:eastAsia="仿宋_GB2312" w:cs="微软雅黑"/>
          <w:color w:val="000000"/>
          <w:sz w:val="28"/>
        </w:rPr>
        <w:t>按照招标文件细化后作为本协议附件。</w:t>
      </w:r>
    </w:p>
    <w:p w14:paraId="56B6A1BC">
      <w:pPr>
        <w:widowControl/>
        <w:adjustRightInd w:val="0"/>
        <w:snapToGrid w:val="0"/>
        <w:spacing w:before="156" w:beforeLines="50" w:after="156" w:afterLines="50"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（十一）丙方工作未达到甲方要求时，甲方要求整改，整改后仍未达到甲方要求的，甲方可解除本协议，丙方退还全部已收取费用。</w:t>
      </w:r>
    </w:p>
    <w:p w14:paraId="3CEB6F3C">
      <w:pPr>
        <w:widowControl/>
        <w:adjustRightInd w:val="0"/>
        <w:snapToGrid w:val="0"/>
        <w:spacing w:before="156" w:beforeLines="50" w:after="156" w:afterLines="50"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十二）保密责任：未经甲方同意，丙方不得以任何形式将服务内容、成果、数据等信息公开发布、发表、删除、转让，丙方如有上述违规行为，甲方均有权立即解除本协议，并按照本条第九款进行处理。同时甲方有权向法院提起诉讼，通过司法途径解决该问题。</w:t>
      </w:r>
    </w:p>
    <w:p w14:paraId="7FF6FB6F">
      <w:pPr>
        <w:widowControl/>
        <w:adjustRightInd w:val="0"/>
        <w:snapToGrid w:val="0"/>
        <w:spacing w:before="156" w:beforeLines="50" w:after="156" w:afterLines="50" w:line="360" w:lineRule="auto"/>
        <w:ind w:firstLine="560" w:firstLineChars="200"/>
        <w:rPr>
          <w:rFonts w:ascii="仿宋_GB2312" w:hAnsi="宋体" w:eastAsia="仿宋_GB2312" w:cs="微软雅黑"/>
          <w:color w:val="000000"/>
          <w:sz w:val="28"/>
          <w:szCs w:val="28"/>
        </w:rPr>
      </w:pPr>
      <w:r>
        <w:rPr>
          <w:rFonts w:hint="eastAsia" w:ascii="仿宋_GB2312" w:hAnsi="宋体" w:eastAsia="仿宋_GB2312" w:cs="微软雅黑"/>
          <w:color w:val="000000"/>
          <w:sz w:val="28"/>
          <w:szCs w:val="28"/>
        </w:rPr>
        <w:t>（十四）</w:t>
      </w:r>
      <w:r>
        <w:rPr>
          <w:rFonts w:hint="eastAsia" w:ascii="仿宋_GB2312" w:hAnsi="宋体" w:eastAsia="仿宋_GB2312" w:cs="微软雅黑"/>
          <w:color w:val="000000"/>
          <w:sz w:val="28"/>
        </w:rPr>
        <w:t>本合同项下所产生的工作成果及知识产权均归甲方所有。</w:t>
      </w:r>
    </w:p>
    <w:p w14:paraId="623E39D5">
      <w:pPr>
        <w:widowControl/>
        <w:adjustRightInd w:val="0"/>
        <w:snapToGrid w:val="0"/>
        <w:spacing w:before="156" w:beforeLines="50" w:after="156" w:afterLines="50" w:line="360" w:lineRule="auto"/>
        <w:ind w:firstLine="560" w:firstLineChars="200"/>
        <w:rPr>
          <w:rFonts w:ascii="Times New Roman" w:hAnsi="Times New Roman" w:eastAsia="仿宋_GB2312"/>
          <w:color w:val="000000"/>
          <w:sz w:val="28"/>
          <w:szCs w:val="28"/>
          <w:shd w:val="clear" w:color="auto" w:fill="FFFFFF"/>
        </w:rPr>
      </w:pPr>
      <w:r>
        <w:rPr>
          <w:rFonts w:hint="eastAsia" w:ascii="Times New Roman" w:hAnsi="Times New Roman" w:eastAsia="仿宋_GB2312"/>
          <w:color w:val="000000"/>
          <w:sz w:val="28"/>
          <w:szCs w:val="28"/>
          <w:shd w:val="clear" w:color="auto" w:fill="FFFFFF"/>
        </w:rPr>
        <w:t>（十五）合同到期后，丙方应主动撤出相关人员和设备，合同期外所产生的相关费用，或设备的损坏和丢失，甲方概不负责。</w:t>
      </w:r>
    </w:p>
    <w:p w14:paraId="4F09735D">
      <w:pPr>
        <w:widowControl/>
        <w:adjustRightInd w:val="0"/>
        <w:snapToGrid w:val="0"/>
        <w:spacing w:before="156" w:beforeLines="50" w:after="156" w:afterLines="50" w:line="360" w:lineRule="auto"/>
        <w:ind w:firstLine="560" w:firstLineChars="200"/>
        <w:rPr>
          <w:rFonts w:ascii="Times New Roman" w:hAnsi="Times New Roman" w:eastAsia="仿宋_GB2312"/>
          <w:color w:val="000000"/>
          <w:sz w:val="28"/>
          <w:szCs w:val="28"/>
          <w:shd w:val="clear" w:color="auto" w:fill="FFFFFF"/>
        </w:rPr>
      </w:pPr>
      <w:r>
        <w:rPr>
          <w:rFonts w:hint="eastAsia" w:ascii="Times New Roman" w:hAnsi="Times New Roman" w:eastAsia="仿宋_GB2312"/>
          <w:color w:val="000000"/>
          <w:sz w:val="28"/>
          <w:szCs w:val="28"/>
          <w:shd w:val="clear" w:color="auto" w:fill="FFFFFF"/>
        </w:rPr>
        <w:t>（十六）合同签署后1</w:t>
      </w:r>
      <w:r>
        <w:rPr>
          <w:rFonts w:ascii="Times New Roman" w:hAnsi="Times New Roman" w:eastAsia="仿宋_GB2312"/>
          <w:color w:val="000000"/>
          <w:sz w:val="28"/>
          <w:szCs w:val="28"/>
          <w:shd w:val="clear" w:color="auto" w:fill="FFFFFF"/>
        </w:rPr>
        <w:t>5个工作日内</w:t>
      </w:r>
      <w:r>
        <w:rPr>
          <w:rFonts w:hint="eastAsia" w:ascii="Times New Roman" w:hAnsi="Times New Roman" w:eastAsia="仿宋_GB2312"/>
          <w:color w:val="000000"/>
          <w:sz w:val="28"/>
          <w:szCs w:val="28"/>
          <w:shd w:val="clear" w:color="auto" w:fill="FFFFFF"/>
        </w:rPr>
        <w:t>，丙方须向甲方提供合同全款发票及其验真附件。</w:t>
      </w:r>
    </w:p>
    <w:p w14:paraId="378F722D">
      <w:pPr>
        <w:widowControl/>
        <w:adjustRightInd w:val="0"/>
        <w:snapToGrid w:val="0"/>
        <w:spacing w:before="156" w:beforeLines="50" w:after="156" w:afterLines="50" w:line="360" w:lineRule="auto"/>
        <w:ind w:firstLine="562" w:firstLineChars="200"/>
        <w:rPr>
          <w:rFonts w:ascii="Times New Roman" w:hAnsi="Times New Roman" w:eastAsia="仿宋_GB2312"/>
          <w:b/>
          <w:color w:val="000000"/>
          <w:sz w:val="28"/>
          <w:szCs w:val="26"/>
          <w:shd w:val="clear" w:color="auto" w:fill="FFFFFF"/>
        </w:rPr>
      </w:pPr>
      <w:r>
        <w:rPr>
          <w:rFonts w:hint="eastAsia" w:ascii="Times New Roman" w:hAnsi="Times New Roman" w:eastAsia="仿宋_GB2312"/>
          <w:b/>
          <w:color w:val="000000"/>
          <w:sz w:val="28"/>
          <w:szCs w:val="26"/>
          <w:shd w:val="clear" w:color="auto" w:fill="FFFFFF"/>
        </w:rPr>
        <w:t>四</w:t>
      </w:r>
      <w:r>
        <w:rPr>
          <w:rFonts w:ascii="Times New Roman" w:hAnsi="Times New Roman" w:eastAsia="仿宋_GB2312"/>
          <w:b/>
          <w:color w:val="000000"/>
          <w:sz w:val="28"/>
          <w:szCs w:val="26"/>
          <w:shd w:val="clear" w:color="auto" w:fill="FFFFFF"/>
        </w:rPr>
        <w:t>、争议的解决办法</w:t>
      </w:r>
    </w:p>
    <w:p w14:paraId="14DF4605">
      <w:pPr>
        <w:widowControl/>
        <w:adjustRightInd w:val="0"/>
        <w:snapToGrid w:val="0"/>
        <w:spacing w:after="3" w:line="360" w:lineRule="auto"/>
        <w:ind w:firstLine="560" w:firstLineChars="200"/>
        <w:rPr>
          <w:rFonts w:ascii="Times New Roman" w:hAnsi="Times New Roman" w:eastAsia="仿宋_GB2312"/>
          <w:color w:val="000000"/>
          <w:sz w:val="28"/>
          <w:shd w:val="clear" w:color="auto" w:fill="FFFFFF"/>
        </w:rPr>
      </w:pPr>
      <w:r>
        <w:rPr>
          <w:rFonts w:ascii="Times New Roman" w:hAnsi="Times New Roman" w:eastAsia="仿宋_GB2312"/>
          <w:color w:val="000000"/>
          <w:sz w:val="28"/>
          <w:shd w:val="clear" w:color="auto" w:fill="FFFFFF"/>
        </w:rPr>
        <w:t>（一）在合同履行过程中产生的任何争议，</w:t>
      </w:r>
      <w:r>
        <w:rPr>
          <w:rFonts w:hint="eastAsia" w:ascii="Times New Roman" w:hAnsi="Times New Roman" w:eastAsia="仿宋_GB2312"/>
          <w:color w:val="000000"/>
          <w:sz w:val="28"/>
          <w:shd w:val="clear" w:color="auto" w:fill="FFFFFF"/>
        </w:rPr>
        <w:t>三方</w:t>
      </w:r>
      <w:r>
        <w:rPr>
          <w:rFonts w:ascii="Times New Roman" w:hAnsi="Times New Roman" w:eastAsia="仿宋_GB2312"/>
          <w:color w:val="000000"/>
          <w:sz w:val="28"/>
          <w:shd w:val="clear" w:color="auto" w:fill="FFFFFF"/>
        </w:rPr>
        <w:t>应协商解决。</w:t>
      </w:r>
    </w:p>
    <w:p w14:paraId="2D9ABC9D">
      <w:pPr>
        <w:widowControl/>
        <w:adjustRightInd w:val="0"/>
        <w:snapToGrid w:val="0"/>
        <w:spacing w:after="3" w:line="360" w:lineRule="auto"/>
        <w:ind w:firstLine="560" w:firstLineChars="200"/>
        <w:rPr>
          <w:rFonts w:ascii="Times New Roman" w:hAnsi="Times New Roman" w:eastAsia="仿宋_GB2312"/>
          <w:color w:val="000000"/>
          <w:sz w:val="28"/>
          <w:shd w:val="clear" w:color="auto" w:fill="FFFFFF"/>
        </w:rPr>
      </w:pPr>
      <w:r>
        <w:rPr>
          <w:rFonts w:hint="eastAsia" w:ascii="Times New Roman" w:hAnsi="Times New Roman" w:eastAsia="仿宋_GB2312"/>
          <w:color w:val="000000"/>
          <w:sz w:val="28"/>
          <w:shd w:val="clear" w:color="auto" w:fill="FFFFFF"/>
        </w:rPr>
        <w:t>（二）如因不可抗力致协议无法执行，三方均不承担违约责任。</w:t>
      </w:r>
    </w:p>
    <w:p w14:paraId="04A076E2">
      <w:pPr>
        <w:widowControl/>
        <w:adjustRightInd w:val="0"/>
        <w:snapToGrid w:val="0"/>
        <w:spacing w:after="3" w:line="360" w:lineRule="auto"/>
        <w:ind w:firstLine="560" w:firstLineChars="200"/>
        <w:rPr>
          <w:rFonts w:ascii="Times New Roman" w:hAnsi="Times New Roman" w:eastAsia="仿宋_GB2312"/>
          <w:color w:val="000000"/>
          <w:sz w:val="28"/>
          <w:shd w:val="clear" w:color="auto" w:fill="FFFFFF"/>
        </w:rPr>
      </w:pPr>
      <w:r>
        <w:rPr>
          <w:rFonts w:ascii="Times New Roman" w:hAnsi="Times New Roman" w:eastAsia="仿宋_GB2312"/>
          <w:color w:val="000000"/>
          <w:sz w:val="28"/>
          <w:shd w:val="clear" w:color="auto" w:fill="FFFFFF"/>
        </w:rPr>
        <w:t>（</w:t>
      </w:r>
      <w:r>
        <w:rPr>
          <w:rFonts w:hint="eastAsia" w:ascii="Times New Roman" w:hAnsi="Times New Roman" w:eastAsia="仿宋_GB2312"/>
          <w:color w:val="000000"/>
          <w:sz w:val="28"/>
          <w:shd w:val="clear" w:color="auto" w:fill="FFFFFF"/>
        </w:rPr>
        <w:t>三</w:t>
      </w:r>
      <w:r>
        <w:rPr>
          <w:rFonts w:ascii="Times New Roman" w:hAnsi="Times New Roman" w:eastAsia="仿宋_GB2312"/>
          <w:color w:val="000000"/>
          <w:sz w:val="28"/>
          <w:shd w:val="clear" w:color="auto" w:fill="FFFFFF"/>
        </w:rPr>
        <w:t>）通过甲</w:t>
      </w:r>
      <w:r>
        <w:rPr>
          <w:rFonts w:hint="eastAsia" w:ascii="Times New Roman" w:hAnsi="Times New Roman" w:eastAsia="仿宋_GB2312"/>
          <w:color w:val="000000"/>
          <w:sz w:val="28"/>
          <w:shd w:val="clear" w:color="auto" w:fill="FFFFFF"/>
        </w:rPr>
        <w:t>、</w:t>
      </w:r>
      <w:r>
        <w:rPr>
          <w:rFonts w:ascii="Times New Roman" w:hAnsi="Times New Roman" w:eastAsia="仿宋_GB2312"/>
          <w:color w:val="000000"/>
          <w:sz w:val="28"/>
          <w:shd w:val="clear" w:color="auto" w:fill="FFFFFF"/>
        </w:rPr>
        <w:t>乙</w:t>
      </w:r>
      <w:r>
        <w:rPr>
          <w:rFonts w:hint="eastAsia" w:ascii="Times New Roman" w:hAnsi="Times New Roman" w:eastAsia="仿宋_GB2312"/>
          <w:color w:val="000000"/>
          <w:sz w:val="28"/>
          <w:shd w:val="clear" w:color="auto" w:fill="FFFFFF"/>
        </w:rPr>
        <w:t>、</w:t>
      </w:r>
      <w:r>
        <w:rPr>
          <w:rFonts w:ascii="Times New Roman" w:hAnsi="Times New Roman" w:eastAsia="仿宋_GB2312"/>
          <w:color w:val="000000"/>
          <w:sz w:val="28"/>
          <w:shd w:val="clear" w:color="auto" w:fill="FFFFFF"/>
        </w:rPr>
        <w:t>丙</w:t>
      </w:r>
      <w:r>
        <w:rPr>
          <w:rFonts w:hint="eastAsia" w:ascii="Times New Roman" w:hAnsi="Times New Roman" w:eastAsia="仿宋_GB2312"/>
          <w:color w:val="000000"/>
          <w:sz w:val="28"/>
          <w:shd w:val="clear" w:color="auto" w:fill="FFFFFF"/>
        </w:rPr>
        <w:t>三方</w:t>
      </w:r>
      <w:r>
        <w:rPr>
          <w:rFonts w:ascii="Times New Roman" w:hAnsi="Times New Roman" w:eastAsia="仿宋_GB2312"/>
          <w:color w:val="000000"/>
          <w:sz w:val="28"/>
          <w:shd w:val="clear" w:color="auto" w:fill="FFFFFF"/>
        </w:rPr>
        <w:t>协商不能解决争议，甲</w:t>
      </w:r>
      <w:r>
        <w:rPr>
          <w:rFonts w:hint="eastAsia" w:ascii="Times New Roman" w:hAnsi="Times New Roman" w:eastAsia="仿宋_GB2312"/>
          <w:color w:val="000000"/>
          <w:sz w:val="28"/>
          <w:shd w:val="clear" w:color="auto" w:fill="FFFFFF"/>
        </w:rPr>
        <w:t>、</w:t>
      </w:r>
      <w:r>
        <w:rPr>
          <w:rFonts w:ascii="Times New Roman" w:hAnsi="Times New Roman" w:eastAsia="仿宋_GB2312"/>
          <w:color w:val="000000"/>
          <w:sz w:val="28"/>
          <w:shd w:val="clear" w:color="auto" w:fill="FFFFFF"/>
        </w:rPr>
        <w:t>乙</w:t>
      </w:r>
      <w:r>
        <w:rPr>
          <w:rFonts w:hint="eastAsia" w:ascii="Times New Roman" w:hAnsi="Times New Roman" w:eastAsia="仿宋_GB2312"/>
          <w:color w:val="000000"/>
          <w:sz w:val="28"/>
          <w:shd w:val="clear" w:color="auto" w:fill="FFFFFF"/>
        </w:rPr>
        <w:t>、</w:t>
      </w:r>
      <w:r>
        <w:rPr>
          <w:rFonts w:ascii="Times New Roman" w:hAnsi="Times New Roman" w:eastAsia="仿宋_GB2312"/>
          <w:color w:val="000000"/>
          <w:sz w:val="28"/>
          <w:shd w:val="clear" w:color="auto" w:fill="FFFFFF"/>
        </w:rPr>
        <w:t>丙</w:t>
      </w:r>
      <w:r>
        <w:rPr>
          <w:rFonts w:hint="eastAsia" w:ascii="Times New Roman" w:hAnsi="Times New Roman" w:eastAsia="仿宋_GB2312"/>
          <w:color w:val="000000"/>
          <w:sz w:val="28"/>
          <w:shd w:val="clear" w:color="auto" w:fill="FFFFFF"/>
        </w:rPr>
        <w:t>三方</w:t>
      </w:r>
      <w:r>
        <w:rPr>
          <w:rFonts w:ascii="Times New Roman" w:hAnsi="Times New Roman" w:eastAsia="仿宋_GB2312"/>
          <w:color w:val="000000"/>
          <w:sz w:val="28"/>
          <w:shd w:val="clear" w:color="auto" w:fill="FFFFFF"/>
        </w:rPr>
        <w:t>均可向甲方所在地人民法院提起诉讼。</w:t>
      </w:r>
    </w:p>
    <w:p w14:paraId="6BBAC550">
      <w:pPr>
        <w:widowControl/>
        <w:adjustRightInd w:val="0"/>
        <w:snapToGrid w:val="0"/>
        <w:spacing w:before="156" w:beforeLines="50" w:after="156" w:afterLines="50" w:line="360" w:lineRule="auto"/>
        <w:ind w:firstLine="562" w:firstLineChars="200"/>
        <w:rPr>
          <w:rFonts w:ascii="Times New Roman" w:hAnsi="Times New Roman" w:eastAsia="仿宋_GB2312"/>
          <w:b/>
          <w:color w:val="000000"/>
          <w:sz w:val="28"/>
          <w:szCs w:val="26"/>
          <w:shd w:val="clear" w:color="auto" w:fill="FFFFFF"/>
        </w:rPr>
      </w:pPr>
      <w:r>
        <w:rPr>
          <w:rFonts w:hint="eastAsia" w:ascii="Times New Roman" w:hAnsi="Times New Roman" w:eastAsia="仿宋_GB2312"/>
          <w:b/>
          <w:color w:val="000000"/>
          <w:sz w:val="28"/>
          <w:szCs w:val="26"/>
          <w:shd w:val="clear" w:color="auto" w:fill="FFFFFF"/>
        </w:rPr>
        <w:t>五</w:t>
      </w:r>
      <w:r>
        <w:rPr>
          <w:rFonts w:ascii="Times New Roman" w:hAnsi="Times New Roman" w:eastAsia="仿宋_GB2312"/>
          <w:b/>
          <w:color w:val="000000"/>
          <w:sz w:val="28"/>
          <w:szCs w:val="26"/>
          <w:shd w:val="clear" w:color="auto" w:fill="FFFFFF"/>
        </w:rPr>
        <w:t>、本合同有效期限：</w:t>
      </w:r>
      <w:r>
        <w:rPr>
          <w:rFonts w:ascii="Times New Roman" w:hAnsi="Times New Roman" w:eastAsia="仿宋_GB2312"/>
          <w:b/>
          <w:color w:val="000000"/>
          <w:sz w:val="28"/>
          <w:szCs w:val="26"/>
          <w:u w:val="single"/>
          <w:shd w:val="clear" w:color="auto" w:fill="FFFFFF"/>
        </w:rPr>
        <w:t>202</w:t>
      </w:r>
      <w:r>
        <w:rPr>
          <w:rFonts w:hint="eastAsia" w:ascii="Times New Roman" w:hAnsi="Times New Roman" w:eastAsia="仿宋_GB2312"/>
          <w:b/>
          <w:color w:val="000000"/>
          <w:sz w:val="28"/>
          <w:szCs w:val="26"/>
          <w:u w:val="single"/>
          <w:shd w:val="clear" w:color="auto" w:fill="FFFFFF"/>
          <w:lang w:val="en-US" w:eastAsia="zh-CN"/>
        </w:rPr>
        <w:t>5</w:t>
      </w:r>
      <w:r>
        <w:rPr>
          <w:rFonts w:ascii="Times New Roman" w:hAnsi="Times New Roman" w:eastAsia="仿宋_GB2312"/>
          <w:b/>
          <w:color w:val="000000"/>
          <w:sz w:val="28"/>
          <w:szCs w:val="26"/>
          <w:shd w:val="clear" w:color="auto" w:fill="FFFFFF"/>
        </w:rPr>
        <w:t>年</w:t>
      </w:r>
      <w:r>
        <w:rPr>
          <w:rFonts w:ascii="Times New Roman" w:hAnsi="Times New Roman" w:eastAsia="仿宋_GB2312"/>
          <w:b/>
          <w:color w:val="000000"/>
          <w:sz w:val="28"/>
          <w:szCs w:val="26"/>
          <w:u w:val="single"/>
          <w:shd w:val="clear" w:color="auto" w:fill="FFFFFF"/>
        </w:rPr>
        <w:t xml:space="preserve"> </w:t>
      </w:r>
      <w:r>
        <w:rPr>
          <w:rFonts w:ascii="Times New Roman" w:hAnsi="Times New Roman" w:eastAsia="仿宋_GB2312"/>
          <w:b/>
          <w:color w:val="000000"/>
          <w:sz w:val="28"/>
          <w:szCs w:val="26"/>
          <w:shd w:val="clear" w:color="auto" w:fill="FFFFFF"/>
        </w:rPr>
        <w:t>月</w:t>
      </w:r>
      <w:r>
        <w:rPr>
          <w:rFonts w:hint="eastAsia" w:ascii="Times New Roman" w:hAnsi="Times New Roman" w:eastAsia="仿宋_GB2312"/>
          <w:b/>
          <w:color w:val="000000"/>
          <w:sz w:val="28"/>
          <w:szCs w:val="26"/>
          <w:u w:val="single"/>
          <w:shd w:val="clear" w:color="auto" w:fill="FFFFFF"/>
        </w:rPr>
        <w:t xml:space="preserve"> </w:t>
      </w:r>
      <w:r>
        <w:rPr>
          <w:rFonts w:ascii="Times New Roman" w:hAnsi="Times New Roman" w:eastAsia="仿宋_GB2312"/>
          <w:b/>
          <w:color w:val="000000"/>
          <w:sz w:val="28"/>
          <w:szCs w:val="26"/>
          <w:shd w:val="clear" w:color="auto" w:fill="FFFFFF"/>
        </w:rPr>
        <w:t>日至</w:t>
      </w:r>
      <w:r>
        <w:rPr>
          <w:rFonts w:ascii="Times New Roman" w:hAnsi="Times New Roman" w:eastAsia="仿宋_GB2312"/>
          <w:b/>
          <w:color w:val="000000"/>
          <w:sz w:val="28"/>
          <w:szCs w:val="26"/>
          <w:u w:val="single"/>
          <w:shd w:val="clear" w:color="auto" w:fill="FFFFFF"/>
        </w:rPr>
        <w:t>202</w:t>
      </w:r>
      <w:r>
        <w:rPr>
          <w:rFonts w:hint="eastAsia" w:ascii="Times New Roman" w:hAnsi="Times New Roman" w:eastAsia="仿宋_GB2312"/>
          <w:b/>
          <w:color w:val="000000"/>
          <w:sz w:val="28"/>
          <w:szCs w:val="26"/>
          <w:u w:val="single"/>
          <w:shd w:val="clear" w:color="auto" w:fill="FFFFFF"/>
        </w:rPr>
        <w:t>5</w:t>
      </w:r>
      <w:r>
        <w:rPr>
          <w:rFonts w:ascii="Times New Roman" w:hAnsi="Times New Roman" w:eastAsia="仿宋_GB2312"/>
          <w:b/>
          <w:color w:val="000000"/>
          <w:sz w:val="28"/>
          <w:szCs w:val="26"/>
          <w:shd w:val="clear" w:color="auto" w:fill="FFFFFF"/>
        </w:rPr>
        <w:t>年</w:t>
      </w:r>
      <w:r>
        <w:rPr>
          <w:rFonts w:hint="eastAsia" w:ascii="Times New Roman" w:hAnsi="Times New Roman" w:eastAsia="仿宋_GB2312"/>
          <w:b/>
          <w:color w:val="000000"/>
          <w:sz w:val="28"/>
          <w:szCs w:val="26"/>
          <w:shd w:val="clear" w:color="auto" w:fill="FFFFFF"/>
          <w:lang w:val="en-US" w:eastAsia="zh-CN"/>
        </w:rPr>
        <w:t>12</w:t>
      </w:r>
      <w:r>
        <w:rPr>
          <w:rFonts w:ascii="Times New Roman" w:hAnsi="Times New Roman" w:eastAsia="仿宋_GB2312"/>
          <w:b/>
          <w:color w:val="000000"/>
          <w:sz w:val="28"/>
          <w:szCs w:val="26"/>
          <w:shd w:val="clear" w:color="auto" w:fill="FFFFFF"/>
        </w:rPr>
        <w:t>月</w:t>
      </w:r>
      <w:r>
        <w:rPr>
          <w:rFonts w:hint="eastAsia" w:ascii="Times New Roman" w:hAnsi="Times New Roman" w:eastAsia="仿宋_GB2312"/>
          <w:b/>
          <w:color w:val="000000"/>
          <w:sz w:val="28"/>
          <w:szCs w:val="26"/>
          <w:shd w:val="clear" w:color="auto" w:fill="FFFFFF"/>
          <w:lang w:val="en-US" w:eastAsia="zh-CN"/>
        </w:rPr>
        <w:t>31</w:t>
      </w:r>
      <w:r>
        <w:rPr>
          <w:rFonts w:ascii="Times New Roman" w:hAnsi="Times New Roman" w:eastAsia="仿宋_GB2312"/>
          <w:b/>
          <w:color w:val="000000"/>
          <w:sz w:val="28"/>
          <w:szCs w:val="26"/>
          <w:shd w:val="clear" w:color="auto" w:fill="FFFFFF"/>
        </w:rPr>
        <w:t>日</w:t>
      </w:r>
      <w:r>
        <w:rPr>
          <w:rFonts w:ascii="Times New Roman" w:hAnsi="Times New Roman" w:eastAsia="仿宋_GB2312"/>
          <w:b/>
          <w:color w:val="000000"/>
          <w:sz w:val="28"/>
          <w:szCs w:val="26"/>
          <w:shd w:val="clear" w:color="auto" w:fill="FFFFFF"/>
        </w:rPr>
        <w:drawing>
          <wp:inline distT="0" distB="0" distL="114300" distR="114300">
            <wp:extent cx="9525" cy="9525"/>
            <wp:effectExtent l="0" t="0" r="0" b="0"/>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17"/>
                    <a:stretch>
                      <a:fillRect/>
                    </a:stretch>
                  </pic:blipFill>
                  <pic:spPr>
                    <a:xfrm>
                      <a:off x="0" y="0"/>
                      <a:ext cx="9525" cy="9525"/>
                    </a:xfrm>
                    <a:prstGeom prst="rect">
                      <a:avLst/>
                    </a:prstGeom>
                    <a:noFill/>
                    <a:ln>
                      <a:noFill/>
                    </a:ln>
                  </pic:spPr>
                </pic:pic>
              </a:graphicData>
            </a:graphic>
          </wp:inline>
        </w:drawing>
      </w:r>
    </w:p>
    <w:p w14:paraId="7EA135A8">
      <w:pPr>
        <w:widowControl/>
        <w:adjustRightInd w:val="0"/>
        <w:snapToGrid w:val="0"/>
        <w:spacing w:before="156" w:beforeLines="50" w:after="156" w:afterLines="50" w:line="360" w:lineRule="auto"/>
        <w:ind w:firstLine="560" w:firstLineChars="200"/>
        <w:rPr>
          <w:rFonts w:ascii="Times New Roman" w:hAnsi="Times New Roman" w:eastAsia="仿宋_GB2312"/>
          <w:color w:val="000000"/>
          <w:sz w:val="28"/>
          <w:shd w:val="clear" w:color="auto" w:fill="FFFFFF"/>
        </w:rPr>
      </w:pPr>
      <w:r>
        <w:rPr>
          <w:rFonts w:ascii="Times New Roman" w:hAnsi="Times New Roman" w:eastAsia="仿宋_GB2312"/>
          <w:color w:val="000000"/>
          <w:sz w:val="28"/>
          <w:shd w:val="clear" w:color="auto" w:fill="FFFFFF"/>
        </w:rPr>
        <w:t>本合同正式文本一式</w:t>
      </w:r>
      <w:r>
        <w:rPr>
          <w:rFonts w:hint="eastAsia" w:ascii="Times New Roman" w:hAnsi="Times New Roman" w:eastAsia="仿宋_GB2312"/>
          <w:color w:val="000000"/>
          <w:sz w:val="28"/>
          <w:shd w:val="clear" w:color="auto" w:fill="FFFFFF"/>
        </w:rPr>
        <w:t>三</w:t>
      </w:r>
      <w:r>
        <w:rPr>
          <w:rFonts w:ascii="Times New Roman" w:hAnsi="Times New Roman" w:eastAsia="仿宋_GB2312"/>
          <w:color w:val="000000"/>
          <w:sz w:val="28"/>
          <w:shd w:val="clear" w:color="auto" w:fill="FFFFFF"/>
        </w:rPr>
        <w:t>份，甲方</w:t>
      </w:r>
      <w:r>
        <w:rPr>
          <w:rFonts w:hint="eastAsia" w:ascii="Times New Roman" w:hAnsi="Times New Roman" w:eastAsia="仿宋_GB2312"/>
          <w:color w:val="000000"/>
          <w:sz w:val="28"/>
          <w:shd w:val="clear" w:color="auto" w:fill="FFFFFF"/>
        </w:rPr>
        <w:t>一</w:t>
      </w:r>
      <w:r>
        <w:rPr>
          <w:rFonts w:ascii="Times New Roman" w:hAnsi="Times New Roman" w:eastAsia="仿宋_GB2312"/>
          <w:color w:val="000000"/>
          <w:sz w:val="28"/>
          <w:shd w:val="clear" w:color="auto" w:fill="FFFFFF"/>
        </w:rPr>
        <w:t>份</w:t>
      </w:r>
      <w:r>
        <w:rPr>
          <w:rFonts w:hint="eastAsia" w:ascii="Times New Roman" w:hAnsi="Times New Roman" w:eastAsia="仿宋_GB2312"/>
          <w:color w:val="000000"/>
          <w:sz w:val="28"/>
          <w:shd w:val="clear" w:color="auto" w:fill="FFFFFF"/>
        </w:rPr>
        <w:t>、乙方一份、</w:t>
      </w:r>
      <w:r>
        <w:rPr>
          <w:rFonts w:ascii="Times New Roman" w:hAnsi="Times New Roman" w:eastAsia="仿宋_GB2312"/>
          <w:color w:val="000000"/>
          <w:sz w:val="28"/>
          <w:shd w:val="clear" w:color="auto" w:fill="FFFFFF"/>
        </w:rPr>
        <w:t>丙方一份。</w:t>
      </w:r>
      <w:r>
        <w:rPr>
          <w:rFonts w:ascii="Times New Roman" w:hAnsi="Times New Roman" w:eastAsia="仿宋_GB2312"/>
          <w:color w:val="000000"/>
          <w:sz w:val="28"/>
          <w:shd w:val="clear" w:color="auto" w:fill="FFFFFF"/>
        </w:rPr>
        <w:drawing>
          <wp:inline distT="0" distB="0" distL="114300" distR="114300">
            <wp:extent cx="9525" cy="9525"/>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pic:cNvPicPr>
                      <a:picLocks noChangeAspect="1"/>
                    </pic:cNvPicPr>
                  </pic:nvPicPr>
                  <pic:blipFill>
                    <a:blip r:embed="rId18"/>
                    <a:stretch>
                      <a:fillRect/>
                    </a:stretch>
                  </pic:blipFill>
                  <pic:spPr>
                    <a:xfrm>
                      <a:off x="0" y="0"/>
                      <a:ext cx="9525" cy="9525"/>
                    </a:xfrm>
                    <a:prstGeom prst="rect">
                      <a:avLst/>
                    </a:prstGeom>
                    <a:noFill/>
                    <a:ln>
                      <a:noFill/>
                    </a:ln>
                  </pic:spPr>
                </pic:pic>
              </a:graphicData>
            </a:graphic>
          </wp:inline>
        </w:drawing>
      </w:r>
    </w:p>
    <w:p w14:paraId="43E406F7">
      <w:pPr>
        <w:widowControl/>
        <w:adjustRightInd w:val="0"/>
        <w:snapToGrid w:val="0"/>
        <w:spacing w:before="156" w:beforeLines="50" w:after="156" w:afterLines="50" w:line="360" w:lineRule="auto"/>
        <w:rPr>
          <w:rFonts w:ascii="Times New Roman" w:hAnsi="Times New Roman" w:eastAsia="仿宋_GB2312"/>
          <w:b/>
          <w:color w:val="000000"/>
          <w:sz w:val="28"/>
          <w:szCs w:val="26"/>
          <w:shd w:val="clear" w:color="auto" w:fill="FFFFFF"/>
        </w:rPr>
      </w:pPr>
    </w:p>
    <w:p w14:paraId="7D11DDE6">
      <w:pPr>
        <w:widowControl/>
        <w:adjustRightInd w:val="0"/>
        <w:snapToGrid w:val="0"/>
        <w:spacing w:before="156" w:beforeLines="50" w:after="156" w:afterLines="50" w:line="360" w:lineRule="auto"/>
        <w:rPr>
          <w:rFonts w:ascii="Times New Roman" w:hAnsi="Times New Roman" w:eastAsia="仿宋_GB2312"/>
          <w:b/>
          <w:color w:val="000000"/>
          <w:sz w:val="28"/>
          <w:szCs w:val="26"/>
          <w:shd w:val="clear" w:color="auto" w:fill="FFFFFF"/>
        </w:rPr>
      </w:pPr>
    </w:p>
    <w:p w14:paraId="6D3FCADD">
      <w:pPr>
        <w:widowControl/>
        <w:adjustRightInd w:val="0"/>
        <w:snapToGrid w:val="0"/>
        <w:spacing w:before="156" w:beforeLines="50" w:after="156" w:afterLines="50" w:line="360" w:lineRule="auto"/>
        <w:rPr>
          <w:rFonts w:ascii="Times New Roman" w:hAnsi="Times New Roman" w:eastAsia="仿宋_GB2312"/>
          <w:b/>
          <w:color w:val="000000"/>
          <w:sz w:val="28"/>
          <w:szCs w:val="26"/>
          <w:shd w:val="clear" w:color="auto" w:fill="FFFFFF"/>
        </w:rPr>
      </w:pPr>
    </w:p>
    <w:p w14:paraId="3811AB20">
      <w:pPr>
        <w:widowControl/>
        <w:adjustRightInd w:val="0"/>
        <w:snapToGrid w:val="0"/>
        <w:spacing w:before="156" w:beforeLines="50" w:after="156" w:afterLines="50" w:line="360" w:lineRule="auto"/>
        <w:rPr>
          <w:rFonts w:ascii="Times New Roman" w:hAnsi="Times New Roman" w:eastAsia="仿宋_GB2312"/>
          <w:b/>
          <w:color w:val="000000"/>
          <w:sz w:val="28"/>
          <w:szCs w:val="26"/>
          <w:shd w:val="clear" w:color="auto" w:fill="FFFFFF"/>
        </w:rPr>
      </w:pPr>
    </w:p>
    <w:p w14:paraId="4A83DBF8">
      <w:pPr>
        <w:widowControl/>
        <w:adjustRightInd w:val="0"/>
        <w:snapToGrid w:val="0"/>
        <w:spacing w:before="156" w:beforeLines="50" w:after="156" w:afterLines="50" w:line="360" w:lineRule="auto"/>
        <w:rPr>
          <w:rFonts w:ascii="Times New Roman" w:hAnsi="Times New Roman" w:eastAsia="仿宋_GB2312"/>
          <w:b/>
          <w:color w:val="000000"/>
          <w:sz w:val="28"/>
          <w:szCs w:val="26"/>
          <w:shd w:val="clear" w:color="auto" w:fill="FFFFFF"/>
        </w:rPr>
      </w:pPr>
    </w:p>
    <w:p w14:paraId="6FA50789">
      <w:pPr>
        <w:widowControl/>
        <w:adjustRightInd w:val="0"/>
        <w:snapToGrid w:val="0"/>
        <w:spacing w:line="432" w:lineRule="auto"/>
        <w:jc w:val="left"/>
        <w:rPr>
          <w:rFonts w:ascii="Times New Roman" w:hAnsi="Times New Roman" w:eastAsia="仿宋_GB2312"/>
          <w:color w:val="000000"/>
          <w:sz w:val="26"/>
          <w:szCs w:val="26"/>
          <w:shd w:val="clear" w:color="auto" w:fill="FFFFFF"/>
        </w:rPr>
      </w:pPr>
      <w:r>
        <w:rPr>
          <w:rFonts w:ascii="Times New Roman" w:hAnsi="Times New Roman" w:eastAsia="仿宋_GB2312"/>
          <w:color w:val="000000"/>
          <w:sz w:val="26"/>
          <w:szCs w:val="26"/>
          <w:shd w:val="clear" w:color="auto" w:fill="FFFFFF"/>
        </w:rPr>
        <w:t>服务购买单位（甲方）：</w:t>
      </w:r>
      <w:r>
        <w:rPr>
          <w:rFonts w:ascii="Times New Roman" w:hAnsi="Times New Roman" w:eastAsia="仿宋_GB2312"/>
          <w:color w:val="000000"/>
          <w:sz w:val="26"/>
          <w:szCs w:val="26"/>
          <w:highlight w:val="yellow"/>
          <w:shd w:val="clear" w:color="auto" w:fill="FFFFFF"/>
        </w:rPr>
        <w:t>中国</w:t>
      </w:r>
      <w:r>
        <w:rPr>
          <w:rFonts w:hint="eastAsia" w:ascii="Times New Roman" w:hAnsi="Times New Roman" w:eastAsia="仿宋_GB2312"/>
          <w:color w:val="000000"/>
          <w:sz w:val="26"/>
          <w:szCs w:val="26"/>
          <w:highlight w:val="yellow"/>
          <w:shd w:val="clear" w:color="auto" w:fill="FFFFFF"/>
        </w:rPr>
        <w:t>棒球</w:t>
      </w:r>
      <w:r>
        <w:rPr>
          <w:rFonts w:ascii="Times New Roman" w:hAnsi="Times New Roman" w:eastAsia="仿宋_GB2312"/>
          <w:color w:val="000000"/>
          <w:sz w:val="26"/>
          <w:szCs w:val="26"/>
          <w:highlight w:val="yellow"/>
          <w:shd w:val="clear" w:color="auto" w:fill="FFFFFF"/>
        </w:rPr>
        <w:t>协会</w:t>
      </w:r>
      <w:r>
        <w:rPr>
          <w:rFonts w:ascii="Times New Roman" w:hAnsi="Times New Roman" w:eastAsia="仿宋_GB2312"/>
          <w:color w:val="000000"/>
          <w:sz w:val="26"/>
          <w:szCs w:val="26"/>
          <w:shd w:val="clear" w:color="auto" w:fill="FFFFFF"/>
        </w:rPr>
        <w:t xml:space="preserve">               </w:t>
      </w:r>
      <w:r>
        <w:rPr>
          <w:rFonts w:hint="eastAsia" w:ascii="Times New Roman" w:hAnsi="Times New Roman" w:eastAsia="仿宋_GB2312"/>
          <w:color w:val="000000"/>
          <w:sz w:val="26"/>
          <w:szCs w:val="26"/>
          <w:shd w:val="clear" w:color="auto" w:fill="FFFFFF"/>
          <w:lang w:eastAsia="zh-CN"/>
        </w:rPr>
        <w:t>（</w:t>
      </w:r>
      <w:r>
        <w:rPr>
          <w:rFonts w:ascii="Times New Roman" w:hAnsi="Times New Roman" w:eastAsia="仿宋_GB2312"/>
          <w:color w:val="000000"/>
          <w:sz w:val="26"/>
          <w:szCs w:val="26"/>
          <w:shd w:val="clear" w:color="auto" w:fill="FFFFFF"/>
        </w:rPr>
        <w:t>公   章</w:t>
      </w:r>
      <w:r>
        <w:rPr>
          <w:rFonts w:hint="eastAsia" w:ascii="Times New Roman" w:hAnsi="Times New Roman" w:eastAsia="仿宋_GB2312"/>
          <w:color w:val="000000"/>
          <w:sz w:val="26"/>
          <w:szCs w:val="26"/>
          <w:shd w:val="clear" w:color="auto" w:fill="FFFFFF"/>
          <w:lang w:eastAsia="zh-CN"/>
        </w:rPr>
        <w:t>）</w:t>
      </w:r>
    </w:p>
    <w:p w14:paraId="6182B3A3">
      <w:pPr>
        <w:widowControl/>
        <w:adjustRightInd w:val="0"/>
        <w:snapToGrid w:val="0"/>
        <w:spacing w:line="432" w:lineRule="auto"/>
        <w:jc w:val="left"/>
        <w:rPr>
          <w:rFonts w:ascii="Times New Roman" w:hAnsi="Times New Roman" w:eastAsia="仿宋_GB2312"/>
          <w:color w:val="000000"/>
          <w:sz w:val="26"/>
          <w:szCs w:val="26"/>
          <w:shd w:val="clear" w:color="auto" w:fill="FFFFFF"/>
        </w:rPr>
      </w:pPr>
      <w:r>
        <w:rPr>
          <w:rFonts w:ascii="Times New Roman" w:hAnsi="Times New Roman" w:eastAsia="仿宋_GB2312"/>
          <w:color w:val="000000"/>
          <w:sz w:val="26"/>
          <w:szCs w:val="26"/>
          <w:shd w:val="clear" w:color="auto" w:fill="FFFFFF"/>
        </w:rPr>
        <w:t>单位负责人</w:t>
      </w:r>
      <w:r>
        <w:rPr>
          <w:rFonts w:hint="eastAsia" w:ascii="Times New Roman" w:hAnsi="Times New Roman" w:eastAsia="仿宋_GB2312"/>
          <w:color w:val="000000"/>
          <w:sz w:val="26"/>
          <w:szCs w:val="26"/>
          <w:shd w:val="clear" w:color="auto" w:fill="FFFFFF"/>
          <w:lang w:eastAsia="zh-CN"/>
        </w:rPr>
        <w:t>：</w:t>
      </w:r>
      <w:r>
        <w:rPr>
          <w:rFonts w:ascii="Times New Roman" w:hAnsi="Times New Roman" w:eastAsia="仿宋_GB2312"/>
          <w:color w:val="000000"/>
          <w:sz w:val="26"/>
          <w:szCs w:val="26"/>
          <w:shd w:val="clear" w:color="auto" w:fill="FFFFFF"/>
        </w:rPr>
        <w:t xml:space="preserve">                                       年   月   日</w:t>
      </w:r>
    </w:p>
    <w:p w14:paraId="6A927D45">
      <w:pPr>
        <w:widowControl/>
        <w:spacing w:after="194" w:line="440" w:lineRule="exact"/>
        <w:jc w:val="left"/>
        <w:rPr>
          <w:rFonts w:ascii="Times New Roman" w:hAnsi="Times New Roman" w:eastAsia="仿宋_GB2312"/>
          <w:color w:val="000000"/>
          <w:sz w:val="26"/>
          <w:szCs w:val="26"/>
          <w:shd w:val="clear" w:color="auto" w:fill="FFFFFF"/>
        </w:rPr>
      </w:pPr>
    </w:p>
    <w:p w14:paraId="435C3A37">
      <w:pPr>
        <w:widowControl/>
        <w:spacing w:after="194" w:line="440" w:lineRule="exact"/>
        <w:jc w:val="left"/>
        <w:rPr>
          <w:rFonts w:ascii="Times New Roman" w:hAnsi="Times New Roman" w:eastAsia="仿宋_GB2312"/>
          <w:color w:val="000000"/>
          <w:sz w:val="26"/>
          <w:szCs w:val="26"/>
          <w:shd w:val="clear" w:color="auto" w:fill="FFFFFF"/>
        </w:rPr>
      </w:pPr>
    </w:p>
    <w:p w14:paraId="45ABBF41">
      <w:pPr>
        <w:adjustRightInd w:val="0"/>
        <w:snapToGrid w:val="0"/>
        <w:spacing w:line="432" w:lineRule="auto"/>
        <w:jc w:val="left"/>
        <w:rPr>
          <w:rFonts w:ascii="Times New Roman" w:hAnsi="Times New Roman" w:eastAsia="仿宋_GB2312"/>
          <w:color w:val="000000"/>
          <w:sz w:val="26"/>
          <w:szCs w:val="26"/>
          <w:shd w:val="clear" w:color="auto" w:fill="FFFFFF"/>
        </w:rPr>
      </w:pPr>
      <w:r>
        <w:rPr>
          <w:rFonts w:hint="eastAsia" w:ascii="Times New Roman" w:hAnsi="Times New Roman" w:eastAsia="仿宋_GB2312"/>
          <w:color w:val="000000"/>
          <w:sz w:val="26"/>
          <w:szCs w:val="26"/>
          <w:shd w:val="clear" w:color="auto" w:fill="FFFFFF"/>
        </w:rPr>
        <w:t>服务付款单位（乙方）：</w:t>
      </w:r>
      <w:r>
        <w:rPr>
          <w:rFonts w:hint="eastAsia" w:ascii="Times New Roman" w:hAnsi="Times New Roman" w:eastAsia="仿宋_GB2312"/>
          <w:color w:val="000000"/>
          <w:sz w:val="26"/>
          <w:szCs w:val="26"/>
          <w:highlight w:val="yellow"/>
          <w:shd w:val="clear" w:color="auto" w:fill="FFFFFF"/>
        </w:rPr>
        <w:t>国家体育总局手曲棒垒球运动管理中心</w:t>
      </w:r>
      <w:r>
        <w:rPr>
          <w:rFonts w:hint="eastAsia" w:ascii="Times New Roman" w:hAnsi="Times New Roman" w:eastAsia="仿宋_GB2312"/>
          <w:color w:val="000000"/>
          <w:sz w:val="26"/>
          <w:szCs w:val="26"/>
          <w:shd w:val="clear" w:color="auto" w:fill="FFFFFF"/>
        </w:rPr>
        <w:t xml:space="preserve">（盖 </w:t>
      </w:r>
      <w:r>
        <w:rPr>
          <w:rFonts w:ascii="Times New Roman" w:hAnsi="Times New Roman" w:eastAsia="仿宋_GB2312"/>
          <w:color w:val="000000"/>
          <w:sz w:val="26"/>
          <w:szCs w:val="26"/>
          <w:shd w:val="clear" w:color="auto" w:fill="FFFFFF"/>
        </w:rPr>
        <w:t xml:space="preserve">   </w:t>
      </w:r>
      <w:r>
        <w:rPr>
          <w:rFonts w:hint="eastAsia" w:ascii="Times New Roman" w:hAnsi="Times New Roman" w:eastAsia="仿宋_GB2312"/>
          <w:color w:val="000000"/>
          <w:sz w:val="26"/>
          <w:szCs w:val="26"/>
          <w:shd w:val="clear" w:color="auto" w:fill="FFFFFF"/>
        </w:rPr>
        <w:t>章）</w:t>
      </w:r>
    </w:p>
    <w:p w14:paraId="70872F9B">
      <w:pPr>
        <w:widowControl/>
        <w:adjustRightInd w:val="0"/>
        <w:snapToGrid w:val="0"/>
        <w:spacing w:line="432" w:lineRule="auto"/>
        <w:jc w:val="left"/>
        <w:rPr>
          <w:rFonts w:ascii="Times New Roman" w:hAnsi="Times New Roman" w:eastAsia="仿宋_GB2312"/>
          <w:color w:val="000000"/>
          <w:sz w:val="26"/>
          <w:szCs w:val="26"/>
          <w:shd w:val="clear" w:color="auto" w:fill="FFFFFF"/>
        </w:rPr>
      </w:pPr>
      <w:r>
        <w:rPr>
          <w:rFonts w:hint="eastAsia" w:ascii="Times New Roman" w:hAnsi="Times New Roman" w:eastAsia="仿宋_GB2312"/>
          <w:color w:val="000000"/>
          <w:sz w:val="26"/>
          <w:szCs w:val="26"/>
          <w:shd w:val="clear" w:color="auto" w:fill="FFFFFF"/>
        </w:rPr>
        <w:t xml:space="preserve">单位负责人： </w:t>
      </w:r>
      <w:r>
        <w:rPr>
          <w:rFonts w:ascii="Times New Roman" w:hAnsi="Times New Roman" w:eastAsia="仿宋_GB2312"/>
          <w:color w:val="000000"/>
          <w:sz w:val="26"/>
          <w:szCs w:val="26"/>
          <w:shd w:val="clear" w:color="auto" w:fill="FFFFFF"/>
        </w:rPr>
        <w:t xml:space="preserve">                                   年   月   日</w:t>
      </w:r>
    </w:p>
    <w:p w14:paraId="74E49704">
      <w:pPr>
        <w:widowControl/>
        <w:adjustRightInd w:val="0"/>
        <w:snapToGrid w:val="0"/>
        <w:spacing w:line="432" w:lineRule="auto"/>
        <w:jc w:val="left"/>
        <w:rPr>
          <w:rFonts w:ascii="Times New Roman" w:hAnsi="Times New Roman" w:eastAsia="仿宋_GB2312"/>
          <w:color w:val="000000"/>
          <w:sz w:val="26"/>
          <w:szCs w:val="26"/>
          <w:shd w:val="clear" w:color="auto" w:fill="FFFFFF"/>
        </w:rPr>
      </w:pPr>
    </w:p>
    <w:p w14:paraId="13778CC7">
      <w:pPr>
        <w:widowControl/>
        <w:adjustRightInd w:val="0"/>
        <w:snapToGrid w:val="0"/>
        <w:spacing w:line="432" w:lineRule="auto"/>
        <w:jc w:val="left"/>
        <w:rPr>
          <w:rFonts w:ascii="Times New Roman" w:hAnsi="Times New Roman" w:eastAsia="仿宋_GB2312"/>
          <w:color w:val="000000"/>
          <w:sz w:val="26"/>
          <w:szCs w:val="26"/>
          <w:shd w:val="clear" w:color="auto" w:fill="FFFFFF"/>
        </w:rPr>
      </w:pPr>
    </w:p>
    <w:p w14:paraId="421DCF06">
      <w:pPr>
        <w:widowControl/>
        <w:adjustRightInd w:val="0"/>
        <w:snapToGrid w:val="0"/>
        <w:spacing w:line="432" w:lineRule="auto"/>
        <w:jc w:val="left"/>
        <w:rPr>
          <w:rFonts w:ascii="Times New Roman" w:hAnsi="Times New Roman" w:eastAsia="仿宋_GB2312"/>
          <w:color w:val="000000"/>
          <w:sz w:val="26"/>
          <w:szCs w:val="26"/>
          <w:shd w:val="clear" w:color="auto" w:fill="FFFFFF"/>
        </w:rPr>
      </w:pPr>
      <w:r>
        <w:rPr>
          <w:rFonts w:ascii="Times New Roman" w:hAnsi="Times New Roman" w:eastAsia="仿宋_GB2312"/>
          <w:color w:val="000000"/>
          <w:sz w:val="26"/>
          <w:szCs w:val="26"/>
          <w:shd w:val="clear" w:color="auto" w:fill="FFFFFF"/>
        </w:rPr>
        <w:t>服务承接主体（丙方）：</w:t>
      </w:r>
      <w:r>
        <w:rPr>
          <w:rFonts w:hint="eastAsia" w:ascii="Times New Roman" w:hAnsi="Times New Roman" w:eastAsia="仿宋_GB2312"/>
          <w:color w:val="000000"/>
          <w:sz w:val="26"/>
          <w:szCs w:val="26"/>
          <w:shd w:val="clear" w:color="auto" w:fill="FFFFFF"/>
        </w:rPr>
        <w:t xml:space="preserve">            </w:t>
      </w:r>
      <w:r>
        <w:rPr>
          <w:rFonts w:ascii="Times New Roman" w:hAnsi="Times New Roman" w:eastAsia="仿宋_GB2312"/>
          <w:color w:val="000000"/>
          <w:sz w:val="26"/>
          <w:szCs w:val="26"/>
          <w:shd w:val="clear" w:color="auto" w:fill="FFFFFF"/>
        </w:rPr>
        <w:t xml:space="preserve">              （公  章）</w:t>
      </w:r>
    </w:p>
    <w:p w14:paraId="166BE19A">
      <w:pPr>
        <w:widowControl/>
        <w:adjustRightInd w:val="0"/>
        <w:snapToGrid w:val="0"/>
        <w:spacing w:line="432" w:lineRule="auto"/>
        <w:jc w:val="left"/>
        <w:rPr>
          <w:rFonts w:ascii="Times New Roman" w:hAnsi="Times New Roman" w:eastAsia="仿宋_GB2312"/>
          <w:color w:val="000000"/>
          <w:sz w:val="26"/>
          <w:szCs w:val="26"/>
          <w:shd w:val="clear" w:color="auto" w:fill="FFFFFF"/>
        </w:rPr>
      </w:pPr>
      <w:r>
        <w:rPr>
          <w:rFonts w:ascii="Times New Roman" w:hAnsi="Times New Roman" w:eastAsia="仿宋_GB2312"/>
          <w:color w:val="000000"/>
          <w:sz w:val="26"/>
          <w:szCs w:val="26"/>
          <w:shd w:val="clear" w:color="auto" w:fill="FFFFFF"/>
        </w:rPr>
        <w:t>单位负责人</w:t>
      </w:r>
      <w:r>
        <w:rPr>
          <w:rFonts w:hint="eastAsia" w:ascii="Times New Roman" w:hAnsi="Times New Roman" w:eastAsia="仿宋_GB2312"/>
          <w:color w:val="000000"/>
          <w:sz w:val="26"/>
          <w:szCs w:val="26"/>
          <w:shd w:val="clear" w:color="auto" w:fill="FFFFFF"/>
          <w:lang w:eastAsia="zh-CN"/>
        </w:rPr>
        <w:t>：</w:t>
      </w:r>
      <w:r>
        <w:rPr>
          <w:rFonts w:ascii="Times New Roman" w:hAnsi="Times New Roman" w:eastAsia="仿宋_GB2312"/>
          <w:color w:val="000000"/>
          <w:sz w:val="26"/>
          <w:szCs w:val="26"/>
          <w:shd w:val="clear" w:color="auto" w:fill="FFFFFF"/>
        </w:rPr>
        <w:t xml:space="preserve">                                       年   月   日</w:t>
      </w:r>
    </w:p>
    <w:p w14:paraId="02617526">
      <w:pPr>
        <w:widowControl/>
        <w:adjustRightInd w:val="0"/>
        <w:snapToGrid w:val="0"/>
        <w:spacing w:line="432" w:lineRule="auto"/>
        <w:jc w:val="left"/>
        <w:rPr>
          <w:rFonts w:ascii="Times New Roman" w:hAnsi="Times New Roman" w:eastAsia="仿宋_GB2312"/>
          <w:color w:val="000000"/>
          <w:sz w:val="26"/>
          <w:szCs w:val="26"/>
          <w:shd w:val="clear" w:color="auto" w:fill="FFFFFF"/>
        </w:rPr>
      </w:pPr>
    </w:p>
    <w:p w14:paraId="36880655">
      <w:pPr>
        <w:adjustRightInd w:val="0"/>
        <w:snapToGrid w:val="0"/>
        <w:spacing w:line="360" w:lineRule="auto"/>
        <w:jc w:val="left"/>
        <w:rPr>
          <w:rFonts w:ascii="Times New Roman" w:hAnsi="Times New Roman" w:eastAsia="仿宋_GB2312"/>
          <w:color w:val="000000"/>
          <w:sz w:val="26"/>
          <w:szCs w:val="26"/>
          <w:shd w:val="clear" w:color="auto" w:fill="FFFFFF"/>
        </w:rPr>
      </w:pPr>
    </w:p>
    <w:p w14:paraId="3E99AA57">
      <w:pPr>
        <w:widowControl/>
        <w:adjustRightInd w:val="0"/>
        <w:snapToGrid w:val="0"/>
        <w:spacing w:line="432" w:lineRule="auto"/>
        <w:jc w:val="left"/>
        <w:rPr>
          <w:rFonts w:ascii="Times New Roman" w:hAnsi="Times New Roman" w:eastAsia="仿宋_GB2312"/>
          <w:color w:val="000000"/>
          <w:sz w:val="26"/>
          <w:szCs w:val="26"/>
          <w:shd w:val="clear" w:color="auto" w:fill="FFFFFF"/>
        </w:rPr>
      </w:pPr>
      <w:r>
        <w:rPr>
          <w:rFonts w:hint="eastAsia" w:ascii="Times New Roman" w:hAnsi="Times New Roman" w:eastAsia="仿宋_GB2312"/>
          <w:color w:val="000000"/>
          <w:sz w:val="26"/>
          <w:szCs w:val="26"/>
          <w:shd w:val="clear" w:color="auto" w:fill="FFFFFF"/>
        </w:rPr>
        <w:t>丙方账户信息：</w:t>
      </w:r>
    </w:p>
    <w:p w14:paraId="1D3A35C1">
      <w:pPr>
        <w:rPr>
          <w:rFonts w:ascii="Times New Roman" w:hAnsi="Times New Roman" w:eastAsia="仿宋_GB2312"/>
          <w:color w:val="000000"/>
          <w:sz w:val="26"/>
          <w:szCs w:val="26"/>
          <w:shd w:val="clear" w:color="auto" w:fill="FFFFFF"/>
        </w:rPr>
      </w:pPr>
      <w:r>
        <w:rPr>
          <w:rFonts w:hint="eastAsia" w:ascii="Times New Roman" w:hAnsi="Times New Roman" w:eastAsia="仿宋_GB2312"/>
          <w:color w:val="000000"/>
          <w:sz w:val="26"/>
          <w:szCs w:val="26"/>
          <w:shd w:val="clear" w:color="auto" w:fill="FFFFFF"/>
        </w:rPr>
        <w:t>账户名：X</w:t>
      </w:r>
      <w:r>
        <w:rPr>
          <w:rFonts w:ascii="Times New Roman" w:hAnsi="Times New Roman" w:eastAsia="仿宋_GB2312"/>
          <w:color w:val="000000"/>
          <w:sz w:val="26"/>
          <w:szCs w:val="26"/>
          <w:shd w:val="clear" w:color="auto" w:fill="FFFFFF"/>
        </w:rPr>
        <w:t>XXXXXXXXXXXXXXX</w:t>
      </w:r>
    </w:p>
    <w:p w14:paraId="663C0FC0">
      <w:pPr>
        <w:rPr>
          <w:rFonts w:ascii="Times New Roman" w:hAnsi="Times New Roman" w:eastAsia="仿宋_GB2312"/>
          <w:color w:val="000000"/>
          <w:sz w:val="26"/>
          <w:szCs w:val="26"/>
          <w:shd w:val="clear" w:color="auto" w:fill="FFFFFF"/>
        </w:rPr>
      </w:pPr>
      <w:r>
        <w:rPr>
          <w:rFonts w:hint="eastAsia" w:ascii="Times New Roman" w:hAnsi="Times New Roman" w:eastAsia="仿宋_GB2312"/>
          <w:color w:val="000000"/>
          <w:sz w:val="26"/>
          <w:szCs w:val="26"/>
          <w:shd w:val="clear" w:color="auto" w:fill="FFFFFF"/>
        </w:rPr>
        <w:t>账  号：</w:t>
      </w:r>
      <w:r>
        <w:rPr>
          <w:rFonts w:ascii="Times New Roman" w:hAnsi="Times New Roman" w:eastAsia="仿宋_GB2312"/>
          <w:color w:val="000000"/>
          <w:sz w:val="26"/>
          <w:szCs w:val="26"/>
          <w:shd w:val="clear" w:color="auto" w:fill="FFFFFF"/>
        </w:rPr>
        <w:t>XXXXXXXXXXXXXXXX</w:t>
      </w:r>
    </w:p>
    <w:p w14:paraId="5C3AEAFF">
      <w:pPr>
        <w:rPr>
          <w:rFonts w:ascii="Times New Roman" w:hAnsi="Times New Roman" w:eastAsia="仿宋_GB2312"/>
          <w:color w:val="000000"/>
          <w:sz w:val="26"/>
          <w:szCs w:val="26"/>
          <w:shd w:val="clear" w:color="auto" w:fill="FFFFFF"/>
        </w:rPr>
      </w:pPr>
      <w:r>
        <w:rPr>
          <w:rFonts w:hint="eastAsia" w:ascii="Times New Roman" w:hAnsi="Times New Roman" w:eastAsia="仿宋_GB2312"/>
          <w:color w:val="000000"/>
          <w:sz w:val="26"/>
          <w:szCs w:val="26"/>
          <w:shd w:val="clear" w:color="auto" w:fill="FFFFFF"/>
        </w:rPr>
        <w:t>开户银行：X</w:t>
      </w:r>
      <w:r>
        <w:rPr>
          <w:rFonts w:ascii="Times New Roman" w:hAnsi="Times New Roman" w:eastAsia="仿宋_GB2312"/>
          <w:color w:val="000000"/>
          <w:sz w:val="26"/>
          <w:szCs w:val="26"/>
          <w:shd w:val="clear" w:color="auto" w:fill="FFFFFF"/>
        </w:rPr>
        <w:t>XXXXXXXXXXXXXX</w:t>
      </w:r>
    </w:p>
    <w:p w14:paraId="2D9E1892">
      <w:pPr>
        <w:rPr>
          <w:rFonts w:ascii="Times New Roman" w:hAnsi="Times New Roman" w:eastAsia="仿宋_GB2312"/>
          <w:color w:val="000000"/>
          <w:sz w:val="26"/>
          <w:szCs w:val="26"/>
          <w:shd w:val="clear" w:color="auto" w:fill="FFFFFF"/>
        </w:rPr>
      </w:pPr>
    </w:p>
    <w:p w14:paraId="29E70FC7">
      <w:pPr>
        <w:adjustRightInd w:val="0"/>
        <w:snapToGrid w:val="0"/>
        <w:spacing w:line="520" w:lineRule="exact"/>
        <w:jc w:val="left"/>
        <w:rPr>
          <w:rFonts w:ascii="仿宋" w:hAnsi="仿宋" w:eastAsia="仿宋" w:cs="仿宋"/>
          <w:color w:val="000000"/>
          <w:sz w:val="28"/>
        </w:rPr>
      </w:pPr>
    </w:p>
    <w:p w14:paraId="307AFB70">
      <w:pPr>
        <w:adjustRightInd w:val="0"/>
        <w:snapToGrid w:val="0"/>
        <w:spacing w:line="520" w:lineRule="exact"/>
        <w:jc w:val="left"/>
        <w:rPr>
          <w:rFonts w:ascii="仿宋" w:hAnsi="仿宋" w:eastAsia="仿宋" w:cs="仿宋"/>
          <w:color w:val="000000"/>
          <w:sz w:val="28"/>
        </w:rPr>
      </w:pPr>
    </w:p>
    <w:p w14:paraId="5B442665">
      <w:pPr>
        <w:adjustRightInd w:val="0"/>
        <w:snapToGrid w:val="0"/>
        <w:ind w:firstLine="420"/>
        <w:rPr>
          <w:rFonts w:ascii="宋体" w:hAnsi="宋体" w:eastAsia="宋体" w:cs="宋体"/>
          <w:bCs/>
          <w:spacing w:val="6"/>
          <w:sz w:val="24"/>
        </w:rPr>
      </w:pPr>
    </w:p>
    <w:p w14:paraId="112CCC6C">
      <w:pPr>
        <w:tabs>
          <w:tab w:val="left" w:pos="993"/>
          <w:tab w:val="left" w:pos="1134"/>
          <w:tab w:val="left" w:pos="1418"/>
        </w:tabs>
        <w:spacing w:line="600" w:lineRule="exact"/>
        <w:ind w:right="480" w:firstLine="1080" w:firstLineChars="300"/>
        <w:jc w:val="center"/>
        <w:rPr>
          <w:rFonts w:hint="default" w:ascii="仿宋" w:hAnsi="仿宋" w:eastAsia="仿宋"/>
          <w:sz w:val="30"/>
          <w:szCs w:val="30"/>
          <w:lang w:val="en-US" w:eastAsia="zh-CN"/>
        </w:rPr>
      </w:pPr>
      <w:r>
        <w:rPr>
          <w:rFonts w:hint="eastAsia" w:ascii="方正小标宋_GBK" w:hAnsi="方正小标宋_GBK" w:eastAsia="方正小标宋_GBK" w:cs="方正小标宋_GBK"/>
          <w:sz w:val="36"/>
          <w:szCs w:val="36"/>
          <w:u w:val="none"/>
          <w:lang w:val="en-US" w:eastAsia="zh-CN"/>
        </w:rPr>
        <w:t xml:space="preserve"> </w:t>
      </w:r>
    </w:p>
    <w:sectPr>
      <w:footerReference r:id="rId5" w:type="default"/>
      <w:pgSz w:w="11906" w:h="16838"/>
      <w:pgMar w:top="1440" w:right="1758" w:bottom="533"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方正小标宋_GBK">
    <w:panose1 w:val="02000000000000000000"/>
    <w:charset w:val="86"/>
    <w:family w:val="script"/>
    <w:pitch w:val="default"/>
    <w:sig w:usb0="A00002BF" w:usb1="38CF7CFA" w:usb2="00082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D7EC">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33</w:t>
    </w:r>
    <w:r>
      <w:rPr>
        <w:b/>
        <w:bCs/>
        <w:sz w:val="24"/>
        <w:szCs w:val="24"/>
      </w:rPr>
      <w:fldChar w:fldCharType="end"/>
    </w:r>
  </w:p>
  <w:p w14:paraId="32ED35E5">
    <w:pPr>
      <w:pStyle w:val="11"/>
      <w:jc w:val="cen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47FA8">
    <w:pPr>
      <w:pStyle w:val="11"/>
      <w:rPr>
        <w:rFonts w:hint="eastAsia" w:ascii="宋体" w:hAnsi="宋体"/>
        <w:sz w:val="24"/>
        <w:szCs w:val="24"/>
      </w:rPr>
    </w:pPr>
  </w:p>
  <w:p w14:paraId="7231571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C8863">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D7EE7"/>
    <w:multiLevelType w:val="singleLevel"/>
    <w:tmpl w:val="994D7EE7"/>
    <w:lvl w:ilvl="0" w:tentative="0">
      <w:start w:val="2"/>
      <w:numFmt w:val="decimal"/>
      <w:suff w:val="nothing"/>
      <w:lvlText w:val="%1、"/>
      <w:lvlJc w:val="left"/>
    </w:lvl>
  </w:abstractNum>
  <w:abstractNum w:abstractNumId="1">
    <w:nsid w:val="C177040E"/>
    <w:multiLevelType w:val="singleLevel"/>
    <w:tmpl w:val="C177040E"/>
    <w:lvl w:ilvl="0" w:tentative="0">
      <w:start w:val="1"/>
      <w:numFmt w:val="decimal"/>
      <w:lvlText w:val="%1."/>
      <w:lvlJc w:val="left"/>
      <w:pPr>
        <w:tabs>
          <w:tab w:val="left" w:pos="312"/>
        </w:tabs>
      </w:pPr>
    </w:lvl>
  </w:abstractNum>
  <w:abstractNum w:abstractNumId="2">
    <w:nsid w:val="D76560DB"/>
    <w:multiLevelType w:val="singleLevel"/>
    <w:tmpl w:val="D76560DB"/>
    <w:lvl w:ilvl="0" w:tentative="0">
      <w:start w:val="1"/>
      <w:numFmt w:val="chineseCounting"/>
      <w:suff w:val="nothing"/>
      <w:lvlText w:val="%1、"/>
      <w:lvlJc w:val="left"/>
      <w:rPr>
        <w:rFonts w:hint="eastAsia"/>
      </w:rPr>
    </w:lvl>
  </w:abstractNum>
  <w:abstractNum w:abstractNumId="3">
    <w:nsid w:val="E265390A"/>
    <w:multiLevelType w:val="singleLevel"/>
    <w:tmpl w:val="E265390A"/>
    <w:lvl w:ilvl="0" w:tentative="0">
      <w:start w:val="1"/>
      <w:numFmt w:val="decimal"/>
      <w:lvlText w:val="%1."/>
      <w:lvlJc w:val="left"/>
      <w:pPr>
        <w:ind w:left="845" w:hanging="425"/>
      </w:pPr>
      <w:rPr>
        <w:rFonts w:hint="default"/>
      </w:rPr>
    </w:lvl>
  </w:abstractNum>
  <w:abstractNum w:abstractNumId="4">
    <w:nsid w:val="E4BD8ECA"/>
    <w:multiLevelType w:val="singleLevel"/>
    <w:tmpl w:val="E4BD8ECA"/>
    <w:lvl w:ilvl="0" w:tentative="0">
      <w:start w:val="1"/>
      <w:numFmt w:val="decimal"/>
      <w:lvlText w:val="%1."/>
      <w:lvlJc w:val="left"/>
      <w:pPr>
        <w:ind w:left="425" w:hanging="425"/>
      </w:pPr>
      <w:rPr>
        <w:rFonts w:hint="default"/>
      </w:rPr>
    </w:lvl>
  </w:abstractNum>
  <w:abstractNum w:abstractNumId="5">
    <w:nsid w:val="1B4F6CE7"/>
    <w:multiLevelType w:val="singleLevel"/>
    <w:tmpl w:val="1B4F6CE7"/>
    <w:lvl w:ilvl="0" w:tentative="0">
      <w:start w:val="14"/>
      <w:numFmt w:val="decimal"/>
      <w:suff w:val="space"/>
      <w:lvlText w:val="%1、"/>
      <w:lvlJc w:val="left"/>
      <w:pPr>
        <w:ind w:left="420"/>
      </w:pPr>
    </w:lvl>
  </w:abstractNum>
  <w:abstractNum w:abstractNumId="6">
    <w:nsid w:val="24FD0572"/>
    <w:multiLevelType w:val="singleLevel"/>
    <w:tmpl w:val="24FD0572"/>
    <w:lvl w:ilvl="0" w:tentative="0">
      <w:start w:val="4"/>
      <w:numFmt w:val="decimal"/>
      <w:suff w:val="nothing"/>
      <w:lvlText w:val="（%1）"/>
      <w:lvlJc w:val="left"/>
    </w:lvl>
  </w:abstractNum>
  <w:abstractNum w:abstractNumId="7">
    <w:nsid w:val="3F1D6D28"/>
    <w:multiLevelType w:val="multilevel"/>
    <w:tmpl w:val="3F1D6D28"/>
    <w:lvl w:ilvl="0" w:tentative="0">
      <w:start w:val="1"/>
      <w:numFmt w:val="decimal"/>
      <w:lvlText w:val="（%1）"/>
      <w:lvlJc w:val="left"/>
      <w:pPr>
        <w:ind w:left="988"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044164E"/>
    <w:multiLevelType w:val="singleLevel"/>
    <w:tmpl w:val="5044164E"/>
    <w:lvl w:ilvl="0" w:tentative="0">
      <w:start w:val="1"/>
      <w:numFmt w:val="decimal"/>
      <w:pStyle w:val="28"/>
      <w:lvlText w:val="%1．"/>
      <w:lvlJc w:val="left"/>
      <w:pPr>
        <w:ind w:left="1077" w:firstLine="2468"/>
      </w:pPr>
      <w:rPr>
        <w:rFonts w:hint="eastAsia"/>
      </w:rPr>
    </w:lvl>
  </w:abstractNum>
  <w:abstractNum w:abstractNumId="9">
    <w:nsid w:val="656D6133"/>
    <w:multiLevelType w:val="multilevel"/>
    <w:tmpl w:val="656D6133"/>
    <w:lvl w:ilvl="0" w:tentative="0">
      <w:start w:val="1"/>
      <w:numFmt w:val="decimal"/>
      <w:lvlText w:val="%1、"/>
      <w:lvlJc w:val="left"/>
      <w:pPr>
        <w:ind w:left="1163" w:hanging="113"/>
      </w:pPr>
      <w:rPr>
        <w:rFonts w:hint="default" w:cs="Arial Unicode MS"/>
      </w:rPr>
    </w:lvl>
    <w:lvl w:ilvl="1" w:tentative="0">
      <w:start w:val="1"/>
      <w:numFmt w:val="decimal"/>
      <w:lvlText w:val="%2"/>
      <w:lvlJc w:val="left"/>
      <w:pPr>
        <w:ind w:left="720" w:hanging="360"/>
      </w:pPr>
      <w:rPr>
        <w:rFonts w:hint="default"/>
      </w:rPr>
    </w:lvl>
    <w:lvl w:ilvl="2" w:tentative="0">
      <w:start w:val="1"/>
      <w:numFmt w:val="decimal"/>
      <w:lvlText w:val="%3、"/>
      <w:lvlJc w:val="left"/>
      <w:pPr>
        <w:ind w:left="360" w:hanging="360"/>
      </w:pPr>
      <w:rPr>
        <w:rFonts w:hint="default"/>
      </w:rPr>
    </w:lvl>
    <w:lvl w:ilvl="3" w:tentative="0">
      <w:start w:val="3"/>
      <w:numFmt w:val="japaneseCounting"/>
      <w:lvlText w:val="%4、"/>
      <w:lvlJc w:val="left"/>
      <w:pPr>
        <w:ind w:left="600" w:hanging="600"/>
      </w:pPr>
      <w:rPr>
        <w:rFonts w:hint="default"/>
      </w:rPr>
    </w:lvl>
    <w:lvl w:ilvl="4" w:tentative="0">
      <w:start w:val="1"/>
      <w:numFmt w:val="decimal"/>
      <w:lvlText w:val="%5、"/>
      <w:lvlJc w:val="left"/>
      <w:pPr>
        <w:ind w:left="360" w:hanging="360"/>
      </w:pPr>
      <w:rPr>
        <w:rFonts w:hint="default" w:cs="仿宋"/>
        <w:sz w:val="21"/>
      </w:rPr>
    </w:lvl>
    <w:lvl w:ilvl="5" w:tentative="0">
      <w:start w:val="1"/>
      <w:numFmt w:val="none"/>
      <w:pStyle w:val="5"/>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9"/>
  </w:num>
  <w:num w:numId="2">
    <w:abstractNumId w:val="8"/>
  </w:num>
  <w:num w:numId="3">
    <w:abstractNumId w:val="4"/>
  </w:num>
  <w:num w:numId="4">
    <w:abstractNumId w:val="3"/>
  </w:num>
  <w:num w:numId="5">
    <w:abstractNumId w:val="7"/>
  </w:num>
  <w:num w:numId="6">
    <w:abstractNumId w:val="5"/>
  </w:num>
  <w:num w:numId="7">
    <w:abstractNumId w:val="6"/>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5ZjdkMzRiOTEwNGViNzExODI1NDYyOTA2YWI5NGIifQ=="/>
  </w:docVars>
  <w:rsids>
    <w:rsidRoot w:val="09CB2354"/>
    <w:rsid w:val="0000511A"/>
    <w:rsid w:val="00007A3B"/>
    <w:rsid w:val="000576F4"/>
    <w:rsid w:val="000662B2"/>
    <w:rsid w:val="00073789"/>
    <w:rsid w:val="00074091"/>
    <w:rsid w:val="000B2938"/>
    <w:rsid w:val="000D2FB6"/>
    <w:rsid w:val="000F0A71"/>
    <w:rsid w:val="00126624"/>
    <w:rsid w:val="001527DE"/>
    <w:rsid w:val="0015634B"/>
    <w:rsid w:val="001824B8"/>
    <w:rsid w:val="00184676"/>
    <w:rsid w:val="0019604D"/>
    <w:rsid w:val="00197F61"/>
    <w:rsid w:val="001A2864"/>
    <w:rsid w:val="001B0AF6"/>
    <w:rsid w:val="001D3963"/>
    <w:rsid w:val="00241989"/>
    <w:rsid w:val="002524EE"/>
    <w:rsid w:val="00254B58"/>
    <w:rsid w:val="00256548"/>
    <w:rsid w:val="002B5D94"/>
    <w:rsid w:val="002D45AD"/>
    <w:rsid w:val="003400E0"/>
    <w:rsid w:val="00340380"/>
    <w:rsid w:val="00376578"/>
    <w:rsid w:val="0038087D"/>
    <w:rsid w:val="00386A61"/>
    <w:rsid w:val="003C2C8E"/>
    <w:rsid w:val="003D6390"/>
    <w:rsid w:val="00424C0D"/>
    <w:rsid w:val="00442284"/>
    <w:rsid w:val="0044326B"/>
    <w:rsid w:val="00457852"/>
    <w:rsid w:val="00482576"/>
    <w:rsid w:val="00495BA4"/>
    <w:rsid w:val="004A68E0"/>
    <w:rsid w:val="004C10C2"/>
    <w:rsid w:val="004D7D48"/>
    <w:rsid w:val="004F0403"/>
    <w:rsid w:val="00502D2D"/>
    <w:rsid w:val="0050723F"/>
    <w:rsid w:val="005444E1"/>
    <w:rsid w:val="00561995"/>
    <w:rsid w:val="00575B4E"/>
    <w:rsid w:val="005B33E6"/>
    <w:rsid w:val="005D1799"/>
    <w:rsid w:val="005E070A"/>
    <w:rsid w:val="00602BF0"/>
    <w:rsid w:val="00605E04"/>
    <w:rsid w:val="00627AAA"/>
    <w:rsid w:val="0065722B"/>
    <w:rsid w:val="00672C17"/>
    <w:rsid w:val="00677AED"/>
    <w:rsid w:val="006A00AC"/>
    <w:rsid w:val="006B255A"/>
    <w:rsid w:val="006C75F1"/>
    <w:rsid w:val="006E5B35"/>
    <w:rsid w:val="0070546E"/>
    <w:rsid w:val="00723764"/>
    <w:rsid w:val="00733131"/>
    <w:rsid w:val="00774472"/>
    <w:rsid w:val="00774FEA"/>
    <w:rsid w:val="00781ACD"/>
    <w:rsid w:val="00794AD8"/>
    <w:rsid w:val="007D50E7"/>
    <w:rsid w:val="00811276"/>
    <w:rsid w:val="00836533"/>
    <w:rsid w:val="0085034A"/>
    <w:rsid w:val="00866B66"/>
    <w:rsid w:val="00890BD8"/>
    <w:rsid w:val="008C530A"/>
    <w:rsid w:val="008D7949"/>
    <w:rsid w:val="008E56F8"/>
    <w:rsid w:val="00910579"/>
    <w:rsid w:val="00957A66"/>
    <w:rsid w:val="009C1B7E"/>
    <w:rsid w:val="00A46299"/>
    <w:rsid w:val="00A501AA"/>
    <w:rsid w:val="00A579B8"/>
    <w:rsid w:val="00A84538"/>
    <w:rsid w:val="00A94744"/>
    <w:rsid w:val="00AB0398"/>
    <w:rsid w:val="00AD2381"/>
    <w:rsid w:val="00B17C08"/>
    <w:rsid w:val="00B2514E"/>
    <w:rsid w:val="00B93260"/>
    <w:rsid w:val="00B9761C"/>
    <w:rsid w:val="00BD2D88"/>
    <w:rsid w:val="00C15AE8"/>
    <w:rsid w:val="00C34605"/>
    <w:rsid w:val="00C3538A"/>
    <w:rsid w:val="00C440C0"/>
    <w:rsid w:val="00C45D62"/>
    <w:rsid w:val="00C97247"/>
    <w:rsid w:val="00CC5E4B"/>
    <w:rsid w:val="00CD78BD"/>
    <w:rsid w:val="00CE2B25"/>
    <w:rsid w:val="00CF555B"/>
    <w:rsid w:val="00D04DAA"/>
    <w:rsid w:val="00D3260E"/>
    <w:rsid w:val="00D543AD"/>
    <w:rsid w:val="00D96B42"/>
    <w:rsid w:val="00E15220"/>
    <w:rsid w:val="00E3297E"/>
    <w:rsid w:val="00E829D9"/>
    <w:rsid w:val="00E95A52"/>
    <w:rsid w:val="00F2359B"/>
    <w:rsid w:val="00F605F3"/>
    <w:rsid w:val="00FA7C2B"/>
    <w:rsid w:val="00FA7E23"/>
    <w:rsid w:val="00FC1CF1"/>
    <w:rsid w:val="00FC6315"/>
    <w:rsid w:val="015B6D94"/>
    <w:rsid w:val="032F4C8D"/>
    <w:rsid w:val="056C15F4"/>
    <w:rsid w:val="05FB49AB"/>
    <w:rsid w:val="09682BF4"/>
    <w:rsid w:val="0998615F"/>
    <w:rsid w:val="09CB2354"/>
    <w:rsid w:val="0AB02898"/>
    <w:rsid w:val="13F82B68"/>
    <w:rsid w:val="14BE16BC"/>
    <w:rsid w:val="15726391"/>
    <w:rsid w:val="19035318"/>
    <w:rsid w:val="198B7A96"/>
    <w:rsid w:val="1C026332"/>
    <w:rsid w:val="202E40F3"/>
    <w:rsid w:val="21125C05"/>
    <w:rsid w:val="23720241"/>
    <w:rsid w:val="244C1936"/>
    <w:rsid w:val="26770328"/>
    <w:rsid w:val="304A7E44"/>
    <w:rsid w:val="308752BE"/>
    <w:rsid w:val="31B4206A"/>
    <w:rsid w:val="3435046A"/>
    <w:rsid w:val="34B63D06"/>
    <w:rsid w:val="3689750E"/>
    <w:rsid w:val="378A5A2B"/>
    <w:rsid w:val="382D55B6"/>
    <w:rsid w:val="38500B64"/>
    <w:rsid w:val="3B021A53"/>
    <w:rsid w:val="3B7D557D"/>
    <w:rsid w:val="3BC3081A"/>
    <w:rsid w:val="3BFD046C"/>
    <w:rsid w:val="3C2123AD"/>
    <w:rsid w:val="3DEC7685"/>
    <w:rsid w:val="3EB167D3"/>
    <w:rsid w:val="3EE73740"/>
    <w:rsid w:val="403E0FD8"/>
    <w:rsid w:val="40904F19"/>
    <w:rsid w:val="41E87544"/>
    <w:rsid w:val="4C4B5E97"/>
    <w:rsid w:val="4CD253DE"/>
    <w:rsid w:val="4E884B66"/>
    <w:rsid w:val="4F070F3C"/>
    <w:rsid w:val="4F9C201E"/>
    <w:rsid w:val="51877A52"/>
    <w:rsid w:val="52FB0909"/>
    <w:rsid w:val="539700A5"/>
    <w:rsid w:val="56BD287A"/>
    <w:rsid w:val="59497308"/>
    <w:rsid w:val="5CE7190F"/>
    <w:rsid w:val="5CFE60C6"/>
    <w:rsid w:val="5E1A5034"/>
    <w:rsid w:val="5E3A6376"/>
    <w:rsid w:val="6554290E"/>
    <w:rsid w:val="69AD626E"/>
    <w:rsid w:val="6A6D5919"/>
    <w:rsid w:val="6B34121A"/>
    <w:rsid w:val="6F24713F"/>
    <w:rsid w:val="6F8F01E4"/>
    <w:rsid w:val="72097BD8"/>
    <w:rsid w:val="78D04553"/>
    <w:rsid w:val="78FA625B"/>
    <w:rsid w:val="7D276339"/>
    <w:rsid w:val="7E7B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6"/>
    <w:basedOn w:val="1"/>
    <w:next w:val="1"/>
    <w:link w:val="33"/>
    <w:unhideWhenUsed/>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firstLine="595" w:firstLineChars="186"/>
    </w:pPr>
  </w:style>
  <w:style w:type="paragraph" w:styleId="6">
    <w:name w:val="Body Text"/>
    <w:basedOn w:val="1"/>
    <w:qFormat/>
    <w:uiPriority w:val="0"/>
    <w:pPr>
      <w:tabs>
        <w:tab w:val="left" w:pos="1155"/>
      </w:tabs>
      <w:spacing w:line="420" w:lineRule="exact"/>
    </w:pPr>
    <w:rPr>
      <w:rFonts w:ascii="宋体"/>
      <w:sz w:val="24"/>
    </w:rPr>
  </w:style>
  <w:style w:type="paragraph" w:styleId="7">
    <w:name w:val="Body Text Indent"/>
    <w:basedOn w:val="1"/>
    <w:qFormat/>
    <w:uiPriority w:val="0"/>
    <w:pPr>
      <w:widowControl/>
      <w:ind w:firstLine="360"/>
      <w:jc w:val="left"/>
    </w:pPr>
    <w:rPr>
      <w:kern w:val="0"/>
      <w:sz w:val="24"/>
    </w:rPr>
  </w:style>
  <w:style w:type="paragraph" w:styleId="8">
    <w:name w:val="Plain Text"/>
    <w:basedOn w:val="1"/>
    <w:qFormat/>
    <w:uiPriority w:val="0"/>
    <w:rPr>
      <w:rFonts w:ascii="宋体" w:hAnsi="Courier New" w:eastAsia="Times New Roman"/>
      <w:kern w:val="0"/>
      <w:szCs w:val="21"/>
      <w:lang w:val="zh-CN"/>
    </w:rPr>
  </w:style>
  <w:style w:type="paragraph" w:styleId="9">
    <w:name w:val="Date"/>
    <w:basedOn w:val="1"/>
    <w:next w:val="1"/>
    <w:link w:val="23"/>
    <w:qFormat/>
    <w:uiPriority w:val="0"/>
    <w:pPr>
      <w:ind w:left="100" w:leftChars="2500"/>
    </w:pPr>
  </w:style>
  <w:style w:type="paragraph" w:styleId="10">
    <w:name w:val="Body Text Indent 2"/>
    <w:basedOn w:val="1"/>
    <w:qFormat/>
    <w:uiPriority w:val="0"/>
    <w:pPr>
      <w:snapToGrid w:val="0"/>
      <w:ind w:firstLine="542" w:firstLineChars="225"/>
    </w:pPr>
    <w:rPr>
      <w:rFonts w:ascii="仿宋_GB2312" w:hAnsi="宋体"/>
      <w:b/>
      <w:bCs/>
      <w:color w:val="000000"/>
      <w:sz w:val="24"/>
    </w:rPr>
  </w:style>
  <w:style w:type="paragraph" w:styleId="11">
    <w:name w:val="footer"/>
    <w:basedOn w:val="1"/>
    <w:link w:val="22"/>
    <w:qFormat/>
    <w:uiPriority w:val="99"/>
    <w:pPr>
      <w:tabs>
        <w:tab w:val="center" w:pos="4153"/>
        <w:tab w:val="right" w:pos="8306"/>
      </w:tabs>
      <w:snapToGrid w:val="0"/>
      <w:jc w:val="left"/>
    </w:pPr>
    <w:rPr>
      <w:sz w:val="18"/>
      <w:szCs w:val="18"/>
    </w:rPr>
  </w:style>
  <w:style w:type="paragraph" w:styleId="12">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rPr>
  </w:style>
  <w:style w:type="paragraph" w:styleId="14">
    <w:name w:val="toc 6"/>
    <w:basedOn w:val="1"/>
    <w:next w:val="1"/>
    <w:qFormat/>
    <w:uiPriority w:val="39"/>
    <w:pPr>
      <w:ind w:left="1050"/>
      <w:jc w:val="left"/>
    </w:pPr>
    <w:rPr>
      <w:szCs w:val="21"/>
    </w:rPr>
  </w:style>
  <w:style w:type="paragraph" w:styleId="15">
    <w:name w:val="Title"/>
    <w:basedOn w:val="1"/>
    <w:qFormat/>
    <w:uiPriority w:val="0"/>
    <w:pPr>
      <w:spacing w:before="240" w:after="60"/>
      <w:jc w:val="center"/>
      <w:outlineLvl w:val="0"/>
    </w:pPr>
    <w:rPr>
      <w:rFonts w:ascii="Arial" w:hAnsi="Arial" w:cs="Arial"/>
      <w:b/>
      <w:bCs/>
      <w:sz w:val="32"/>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99"/>
    <w:rPr>
      <w:color w:val="0000FF"/>
      <w:u w:val="single"/>
    </w:rPr>
  </w:style>
  <w:style w:type="character" w:customStyle="1" w:styleId="21">
    <w:name w:val="页眉 字符"/>
    <w:basedOn w:val="18"/>
    <w:link w:val="12"/>
    <w:qFormat/>
    <w:uiPriority w:val="0"/>
    <w:rPr>
      <w:rFonts w:ascii="Calibri" w:hAnsi="Calibri" w:cs="Calibri"/>
      <w:kern w:val="2"/>
      <w:sz w:val="18"/>
      <w:szCs w:val="18"/>
    </w:rPr>
  </w:style>
  <w:style w:type="character" w:customStyle="1" w:styleId="22">
    <w:name w:val="页脚 字符"/>
    <w:basedOn w:val="18"/>
    <w:link w:val="11"/>
    <w:qFormat/>
    <w:uiPriority w:val="99"/>
    <w:rPr>
      <w:rFonts w:ascii="Calibri" w:hAnsi="Calibri" w:cs="Calibri"/>
      <w:kern w:val="2"/>
      <w:sz w:val="18"/>
      <w:szCs w:val="18"/>
    </w:rPr>
  </w:style>
  <w:style w:type="character" w:customStyle="1" w:styleId="23">
    <w:name w:val="日期 字符"/>
    <w:basedOn w:val="18"/>
    <w:link w:val="9"/>
    <w:qFormat/>
    <w:uiPriority w:val="0"/>
    <w:rPr>
      <w:rFonts w:ascii="Calibri" w:hAnsi="Calibri" w:cs="Calibri"/>
      <w:kern w:val="2"/>
      <w:sz w:val="21"/>
      <w:szCs w:val="21"/>
    </w:rPr>
  </w:style>
  <w:style w:type="paragraph" w:styleId="24">
    <w:name w:val="List Paragraph"/>
    <w:basedOn w:val="1"/>
    <w:qFormat/>
    <w:uiPriority w:val="99"/>
    <w:pPr>
      <w:ind w:firstLine="420" w:firstLineChars="200"/>
    </w:pPr>
  </w:style>
  <w:style w:type="paragraph" w:customStyle="1" w:styleId="25">
    <w:name w:val="样式2"/>
    <w:basedOn w:val="5"/>
    <w:link w:val="32"/>
    <w:qFormat/>
    <w:uiPriority w:val="0"/>
    <w:pPr>
      <w:spacing w:before="120" w:after="60" w:line="240" w:lineRule="auto"/>
    </w:pPr>
    <w:rPr>
      <w:color w:val="000000"/>
      <w:sz w:val="28"/>
    </w:rPr>
  </w:style>
  <w:style w:type="paragraph" w:customStyle="1" w:styleId="26">
    <w:name w:val="样式 标题 6 + 黑色"/>
    <w:basedOn w:val="5"/>
    <w:qFormat/>
    <w:uiPriority w:val="0"/>
    <w:pPr>
      <w:spacing w:before="120" w:after="60"/>
    </w:pPr>
    <w:rPr>
      <w:color w:val="000000"/>
      <w:sz w:val="28"/>
    </w:rPr>
  </w:style>
  <w:style w:type="paragraph" w:customStyle="1" w:styleId="27">
    <w:name w:val="样式6"/>
    <w:basedOn w:val="1"/>
    <w:qFormat/>
    <w:uiPriority w:val="0"/>
    <w:pPr>
      <w:spacing w:line="360" w:lineRule="auto"/>
      <w:ind w:firstLine="200" w:firstLineChars="200"/>
      <w:jc w:val="left"/>
    </w:pPr>
    <w:rPr>
      <w:sz w:val="24"/>
    </w:rPr>
  </w:style>
  <w:style w:type="paragraph" w:customStyle="1" w:styleId="28">
    <w:name w:val="样式4"/>
    <w:basedOn w:val="1"/>
    <w:qFormat/>
    <w:uiPriority w:val="0"/>
    <w:pPr>
      <w:numPr>
        <w:ilvl w:val="0"/>
        <w:numId w:val="2"/>
      </w:numPr>
      <w:spacing w:line="500" w:lineRule="exact"/>
      <w:jc w:val="left"/>
    </w:pPr>
    <w:rPr>
      <w:rFonts w:ascii="宋体" w:hAnsi="宋体"/>
      <w:b/>
      <w:bCs/>
      <w:color w:val="000000"/>
      <w:sz w:val="24"/>
    </w:rPr>
  </w:style>
  <w:style w:type="paragraph" w:customStyle="1" w:styleId="29">
    <w:name w:val="样式5"/>
    <w:basedOn w:val="1"/>
    <w:qFormat/>
    <w:uiPriority w:val="0"/>
    <w:pPr>
      <w:spacing w:line="360" w:lineRule="auto"/>
      <w:ind w:firstLine="200" w:firstLineChars="200"/>
      <w:jc w:val="left"/>
    </w:pPr>
    <w:rPr>
      <w:sz w:val="24"/>
    </w:rPr>
  </w:style>
  <w:style w:type="paragraph" w:customStyle="1" w:styleId="30">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31">
    <w:name w:val="缺省文本"/>
    <w:basedOn w:val="1"/>
    <w:qFormat/>
    <w:uiPriority w:val="0"/>
    <w:pPr>
      <w:autoSpaceDE w:val="0"/>
      <w:autoSpaceDN w:val="0"/>
      <w:adjustRightInd w:val="0"/>
      <w:jc w:val="left"/>
    </w:pPr>
    <w:rPr>
      <w:kern w:val="0"/>
      <w:sz w:val="24"/>
      <w:szCs w:val="20"/>
    </w:rPr>
  </w:style>
  <w:style w:type="character" w:customStyle="1" w:styleId="32">
    <w:name w:val="样式2 Char"/>
    <w:basedOn w:val="33"/>
    <w:link w:val="25"/>
    <w:qFormat/>
    <w:uiPriority w:val="0"/>
    <w:rPr>
      <w:color w:val="000000"/>
      <w:sz w:val="28"/>
    </w:rPr>
  </w:style>
  <w:style w:type="character" w:customStyle="1" w:styleId="33">
    <w:name w:val="标题 6 Char"/>
    <w:basedOn w:val="18"/>
    <w:link w:val="5"/>
    <w:qFormat/>
    <w:uiPriority w:val="0"/>
    <w:rPr>
      <w:rFonts w:ascii="Arial" w:hAnsi="Arial"/>
      <w:b/>
      <w:bCs/>
      <w:kern w:val="0"/>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17258</Words>
  <Characters>18280</Characters>
  <Lines>2</Lines>
  <Paragraphs>1</Paragraphs>
  <TotalTime>12</TotalTime>
  <ScaleCrop>false</ScaleCrop>
  <LinksUpToDate>false</LinksUpToDate>
  <CharactersWithSpaces>19918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2023-08-16T07:00:00Z</dcterms:created>
  <dc:creator>Jolin Wang</dc:creator>
  <cp:lastModifiedBy>陈岳</cp:lastModifiedBy>
  <cp:lastPrinted>2025-03-13T04:12:00Z</cp:lastPrinted>
  <dcterms:modified xsi:type="dcterms:W3CDTF">2025-05-13T01:51:04Z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BF6214AA486F43F9B4B8DC95AAD251AA_13</vt:lpwstr>
  </property>
  <property fmtid="{D5CDD505-2E9C-101B-9397-08002B2CF9AE}" pid="4" name="KSOTemplateDocerSaveRecord">
    <vt:lpwstr>eyJoZGlkIjoiMzEwNTM5NzYwMDRjMzkwZTVkZjY2ODkwMGIxNGU0OTUiLCJ1c2VySWQiOiI2NjQ3MTI3NjcifQ==</vt:lpwstr>
  </property>
</Properties>
</file>