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A9910">
      <w:pPr>
        <w:rPr>
          <w:rFonts w:eastAsia="黑体"/>
          <w:b/>
          <w:color w:val="000000"/>
          <w:sz w:val="36"/>
        </w:rPr>
      </w:pPr>
      <w:bookmarkStart w:id="111" w:name="_GoBack"/>
      <w:bookmarkEnd w:id="111"/>
    </w:p>
    <w:p w14:paraId="0344D93A">
      <w:pPr>
        <w:rPr>
          <w:rFonts w:eastAsia="黑体"/>
          <w:b/>
          <w:color w:val="000000"/>
          <w:sz w:val="36"/>
        </w:rPr>
      </w:pPr>
    </w:p>
    <w:p w14:paraId="38C60A6A">
      <w:pPr>
        <w:rPr>
          <w:rFonts w:eastAsia="黑体"/>
          <w:b/>
          <w:color w:val="000000"/>
          <w:sz w:val="36"/>
        </w:rPr>
      </w:pPr>
    </w:p>
    <w:p w14:paraId="71F31581">
      <w:pPr>
        <w:rPr>
          <w:rFonts w:eastAsia="黑体"/>
          <w:b/>
          <w:color w:val="000000"/>
          <w:sz w:val="36"/>
        </w:rPr>
      </w:pPr>
    </w:p>
    <w:p w14:paraId="576B04BD">
      <w:pPr>
        <w:spacing w:line="720" w:lineRule="auto"/>
        <w:jc w:val="center"/>
        <w:rPr>
          <w:rFonts w:hint="eastAsia" w:ascii="宋体" w:hAnsi="宋体" w:eastAsia="宋体"/>
          <w:b/>
          <w:bCs/>
          <w:color w:val="000000"/>
          <w:sz w:val="44"/>
          <w:szCs w:val="44"/>
          <w:lang w:val="en-US" w:eastAsia="zh-CN"/>
        </w:rPr>
      </w:pPr>
      <w:r>
        <w:rPr>
          <w:rFonts w:hint="eastAsia" w:ascii="宋体" w:hAnsi="宋体"/>
          <w:b/>
          <w:bCs/>
          <w:color w:val="000000"/>
          <w:sz w:val="44"/>
          <w:szCs w:val="44"/>
          <w:lang w:val="en-US" w:eastAsia="zh-CN"/>
        </w:rPr>
        <w:t>北京体育大学附属竞技体育学校（2025年）体育专项器材</w:t>
      </w:r>
      <w:r>
        <w:rPr>
          <w:rFonts w:hint="eastAsia" w:ascii="宋体" w:hAnsi="宋体"/>
          <w:b/>
          <w:bCs/>
          <w:color w:val="000000"/>
          <w:sz w:val="44"/>
          <w:szCs w:val="44"/>
        </w:rPr>
        <w:t>采购竞争性谈判</w:t>
      </w:r>
    </w:p>
    <w:p w14:paraId="2EF2F6AD">
      <w:pPr>
        <w:spacing w:line="720" w:lineRule="auto"/>
        <w:ind w:firstLine="883" w:firstLineChars="200"/>
        <w:jc w:val="center"/>
        <w:rPr>
          <w:rFonts w:hint="default" w:eastAsia="宋体"/>
          <w:bCs/>
          <w:color w:val="000000"/>
          <w:sz w:val="44"/>
          <w:szCs w:val="36"/>
          <w:lang w:val="en-US" w:eastAsia="zh-CN"/>
        </w:rPr>
      </w:pPr>
      <w:r>
        <w:rPr>
          <w:rFonts w:hint="eastAsia" w:ascii="宋体" w:hAnsi="宋体"/>
          <w:b/>
          <w:bCs/>
          <w:color w:val="000000"/>
          <w:sz w:val="44"/>
          <w:szCs w:val="44"/>
        </w:rPr>
        <w:t>项目编号：TPQW2</w:t>
      </w:r>
      <w:r>
        <w:rPr>
          <w:rFonts w:hint="eastAsia" w:ascii="宋体" w:hAnsi="宋体"/>
          <w:b/>
          <w:bCs/>
          <w:color w:val="000000"/>
          <w:sz w:val="44"/>
          <w:szCs w:val="44"/>
          <w:lang w:val="en-US" w:eastAsia="zh-CN"/>
        </w:rPr>
        <w:t>5</w:t>
      </w:r>
      <w:r>
        <w:rPr>
          <w:rFonts w:hint="eastAsia" w:ascii="宋体" w:hAnsi="宋体"/>
          <w:b/>
          <w:bCs/>
          <w:color w:val="000000"/>
          <w:sz w:val="44"/>
          <w:szCs w:val="44"/>
        </w:rPr>
        <w:t>-0</w:t>
      </w:r>
      <w:r>
        <w:rPr>
          <w:rFonts w:hint="eastAsia" w:ascii="宋体" w:hAnsi="宋体"/>
          <w:b/>
          <w:bCs/>
          <w:color w:val="000000"/>
          <w:sz w:val="44"/>
          <w:szCs w:val="44"/>
          <w:lang w:val="en-US" w:eastAsia="zh-CN"/>
        </w:rPr>
        <w:t>3</w:t>
      </w:r>
    </w:p>
    <w:p w14:paraId="06E4A3E4">
      <w:pPr>
        <w:outlineLvl w:val="0"/>
        <w:rPr>
          <w:rFonts w:eastAsia="黑体"/>
          <w:b/>
          <w:bCs/>
          <w:color w:val="000000"/>
          <w:sz w:val="72"/>
          <w:szCs w:val="72"/>
        </w:rPr>
      </w:pPr>
    </w:p>
    <w:p w14:paraId="43604263">
      <w:pPr>
        <w:spacing w:line="440" w:lineRule="exact"/>
        <w:ind w:firstLine="2880" w:firstLineChars="900"/>
        <w:rPr>
          <w:color w:val="000000"/>
          <w:sz w:val="32"/>
        </w:rPr>
      </w:pPr>
    </w:p>
    <w:p w14:paraId="4E440130">
      <w:pPr>
        <w:spacing w:line="440" w:lineRule="exact"/>
        <w:ind w:firstLine="2880" w:firstLineChars="900"/>
        <w:rPr>
          <w:color w:val="000000"/>
          <w:sz w:val="32"/>
        </w:rPr>
      </w:pPr>
    </w:p>
    <w:p w14:paraId="4F361909">
      <w:pPr>
        <w:spacing w:line="440" w:lineRule="exact"/>
        <w:ind w:firstLine="2880" w:firstLineChars="900"/>
        <w:rPr>
          <w:color w:val="000000"/>
          <w:sz w:val="32"/>
        </w:rPr>
      </w:pPr>
    </w:p>
    <w:p w14:paraId="515F1FC0">
      <w:pPr>
        <w:spacing w:line="440" w:lineRule="exact"/>
        <w:ind w:firstLine="2880" w:firstLineChars="900"/>
        <w:rPr>
          <w:color w:val="000000"/>
          <w:sz w:val="32"/>
        </w:rPr>
      </w:pPr>
    </w:p>
    <w:p w14:paraId="7CF98949">
      <w:pPr>
        <w:spacing w:line="440" w:lineRule="exact"/>
        <w:ind w:firstLine="2880" w:firstLineChars="900"/>
        <w:rPr>
          <w:color w:val="000000"/>
          <w:sz w:val="32"/>
        </w:rPr>
      </w:pPr>
    </w:p>
    <w:p w14:paraId="0710CD2C">
      <w:pPr>
        <w:spacing w:line="440" w:lineRule="exact"/>
        <w:ind w:firstLine="2880" w:firstLineChars="900"/>
        <w:rPr>
          <w:color w:val="000000"/>
          <w:sz w:val="32"/>
        </w:rPr>
      </w:pPr>
    </w:p>
    <w:p w14:paraId="7278CB4A">
      <w:pPr>
        <w:spacing w:line="440" w:lineRule="exact"/>
        <w:ind w:firstLine="2880" w:firstLineChars="900"/>
        <w:rPr>
          <w:color w:val="000000"/>
          <w:sz w:val="32"/>
        </w:rPr>
      </w:pPr>
    </w:p>
    <w:p w14:paraId="0062B1FF">
      <w:pPr>
        <w:spacing w:line="360" w:lineRule="auto"/>
        <w:rPr>
          <w:rFonts w:eastAsia="黑体"/>
          <w:bCs/>
          <w:color w:val="000000"/>
          <w:kern w:val="0"/>
          <w:sz w:val="32"/>
          <w:szCs w:val="32"/>
        </w:rPr>
      </w:pPr>
    </w:p>
    <w:p w14:paraId="63338C6D">
      <w:pPr>
        <w:pStyle w:val="13"/>
        <w:spacing w:line="440" w:lineRule="exact"/>
        <w:ind w:firstLine="0"/>
        <w:jc w:val="both"/>
        <w:rPr>
          <w:b/>
          <w:bCs/>
          <w:color w:val="000000"/>
        </w:rPr>
      </w:pPr>
    </w:p>
    <w:p w14:paraId="32195B46">
      <w:pPr>
        <w:pStyle w:val="13"/>
        <w:spacing w:line="440" w:lineRule="exact"/>
        <w:ind w:firstLine="0"/>
        <w:jc w:val="both"/>
        <w:rPr>
          <w:b/>
          <w:bCs/>
          <w:color w:val="000000"/>
        </w:rPr>
      </w:pPr>
    </w:p>
    <w:p w14:paraId="72671D69">
      <w:pPr>
        <w:pStyle w:val="13"/>
        <w:spacing w:line="440" w:lineRule="exact"/>
        <w:ind w:firstLine="0"/>
        <w:jc w:val="both"/>
        <w:rPr>
          <w:b/>
          <w:bCs/>
          <w:color w:val="000000"/>
        </w:rPr>
      </w:pPr>
    </w:p>
    <w:p w14:paraId="20108B29">
      <w:pPr>
        <w:pStyle w:val="13"/>
        <w:spacing w:line="440" w:lineRule="exact"/>
        <w:ind w:firstLine="2157" w:firstLineChars="719"/>
        <w:rPr>
          <w:rFonts w:hint="eastAsia"/>
          <w:bCs/>
          <w:color w:val="000000"/>
          <w:sz w:val="30"/>
          <w:lang w:val="en-US" w:eastAsia="zh-CN"/>
        </w:rPr>
      </w:pPr>
      <w:r>
        <w:rPr>
          <w:rFonts w:hint="eastAsia"/>
          <w:bCs/>
          <w:color w:val="000000"/>
          <w:sz w:val="30"/>
        </w:rPr>
        <w:t>采购人：</w:t>
      </w:r>
      <w:r>
        <w:rPr>
          <w:rFonts w:hint="eastAsia"/>
          <w:bCs/>
          <w:color w:val="000000"/>
          <w:sz w:val="30"/>
          <w:lang w:val="en-US" w:eastAsia="zh-CN"/>
        </w:rPr>
        <w:t>北京体育大学</w:t>
      </w:r>
    </w:p>
    <w:p w14:paraId="1F0AA60B">
      <w:pPr>
        <w:pStyle w:val="13"/>
        <w:spacing w:line="440" w:lineRule="exact"/>
        <w:ind w:firstLine="2157" w:firstLineChars="719"/>
        <w:rPr>
          <w:bCs/>
          <w:color w:val="000000"/>
          <w:sz w:val="30"/>
        </w:rPr>
      </w:pPr>
      <w:r>
        <w:rPr>
          <w:rFonts w:hint="eastAsia"/>
          <w:bCs/>
          <w:color w:val="000000"/>
          <w:sz w:val="30"/>
        </w:rPr>
        <w:t>日期：202</w:t>
      </w:r>
      <w:r>
        <w:rPr>
          <w:rFonts w:hint="eastAsia"/>
          <w:bCs/>
          <w:color w:val="000000"/>
          <w:sz w:val="30"/>
          <w:lang w:val="en-US" w:eastAsia="zh-CN"/>
        </w:rPr>
        <w:t>5</w:t>
      </w:r>
      <w:r>
        <w:rPr>
          <w:rFonts w:hint="eastAsia"/>
          <w:bCs/>
          <w:color w:val="000000"/>
          <w:sz w:val="30"/>
        </w:rPr>
        <w:t>年</w:t>
      </w:r>
      <w:r>
        <w:rPr>
          <w:rFonts w:hint="eastAsia"/>
          <w:bCs/>
          <w:color w:val="000000"/>
          <w:sz w:val="30"/>
          <w:lang w:val="en-US" w:eastAsia="zh-CN"/>
        </w:rPr>
        <w:t>6</w:t>
      </w:r>
      <w:r>
        <w:rPr>
          <w:rFonts w:hint="eastAsia"/>
          <w:bCs/>
          <w:color w:val="000000"/>
          <w:sz w:val="30"/>
        </w:rPr>
        <w:t>月</w:t>
      </w:r>
    </w:p>
    <w:p w14:paraId="300CDC73">
      <w:pPr>
        <w:pStyle w:val="1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14:paraId="617553EE">
      <w:pPr>
        <w:pStyle w:val="18"/>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rPr>
          <w:rFonts w:ascii="宋体" w:hAnsi="宋体"/>
          <w:color w:val="000000"/>
        </w:rPr>
        <w:fldChar w:fldCharType="begin"/>
      </w:r>
      <w:r>
        <w:rPr>
          <w:rFonts w:ascii="宋体" w:hAnsi="宋体"/>
        </w:rPr>
        <w:instrText xml:space="preserve"> HYPERLINK \l _Toc6583 </w:instrText>
      </w:r>
      <w:r>
        <w:rPr>
          <w:rFonts w:ascii="宋体" w:hAnsi="宋体"/>
        </w:rPr>
        <w:fldChar w:fldCharType="separate"/>
      </w:r>
      <w:r>
        <w:rPr>
          <w:rFonts w:hint="eastAsia"/>
        </w:rPr>
        <w:t>第一部分 采购公告</w:t>
      </w:r>
      <w:r>
        <w:tab/>
      </w:r>
      <w:r>
        <w:fldChar w:fldCharType="begin"/>
      </w:r>
      <w:r>
        <w:instrText xml:space="preserve"> PAGEREF _Toc6583 \h </w:instrText>
      </w:r>
      <w:r>
        <w:fldChar w:fldCharType="separate"/>
      </w:r>
      <w:r>
        <w:t>2</w:t>
      </w:r>
      <w:r>
        <w:fldChar w:fldCharType="end"/>
      </w:r>
      <w:r>
        <w:rPr>
          <w:rFonts w:ascii="宋体" w:hAnsi="宋体"/>
          <w:color w:val="000000"/>
        </w:rPr>
        <w:fldChar w:fldCharType="end"/>
      </w:r>
    </w:p>
    <w:p w14:paraId="7B2575BD">
      <w:pPr>
        <w:pStyle w:val="19"/>
        <w:tabs>
          <w:tab w:val="right" w:leader="dot" w:pos="9540"/>
        </w:tabs>
      </w:pPr>
      <w:r>
        <w:rPr>
          <w:rFonts w:ascii="宋体" w:hAnsi="宋体"/>
          <w:color w:val="000000"/>
        </w:rPr>
        <w:fldChar w:fldCharType="begin"/>
      </w:r>
      <w:r>
        <w:rPr>
          <w:rFonts w:ascii="宋体" w:hAnsi="宋体"/>
        </w:rPr>
        <w:instrText xml:space="preserve"> HYPERLINK \l _Toc1028 </w:instrText>
      </w:r>
      <w:r>
        <w:rPr>
          <w:rFonts w:ascii="宋体" w:hAnsi="宋体"/>
        </w:rPr>
        <w:fldChar w:fldCharType="separate"/>
      </w:r>
      <w:r>
        <w:rPr>
          <w:rFonts w:hint="eastAsia"/>
        </w:rPr>
        <w:t>一、项目名称及项目编号</w:t>
      </w:r>
      <w:r>
        <w:tab/>
      </w:r>
      <w:r>
        <w:fldChar w:fldCharType="begin"/>
      </w:r>
      <w:r>
        <w:instrText xml:space="preserve"> PAGEREF _Toc1028 \h </w:instrText>
      </w:r>
      <w:r>
        <w:fldChar w:fldCharType="separate"/>
      </w:r>
      <w:r>
        <w:t>2</w:t>
      </w:r>
      <w:r>
        <w:fldChar w:fldCharType="end"/>
      </w:r>
      <w:r>
        <w:rPr>
          <w:rFonts w:ascii="宋体" w:hAnsi="宋体"/>
          <w:color w:val="000000"/>
        </w:rPr>
        <w:fldChar w:fldCharType="end"/>
      </w:r>
    </w:p>
    <w:p w14:paraId="7E85C3F1">
      <w:pPr>
        <w:pStyle w:val="19"/>
        <w:tabs>
          <w:tab w:val="right" w:leader="dot" w:pos="9540"/>
        </w:tabs>
      </w:pPr>
      <w:r>
        <w:rPr>
          <w:rFonts w:ascii="宋体" w:hAnsi="宋体"/>
          <w:color w:val="000000"/>
        </w:rPr>
        <w:fldChar w:fldCharType="begin"/>
      </w:r>
      <w:r>
        <w:rPr>
          <w:rFonts w:ascii="宋体" w:hAnsi="宋体"/>
        </w:rPr>
        <w:instrText xml:space="preserve"> HYPERLINK \l _Toc14874 </w:instrText>
      </w:r>
      <w:r>
        <w:rPr>
          <w:rFonts w:ascii="宋体" w:hAnsi="宋体"/>
        </w:rPr>
        <w:fldChar w:fldCharType="separate"/>
      </w:r>
      <w:r>
        <w:rPr>
          <w:rFonts w:hint="eastAsia"/>
        </w:rPr>
        <w:t>二、采购内容</w:t>
      </w:r>
      <w:r>
        <w:tab/>
      </w:r>
      <w:r>
        <w:fldChar w:fldCharType="begin"/>
      </w:r>
      <w:r>
        <w:instrText xml:space="preserve"> PAGEREF _Toc14874 \h </w:instrText>
      </w:r>
      <w:r>
        <w:fldChar w:fldCharType="separate"/>
      </w:r>
      <w:r>
        <w:t>2</w:t>
      </w:r>
      <w:r>
        <w:fldChar w:fldCharType="end"/>
      </w:r>
      <w:r>
        <w:rPr>
          <w:rFonts w:ascii="宋体" w:hAnsi="宋体"/>
          <w:color w:val="000000"/>
        </w:rPr>
        <w:fldChar w:fldCharType="end"/>
      </w:r>
    </w:p>
    <w:p w14:paraId="46DE8C4A">
      <w:pPr>
        <w:pStyle w:val="19"/>
        <w:tabs>
          <w:tab w:val="right" w:leader="dot" w:pos="9540"/>
        </w:tabs>
      </w:pPr>
      <w:r>
        <w:rPr>
          <w:rFonts w:ascii="宋体" w:hAnsi="宋体"/>
          <w:color w:val="000000"/>
        </w:rPr>
        <w:fldChar w:fldCharType="begin"/>
      </w:r>
      <w:r>
        <w:rPr>
          <w:rFonts w:ascii="宋体" w:hAnsi="宋体"/>
        </w:rPr>
        <w:instrText xml:space="preserve"> HYPERLINK \l _Toc14485 </w:instrText>
      </w:r>
      <w:r>
        <w:rPr>
          <w:rFonts w:ascii="宋体" w:hAnsi="宋体"/>
        </w:rPr>
        <w:fldChar w:fldCharType="separate"/>
      </w:r>
      <w:r>
        <w:rPr>
          <w:rFonts w:hint="eastAsia"/>
        </w:rPr>
        <w:t>三、合格的报价人</w:t>
      </w:r>
      <w:r>
        <w:tab/>
      </w:r>
      <w:r>
        <w:fldChar w:fldCharType="begin"/>
      </w:r>
      <w:r>
        <w:instrText xml:space="preserve"> PAGEREF _Toc14485 \h </w:instrText>
      </w:r>
      <w:r>
        <w:fldChar w:fldCharType="separate"/>
      </w:r>
      <w:r>
        <w:t>2</w:t>
      </w:r>
      <w:r>
        <w:fldChar w:fldCharType="end"/>
      </w:r>
      <w:r>
        <w:rPr>
          <w:rFonts w:ascii="宋体" w:hAnsi="宋体"/>
          <w:color w:val="000000"/>
        </w:rPr>
        <w:fldChar w:fldCharType="end"/>
      </w:r>
    </w:p>
    <w:p w14:paraId="52048C3C">
      <w:pPr>
        <w:pStyle w:val="19"/>
        <w:tabs>
          <w:tab w:val="right" w:leader="dot" w:pos="9540"/>
        </w:tabs>
      </w:pPr>
      <w:r>
        <w:rPr>
          <w:rFonts w:ascii="宋体" w:hAnsi="宋体"/>
          <w:color w:val="000000"/>
        </w:rPr>
        <w:fldChar w:fldCharType="begin"/>
      </w:r>
      <w:r>
        <w:rPr>
          <w:rFonts w:ascii="宋体" w:hAnsi="宋体"/>
        </w:rPr>
        <w:instrText xml:space="preserve"> HYPERLINK \l _Toc7138 </w:instrText>
      </w:r>
      <w:r>
        <w:rPr>
          <w:rFonts w:ascii="宋体" w:hAnsi="宋体"/>
        </w:rPr>
        <w:fldChar w:fldCharType="separate"/>
      </w:r>
      <w:r>
        <w:rPr>
          <w:rFonts w:hint="eastAsia"/>
        </w:rPr>
        <w:t>四、在线登记</w:t>
      </w:r>
      <w:r>
        <w:tab/>
      </w:r>
      <w:r>
        <w:fldChar w:fldCharType="begin"/>
      </w:r>
      <w:r>
        <w:instrText xml:space="preserve"> PAGEREF _Toc7138 \h </w:instrText>
      </w:r>
      <w:r>
        <w:fldChar w:fldCharType="separate"/>
      </w:r>
      <w:r>
        <w:t>2</w:t>
      </w:r>
      <w:r>
        <w:fldChar w:fldCharType="end"/>
      </w:r>
      <w:r>
        <w:rPr>
          <w:rFonts w:ascii="宋体" w:hAnsi="宋体"/>
          <w:color w:val="000000"/>
        </w:rPr>
        <w:fldChar w:fldCharType="end"/>
      </w:r>
    </w:p>
    <w:p w14:paraId="1A07BD4F">
      <w:pPr>
        <w:pStyle w:val="19"/>
        <w:tabs>
          <w:tab w:val="right" w:leader="dot" w:pos="9540"/>
        </w:tabs>
      </w:pPr>
      <w:r>
        <w:rPr>
          <w:rFonts w:ascii="宋体" w:hAnsi="宋体"/>
          <w:color w:val="000000"/>
        </w:rPr>
        <w:fldChar w:fldCharType="begin"/>
      </w:r>
      <w:r>
        <w:rPr>
          <w:rFonts w:ascii="宋体" w:hAnsi="宋体"/>
        </w:rPr>
        <w:instrText xml:space="preserve"> HYPERLINK \l _Toc21232 </w:instrText>
      </w:r>
      <w:r>
        <w:rPr>
          <w:rFonts w:ascii="宋体" w:hAnsi="宋体"/>
        </w:rPr>
        <w:fldChar w:fldCharType="separate"/>
      </w:r>
      <w:r>
        <w:rPr>
          <w:rFonts w:hint="eastAsia" w:ascii="宋体" w:hAnsi="Times New Roman"/>
          <w:kern w:val="2"/>
        </w:rPr>
        <w:t>五</w:t>
      </w:r>
      <w:r>
        <w:rPr>
          <w:rFonts w:hint="eastAsia"/>
        </w:rPr>
        <w:t>、报价文件的递交</w:t>
      </w:r>
      <w:r>
        <w:tab/>
      </w:r>
      <w:r>
        <w:fldChar w:fldCharType="begin"/>
      </w:r>
      <w:r>
        <w:instrText xml:space="preserve"> PAGEREF _Toc21232 \h </w:instrText>
      </w:r>
      <w:r>
        <w:fldChar w:fldCharType="separate"/>
      </w:r>
      <w:r>
        <w:t>3</w:t>
      </w:r>
      <w:r>
        <w:fldChar w:fldCharType="end"/>
      </w:r>
      <w:r>
        <w:rPr>
          <w:rFonts w:ascii="宋体" w:hAnsi="宋体"/>
          <w:color w:val="000000"/>
        </w:rPr>
        <w:fldChar w:fldCharType="end"/>
      </w:r>
    </w:p>
    <w:p w14:paraId="3388966B">
      <w:pPr>
        <w:pStyle w:val="19"/>
        <w:tabs>
          <w:tab w:val="right" w:leader="dot" w:pos="9540"/>
        </w:tabs>
      </w:pPr>
      <w:r>
        <w:rPr>
          <w:rFonts w:ascii="宋体" w:hAnsi="宋体"/>
          <w:color w:val="000000"/>
        </w:rPr>
        <w:fldChar w:fldCharType="begin"/>
      </w:r>
      <w:r>
        <w:rPr>
          <w:rFonts w:ascii="宋体" w:hAnsi="宋体"/>
        </w:rPr>
        <w:instrText xml:space="preserve"> HYPERLINK \l _Toc21328 </w:instrText>
      </w:r>
      <w:r>
        <w:rPr>
          <w:rFonts w:ascii="宋体" w:hAnsi="宋体"/>
        </w:rPr>
        <w:fldChar w:fldCharType="separate"/>
      </w:r>
      <w:r>
        <w:rPr>
          <w:rFonts w:hint="eastAsia"/>
        </w:rPr>
        <w:t>六、谈判时间、地点</w:t>
      </w:r>
      <w:r>
        <w:tab/>
      </w:r>
      <w:r>
        <w:fldChar w:fldCharType="begin"/>
      </w:r>
      <w:r>
        <w:instrText xml:space="preserve"> PAGEREF _Toc21328 \h </w:instrText>
      </w:r>
      <w:r>
        <w:fldChar w:fldCharType="separate"/>
      </w:r>
      <w:r>
        <w:t>4</w:t>
      </w:r>
      <w:r>
        <w:fldChar w:fldCharType="end"/>
      </w:r>
      <w:r>
        <w:rPr>
          <w:rFonts w:ascii="宋体" w:hAnsi="宋体"/>
          <w:color w:val="000000"/>
        </w:rPr>
        <w:fldChar w:fldCharType="end"/>
      </w:r>
    </w:p>
    <w:p w14:paraId="029BF62C">
      <w:pPr>
        <w:pStyle w:val="18"/>
        <w:tabs>
          <w:tab w:val="right" w:leader="dot" w:pos="9540"/>
        </w:tabs>
      </w:pPr>
      <w:r>
        <w:rPr>
          <w:rFonts w:ascii="宋体" w:hAnsi="宋体"/>
          <w:color w:val="000000"/>
        </w:rPr>
        <w:fldChar w:fldCharType="begin"/>
      </w:r>
      <w:r>
        <w:rPr>
          <w:rFonts w:ascii="宋体" w:hAnsi="宋体"/>
        </w:rPr>
        <w:instrText xml:space="preserve"> HYPERLINK \l _Toc18500 </w:instrText>
      </w:r>
      <w:r>
        <w:rPr>
          <w:rFonts w:ascii="宋体" w:hAnsi="宋体"/>
        </w:rPr>
        <w:fldChar w:fldCharType="separate"/>
      </w:r>
      <w:r>
        <w:rPr>
          <w:rFonts w:hint="eastAsia"/>
        </w:rPr>
        <w:t>第二部分报价须知</w:t>
      </w:r>
      <w:r>
        <w:tab/>
      </w:r>
      <w:r>
        <w:fldChar w:fldCharType="begin"/>
      </w:r>
      <w:r>
        <w:instrText xml:space="preserve"> PAGEREF _Toc18500 \h </w:instrText>
      </w:r>
      <w:r>
        <w:fldChar w:fldCharType="separate"/>
      </w:r>
      <w:r>
        <w:t>4</w:t>
      </w:r>
      <w:r>
        <w:fldChar w:fldCharType="end"/>
      </w:r>
      <w:r>
        <w:rPr>
          <w:rFonts w:ascii="宋体" w:hAnsi="宋体"/>
          <w:color w:val="000000"/>
        </w:rPr>
        <w:fldChar w:fldCharType="end"/>
      </w:r>
    </w:p>
    <w:p w14:paraId="7E54C77C">
      <w:pPr>
        <w:pStyle w:val="19"/>
        <w:tabs>
          <w:tab w:val="right" w:leader="dot" w:pos="9540"/>
        </w:tabs>
      </w:pPr>
      <w:r>
        <w:rPr>
          <w:rFonts w:ascii="宋体" w:hAnsi="宋体"/>
          <w:color w:val="000000"/>
        </w:rPr>
        <w:fldChar w:fldCharType="begin"/>
      </w:r>
      <w:r>
        <w:rPr>
          <w:rFonts w:ascii="宋体" w:hAnsi="宋体"/>
        </w:rPr>
        <w:instrText xml:space="preserve"> HYPERLINK \l _Toc4898 </w:instrText>
      </w:r>
      <w:r>
        <w:rPr>
          <w:rFonts w:ascii="宋体" w:hAnsi="宋体"/>
        </w:rPr>
        <w:fldChar w:fldCharType="separate"/>
      </w:r>
      <w:r>
        <w:rPr>
          <w:rFonts w:hint="eastAsia"/>
        </w:rPr>
        <w:t>一、总则</w:t>
      </w:r>
      <w:r>
        <w:tab/>
      </w:r>
      <w:r>
        <w:fldChar w:fldCharType="begin"/>
      </w:r>
      <w:r>
        <w:instrText xml:space="preserve"> PAGEREF _Toc4898 \h </w:instrText>
      </w:r>
      <w:r>
        <w:fldChar w:fldCharType="separate"/>
      </w:r>
      <w:r>
        <w:t>4</w:t>
      </w:r>
      <w:r>
        <w:fldChar w:fldCharType="end"/>
      </w:r>
      <w:r>
        <w:rPr>
          <w:rFonts w:ascii="宋体" w:hAnsi="宋体"/>
          <w:color w:val="000000"/>
        </w:rPr>
        <w:fldChar w:fldCharType="end"/>
      </w:r>
    </w:p>
    <w:p w14:paraId="2F76909A">
      <w:pPr>
        <w:pStyle w:val="19"/>
        <w:tabs>
          <w:tab w:val="right" w:leader="dot" w:pos="9540"/>
        </w:tabs>
      </w:pPr>
      <w:r>
        <w:rPr>
          <w:rFonts w:ascii="宋体" w:hAnsi="宋体"/>
          <w:color w:val="000000"/>
        </w:rPr>
        <w:fldChar w:fldCharType="begin"/>
      </w:r>
      <w:r>
        <w:rPr>
          <w:rFonts w:ascii="宋体" w:hAnsi="宋体"/>
        </w:rPr>
        <w:instrText xml:space="preserve"> HYPERLINK \l _Toc20875 </w:instrText>
      </w:r>
      <w:r>
        <w:rPr>
          <w:rFonts w:ascii="宋体" w:hAnsi="宋体"/>
        </w:rPr>
        <w:fldChar w:fldCharType="separate"/>
      </w:r>
      <w:r>
        <w:rPr>
          <w:rFonts w:hint="eastAsia"/>
        </w:rPr>
        <w:t>二、采购信息说明</w:t>
      </w:r>
      <w:r>
        <w:tab/>
      </w:r>
      <w:r>
        <w:fldChar w:fldCharType="begin"/>
      </w:r>
      <w:r>
        <w:instrText xml:space="preserve"> PAGEREF _Toc20875 \h </w:instrText>
      </w:r>
      <w:r>
        <w:fldChar w:fldCharType="separate"/>
      </w:r>
      <w:r>
        <w:t>5</w:t>
      </w:r>
      <w:r>
        <w:fldChar w:fldCharType="end"/>
      </w:r>
      <w:r>
        <w:rPr>
          <w:rFonts w:ascii="宋体" w:hAnsi="宋体"/>
          <w:color w:val="000000"/>
        </w:rPr>
        <w:fldChar w:fldCharType="end"/>
      </w:r>
    </w:p>
    <w:p w14:paraId="4349D6EF">
      <w:pPr>
        <w:pStyle w:val="19"/>
        <w:tabs>
          <w:tab w:val="right" w:leader="dot" w:pos="9540"/>
        </w:tabs>
      </w:pPr>
      <w:r>
        <w:rPr>
          <w:rFonts w:ascii="宋体" w:hAnsi="宋体"/>
          <w:color w:val="000000"/>
        </w:rPr>
        <w:fldChar w:fldCharType="begin"/>
      </w:r>
      <w:r>
        <w:rPr>
          <w:rFonts w:ascii="宋体" w:hAnsi="宋体"/>
        </w:rPr>
        <w:instrText xml:space="preserve"> HYPERLINK \l _Toc9396 </w:instrText>
      </w:r>
      <w:r>
        <w:rPr>
          <w:rFonts w:ascii="宋体" w:hAnsi="宋体"/>
        </w:rPr>
        <w:fldChar w:fldCharType="separate"/>
      </w:r>
      <w:r>
        <w:rPr>
          <w:rFonts w:hint="eastAsia"/>
        </w:rPr>
        <w:t>三、报价文件的编写</w:t>
      </w:r>
      <w:r>
        <w:tab/>
      </w:r>
      <w:r>
        <w:fldChar w:fldCharType="begin"/>
      </w:r>
      <w:r>
        <w:instrText xml:space="preserve"> PAGEREF _Toc9396 \h </w:instrText>
      </w:r>
      <w:r>
        <w:fldChar w:fldCharType="separate"/>
      </w:r>
      <w:r>
        <w:t>6</w:t>
      </w:r>
      <w:r>
        <w:fldChar w:fldCharType="end"/>
      </w:r>
      <w:r>
        <w:rPr>
          <w:rFonts w:ascii="宋体" w:hAnsi="宋体"/>
          <w:color w:val="000000"/>
        </w:rPr>
        <w:fldChar w:fldCharType="end"/>
      </w:r>
    </w:p>
    <w:p w14:paraId="14808D6A">
      <w:pPr>
        <w:pStyle w:val="19"/>
        <w:tabs>
          <w:tab w:val="right" w:leader="dot" w:pos="9540"/>
        </w:tabs>
      </w:pPr>
      <w:r>
        <w:rPr>
          <w:rFonts w:ascii="宋体" w:hAnsi="宋体"/>
          <w:color w:val="000000"/>
        </w:rPr>
        <w:fldChar w:fldCharType="begin"/>
      </w:r>
      <w:r>
        <w:rPr>
          <w:rFonts w:ascii="宋体" w:hAnsi="宋体"/>
        </w:rPr>
        <w:instrText xml:space="preserve"> HYPERLINK \l _Toc32191 </w:instrText>
      </w:r>
      <w:r>
        <w:rPr>
          <w:rFonts w:ascii="宋体" w:hAnsi="宋体"/>
        </w:rPr>
        <w:fldChar w:fldCharType="separate"/>
      </w:r>
      <w:r>
        <w:rPr>
          <w:rFonts w:hint="eastAsia"/>
        </w:rPr>
        <w:t>四、合同的授予</w:t>
      </w:r>
      <w:r>
        <w:tab/>
      </w:r>
      <w:r>
        <w:fldChar w:fldCharType="begin"/>
      </w:r>
      <w:r>
        <w:instrText xml:space="preserve"> PAGEREF _Toc32191 \h </w:instrText>
      </w:r>
      <w:r>
        <w:fldChar w:fldCharType="separate"/>
      </w:r>
      <w:r>
        <w:t>8</w:t>
      </w:r>
      <w:r>
        <w:fldChar w:fldCharType="end"/>
      </w:r>
      <w:r>
        <w:rPr>
          <w:rFonts w:ascii="宋体" w:hAnsi="宋体"/>
          <w:color w:val="000000"/>
        </w:rPr>
        <w:fldChar w:fldCharType="end"/>
      </w:r>
    </w:p>
    <w:p w14:paraId="630B41E6">
      <w:pPr>
        <w:pStyle w:val="19"/>
        <w:tabs>
          <w:tab w:val="right" w:leader="dot" w:pos="9540"/>
        </w:tabs>
      </w:pPr>
      <w:r>
        <w:rPr>
          <w:rFonts w:ascii="宋体" w:hAnsi="宋体"/>
          <w:color w:val="000000"/>
        </w:rPr>
        <w:fldChar w:fldCharType="begin"/>
      </w:r>
      <w:r>
        <w:rPr>
          <w:rFonts w:ascii="宋体" w:hAnsi="宋体"/>
        </w:rPr>
        <w:instrText xml:space="preserve"> HYPERLINK \l _Toc16894 </w:instrText>
      </w:r>
      <w:r>
        <w:rPr>
          <w:rFonts w:ascii="宋体" w:hAnsi="宋体"/>
        </w:rPr>
        <w:fldChar w:fldCharType="separate"/>
      </w:r>
      <w:r>
        <w:rPr>
          <w:rFonts w:hint="eastAsia"/>
        </w:rPr>
        <w:t>五、质疑和投诉</w:t>
      </w:r>
      <w:r>
        <w:tab/>
      </w:r>
      <w:r>
        <w:fldChar w:fldCharType="begin"/>
      </w:r>
      <w:r>
        <w:instrText xml:space="preserve"> PAGEREF _Toc16894 \h </w:instrText>
      </w:r>
      <w:r>
        <w:fldChar w:fldCharType="separate"/>
      </w:r>
      <w:r>
        <w:t>9</w:t>
      </w:r>
      <w:r>
        <w:fldChar w:fldCharType="end"/>
      </w:r>
      <w:r>
        <w:rPr>
          <w:rFonts w:ascii="宋体" w:hAnsi="宋体"/>
          <w:color w:val="000000"/>
        </w:rPr>
        <w:fldChar w:fldCharType="end"/>
      </w:r>
    </w:p>
    <w:p w14:paraId="423781A2">
      <w:pPr>
        <w:pStyle w:val="19"/>
        <w:tabs>
          <w:tab w:val="right" w:leader="dot" w:pos="9540"/>
        </w:tabs>
      </w:pPr>
      <w:r>
        <w:rPr>
          <w:rFonts w:ascii="宋体" w:hAnsi="宋体"/>
          <w:color w:val="000000"/>
        </w:rPr>
        <w:fldChar w:fldCharType="begin"/>
      </w:r>
      <w:r>
        <w:rPr>
          <w:rFonts w:ascii="宋体" w:hAnsi="宋体"/>
        </w:rPr>
        <w:instrText xml:space="preserve"> HYPERLINK \l _Toc29262 </w:instrText>
      </w:r>
      <w:r>
        <w:rPr>
          <w:rFonts w:ascii="宋体" w:hAnsi="宋体"/>
        </w:rPr>
        <w:fldChar w:fldCharType="separate"/>
      </w:r>
      <w:r>
        <w:rPr>
          <w:rFonts w:hint="eastAsia"/>
        </w:rPr>
        <w:t>六、其它须知</w:t>
      </w:r>
      <w:r>
        <w:tab/>
      </w:r>
      <w:r>
        <w:fldChar w:fldCharType="begin"/>
      </w:r>
      <w:r>
        <w:instrText xml:space="preserve"> PAGEREF _Toc29262 \h </w:instrText>
      </w:r>
      <w:r>
        <w:fldChar w:fldCharType="separate"/>
      </w:r>
      <w:r>
        <w:t>9</w:t>
      </w:r>
      <w:r>
        <w:fldChar w:fldCharType="end"/>
      </w:r>
      <w:r>
        <w:rPr>
          <w:rFonts w:ascii="宋体" w:hAnsi="宋体"/>
          <w:color w:val="000000"/>
        </w:rPr>
        <w:fldChar w:fldCharType="end"/>
      </w:r>
    </w:p>
    <w:p w14:paraId="0C6068CA">
      <w:pPr>
        <w:pStyle w:val="18"/>
        <w:tabs>
          <w:tab w:val="right" w:leader="dot" w:pos="9540"/>
        </w:tabs>
      </w:pPr>
      <w:r>
        <w:rPr>
          <w:rFonts w:ascii="宋体" w:hAnsi="宋体"/>
          <w:color w:val="000000"/>
        </w:rPr>
        <w:fldChar w:fldCharType="begin"/>
      </w:r>
      <w:r>
        <w:rPr>
          <w:rFonts w:ascii="宋体" w:hAnsi="宋体"/>
        </w:rPr>
        <w:instrText xml:space="preserve"> HYPERLINK \l _Toc26790 </w:instrText>
      </w:r>
      <w:r>
        <w:rPr>
          <w:rFonts w:ascii="宋体" w:hAnsi="宋体"/>
        </w:rPr>
        <w:fldChar w:fldCharType="separate"/>
      </w:r>
      <w:r>
        <w:rPr>
          <w:rFonts w:hint="eastAsia"/>
        </w:rPr>
        <w:t>第三部分 采购清单</w:t>
      </w:r>
      <w:r>
        <w:tab/>
      </w:r>
      <w:r>
        <w:fldChar w:fldCharType="begin"/>
      </w:r>
      <w:r>
        <w:instrText xml:space="preserve"> PAGEREF _Toc26790 \h </w:instrText>
      </w:r>
      <w:r>
        <w:fldChar w:fldCharType="separate"/>
      </w:r>
      <w:r>
        <w:t>11</w:t>
      </w:r>
      <w:r>
        <w:fldChar w:fldCharType="end"/>
      </w:r>
      <w:r>
        <w:rPr>
          <w:rFonts w:ascii="宋体" w:hAnsi="宋体"/>
          <w:color w:val="000000"/>
        </w:rPr>
        <w:fldChar w:fldCharType="end"/>
      </w:r>
    </w:p>
    <w:p w14:paraId="4D383B5A">
      <w:pPr>
        <w:pStyle w:val="18"/>
        <w:tabs>
          <w:tab w:val="right" w:leader="dot" w:pos="9540"/>
        </w:tabs>
      </w:pPr>
      <w:r>
        <w:rPr>
          <w:rFonts w:ascii="宋体" w:hAnsi="宋体"/>
          <w:color w:val="000000"/>
        </w:rPr>
        <w:fldChar w:fldCharType="begin"/>
      </w:r>
      <w:r>
        <w:rPr>
          <w:rFonts w:ascii="宋体" w:hAnsi="宋体"/>
        </w:rPr>
        <w:instrText xml:space="preserve"> HYPERLINK \l _Toc13426 </w:instrText>
      </w:r>
      <w:r>
        <w:rPr>
          <w:rFonts w:ascii="宋体" w:hAnsi="宋体"/>
        </w:rPr>
        <w:fldChar w:fldCharType="separate"/>
      </w:r>
      <w:r>
        <w:rPr>
          <w:rFonts w:hint="eastAsia"/>
          <w:szCs w:val="24"/>
          <w:lang w:val="en-US" w:eastAsia="zh-CN"/>
        </w:rPr>
        <w:t>标项1：铁人三项器材，预算：10.2万元</w:t>
      </w:r>
      <w:r>
        <w:tab/>
      </w:r>
      <w:r>
        <w:fldChar w:fldCharType="begin"/>
      </w:r>
      <w:r>
        <w:instrText xml:space="preserve"> PAGEREF _Toc13426 \h </w:instrText>
      </w:r>
      <w:r>
        <w:fldChar w:fldCharType="separate"/>
      </w:r>
      <w:r>
        <w:t>11</w:t>
      </w:r>
      <w:r>
        <w:fldChar w:fldCharType="end"/>
      </w:r>
      <w:r>
        <w:rPr>
          <w:rFonts w:ascii="宋体" w:hAnsi="宋体"/>
          <w:color w:val="000000"/>
        </w:rPr>
        <w:fldChar w:fldCharType="end"/>
      </w:r>
    </w:p>
    <w:p w14:paraId="6AFCF7A8">
      <w:pPr>
        <w:pStyle w:val="18"/>
        <w:tabs>
          <w:tab w:val="right" w:leader="dot" w:pos="9540"/>
        </w:tabs>
      </w:pPr>
      <w:r>
        <w:rPr>
          <w:rFonts w:ascii="宋体" w:hAnsi="宋体"/>
          <w:color w:val="000000"/>
        </w:rPr>
        <w:fldChar w:fldCharType="begin"/>
      </w:r>
      <w:r>
        <w:rPr>
          <w:rFonts w:ascii="宋体" w:hAnsi="宋体"/>
        </w:rPr>
        <w:instrText xml:space="preserve"> HYPERLINK \l _Toc13954 </w:instrText>
      </w:r>
      <w:r>
        <w:rPr>
          <w:rFonts w:ascii="宋体" w:hAnsi="宋体"/>
        </w:rPr>
        <w:fldChar w:fldCharType="separate"/>
      </w:r>
      <w:r>
        <w:rPr>
          <w:rFonts w:hint="eastAsia"/>
          <w:szCs w:val="24"/>
          <w:lang w:val="en-US" w:eastAsia="zh-CN"/>
        </w:rPr>
        <w:t>标项2：柔道项目及辅助训练器材，预算：42万元</w:t>
      </w:r>
      <w:r>
        <w:tab/>
      </w:r>
      <w:r>
        <w:fldChar w:fldCharType="begin"/>
      </w:r>
      <w:r>
        <w:instrText xml:space="preserve"> PAGEREF _Toc13954 \h </w:instrText>
      </w:r>
      <w:r>
        <w:fldChar w:fldCharType="separate"/>
      </w:r>
      <w:r>
        <w:t>11</w:t>
      </w:r>
      <w:r>
        <w:fldChar w:fldCharType="end"/>
      </w:r>
      <w:r>
        <w:rPr>
          <w:rFonts w:ascii="宋体" w:hAnsi="宋体"/>
          <w:color w:val="000000"/>
        </w:rPr>
        <w:fldChar w:fldCharType="end"/>
      </w:r>
    </w:p>
    <w:p w14:paraId="7F6AED96">
      <w:pPr>
        <w:pStyle w:val="18"/>
        <w:tabs>
          <w:tab w:val="right" w:leader="dot" w:pos="9540"/>
        </w:tabs>
      </w:pPr>
      <w:r>
        <w:rPr>
          <w:rFonts w:ascii="宋体" w:hAnsi="宋体"/>
          <w:color w:val="000000"/>
        </w:rPr>
        <w:fldChar w:fldCharType="begin"/>
      </w:r>
      <w:r>
        <w:rPr>
          <w:rFonts w:ascii="宋体" w:hAnsi="宋体"/>
        </w:rPr>
        <w:instrText xml:space="preserve"> HYPERLINK \l _Toc9016 </w:instrText>
      </w:r>
      <w:r>
        <w:rPr>
          <w:rFonts w:ascii="宋体" w:hAnsi="宋体"/>
        </w:rPr>
        <w:fldChar w:fldCharType="separate"/>
      </w:r>
      <w:r>
        <w:rPr>
          <w:rFonts w:hint="eastAsia"/>
        </w:rPr>
        <w:t>第四部分 评定标准</w:t>
      </w:r>
      <w:r>
        <w:tab/>
      </w:r>
      <w:r>
        <w:fldChar w:fldCharType="begin"/>
      </w:r>
      <w:r>
        <w:instrText xml:space="preserve"> PAGEREF _Toc9016 \h </w:instrText>
      </w:r>
      <w:r>
        <w:fldChar w:fldCharType="separate"/>
      </w:r>
      <w:r>
        <w:t>13</w:t>
      </w:r>
      <w:r>
        <w:fldChar w:fldCharType="end"/>
      </w:r>
      <w:r>
        <w:rPr>
          <w:rFonts w:ascii="宋体" w:hAnsi="宋体"/>
          <w:color w:val="000000"/>
        </w:rPr>
        <w:fldChar w:fldCharType="end"/>
      </w:r>
    </w:p>
    <w:p w14:paraId="43ADB6F3">
      <w:pPr>
        <w:pStyle w:val="19"/>
        <w:tabs>
          <w:tab w:val="right" w:leader="dot" w:pos="9540"/>
        </w:tabs>
      </w:pPr>
      <w:r>
        <w:rPr>
          <w:rFonts w:ascii="宋体" w:hAnsi="宋体"/>
          <w:color w:val="000000"/>
        </w:rPr>
        <w:fldChar w:fldCharType="begin"/>
      </w:r>
      <w:r>
        <w:rPr>
          <w:rFonts w:ascii="宋体" w:hAnsi="宋体"/>
        </w:rPr>
        <w:instrText xml:space="preserve"> HYPERLINK \l _Toc14268 </w:instrText>
      </w:r>
      <w:r>
        <w:rPr>
          <w:rFonts w:ascii="宋体" w:hAnsi="宋体"/>
        </w:rPr>
        <w:fldChar w:fldCharType="separate"/>
      </w:r>
      <w:r>
        <w:rPr>
          <w:rFonts w:hint="eastAsia"/>
        </w:rPr>
        <w:t>一、总则</w:t>
      </w:r>
      <w:r>
        <w:tab/>
      </w:r>
      <w:r>
        <w:fldChar w:fldCharType="begin"/>
      </w:r>
      <w:r>
        <w:instrText xml:space="preserve"> PAGEREF _Toc14268 \h </w:instrText>
      </w:r>
      <w:r>
        <w:fldChar w:fldCharType="separate"/>
      </w:r>
      <w:r>
        <w:t>13</w:t>
      </w:r>
      <w:r>
        <w:fldChar w:fldCharType="end"/>
      </w:r>
      <w:r>
        <w:rPr>
          <w:rFonts w:ascii="宋体" w:hAnsi="宋体"/>
          <w:color w:val="000000"/>
        </w:rPr>
        <w:fldChar w:fldCharType="end"/>
      </w:r>
    </w:p>
    <w:p w14:paraId="6338C0E7">
      <w:pPr>
        <w:pStyle w:val="19"/>
        <w:tabs>
          <w:tab w:val="right" w:leader="dot" w:pos="9540"/>
        </w:tabs>
      </w:pPr>
      <w:r>
        <w:rPr>
          <w:rFonts w:ascii="宋体" w:hAnsi="宋体"/>
          <w:color w:val="000000"/>
        </w:rPr>
        <w:fldChar w:fldCharType="begin"/>
      </w:r>
      <w:r>
        <w:rPr>
          <w:rFonts w:ascii="宋体" w:hAnsi="宋体"/>
        </w:rPr>
        <w:instrText xml:space="preserve"> HYPERLINK \l _Toc18405 </w:instrText>
      </w:r>
      <w:r>
        <w:rPr>
          <w:rFonts w:ascii="宋体" w:hAnsi="宋体"/>
        </w:rPr>
        <w:fldChar w:fldCharType="separate"/>
      </w:r>
      <w:r>
        <w:rPr>
          <w:rFonts w:hint="eastAsia"/>
        </w:rPr>
        <w:t>二、谈判程序及说明</w:t>
      </w:r>
      <w:r>
        <w:tab/>
      </w:r>
      <w:r>
        <w:fldChar w:fldCharType="begin"/>
      </w:r>
      <w:r>
        <w:instrText xml:space="preserve"> PAGEREF _Toc18405 \h </w:instrText>
      </w:r>
      <w:r>
        <w:fldChar w:fldCharType="separate"/>
      </w:r>
      <w:r>
        <w:t>14</w:t>
      </w:r>
      <w:r>
        <w:fldChar w:fldCharType="end"/>
      </w:r>
      <w:r>
        <w:rPr>
          <w:rFonts w:ascii="宋体" w:hAnsi="宋体"/>
          <w:color w:val="000000"/>
        </w:rPr>
        <w:fldChar w:fldCharType="end"/>
      </w:r>
    </w:p>
    <w:p w14:paraId="30A8283D">
      <w:pPr>
        <w:pStyle w:val="19"/>
        <w:tabs>
          <w:tab w:val="right" w:leader="dot" w:pos="9540"/>
        </w:tabs>
      </w:pPr>
      <w:r>
        <w:rPr>
          <w:rFonts w:ascii="宋体" w:hAnsi="宋体"/>
          <w:color w:val="000000"/>
        </w:rPr>
        <w:fldChar w:fldCharType="begin"/>
      </w:r>
      <w:r>
        <w:rPr>
          <w:rFonts w:ascii="宋体" w:hAnsi="宋体"/>
        </w:rPr>
        <w:instrText xml:space="preserve"> HYPERLINK \l _Toc18301 </w:instrText>
      </w:r>
      <w:r>
        <w:rPr>
          <w:rFonts w:ascii="宋体" w:hAnsi="宋体"/>
        </w:rPr>
        <w:fldChar w:fldCharType="separate"/>
      </w:r>
      <w:r>
        <w:rPr>
          <w:rFonts w:hint="eastAsia"/>
        </w:rPr>
        <w:t>三、评定标准</w:t>
      </w:r>
      <w:r>
        <w:tab/>
      </w:r>
      <w:r>
        <w:fldChar w:fldCharType="begin"/>
      </w:r>
      <w:r>
        <w:instrText xml:space="preserve"> PAGEREF _Toc18301 \h </w:instrText>
      </w:r>
      <w:r>
        <w:fldChar w:fldCharType="separate"/>
      </w:r>
      <w:r>
        <w:t>14</w:t>
      </w:r>
      <w:r>
        <w:fldChar w:fldCharType="end"/>
      </w:r>
      <w:r>
        <w:rPr>
          <w:rFonts w:ascii="宋体" w:hAnsi="宋体"/>
          <w:color w:val="000000"/>
        </w:rPr>
        <w:fldChar w:fldCharType="end"/>
      </w:r>
    </w:p>
    <w:p w14:paraId="461D6E4F">
      <w:pPr>
        <w:pStyle w:val="18"/>
        <w:tabs>
          <w:tab w:val="right" w:leader="dot" w:pos="9540"/>
        </w:tabs>
      </w:pPr>
      <w:r>
        <w:rPr>
          <w:rFonts w:ascii="宋体" w:hAnsi="宋体"/>
          <w:color w:val="000000"/>
        </w:rPr>
        <w:fldChar w:fldCharType="begin"/>
      </w:r>
      <w:r>
        <w:rPr>
          <w:rFonts w:ascii="宋体" w:hAnsi="宋体"/>
        </w:rPr>
        <w:instrText xml:space="preserve"> HYPERLINK \l _Toc11502 </w:instrText>
      </w:r>
      <w:r>
        <w:rPr>
          <w:rFonts w:ascii="宋体" w:hAnsi="宋体"/>
        </w:rPr>
        <w:fldChar w:fldCharType="separate"/>
      </w:r>
      <w:r>
        <w:rPr>
          <w:rFonts w:hint="eastAsia"/>
        </w:rPr>
        <w:t>第五部分 报价文件格式</w:t>
      </w:r>
      <w:r>
        <w:tab/>
      </w:r>
      <w:r>
        <w:fldChar w:fldCharType="begin"/>
      </w:r>
      <w:r>
        <w:instrText xml:space="preserve"> PAGEREF _Toc11502 \h </w:instrText>
      </w:r>
      <w:r>
        <w:fldChar w:fldCharType="separate"/>
      </w:r>
      <w:r>
        <w:t>15</w:t>
      </w:r>
      <w:r>
        <w:fldChar w:fldCharType="end"/>
      </w:r>
      <w:r>
        <w:rPr>
          <w:rFonts w:ascii="宋体" w:hAnsi="宋体"/>
          <w:color w:val="000000"/>
        </w:rPr>
        <w:fldChar w:fldCharType="end"/>
      </w:r>
    </w:p>
    <w:p w14:paraId="71F2FB92">
      <w:pPr>
        <w:pStyle w:val="19"/>
        <w:tabs>
          <w:tab w:val="right" w:leader="dot" w:pos="9540"/>
        </w:tabs>
      </w:pPr>
      <w:r>
        <w:rPr>
          <w:rFonts w:ascii="宋体" w:hAnsi="宋体"/>
          <w:color w:val="000000"/>
        </w:rPr>
        <w:fldChar w:fldCharType="begin"/>
      </w:r>
      <w:r>
        <w:rPr>
          <w:rFonts w:ascii="宋体" w:hAnsi="宋体"/>
        </w:rPr>
        <w:instrText xml:space="preserve"> HYPERLINK \l _Toc12960 </w:instrText>
      </w:r>
      <w:r>
        <w:rPr>
          <w:rFonts w:ascii="宋体" w:hAnsi="宋体"/>
        </w:rPr>
        <w:fldChar w:fldCharType="separate"/>
      </w:r>
      <w:r>
        <w:rPr>
          <w:rFonts w:hint="eastAsia"/>
        </w:rPr>
        <w:t>报价人提交文件须知</w:t>
      </w:r>
      <w:r>
        <w:tab/>
      </w:r>
      <w:r>
        <w:fldChar w:fldCharType="begin"/>
      </w:r>
      <w:r>
        <w:instrText xml:space="preserve"> PAGEREF _Toc12960 \h </w:instrText>
      </w:r>
      <w:r>
        <w:fldChar w:fldCharType="separate"/>
      </w:r>
      <w:r>
        <w:t>15</w:t>
      </w:r>
      <w:r>
        <w:fldChar w:fldCharType="end"/>
      </w:r>
      <w:r>
        <w:rPr>
          <w:rFonts w:ascii="宋体" w:hAnsi="宋体"/>
          <w:color w:val="000000"/>
        </w:rPr>
        <w:fldChar w:fldCharType="end"/>
      </w:r>
    </w:p>
    <w:p w14:paraId="1E38CE41">
      <w:pPr>
        <w:pStyle w:val="19"/>
        <w:tabs>
          <w:tab w:val="right" w:leader="dot" w:pos="9540"/>
        </w:tabs>
      </w:pPr>
      <w:r>
        <w:rPr>
          <w:rFonts w:ascii="宋体" w:hAnsi="宋体"/>
          <w:color w:val="000000"/>
        </w:rPr>
        <w:fldChar w:fldCharType="begin"/>
      </w:r>
      <w:r>
        <w:rPr>
          <w:rFonts w:ascii="宋体" w:hAnsi="宋体"/>
        </w:rPr>
        <w:instrText xml:space="preserve"> HYPERLINK \l _Toc5993 </w:instrText>
      </w:r>
      <w:r>
        <w:rPr>
          <w:rFonts w:ascii="宋体" w:hAnsi="宋体"/>
        </w:rPr>
        <w:fldChar w:fldCharType="separate"/>
      </w:r>
      <w:r>
        <w:rPr>
          <w:rFonts w:hint="eastAsia"/>
          <w:szCs w:val="28"/>
        </w:rPr>
        <w:t>附件1： 封面</w:t>
      </w:r>
      <w:r>
        <w:tab/>
      </w:r>
      <w:r>
        <w:fldChar w:fldCharType="begin"/>
      </w:r>
      <w:r>
        <w:instrText xml:space="preserve"> PAGEREF _Toc5993 \h </w:instrText>
      </w:r>
      <w:r>
        <w:fldChar w:fldCharType="separate"/>
      </w:r>
      <w:r>
        <w:t>16</w:t>
      </w:r>
      <w:r>
        <w:fldChar w:fldCharType="end"/>
      </w:r>
      <w:r>
        <w:rPr>
          <w:rFonts w:ascii="宋体" w:hAnsi="宋体"/>
          <w:color w:val="000000"/>
        </w:rPr>
        <w:fldChar w:fldCharType="end"/>
      </w:r>
    </w:p>
    <w:p w14:paraId="5E320D8C">
      <w:pPr>
        <w:pStyle w:val="19"/>
        <w:tabs>
          <w:tab w:val="right" w:leader="dot" w:pos="9540"/>
        </w:tabs>
      </w:pPr>
      <w:r>
        <w:rPr>
          <w:rFonts w:ascii="宋体" w:hAnsi="宋体"/>
          <w:color w:val="000000"/>
        </w:rPr>
        <w:fldChar w:fldCharType="begin"/>
      </w:r>
      <w:r>
        <w:rPr>
          <w:rFonts w:ascii="宋体" w:hAnsi="宋体"/>
        </w:rPr>
        <w:instrText xml:space="preserve"> HYPERLINK \l _Toc23234 </w:instrText>
      </w:r>
      <w:r>
        <w:rPr>
          <w:rFonts w:ascii="宋体" w:hAnsi="宋体"/>
        </w:rPr>
        <w:fldChar w:fldCharType="separate"/>
      </w:r>
      <w:r>
        <w:rPr>
          <w:rFonts w:hint="eastAsia"/>
          <w:szCs w:val="28"/>
        </w:rPr>
        <w:t>附件2： 法定代表人证明书</w:t>
      </w:r>
      <w:r>
        <w:tab/>
      </w:r>
      <w:r>
        <w:fldChar w:fldCharType="begin"/>
      </w:r>
      <w:r>
        <w:instrText xml:space="preserve"> PAGEREF _Toc23234 \h </w:instrText>
      </w:r>
      <w:r>
        <w:fldChar w:fldCharType="separate"/>
      </w:r>
      <w:r>
        <w:t>17</w:t>
      </w:r>
      <w:r>
        <w:fldChar w:fldCharType="end"/>
      </w:r>
      <w:r>
        <w:rPr>
          <w:rFonts w:ascii="宋体" w:hAnsi="宋体"/>
          <w:color w:val="000000"/>
        </w:rPr>
        <w:fldChar w:fldCharType="end"/>
      </w:r>
    </w:p>
    <w:p w14:paraId="50117FE1">
      <w:pPr>
        <w:pStyle w:val="19"/>
        <w:tabs>
          <w:tab w:val="right" w:leader="dot" w:pos="9540"/>
        </w:tabs>
      </w:pPr>
      <w:r>
        <w:rPr>
          <w:rFonts w:ascii="宋体" w:hAnsi="宋体"/>
          <w:color w:val="000000"/>
        </w:rPr>
        <w:fldChar w:fldCharType="begin"/>
      </w:r>
      <w:r>
        <w:rPr>
          <w:rFonts w:ascii="宋体" w:hAnsi="宋体"/>
        </w:rPr>
        <w:instrText xml:space="preserve"> HYPERLINK \l _Toc18366 </w:instrText>
      </w:r>
      <w:r>
        <w:rPr>
          <w:rFonts w:ascii="宋体" w:hAnsi="宋体"/>
        </w:rPr>
        <w:fldChar w:fldCharType="separate"/>
      </w:r>
      <w:r>
        <w:rPr>
          <w:rFonts w:hint="eastAsia"/>
          <w:szCs w:val="28"/>
        </w:rPr>
        <w:t>附件3：法定代表人的授权委托书</w:t>
      </w:r>
      <w:r>
        <w:rPr>
          <w:rFonts w:hint="eastAsia" w:ascii="宋体" w:hAnsi="宋体"/>
          <w:szCs w:val="28"/>
        </w:rPr>
        <w:t>（如非法定代表人亲自参与谈判时提供，加盖单位公章）</w:t>
      </w:r>
      <w:r>
        <w:tab/>
      </w:r>
      <w:r>
        <w:fldChar w:fldCharType="begin"/>
      </w:r>
      <w:r>
        <w:instrText xml:space="preserve"> PAGEREF _Toc18366 \h </w:instrText>
      </w:r>
      <w:r>
        <w:fldChar w:fldCharType="separate"/>
      </w:r>
      <w:r>
        <w:t>17</w:t>
      </w:r>
      <w:r>
        <w:fldChar w:fldCharType="end"/>
      </w:r>
      <w:r>
        <w:rPr>
          <w:rFonts w:ascii="宋体" w:hAnsi="宋体"/>
          <w:color w:val="000000"/>
        </w:rPr>
        <w:fldChar w:fldCharType="end"/>
      </w:r>
    </w:p>
    <w:p w14:paraId="67481150">
      <w:pPr>
        <w:pStyle w:val="19"/>
        <w:tabs>
          <w:tab w:val="right" w:leader="dot" w:pos="9540"/>
        </w:tabs>
      </w:pPr>
      <w:r>
        <w:rPr>
          <w:rFonts w:ascii="宋体" w:hAnsi="宋体"/>
          <w:color w:val="000000"/>
        </w:rPr>
        <w:fldChar w:fldCharType="begin"/>
      </w:r>
      <w:r>
        <w:rPr>
          <w:rFonts w:ascii="宋体" w:hAnsi="宋体"/>
        </w:rPr>
        <w:instrText xml:space="preserve"> HYPERLINK \l _Toc6275 </w:instrText>
      </w:r>
      <w:r>
        <w:rPr>
          <w:rFonts w:ascii="宋体" w:hAnsi="宋体"/>
        </w:rPr>
        <w:fldChar w:fldCharType="separate"/>
      </w:r>
      <w:r>
        <w:rPr>
          <w:rFonts w:hint="eastAsia"/>
          <w:szCs w:val="28"/>
        </w:rPr>
        <w:t>附件4： 产品报价明细表</w:t>
      </w:r>
      <w:r>
        <w:tab/>
      </w:r>
      <w:r>
        <w:fldChar w:fldCharType="begin"/>
      </w:r>
      <w:r>
        <w:instrText xml:space="preserve"> PAGEREF _Toc6275 \h </w:instrText>
      </w:r>
      <w:r>
        <w:fldChar w:fldCharType="separate"/>
      </w:r>
      <w:r>
        <w:t>18</w:t>
      </w:r>
      <w:r>
        <w:fldChar w:fldCharType="end"/>
      </w:r>
      <w:r>
        <w:rPr>
          <w:rFonts w:ascii="宋体" w:hAnsi="宋体"/>
          <w:color w:val="000000"/>
        </w:rPr>
        <w:fldChar w:fldCharType="end"/>
      </w:r>
    </w:p>
    <w:p w14:paraId="263CA9F2">
      <w:pPr>
        <w:pStyle w:val="19"/>
        <w:tabs>
          <w:tab w:val="right" w:leader="dot" w:pos="9540"/>
        </w:tabs>
      </w:pPr>
      <w:r>
        <w:rPr>
          <w:rFonts w:ascii="宋体" w:hAnsi="宋体"/>
          <w:color w:val="000000"/>
        </w:rPr>
        <w:fldChar w:fldCharType="begin"/>
      </w:r>
      <w:r>
        <w:rPr>
          <w:rFonts w:ascii="宋体" w:hAnsi="宋体"/>
        </w:rPr>
        <w:instrText xml:space="preserve"> HYPERLINK \l _Toc26171 </w:instrText>
      </w:r>
      <w:r>
        <w:rPr>
          <w:rFonts w:ascii="宋体" w:hAnsi="宋体"/>
        </w:rPr>
        <w:fldChar w:fldCharType="separate"/>
      </w:r>
      <w:r>
        <w:rPr>
          <w:rFonts w:hint="eastAsia" w:ascii="宋体" w:hAnsi="宋体"/>
          <w:bCs w:val="0"/>
          <w:szCs w:val="28"/>
        </w:rPr>
        <w:t>附件5：产品技术偏离表</w:t>
      </w:r>
      <w:r>
        <w:tab/>
      </w:r>
      <w:r>
        <w:fldChar w:fldCharType="begin"/>
      </w:r>
      <w:r>
        <w:instrText xml:space="preserve"> PAGEREF _Toc26171 \h </w:instrText>
      </w:r>
      <w:r>
        <w:fldChar w:fldCharType="separate"/>
      </w:r>
      <w:r>
        <w:t>18</w:t>
      </w:r>
      <w:r>
        <w:fldChar w:fldCharType="end"/>
      </w:r>
      <w:r>
        <w:rPr>
          <w:rFonts w:ascii="宋体" w:hAnsi="宋体"/>
          <w:color w:val="000000"/>
        </w:rPr>
        <w:fldChar w:fldCharType="end"/>
      </w:r>
    </w:p>
    <w:p w14:paraId="41BC3C08">
      <w:pPr>
        <w:pStyle w:val="19"/>
        <w:tabs>
          <w:tab w:val="right" w:leader="dot" w:pos="9540"/>
        </w:tabs>
      </w:pPr>
      <w:r>
        <w:rPr>
          <w:rFonts w:ascii="宋体" w:hAnsi="宋体"/>
          <w:color w:val="000000"/>
        </w:rPr>
        <w:fldChar w:fldCharType="begin"/>
      </w:r>
      <w:r>
        <w:rPr>
          <w:rFonts w:ascii="宋体" w:hAnsi="宋体"/>
        </w:rPr>
        <w:instrText xml:space="preserve"> HYPERLINK \l _Toc26475 </w:instrText>
      </w:r>
      <w:r>
        <w:rPr>
          <w:rFonts w:ascii="宋体" w:hAnsi="宋体"/>
        </w:rPr>
        <w:fldChar w:fldCharType="separate"/>
      </w:r>
      <w:r>
        <w:rPr>
          <w:rFonts w:hint="eastAsia" w:ascii="宋体" w:hAnsi="宋体"/>
          <w:bCs w:val="0"/>
          <w:szCs w:val="28"/>
        </w:rPr>
        <w:t>附件6： 中小企业声明函</w:t>
      </w:r>
      <w:r>
        <w:tab/>
      </w:r>
      <w:r>
        <w:fldChar w:fldCharType="begin"/>
      </w:r>
      <w:r>
        <w:instrText xml:space="preserve"> PAGEREF _Toc26475 \h </w:instrText>
      </w:r>
      <w:r>
        <w:fldChar w:fldCharType="separate"/>
      </w:r>
      <w:r>
        <w:t>19</w:t>
      </w:r>
      <w:r>
        <w:fldChar w:fldCharType="end"/>
      </w:r>
      <w:r>
        <w:rPr>
          <w:rFonts w:ascii="宋体" w:hAnsi="宋体"/>
          <w:color w:val="000000"/>
        </w:rPr>
        <w:fldChar w:fldCharType="end"/>
      </w:r>
    </w:p>
    <w:p w14:paraId="4990866E">
      <w:pPr>
        <w:pStyle w:val="18"/>
        <w:tabs>
          <w:tab w:val="right" w:leader="dot" w:pos="9540"/>
        </w:tabs>
      </w:pPr>
      <w:r>
        <w:rPr>
          <w:rFonts w:ascii="宋体" w:hAnsi="宋体"/>
          <w:color w:val="000000"/>
        </w:rPr>
        <w:fldChar w:fldCharType="begin"/>
      </w:r>
      <w:r>
        <w:rPr>
          <w:rFonts w:ascii="宋体" w:hAnsi="宋体"/>
        </w:rPr>
        <w:instrText xml:space="preserve"> HYPERLINK \l _Toc25985 </w:instrText>
      </w:r>
      <w:r>
        <w:rPr>
          <w:rFonts w:ascii="宋体" w:hAnsi="宋体"/>
        </w:rPr>
        <w:fldChar w:fldCharType="separate"/>
      </w:r>
      <w:r>
        <w:rPr>
          <w:rFonts w:hint="eastAsia"/>
        </w:rPr>
        <w:t>第六部分 采购合同（草稿）</w:t>
      </w:r>
      <w:r>
        <w:tab/>
      </w:r>
      <w:r>
        <w:fldChar w:fldCharType="begin"/>
      </w:r>
      <w:r>
        <w:instrText xml:space="preserve"> PAGEREF _Toc25985 \h </w:instrText>
      </w:r>
      <w:r>
        <w:fldChar w:fldCharType="separate"/>
      </w:r>
      <w:r>
        <w:t>21</w:t>
      </w:r>
      <w:r>
        <w:fldChar w:fldCharType="end"/>
      </w:r>
      <w:r>
        <w:rPr>
          <w:rFonts w:ascii="宋体" w:hAnsi="宋体"/>
          <w:color w:val="000000"/>
        </w:rPr>
        <w:fldChar w:fldCharType="end"/>
      </w:r>
    </w:p>
    <w:p w14:paraId="32211B9F">
      <w:pPr>
        <w:tabs>
          <w:tab w:val="left" w:pos="1365"/>
        </w:tabs>
        <w:spacing w:line="500" w:lineRule="exact"/>
        <w:rPr>
          <w:rFonts w:ascii="宋体" w:hAnsi="宋体"/>
          <w:color w:val="000000"/>
          <w:sz w:val="24"/>
        </w:rPr>
      </w:pPr>
      <w:r>
        <w:rPr>
          <w:rFonts w:ascii="宋体" w:hAnsi="宋体"/>
          <w:color w:val="000000"/>
        </w:rPr>
        <w:fldChar w:fldCharType="end"/>
      </w:r>
    </w:p>
    <w:p w14:paraId="43E12091">
      <w:pPr>
        <w:pStyle w:val="21"/>
      </w:pPr>
      <w:r>
        <w:rPr>
          <w:rFonts w:ascii="宋体" w:hAnsi="宋体"/>
          <w:sz w:val="24"/>
          <w:szCs w:val="21"/>
        </w:rPr>
        <w:br w:type="page"/>
      </w:r>
      <w:bookmarkStart w:id="0" w:name="_Toc1264"/>
      <w:bookmarkStart w:id="1" w:name="_Toc141968423"/>
      <w:bookmarkStart w:id="2" w:name="_Toc6583"/>
      <w:bookmarkStart w:id="3" w:name="_Toc115756014"/>
      <w:r>
        <w:rPr>
          <w:rFonts w:hint="eastAsia"/>
        </w:rPr>
        <w:t>第一部分 采购公告</w:t>
      </w:r>
      <w:bookmarkEnd w:id="0"/>
      <w:bookmarkEnd w:id="1"/>
      <w:bookmarkEnd w:id="2"/>
      <w:bookmarkEnd w:id="3"/>
    </w:p>
    <w:p w14:paraId="1FD17B43">
      <w:pPr>
        <w:pStyle w:val="32"/>
      </w:pPr>
      <w:bookmarkStart w:id="4" w:name="_Toc115756015"/>
      <w:bookmarkStart w:id="5" w:name="_Toc141968424"/>
      <w:bookmarkStart w:id="6" w:name="_Toc22046"/>
      <w:bookmarkStart w:id="7" w:name="_Toc1028"/>
      <w:r>
        <w:rPr>
          <w:rFonts w:hint="eastAsia"/>
        </w:rPr>
        <w:t>一、项目名称及项目编号</w:t>
      </w:r>
      <w:bookmarkEnd w:id="4"/>
      <w:bookmarkEnd w:id="5"/>
      <w:bookmarkEnd w:id="6"/>
      <w:bookmarkEnd w:id="7"/>
    </w:p>
    <w:p w14:paraId="03776812">
      <w:pPr>
        <w:spacing w:line="500" w:lineRule="exact"/>
        <w:ind w:firstLine="480" w:firstLineChars="200"/>
        <w:rPr>
          <w:rFonts w:hint="eastAsia" w:ascii="宋体" w:hAnsi="宋体" w:eastAsia="宋体"/>
          <w:bCs/>
          <w:color w:val="000000"/>
          <w:sz w:val="24"/>
          <w:lang w:val="en-US" w:eastAsia="zh-CN"/>
        </w:rPr>
      </w:pPr>
      <w:r>
        <w:rPr>
          <w:rFonts w:hint="eastAsia" w:ascii="宋体" w:hAnsi="宋体"/>
          <w:bCs/>
          <w:color w:val="000000"/>
          <w:sz w:val="24"/>
        </w:rPr>
        <w:t>项目名称：</w:t>
      </w:r>
      <w:r>
        <w:rPr>
          <w:rFonts w:hint="eastAsia" w:ascii="宋体" w:hAnsi="宋体"/>
          <w:b w:val="0"/>
          <w:bCs/>
          <w:color w:val="000000"/>
          <w:sz w:val="24"/>
          <w:szCs w:val="24"/>
          <w:lang w:val="en-US" w:eastAsia="zh-CN"/>
        </w:rPr>
        <w:t>北京体育大学附属竞技体育学校（2025年）体育专项器材</w:t>
      </w:r>
      <w:r>
        <w:rPr>
          <w:rFonts w:hint="eastAsia" w:ascii="宋体" w:hAnsi="宋体"/>
          <w:b w:val="0"/>
          <w:bCs/>
          <w:color w:val="000000"/>
          <w:sz w:val="24"/>
          <w:szCs w:val="24"/>
        </w:rPr>
        <w:t>采购竞争性谈判</w:t>
      </w:r>
    </w:p>
    <w:p w14:paraId="10726A0B">
      <w:pPr>
        <w:spacing w:line="500" w:lineRule="exact"/>
        <w:ind w:firstLine="480" w:firstLineChars="200"/>
        <w:rPr>
          <w:rFonts w:hint="default" w:ascii="宋体" w:hAnsi="宋体" w:eastAsia="宋体"/>
          <w:bCs/>
          <w:color w:val="000000"/>
          <w:sz w:val="24"/>
          <w:lang w:val="en-US" w:eastAsia="zh-CN"/>
        </w:rPr>
      </w:pPr>
      <w:r>
        <w:rPr>
          <w:rFonts w:hint="eastAsia" w:ascii="宋体" w:hAnsi="宋体"/>
          <w:bCs/>
          <w:color w:val="000000"/>
          <w:sz w:val="24"/>
        </w:rPr>
        <w:t>项目编号：</w:t>
      </w:r>
      <w:bookmarkStart w:id="8" w:name="_Toc115756016"/>
      <w:r>
        <w:rPr>
          <w:rFonts w:hint="eastAsia" w:ascii="宋体" w:hAnsi="宋体"/>
          <w:bCs/>
          <w:color w:val="000000"/>
          <w:sz w:val="24"/>
        </w:rPr>
        <w:t>TPQW2</w:t>
      </w:r>
      <w:r>
        <w:rPr>
          <w:rFonts w:hint="eastAsia" w:ascii="宋体" w:hAnsi="宋体"/>
          <w:bCs/>
          <w:color w:val="000000"/>
          <w:sz w:val="24"/>
          <w:lang w:val="en-US" w:eastAsia="zh-CN"/>
        </w:rPr>
        <w:t>5</w:t>
      </w:r>
      <w:r>
        <w:rPr>
          <w:rFonts w:hint="eastAsia" w:ascii="宋体" w:hAnsi="宋体"/>
          <w:bCs/>
          <w:color w:val="000000"/>
          <w:sz w:val="24"/>
        </w:rPr>
        <w:t>-0</w:t>
      </w:r>
      <w:r>
        <w:rPr>
          <w:rFonts w:hint="eastAsia" w:ascii="宋体" w:hAnsi="宋体"/>
          <w:bCs/>
          <w:color w:val="000000"/>
          <w:sz w:val="24"/>
          <w:lang w:val="en-US" w:eastAsia="zh-CN"/>
        </w:rPr>
        <w:t>3</w:t>
      </w:r>
    </w:p>
    <w:p w14:paraId="0514D702">
      <w:pPr>
        <w:pStyle w:val="32"/>
      </w:pPr>
      <w:bookmarkStart w:id="9" w:name="_Toc14874"/>
      <w:bookmarkStart w:id="10" w:name="_Toc6246"/>
      <w:bookmarkStart w:id="11" w:name="_Toc141968425"/>
      <w:r>
        <w:rPr>
          <w:rFonts w:hint="eastAsia"/>
        </w:rPr>
        <w:t>二、采购内容</w:t>
      </w:r>
      <w:bookmarkEnd w:id="8"/>
      <w:bookmarkEnd w:id="9"/>
      <w:bookmarkEnd w:id="10"/>
      <w:bookmarkEnd w:id="11"/>
    </w:p>
    <w:p w14:paraId="664F444C">
      <w:pPr>
        <w:spacing w:line="500" w:lineRule="exact"/>
        <w:ind w:firstLine="480" w:firstLineChars="200"/>
        <w:rPr>
          <w:rFonts w:ascii="宋体"/>
          <w:bCs/>
          <w:sz w:val="24"/>
        </w:rPr>
      </w:pPr>
      <w:r>
        <w:rPr>
          <w:rFonts w:hint="eastAsia" w:ascii="宋体"/>
          <w:bCs/>
          <w:sz w:val="24"/>
        </w:rPr>
        <w:t>本项目</w:t>
      </w:r>
      <w:r>
        <w:rPr>
          <w:rFonts w:hint="eastAsia" w:ascii="宋体"/>
          <w:bCs/>
          <w:sz w:val="24"/>
          <w:lang w:val="en-US" w:eastAsia="zh-CN"/>
        </w:rPr>
        <w:t>2</w:t>
      </w:r>
      <w:r>
        <w:rPr>
          <w:rFonts w:hint="eastAsia" w:ascii="宋体"/>
          <w:bCs/>
          <w:sz w:val="24"/>
        </w:rPr>
        <w:t>个标项，</w:t>
      </w:r>
      <w:r>
        <w:rPr>
          <w:rFonts w:hint="eastAsia" w:ascii="宋体"/>
          <w:bCs/>
          <w:sz w:val="24"/>
          <w:lang w:val="en-US" w:eastAsia="zh-CN"/>
        </w:rPr>
        <w:t>总</w:t>
      </w:r>
      <w:r>
        <w:rPr>
          <w:rFonts w:hint="eastAsia" w:ascii="宋体"/>
          <w:bCs/>
          <w:sz w:val="24"/>
        </w:rPr>
        <w:t>预算：</w:t>
      </w:r>
      <w:r>
        <w:rPr>
          <w:rFonts w:hint="eastAsia" w:ascii="宋体"/>
          <w:bCs/>
          <w:sz w:val="24"/>
          <w:lang w:val="en-US" w:eastAsia="zh-CN"/>
        </w:rPr>
        <w:t>52.2</w:t>
      </w:r>
      <w:r>
        <w:rPr>
          <w:rFonts w:hint="eastAsia" w:ascii="宋体"/>
          <w:bCs/>
          <w:sz w:val="24"/>
        </w:rPr>
        <w:t>万元</w:t>
      </w:r>
      <w:r>
        <w:rPr>
          <w:rFonts w:hint="eastAsia" w:ascii="宋体"/>
          <w:bCs/>
          <w:sz w:val="24"/>
          <w:lang w:eastAsia="zh-CN"/>
        </w:rPr>
        <w:t>，</w:t>
      </w:r>
      <w:r>
        <w:rPr>
          <w:rFonts w:hint="eastAsia" w:ascii="宋体"/>
          <w:bCs/>
          <w:sz w:val="24"/>
          <w:lang w:val="en-US" w:eastAsia="zh-CN"/>
        </w:rPr>
        <w:t>标项1：铁人三项器材，预算：10.2万元；标项2：柔道项目及辅助训练器材，预算：42万元。</w:t>
      </w:r>
      <w:r>
        <w:rPr>
          <w:rFonts w:hint="eastAsia" w:ascii="宋体"/>
          <w:bCs/>
          <w:sz w:val="24"/>
        </w:rPr>
        <w:t>本次采购</w:t>
      </w:r>
      <w:r>
        <w:rPr>
          <w:rFonts w:hint="eastAsia" w:ascii="宋体"/>
          <w:bCs/>
          <w:sz w:val="24"/>
          <w:lang w:val="en-US" w:eastAsia="zh-CN"/>
        </w:rPr>
        <w:t>产品全部为国产产品</w:t>
      </w:r>
      <w:r>
        <w:rPr>
          <w:rFonts w:hint="eastAsia" w:ascii="宋体"/>
          <w:bCs/>
          <w:sz w:val="24"/>
        </w:rPr>
        <w:t>，具体产品需求情况详见第三部分采购清单。</w:t>
      </w:r>
    </w:p>
    <w:p w14:paraId="5BD9EB80">
      <w:pPr>
        <w:pStyle w:val="32"/>
      </w:pPr>
      <w:bookmarkStart w:id="12" w:name="_Toc141968426"/>
      <w:bookmarkStart w:id="13" w:name="_Toc115756017"/>
      <w:bookmarkStart w:id="14" w:name="_Toc14485"/>
      <w:bookmarkStart w:id="15" w:name="_Toc28741"/>
      <w:r>
        <w:rPr>
          <w:rFonts w:hint="eastAsia"/>
        </w:rPr>
        <w:t>三、合格的报价人</w:t>
      </w:r>
      <w:bookmarkEnd w:id="12"/>
      <w:bookmarkEnd w:id="13"/>
      <w:bookmarkEnd w:id="14"/>
      <w:bookmarkEnd w:id="15"/>
    </w:p>
    <w:p w14:paraId="5CDA2CE5">
      <w:pPr>
        <w:pStyle w:val="12"/>
        <w:numPr>
          <w:ilvl w:val="0"/>
          <w:numId w:val="2"/>
        </w:numPr>
        <w:tabs>
          <w:tab w:val="clear" w:pos="1155"/>
        </w:tabs>
        <w:ind w:firstLine="0"/>
      </w:pPr>
      <w:r>
        <w:rPr>
          <w:rFonts w:hint="eastAsia"/>
        </w:rPr>
        <w:t>具有独立承担民事责任的能力；</w:t>
      </w:r>
    </w:p>
    <w:p w14:paraId="5C786EB0">
      <w:pPr>
        <w:pStyle w:val="12"/>
        <w:numPr>
          <w:ilvl w:val="0"/>
          <w:numId w:val="2"/>
        </w:numPr>
        <w:tabs>
          <w:tab w:val="clear" w:pos="1155"/>
        </w:tabs>
        <w:ind w:firstLine="0"/>
      </w:pPr>
      <w:r>
        <w:rPr>
          <w:rFonts w:hint="eastAsia"/>
        </w:rPr>
        <w:t>具有良好的商业信誉和健全的财务会计制度；</w:t>
      </w:r>
    </w:p>
    <w:p w14:paraId="6C258930">
      <w:pPr>
        <w:pStyle w:val="12"/>
        <w:numPr>
          <w:ilvl w:val="0"/>
          <w:numId w:val="2"/>
        </w:numPr>
        <w:tabs>
          <w:tab w:val="clear" w:pos="1155"/>
        </w:tabs>
        <w:ind w:firstLine="0"/>
      </w:pPr>
      <w:r>
        <w:rPr>
          <w:rFonts w:hint="eastAsia"/>
        </w:rPr>
        <w:t>具有履行合同所必需的设备和专业技术能力；</w:t>
      </w:r>
    </w:p>
    <w:p w14:paraId="69F86E9F">
      <w:pPr>
        <w:pStyle w:val="12"/>
        <w:numPr>
          <w:ilvl w:val="0"/>
          <w:numId w:val="2"/>
        </w:numPr>
        <w:tabs>
          <w:tab w:val="clear" w:pos="1155"/>
        </w:tabs>
        <w:ind w:firstLine="0"/>
      </w:pPr>
      <w:r>
        <w:rPr>
          <w:rFonts w:hint="eastAsia"/>
        </w:rPr>
        <w:t>具有依法缴纳税收和社会保障资金的良好记录；</w:t>
      </w:r>
    </w:p>
    <w:p w14:paraId="1802EB6C">
      <w:pPr>
        <w:pStyle w:val="12"/>
        <w:numPr>
          <w:ilvl w:val="0"/>
          <w:numId w:val="2"/>
        </w:numPr>
        <w:tabs>
          <w:tab w:val="clear" w:pos="1155"/>
        </w:tabs>
        <w:ind w:firstLine="0"/>
      </w:pPr>
      <w:r>
        <w:rPr>
          <w:rFonts w:hint="eastAsia"/>
        </w:rPr>
        <w:t>参加此项采购活动前三年内，在经营活动中没有重大违法记录；</w:t>
      </w:r>
    </w:p>
    <w:p w14:paraId="41AA32D3">
      <w:pPr>
        <w:pStyle w:val="12"/>
        <w:numPr>
          <w:ilvl w:val="0"/>
          <w:numId w:val="2"/>
        </w:numPr>
        <w:tabs>
          <w:tab w:val="clear" w:pos="1155"/>
        </w:tabs>
        <w:ind w:firstLine="0"/>
        <w:rPr>
          <w:u w:val="single"/>
        </w:rPr>
      </w:pPr>
      <w:r>
        <w:rPr>
          <w:rFonts w:hint="eastAsia"/>
        </w:rPr>
        <w:t>本次采购不接受联合体报价；</w:t>
      </w:r>
    </w:p>
    <w:p w14:paraId="04FD1781">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5B0BB7F5">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14:paraId="3C16FDBC">
      <w:pPr>
        <w:pStyle w:val="32"/>
        <w:rPr>
          <w:rFonts w:ascii="宋体" w:hAnsi="宋体"/>
        </w:rPr>
      </w:pPr>
      <w:bookmarkStart w:id="16" w:name="_Toc141968427"/>
      <w:bookmarkStart w:id="17" w:name="_Toc148289432"/>
      <w:bookmarkStart w:id="18" w:name="_Toc7138"/>
      <w:bookmarkStart w:id="19" w:name="_Toc3053"/>
      <w:r>
        <w:rPr>
          <w:rFonts w:hint="eastAsia"/>
        </w:rPr>
        <w:t>四、</w:t>
      </w:r>
      <w:bookmarkEnd w:id="16"/>
      <w:bookmarkEnd w:id="17"/>
      <w:r>
        <w:rPr>
          <w:rFonts w:hint="eastAsia"/>
        </w:rPr>
        <w:t>在线登记</w:t>
      </w:r>
      <w:bookmarkEnd w:id="18"/>
      <w:bookmarkEnd w:id="19"/>
    </w:p>
    <w:p w14:paraId="048DBFCF">
      <w:pPr>
        <w:pStyle w:val="12"/>
        <w:rPr>
          <w:b/>
          <w:bCs/>
        </w:rPr>
      </w:pPr>
      <w:r>
        <w:rPr>
          <w:rFonts w:hint="eastAsia"/>
        </w:rPr>
        <w:t xml:space="preserve">   1、登记时间（北京时间）：</w:t>
      </w:r>
    </w:p>
    <w:p w14:paraId="6CEF85B2">
      <w:pPr>
        <w:pStyle w:val="12"/>
        <w:rPr>
          <w:b/>
          <w:bCs/>
        </w:rPr>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4</w:t>
      </w:r>
      <w:r>
        <w:rPr>
          <w:rFonts w:hint="eastAsia"/>
        </w:rPr>
        <w:t>日—202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日，每天9:00至17:00。（北京时间，法定节假日除外）</w:t>
      </w:r>
    </w:p>
    <w:p w14:paraId="3CC4AA7F">
      <w:pPr>
        <w:pStyle w:val="12"/>
        <w:rPr>
          <w:b/>
          <w:bCs/>
        </w:rPr>
      </w:pPr>
      <w:r>
        <w:rPr>
          <w:rFonts w:hint="eastAsia"/>
        </w:rPr>
        <w:t xml:space="preserve">   2、登记方式：本项目需通过政采云平台网上登记。</w:t>
      </w:r>
    </w:p>
    <w:p w14:paraId="472692F1">
      <w:pPr>
        <w:pStyle w:val="12"/>
        <w:rPr>
          <w:b/>
          <w:bCs/>
        </w:rPr>
      </w:pPr>
      <w:r>
        <w:rPr>
          <w:rFonts w:hint="eastAsia"/>
        </w:rPr>
        <w:t>政采云平台供应商注册链接：https://middle.zcygov.cn/v-settle-front/enter/account?entranceType=1&amp;settleCategory=1&amp;isLoginAdd=true注册成功后，用账号密码登录后台界面；</w:t>
      </w:r>
    </w:p>
    <w:p w14:paraId="1FBC334F">
      <w:pPr>
        <w:pStyle w:val="12"/>
        <w:rPr>
          <w:b/>
          <w:bCs/>
        </w:rPr>
      </w:pPr>
      <w:r>
        <w:rPr>
          <w:rFonts w:hint="eastAsia"/>
        </w:rPr>
        <w:t>供应商报名路径：应用中心-项目采购-获取采购文件，找到本项目的项目名称申请获取采购文件，按照系统界面要求填写供应商相关信息，同时将以下文件扫描件作为附件上传。</w:t>
      </w:r>
    </w:p>
    <w:p w14:paraId="32799BE7">
      <w:pPr>
        <w:pStyle w:val="12"/>
        <w:rPr>
          <w:b/>
          <w:bCs/>
        </w:rPr>
      </w:pPr>
      <w:r>
        <w:rPr>
          <w:rFonts w:hint="eastAsia"/>
        </w:rPr>
        <w:t>（1）法定代表人授权委托书扫描件（法定代表人手写签字或盖章，并加盖单位公章）；</w:t>
      </w:r>
    </w:p>
    <w:p w14:paraId="3575F2B1">
      <w:pPr>
        <w:pStyle w:val="12"/>
        <w:rPr>
          <w:b/>
          <w:bCs/>
        </w:rPr>
      </w:pPr>
      <w:r>
        <w:rPr>
          <w:rFonts w:hint="eastAsia"/>
        </w:rPr>
        <w:t>（2）授权代表身份证扫描件</w:t>
      </w:r>
    </w:p>
    <w:p w14:paraId="78F57ACF">
      <w:pPr>
        <w:pStyle w:val="12"/>
        <w:rPr>
          <w:b/>
          <w:bCs/>
        </w:rPr>
      </w:pPr>
      <w:r>
        <w:rPr>
          <w:rFonts w:hint="eastAsia"/>
        </w:rPr>
        <w:t>法定代表人的授权委托书</w:t>
      </w:r>
    </w:p>
    <w:p w14:paraId="12044F15">
      <w:pPr>
        <w:pStyle w:val="12"/>
        <w:rPr>
          <w:b/>
          <w:bCs/>
        </w:rPr>
      </w:pPr>
      <w:r>
        <w:rPr>
          <w:rFonts w:hint="eastAsia"/>
        </w:rPr>
        <w:t>国家体育总局体育器材装备中心：</w:t>
      </w:r>
    </w:p>
    <w:p w14:paraId="08E44D84">
      <w:pPr>
        <w:pStyle w:val="12"/>
        <w:rPr>
          <w:b/>
          <w:bCs/>
        </w:rPr>
      </w:pPr>
      <w:r>
        <w:rPr>
          <w:rFonts w:hint="eastAsia"/>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14:paraId="31E6BF5F">
      <w:pPr>
        <w:pStyle w:val="12"/>
        <w:rPr>
          <w:b/>
          <w:bCs/>
        </w:rPr>
      </w:pPr>
      <w:r>
        <w:rPr>
          <w:rFonts w:hint="eastAsia"/>
        </w:rPr>
        <w:t>本授权书于年月日签字生效，特此声明。</w:t>
      </w:r>
    </w:p>
    <w:p w14:paraId="755B4505">
      <w:pPr>
        <w:pStyle w:val="12"/>
        <w:rPr>
          <w:b/>
          <w:bCs/>
        </w:rPr>
      </w:pPr>
      <w:r>
        <w:rPr>
          <w:rFonts w:hint="eastAsia"/>
        </w:rPr>
        <w:t>法定代表人印刷体姓名： 签字： 电话：</w:t>
      </w:r>
    </w:p>
    <w:p w14:paraId="61953F08">
      <w:pPr>
        <w:pStyle w:val="12"/>
        <w:rPr>
          <w:b/>
          <w:bCs/>
        </w:rPr>
      </w:pPr>
      <w:r>
        <w:rPr>
          <w:rFonts w:hint="eastAsia"/>
        </w:rPr>
        <w:t>授权代表印刷体姓名： 签字： 职务： 电话：</w:t>
      </w:r>
    </w:p>
    <w:p w14:paraId="04B566F3">
      <w:pPr>
        <w:pStyle w:val="12"/>
        <w:rPr>
          <w:b/>
          <w:bCs/>
        </w:rPr>
      </w:pPr>
      <w:r>
        <w:rPr>
          <w:rFonts w:hint="eastAsia"/>
        </w:rPr>
        <w:t>授权代表身份证号： （身份证扫描件附后）</w:t>
      </w:r>
    </w:p>
    <w:p w14:paraId="256C2C1D">
      <w:pPr>
        <w:pStyle w:val="12"/>
        <w:rPr>
          <w:b/>
          <w:bCs/>
        </w:rPr>
      </w:pPr>
      <w:r>
        <w:rPr>
          <w:rFonts w:hint="eastAsia"/>
        </w:rPr>
        <w:t>公司全称（公章）：</w:t>
      </w:r>
    </w:p>
    <w:p w14:paraId="720E95CE">
      <w:pPr>
        <w:pStyle w:val="12"/>
        <w:rPr>
          <w:b/>
          <w:bCs/>
        </w:rPr>
      </w:pPr>
      <w:r>
        <w:rPr>
          <w:rFonts w:hint="eastAsia"/>
        </w:rPr>
        <w:t>未在规定时间内按要求提交以上文件进行登记，而直接编制报价文件参与报价的企业，其报价将被拒绝。</w:t>
      </w:r>
    </w:p>
    <w:p w14:paraId="2447D3BD">
      <w:pPr>
        <w:pStyle w:val="12"/>
        <w:rPr>
          <w:b/>
          <w:bCs/>
        </w:rPr>
      </w:pPr>
      <w:r>
        <w:rPr>
          <w:rFonts w:hint="eastAsia"/>
        </w:rPr>
        <w:t xml:space="preserve">   3、招标文件售价：0元，招标文件请至公告附件处下载。</w:t>
      </w:r>
    </w:p>
    <w:p w14:paraId="03179821">
      <w:pPr>
        <w:pStyle w:val="12"/>
        <w:rPr>
          <w:b/>
          <w:bCs/>
        </w:rPr>
      </w:pPr>
      <w:r>
        <w:rPr>
          <w:rFonts w:hint="eastAsia"/>
        </w:rPr>
        <w:t xml:space="preserve">   4、联系方式</w:t>
      </w:r>
    </w:p>
    <w:p w14:paraId="692CF2C8">
      <w:pPr>
        <w:pStyle w:val="12"/>
        <w:rPr>
          <w:b/>
          <w:bCs/>
        </w:rPr>
      </w:pPr>
      <w:r>
        <w:rPr>
          <w:rFonts w:hint="eastAsia"/>
        </w:rPr>
        <w:t>电子邮箱：zqwcgc@163.com</w:t>
      </w:r>
    </w:p>
    <w:p w14:paraId="7F5F8122">
      <w:pPr>
        <w:pStyle w:val="12"/>
        <w:rPr>
          <w:b/>
          <w:bCs/>
        </w:rPr>
      </w:pPr>
      <w:r>
        <w:rPr>
          <w:rFonts w:hint="eastAsia"/>
        </w:rPr>
        <w:t>联系人：张庆伟</w:t>
      </w:r>
    </w:p>
    <w:p w14:paraId="1E94F753">
      <w:pPr>
        <w:pStyle w:val="12"/>
      </w:pPr>
      <w:r>
        <w:rPr>
          <w:rFonts w:hint="eastAsia"/>
        </w:rPr>
        <w:t>联系电话：87182634</w:t>
      </w:r>
    </w:p>
    <w:p w14:paraId="454A8B3A">
      <w:pPr>
        <w:pStyle w:val="32"/>
      </w:pPr>
      <w:bookmarkStart w:id="20" w:name="_Toc4311"/>
      <w:bookmarkStart w:id="21" w:name="_Toc21232"/>
      <w:bookmarkStart w:id="22" w:name="_Toc141968428"/>
      <w:r>
        <w:rPr>
          <w:rFonts w:hint="eastAsia" w:ascii="宋体" w:hAnsi="Times New Roman"/>
          <w:color w:val="auto"/>
          <w:kern w:val="2"/>
          <w:sz w:val="24"/>
        </w:rPr>
        <w:t>五</w:t>
      </w:r>
      <w:r>
        <w:rPr>
          <w:rFonts w:hint="eastAsia"/>
        </w:rPr>
        <w:t>、报价文件的递交</w:t>
      </w:r>
      <w:bookmarkEnd w:id="20"/>
      <w:bookmarkEnd w:id="21"/>
      <w:bookmarkEnd w:id="22"/>
    </w:p>
    <w:p w14:paraId="139105B6">
      <w:pPr>
        <w:spacing w:line="360" w:lineRule="auto"/>
        <w:ind w:firstLine="240" w:firstLineChars="100"/>
        <w:rPr>
          <w:color w:val="000000"/>
          <w:sz w:val="24"/>
        </w:rPr>
      </w:pPr>
      <w:r>
        <w:rPr>
          <w:rFonts w:hint="eastAsia" w:ascii="宋体" w:hAnsi="宋体"/>
          <w:sz w:val="24"/>
        </w:rPr>
        <w:t>1、响</w:t>
      </w:r>
      <w:r>
        <w:rPr>
          <w:rFonts w:hint="eastAsia"/>
          <w:color w:val="000000"/>
          <w:sz w:val="24"/>
        </w:rPr>
        <w:t xml:space="preserve">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14:paraId="2B5226EB">
      <w:pPr>
        <w:rPr>
          <w:color w:val="000000"/>
          <w:sz w:val="24"/>
        </w:rPr>
      </w:pPr>
      <w:r>
        <w:rPr>
          <w:rFonts w:hint="eastAsia"/>
          <w:color w:val="000000"/>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14:paraId="36F72D5D">
      <w:pPr>
        <w:ind w:firstLine="480" w:firstLineChars="200"/>
        <w:rPr>
          <w:color w:val="000000"/>
          <w:sz w:val="24"/>
        </w:rPr>
      </w:pPr>
      <w:r>
        <w:rPr>
          <w:rFonts w:hint="eastAsia"/>
          <w:color w:val="000000"/>
          <w:sz w:val="24"/>
        </w:rPr>
        <w:t>未进行网上注册并办理数字证书（CA认证）的供应商还可登录政采云平台，通过CA管理，申领CA，包括Ukey介质与云CA证书（二选一）。</w:t>
      </w:r>
    </w:p>
    <w:p w14:paraId="2F231A51">
      <w:pPr>
        <w:spacing w:line="360" w:lineRule="auto"/>
        <w:ind w:firstLine="480" w:firstLineChars="200"/>
        <w:rPr>
          <w:color w:val="000000"/>
          <w:sz w:val="24"/>
        </w:rPr>
      </w:pPr>
      <w:r>
        <w:rPr>
          <w:rFonts w:hint="eastAsia"/>
          <w:color w:val="000000"/>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48B9B114">
      <w:pPr>
        <w:spacing w:line="360" w:lineRule="auto"/>
        <w:ind w:firstLine="480" w:firstLineChars="200"/>
        <w:rPr>
          <w:color w:val="000000"/>
          <w:sz w:val="24"/>
        </w:rPr>
      </w:pPr>
      <w:r>
        <w:rPr>
          <w:rFonts w:hint="eastAsia"/>
          <w:color w:val="000000"/>
          <w:sz w:val="24"/>
        </w:rPr>
        <w:t>4、CA证书在线解密：</w:t>
      </w:r>
    </w:p>
    <w:p w14:paraId="55CF3DF7">
      <w:pPr>
        <w:spacing w:line="360" w:lineRule="auto"/>
        <w:ind w:firstLine="480" w:firstLineChars="200"/>
        <w:rPr>
          <w:color w:val="000000"/>
          <w:sz w:val="24"/>
        </w:rPr>
      </w:pPr>
      <w:r>
        <w:rPr>
          <w:rFonts w:hint="eastAsia"/>
          <w:color w:val="000000"/>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14B0C540">
      <w:pPr>
        <w:spacing w:line="360" w:lineRule="auto"/>
        <w:ind w:firstLine="480" w:firstLineChars="200"/>
        <w:rPr>
          <w:color w:val="000000"/>
          <w:sz w:val="24"/>
        </w:rPr>
      </w:pPr>
    </w:p>
    <w:p w14:paraId="6CD98821">
      <w:pPr>
        <w:pStyle w:val="32"/>
      </w:pPr>
      <w:bookmarkStart w:id="23" w:name="_Toc21328"/>
      <w:bookmarkStart w:id="24" w:name="_Toc30053"/>
      <w:bookmarkStart w:id="25" w:name="_Toc141968429"/>
      <w:r>
        <w:rPr>
          <w:rFonts w:hint="eastAsia"/>
        </w:rPr>
        <w:t>六、谈判时间、地点</w:t>
      </w:r>
      <w:bookmarkEnd w:id="23"/>
      <w:bookmarkEnd w:id="24"/>
      <w:bookmarkEnd w:id="25"/>
    </w:p>
    <w:p w14:paraId="23FEC288">
      <w:pPr>
        <w:pStyle w:val="14"/>
        <w:ind w:firstLine="542"/>
      </w:pPr>
      <w:bookmarkStart w:id="26" w:name="_Toc115756021"/>
      <w:bookmarkStart w:id="27" w:name="_Toc141968430"/>
      <w:r>
        <w:rPr>
          <w:rFonts w:hint="eastAsia"/>
          <w:b/>
          <w:bCs/>
        </w:rPr>
        <w:t xml:space="preserve">1. </w:t>
      </w:r>
      <w:r>
        <w:rPr>
          <w:rFonts w:hint="eastAsia"/>
        </w:rPr>
        <w:t>响应文件递交截止及谈判开始时间：202</w:t>
      </w:r>
      <w:r>
        <w:rPr>
          <w:rFonts w:hint="eastAsia"/>
          <w:lang w:val="en-US" w:eastAsia="zh-CN"/>
        </w:rPr>
        <w:t>5</w:t>
      </w:r>
      <w:r>
        <w:rPr>
          <w:rFonts w:hint="eastAsia"/>
        </w:rPr>
        <w:t>年</w:t>
      </w:r>
      <w:r>
        <w:rPr>
          <w:rFonts w:hint="eastAsia"/>
          <w:b/>
          <w:bCs/>
          <w:lang w:val="en-US" w:eastAsia="zh-CN"/>
        </w:rPr>
        <w:t>6</w:t>
      </w:r>
      <w:r>
        <w:rPr>
          <w:rFonts w:hint="eastAsia"/>
        </w:rPr>
        <w:t>月</w:t>
      </w:r>
      <w:r>
        <w:rPr>
          <w:rFonts w:hint="eastAsia"/>
          <w:lang w:val="en-US" w:eastAsia="zh-CN"/>
        </w:rPr>
        <w:t>9</w:t>
      </w:r>
      <w:r>
        <w:rPr>
          <w:rFonts w:hint="eastAsia"/>
        </w:rPr>
        <w:t>日上午9点30分，逾期递交或响应文件不符合采购规定，则被拒绝。请</w:t>
      </w:r>
      <w:r>
        <w:rPr>
          <w:rFonts w:hint="eastAsia"/>
          <w:lang w:val="en-US" w:eastAsia="zh-CN"/>
        </w:rPr>
        <w:t>报价</w:t>
      </w:r>
      <w:r>
        <w:rPr>
          <w:rFonts w:hint="eastAsia"/>
        </w:rPr>
        <w:t>人派代表参加谈判，并于09:30前到装备中心622会议室等待谈判。</w:t>
      </w:r>
    </w:p>
    <w:p w14:paraId="71E263CE">
      <w:pPr>
        <w:pStyle w:val="14"/>
        <w:rPr>
          <w:b/>
          <w:bCs/>
        </w:rPr>
      </w:pPr>
      <w:r>
        <w:rPr>
          <w:rFonts w:hint="eastAsia"/>
        </w:rPr>
        <w:t>2.谈判地点：北京市东城区体育馆路3号，体育器材装备中心6楼601室。</w:t>
      </w:r>
    </w:p>
    <w:p w14:paraId="06CA5CB9">
      <w:pPr>
        <w:pStyle w:val="21"/>
        <w:rPr>
          <w:rFonts w:ascii="宋体" w:hAnsi="宋体"/>
          <w:b w:val="0"/>
          <w:sz w:val="28"/>
        </w:rPr>
      </w:pPr>
      <w:bookmarkStart w:id="28" w:name="_Toc18500"/>
      <w:bookmarkStart w:id="29" w:name="_Toc15629"/>
      <w:r>
        <w:rPr>
          <w:rFonts w:hint="eastAsia"/>
        </w:rPr>
        <w:t>第二部分报价须知</w:t>
      </w:r>
      <w:bookmarkEnd w:id="26"/>
      <w:bookmarkEnd w:id="27"/>
      <w:bookmarkEnd w:id="28"/>
      <w:bookmarkEnd w:id="29"/>
    </w:p>
    <w:p w14:paraId="7E528FDB">
      <w:pPr>
        <w:pStyle w:val="40"/>
      </w:pPr>
      <w:bookmarkStart w:id="30" w:name="_Toc4898"/>
      <w:bookmarkStart w:id="31" w:name="_Toc115756022"/>
      <w:bookmarkStart w:id="32" w:name="_Toc141968431"/>
      <w:bookmarkStart w:id="33" w:name="_Toc22672"/>
      <w:r>
        <w:rPr>
          <w:rFonts w:hint="eastAsia"/>
        </w:rPr>
        <w:t>一、总则</w:t>
      </w:r>
      <w:bookmarkEnd w:id="30"/>
      <w:bookmarkEnd w:id="31"/>
      <w:bookmarkEnd w:id="32"/>
      <w:bookmarkEnd w:id="33"/>
    </w:p>
    <w:p w14:paraId="2A986F74">
      <w:pPr>
        <w:pStyle w:val="45"/>
      </w:pPr>
      <w:r>
        <w:rPr>
          <w:rFonts w:hint="eastAsia"/>
        </w:rPr>
        <w:t>1.适用范围</w:t>
      </w:r>
    </w:p>
    <w:p w14:paraId="252D10F9">
      <w:pPr>
        <w:pStyle w:val="47"/>
        <w:ind w:firstLine="480"/>
      </w:pPr>
      <w:r>
        <w:rPr>
          <w:rFonts w:hint="eastAsia"/>
        </w:rPr>
        <w:t>本文件适用于本次所有产品的采购。</w:t>
      </w:r>
    </w:p>
    <w:p w14:paraId="63115551">
      <w:pPr>
        <w:pStyle w:val="45"/>
      </w:pPr>
      <w:r>
        <w:rPr>
          <w:rFonts w:hint="eastAsia"/>
        </w:rPr>
        <w:t>2.定义</w:t>
      </w:r>
    </w:p>
    <w:p w14:paraId="784396F2">
      <w:pPr>
        <w:pStyle w:val="46"/>
        <w:ind w:firstLine="480"/>
      </w:pPr>
      <w:r>
        <w:rPr>
          <w:rFonts w:hint="eastAsia"/>
        </w:rPr>
        <w:t>2.1“采购单位”指组织本次采购的国家体育总局体育器材装备中心。</w:t>
      </w:r>
    </w:p>
    <w:p w14:paraId="258C8AA4">
      <w:pPr>
        <w:pStyle w:val="46"/>
        <w:ind w:firstLine="480"/>
      </w:pPr>
      <w:r>
        <w:rPr>
          <w:rFonts w:hint="eastAsia"/>
        </w:rPr>
        <w:t>2.2“采购人”指</w:t>
      </w:r>
      <w:r>
        <w:rPr>
          <w:rFonts w:hint="eastAsia" w:ascii="宋体" w:hAnsi="宋体"/>
          <w:bCs/>
          <w:color w:val="000000"/>
          <w:u w:val="single"/>
          <w:lang w:val="en-US" w:eastAsia="zh-CN"/>
        </w:rPr>
        <w:t>北京体育大学</w:t>
      </w:r>
      <w:r>
        <w:rPr>
          <w:rFonts w:hint="eastAsia"/>
        </w:rPr>
        <w:t>。</w:t>
      </w:r>
    </w:p>
    <w:p w14:paraId="2D86858F">
      <w:pPr>
        <w:pStyle w:val="46"/>
        <w:ind w:firstLine="480"/>
      </w:pPr>
      <w:r>
        <w:rPr>
          <w:rFonts w:hint="eastAsia"/>
        </w:rPr>
        <w:t>2.3“采购货物”指本采购文件第三部分所述所有货物。</w:t>
      </w:r>
    </w:p>
    <w:p w14:paraId="5F60CFE8">
      <w:pPr>
        <w:pStyle w:val="46"/>
        <w:ind w:firstLine="480"/>
      </w:pPr>
      <w:r>
        <w:rPr>
          <w:rFonts w:hint="eastAsia"/>
        </w:rPr>
        <w:t>2.4“服务”指本采购文件第三部分所有货物相关的运输、安装、培训及售后服务和其它类似的义务。</w:t>
      </w:r>
    </w:p>
    <w:p w14:paraId="5DFE519C">
      <w:pPr>
        <w:pStyle w:val="46"/>
        <w:ind w:firstLine="480"/>
      </w:pPr>
      <w:r>
        <w:rPr>
          <w:rFonts w:hint="eastAsia"/>
        </w:rPr>
        <w:t>2.5“潜在报价人”指已报名登记的供应商。</w:t>
      </w:r>
    </w:p>
    <w:p w14:paraId="1D4043F5">
      <w:pPr>
        <w:pStyle w:val="46"/>
        <w:ind w:firstLine="480"/>
      </w:pPr>
      <w:r>
        <w:rPr>
          <w:rFonts w:hint="eastAsia"/>
        </w:rPr>
        <w:t>2.6“报价人”指已报名登记并参加报价的供应商。</w:t>
      </w:r>
    </w:p>
    <w:p w14:paraId="52CD0EC6">
      <w:pPr>
        <w:pStyle w:val="45"/>
      </w:pPr>
      <w:r>
        <w:rPr>
          <w:rFonts w:hint="eastAsia"/>
          <w:sz w:val="28"/>
          <w:szCs w:val="28"/>
        </w:rPr>
        <w:t>3.</w:t>
      </w:r>
      <w:r>
        <w:rPr>
          <w:rFonts w:hint="eastAsia"/>
        </w:rPr>
        <w:t>采购方式</w:t>
      </w:r>
    </w:p>
    <w:p w14:paraId="65503D13">
      <w:pPr>
        <w:pStyle w:val="47"/>
        <w:ind w:firstLine="480"/>
      </w:pPr>
      <w:r>
        <w:rPr>
          <w:rFonts w:hint="eastAsia"/>
        </w:rPr>
        <w:t>本次采购按照公开、公正、公平的竞争原则，采用竞争性谈判方式进行国内采购。</w:t>
      </w:r>
    </w:p>
    <w:p w14:paraId="6BFA252A">
      <w:pPr>
        <w:pStyle w:val="45"/>
      </w:pPr>
      <w:r>
        <w:rPr>
          <w:rFonts w:hint="eastAsia"/>
          <w:sz w:val="28"/>
          <w:szCs w:val="28"/>
        </w:rPr>
        <w:t>4.</w:t>
      </w:r>
      <w:r>
        <w:rPr>
          <w:rFonts w:hint="eastAsia"/>
        </w:rPr>
        <w:t>语言</w:t>
      </w:r>
    </w:p>
    <w:p w14:paraId="73ACDB0B">
      <w:pPr>
        <w:pStyle w:val="47"/>
        <w:ind w:firstLine="480"/>
      </w:pPr>
      <w:r>
        <w:rPr>
          <w:rFonts w:hint="eastAsia"/>
        </w:rPr>
        <w:t>报价文件及报价人与采购单位之间的与报价文件有关的往来函电和文件均须使用中文。</w:t>
      </w:r>
    </w:p>
    <w:p w14:paraId="5B57DD4A">
      <w:pPr>
        <w:pStyle w:val="45"/>
      </w:pPr>
      <w:r>
        <w:rPr>
          <w:rFonts w:hint="eastAsia"/>
          <w:sz w:val="28"/>
          <w:szCs w:val="28"/>
        </w:rPr>
        <w:t>5.</w:t>
      </w:r>
      <w:r>
        <w:rPr>
          <w:rFonts w:hint="eastAsia"/>
        </w:rPr>
        <w:t>供货时间和地点要求</w:t>
      </w:r>
    </w:p>
    <w:p w14:paraId="27F9E838">
      <w:pPr>
        <w:pStyle w:val="46"/>
        <w:ind w:firstLine="480"/>
        <w:rPr>
          <w:u w:val="thick"/>
        </w:rPr>
      </w:pPr>
      <w:r>
        <w:rPr>
          <w:rFonts w:hint="eastAsia"/>
        </w:rPr>
        <w:t>5.1 计划供货时间：</w:t>
      </w:r>
      <w:r>
        <w:rPr>
          <w:rFonts w:hint="eastAsia"/>
          <w:b/>
          <w:color w:val="FF0000"/>
          <w:u w:val="single"/>
        </w:rPr>
        <w:t>详见第三部分采购清单</w:t>
      </w:r>
      <w:r>
        <w:rPr>
          <w:rFonts w:hint="eastAsia"/>
          <w:color w:val="FF0000"/>
        </w:rPr>
        <w:t>。</w:t>
      </w:r>
    </w:p>
    <w:p w14:paraId="62FA488F">
      <w:pPr>
        <w:pStyle w:val="46"/>
        <w:ind w:firstLine="480"/>
      </w:pPr>
      <w:r>
        <w:rPr>
          <w:rFonts w:hint="eastAsia"/>
        </w:rPr>
        <w:t>5.2报价人可在坚持其报价的前提下，在其报价文件中对前款规定的计划供货时间予以提前。</w:t>
      </w:r>
    </w:p>
    <w:p w14:paraId="26C93734">
      <w:pPr>
        <w:pStyle w:val="46"/>
        <w:ind w:firstLine="480"/>
      </w:pPr>
      <w:r>
        <w:rPr>
          <w:rFonts w:hint="eastAsia"/>
        </w:rPr>
        <w:t>5.3供货地点：</w:t>
      </w:r>
      <w:r>
        <w:rPr>
          <w:rFonts w:hint="eastAsia"/>
          <w:b/>
          <w:color w:val="FF0000"/>
          <w:u w:val="single"/>
        </w:rPr>
        <w:t>详见第三部分采购清单</w:t>
      </w:r>
      <w:r>
        <w:rPr>
          <w:rFonts w:hint="eastAsia"/>
          <w:color w:val="FF0000"/>
        </w:rPr>
        <w:t>。</w:t>
      </w:r>
    </w:p>
    <w:p w14:paraId="357E3117">
      <w:pPr>
        <w:pStyle w:val="40"/>
      </w:pPr>
      <w:bookmarkStart w:id="34" w:name="_Toc20875"/>
      <w:bookmarkStart w:id="35" w:name="_Toc30534"/>
      <w:bookmarkStart w:id="36" w:name="_Toc115756023"/>
      <w:bookmarkStart w:id="37" w:name="_Toc141968432"/>
      <w:r>
        <w:rPr>
          <w:rFonts w:hint="eastAsia"/>
        </w:rPr>
        <w:t>二、采购信息说明</w:t>
      </w:r>
      <w:bookmarkEnd w:id="34"/>
      <w:bookmarkEnd w:id="35"/>
      <w:bookmarkEnd w:id="36"/>
      <w:bookmarkEnd w:id="37"/>
    </w:p>
    <w:p w14:paraId="70D60836">
      <w:pPr>
        <w:pStyle w:val="45"/>
      </w:pPr>
      <w:r>
        <w:rPr>
          <w:rFonts w:hint="eastAsia"/>
        </w:rPr>
        <w:t xml:space="preserve"> 6.采购信息的内容</w:t>
      </w:r>
    </w:p>
    <w:p w14:paraId="67C589FA">
      <w:pPr>
        <w:pStyle w:val="46"/>
        <w:ind w:firstLine="480"/>
      </w:pPr>
      <w:r>
        <w:rPr>
          <w:rFonts w:hint="eastAsia"/>
        </w:rPr>
        <w:t>6.1本项目的竞争性谈判文件包括下列文件：</w:t>
      </w:r>
    </w:p>
    <w:p w14:paraId="00A0EB7F">
      <w:pPr>
        <w:pStyle w:val="47"/>
        <w:ind w:firstLine="480"/>
      </w:pPr>
      <w:r>
        <w:rPr>
          <w:rFonts w:hint="eastAsia"/>
        </w:rPr>
        <w:t>第一部分采购公告</w:t>
      </w:r>
    </w:p>
    <w:p w14:paraId="29D77DF9">
      <w:pPr>
        <w:pStyle w:val="47"/>
        <w:ind w:firstLine="480"/>
      </w:pPr>
      <w:r>
        <w:rPr>
          <w:rFonts w:hint="eastAsia"/>
        </w:rPr>
        <w:t>第二部分报价须知</w:t>
      </w:r>
    </w:p>
    <w:p w14:paraId="61240F5E">
      <w:pPr>
        <w:pStyle w:val="47"/>
        <w:ind w:firstLine="480"/>
      </w:pPr>
      <w:r>
        <w:rPr>
          <w:rFonts w:hint="eastAsia"/>
        </w:rPr>
        <w:t>第三部分采购清单</w:t>
      </w:r>
    </w:p>
    <w:p w14:paraId="4A0F6798">
      <w:pPr>
        <w:pStyle w:val="47"/>
        <w:ind w:firstLine="480"/>
      </w:pPr>
      <w:r>
        <w:rPr>
          <w:rFonts w:hint="eastAsia"/>
        </w:rPr>
        <w:t>第四部分评审标准</w:t>
      </w:r>
    </w:p>
    <w:p w14:paraId="6E427C82">
      <w:pPr>
        <w:pStyle w:val="47"/>
        <w:ind w:firstLine="480"/>
      </w:pPr>
      <w:r>
        <w:rPr>
          <w:rFonts w:hint="eastAsia"/>
        </w:rPr>
        <w:t>第五部分报价文件格式</w:t>
      </w:r>
    </w:p>
    <w:p w14:paraId="183BB6EC">
      <w:pPr>
        <w:pStyle w:val="46"/>
        <w:ind w:firstLine="480"/>
      </w:pPr>
      <w:r>
        <w:rPr>
          <w:rFonts w:hint="eastAsia"/>
        </w:rPr>
        <w:t>6.2 报价人应认真审阅竞争性谈判文件中所有的须知、条件、格式、项目、技术要求等。</w:t>
      </w:r>
    </w:p>
    <w:p w14:paraId="22A93470">
      <w:pPr>
        <w:pStyle w:val="46"/>
        <w:ind w:firstLine="480"/>
      </w:pPr>
      <w:r>
        <w:rPr>
          <w:rFonts w:hint="eastAsia"/>
        </w:rPr>
        <w:t xml:space="preserve">6.3 </w:t>
      </w:r>
      <w:bookmarkStart w:id="38" w:name="_Toc115756024"/>
      <w:r>
        <w:rPr>
          <w:rFonts w:hint="eastAsia"/>
        </w:rPr>
        <w:t>报价人应认真检查竞争性谈判文件是否完整，若发现缺页或附件不全时，应及时向采购单位提出，以便补齐。</w:t>
      </w:r>
    </w:p>
    <w:p w14:paraId="50FD2C45">
      <w:pPr>
        <w:pStyle w:val="45"/>
      </w:pPr>
      <w:r>
        <w:rPr>
          <w:rFonts w:hint="eastAsia"/>
        </w:rPr>
        <w:t>7.竞争性谈判文件的澄清、修改</w:t>
      </w:r>
    </w:p>
    <w:p w14:paraId="7C4B2582">
      <w:pPr>
        <w:pStyle w:val="46"/>
        <w:ind w:firstLine="480"/>
      </w:pPr>
      <w:r>
        <w:rPr>
          <w:rFonts w:hint="eastAsia"/>
        </w:rPr>
        <w:t>7.1 任何要求对竞争性谈判文件进行澄清的潜在报价人，均应在递交报价文件截止时间前，以书面形式通知采购单位，或在谈判过程中向谈判小组提出。</w:t>
      </w:r>
    </w:p>
    <w:p w14:paraId="74AB3B8C">
      <w:pPr>
        <w:pStyle w:val="46"/>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fldChar w:fldCharType="end"/>
      </w:r>
      <w:r>
        <w:rPr>
          <w:rFonts w:hint="eastAsia"/>
        </w:rPr>
        <w:t>公告等书面方式送达要求澄清的报价人或全体潜在报价人。</w:t>
      </w:r>
    </w:p>
    <w:p w14:paraId="3219DACD">
      <w:pPr>
        <w:pStyle w:val="46"/>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14:paraId="6F91A4DA">
      <w:pPr>
        <w:pStyle w:val="46"/>
        <w:ind w:firstLine="480"/>
      </w:pPr>
      <w:r>
        <w:rPr>
          <w:rFonts w:hint="eastAsia"/>
        </w:rPr>
        <w:t>7</w:t>
      </w:r>
      <w:r>
        <w:t>.</w:t>
      </w:r>
      <w:r>
        <w:rPr>
          <w:rFonts w:hint="eastAsia"/>
        </w:rPr>
        <w:t>4 澄清或者修改的内容为竞争性谈判文件的组成部分。</w:t>
      </w:r>
    </w:p>
    <w:p w14:paraId="409EBE30">
      <w:pPr>
        <w:pStyle w:val="46"/>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14:paraId="02844D37">
      <w:pPr>
        <w:pStyle w:val="40"/>
      </w:pPr>
      <w:bookmarkStart w:id="39" w:name="_Toc9396"/>
      <w:bookmarkStart w:id="40" w:name="_Toc11601"/>
      <w:bookmarkStart w:id="41" w:name="_Toc141968433"/>
      <w:r>
        <w:rPr>
          <w:rFonts w:hint="eastAsia"/>
        </w:rPr>
        <w:t>三、报价文件的编写</w:t>
      </w:r>
      <w:bookmarkEnd w:id="38"/>
      <w:bookmarkEnd w:id="39"/>
      <w:bookmarkEnd w:id="40"/>
      <w:bookmarkEnd w:id="41"/>
    </w:p>
    <w:p w14:paraId="369D76D3">
      <w:pPr>
        <w:pStyle w:val="45"/>
      </w:pPr>
      <w:r>
        <w:rPr>
          <w:rFonts w:hint="eastAsia"/>
        </w:rPr>
        <w:t>8.要求</w:t>
      </w:r>
    </w:p>
    <w:p w14:paraId="7A3B4A26">
      <w:pPr>
        <w:pStyle w:val="47"/>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7C4FCAB7">
      <w:pPr>
        <w:pStyle w:val="45"/>
      </w:pPr>
      <w:r>
        <w:rPr>
          <w:rFonts w:hint="eastAsia"/>
        </w:rPr>
        <w:t>9.报价文件的组成</w:t>
      </w:r>
    </w:p>
    <w:p w14:paraId="3F1F43F1">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0908E8EC">
      <w:pPr>
        <w:numPr>
          <w:ilvl w:val="0"/>
          <w:numId w:val="3"/>
        </w:numPr>
        <w:spacing w:line="360" w:lineRule="auto"/>
        <w:ind w:left="0" w:firstLine="480" w:firstLineChars="200"/>
        <w:jc w:val="left"/>
        <w:rPr>
          <w:sz w:val="24"/>
        </w:rPr>
      </w:pPr>
      <w:r>
        <w:rPr>
          <w:sz w:val="24"/>
        </w:rPr>
        <w:t>法定代表人证明书</w:t>
      </w:r>
      <w:r>
        <w:rPr>
          <w:rFonts w:hint="eastAsia"/>
          <w:sz w:val="24"/>
        </w:rPr>
        <w:t>或授权委托书（如非法定代表人亲自参与谈判时提供）；</w:t>
      </w:r>
    </w:p>
    <w:p w14:paraId="2D6C4265">
      <w:pPr>
        <w:numPr>
          <w:ilvl w:val="0"/>
          <w:numId w:val="3"/>
        </w:numPr>
        <w:spacing w:line="360" w:lineRule="auto"/>
        <w:ind w:left="0" w:firstLine="480" w:firstLineChars="200"/>
        <w:jc w:val="left"/>
        <w:rPr>
          <w:color w:val="C00000"/>
          <w:sz w:val="24"/>
        </w:rPr>
      </w:pPr>
      <w:r>
        <w:rPr>
          <w:rFonts w:hint="eastAsia"/>
          <w:sz w:val="24"/>
        </w:rPr>
        <w:t>报价企业营业执照副本复印件；</w:t>
      </w:r>
    </w:p>
    <w:p w14:paraId="726A5649">
      <w:pPr>
        <w:numPr>
          <w:ilvl w:val="0"/>
          <w:numId w:val="3"/>
        </w:numPr>
        <w:spacing w:line="360" w:lineRule="auto"/>
        <w:ind w:left="0" w:firstLine="480" w:firstLineChars="200"/>
        <w:jc w:val="left"/>
        <w:rPr>
          <w:sz w:val="24"/>
        </w:rPr>
      </w:pPr>
      <w:r>
        <w:rPr>
          <w:rFonts w:hint="eastAsia"/>
          <w:sz w:val="24"/>
        </w:rPr>
        <w:t>报价人简介；</w:t>
      </w:r>
    </w:p>
    <w:p w14:paraId="6EC9096F">
      <w:pPr>
        <w:numPr>
          <w:ilvl w:val="0"/>
          <w:numId w:val="3"/>
        </w:numPr>
        <w:spacing w:line="360" w:lineRule="auto"/>
        <w:ind w:left="0" w:firstLine="480" w:firstLineChars="200"/>
        <w:jc w:val="left"/>
        <w:rPr>
          <w:sz w:val="24"/>
        </w:rPr>
      </w:pPr>
      <w:r>
        <w:rPr>
          <w:rFonts w:hint="eastAsia"/>
          <w:sz w:val="24"/>
        </w:rPr>
        <w:t>报价人</w:t>
      </w:r>
      <w:r>
        <w:rPr>
          <w:sz w:val="24"/>
        </w:rPr>
        <w:t>202</w:t>
      </w:r>
      <w:r>
        <w:rPr>
          <w:rFonts w:hint="eastAsia"/>
          <w:sz w:val="24"/>
          <w:lang w:val="en-US" w:eastAsia="zh-CN"/>
        </w:rPr>
        <w:t>2</w:t>
      </w:r>
      <w:r>
        <w:rPr>
          <w:rFonts w:hint="eastAsia"/>
          <w:sz w:val="24"/>
        </w:rPr>
        <w:t>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14:paraId="021ADBB3">
      <w:pPr>
        <w:numPr>
          <w:ilvl w:val="0"/>
          <w:numId w:val="3"/>
        </w:numPr>
        <w:spacing w:line="360" w:lineRule="auto"/>
        <w:ind w:left="0" w:firstLine="480" w:firstLineChars="200"/>
        <w:jc w:val="left"/>
        <w:rPr>
          <w:sz w:val="24"/>
        </w:rPr>
      </w:pPr>
      <w:r>
        <w:rPr>
          <w:rFonts w:hint="eastAsia"/>
          <w:sz w:val="24"/>
        </w:rPr>
        <w:t>报价人基本开户银行出具的银行资信证明或者报价人</w:t>
      </w:r>
      <w:r>
        <w:rPr>
          <w:sz w:val="24"/>
        </w:rPr>
        <w:t>20</w:t>
      </w:r>
      <w:r>
        <w:rPr>
          <w:rFonts w:hint="eastAsia"/>
          <w:sz w:val="24"/>
        </w:rPr>
        <w:t>2</w:t>
      </w:r>
      <w:r>
        <w:rPr>
          <w:rFonts w:hint="eastAsia"/>
          <w:sz w:val="24"/>
          <w:lang w:val="en-US" w:eastAsia="zh-CN"/>
        </w:rPr>
        <w:t>2</w:t>
      </w:r>
      <w:r>
        <w:rPr>
          <w:rFonts w:hint="eastAsia"/>
          <w:sz w:val="24"/>
        </w:rPr>
        <w:t>年度、</w:t>
      </w:r>
      <w:r>
        <w:rPr>
          <w:sz w:val="24"/>
        </w:rPr>
        <w:t>202</w:t>
      </w:r>
      <w:r>
        <w:rPr>
          <w:rFonts w:hint="eastAsia"/>
          <w:sz w:val="24"/>
          <w:lang w:val="en-US" w:eastAsia="zh-CN"/>
        </w:rPr>
        <w:t>3</w:t>
      </w:r>
      <w:r>
        <w:rPr>
          <w:rFonts w:hint="eastAsia"/>
          <w:sz w:val="24"/>
        </w:rPr>
        <w:t>年度、202</w:t>
      </w:r>
      <w:r>
        <w:rPr>
          <w:rFonts w:hint="eastAsia"/>
          <w:sz w:val="24"/>
          <w:lang w:val="en-US" w:eastAsia="zh-CN"/>
        </w:rPr>
        <w:t>4</w:t>
      </w:r>
      <w:r>
        <w:rPr>
          <w:rFonts w:hint="eastAsia"/>
          <w:sz w:val="24"/>
        </w:rPr>
        <w:t>年度任一年度的财务报告复印件（加盖报价人公章）；</w:t>
      </w:r>
    </w:p>
    <w:p w14:paraId="73A7A992">
      <w:pPr>
        <w:numPr>
          <w:ilvl w:val="0"/>
          <w:numId w:val="3"/>
        </w:numPr>
        <w:spacing w:line="360" w:lineRule="auto"/>
        <w:ind w:left="0" w:firstLine="480" w:firstLineChars="200"/>
        <w:jc w:val="left"/>
        <w:rPr>
          <w:sz w:val="24"/>
        </w:rPr>
      </w:pPr>
      <w:r>
        <w:rPr>
          <w:rFonts w:hint="eastAsia"/>
          <w:sz w:val="24"/>
        </w:rPr>
        <w:t>参加此项政府采购活动前3年内在经营活动中没有重大违法记录的书面声明；</w:t>
      </w:r>
    </w:p>
    <w:p w14:paraId="5EA30F4C">
      <w:pPr>
        <w:numPr>
          <w:ilvl w:val="0"/>
          <w:numId w:val="3"/>
        </w:numPr>
        <w:spacing w:line="360" w:lineRule="auto"/>
        <w:ind w:left="0" w:firstLine="480" w:firstLineChars="200"/>
        <w:jc w:val="left"/>
        <w:rPr>
          <w:sz w:val="24"/>
        </w:rPr>
      </w:pPr>
      <w:r>
        <w:rPr>
          <w:rFonts w:hint="eastAsia"/>
          <w:sz w:val="24"/>
        </w:rPr>
        <w:t>除产品制造商外的报价人须提供报价产品合法、有效、完整的授权证明文件；</w:t>
      </w:r>
    </w:p>
    <w:p w14:paraId="01F40B82">
      <w:pPr>
        <w:numPr>
          <w:ilvl w:val="0"/>
          <w:numId w:val="3"/>
        </w:numPr>
        <w:spacing w:line="360" w:lineRule="auto"/>
        <w:ind w:left="0" w:firstLine="480" w:firstLineChars="200"/>
        <w:jc w:val="left"/>
        <w:rPr>
          <w:color w:val="000000"/>
          <w:sz w:val="24"/>
        </w:rPr>
      </w:pPr>
      <w:r>
        <w:rPr>
          <w:rFonts w:hint="eastAsia"/>
          <w:color w:val="000000"/>
          <w:sz w:val="24"/>
        </w:rPr>
        <w:t>产品报价明细表；</w:t>
      </w:r>
    </w:p>
    <w:p w14:paraId="4A2FAE1D">
      <w:pPr>
        <w:numPr>
          <w:ilvl w:val="0"/>
          <w:numId w:val="3"/>
        </w:numPr>
        <w:spacing w:line="360" w:lineRule="auto"/>
        <w:ind w:left="0" w:firstLine="480" w:firstLineChars="20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p>
    <w:p w14:paraId="646D5345">
      <w:pPr>
        <w:numPr>
          <w:ilvl w:val="0"/>
          <w:numId w:val="3"/>
        </w:numPr>
        <w:spacing w:line="360" w:lineRule="auto"/>
        <w:ind w:left="0" w:firstLine="480" w:firstLineChars="200"/>
        <w:jc w:val="left"/>
        <w:rPr>
          <w:bCs/>
          <w:color w:val="000000"/>
          <w:sz w:val="24"/>
        </w:rPr>
      </w:pPr>
      <w:r>
        <w:rPr>
          <w:rFonts w:hint="eastAsia"/>
          <w:bCs/>
          <w:color w:val="000000"/>
          <w:sz w:val="24"/>
        </w:rPr>
        <w:t>报价产品中有医疗器械的，报价人须</w:t>
      </w:r>
      <w:r>
        <w:rPr>
          <w:rFonts w:hint="eastAsia" w:hAnsi="宋体"/>
          <w:color w:val="000000"/>
          <w:sz w:val="24"/>
        </w:rPr>
        <w:t>具备医疗器械生产许可证或医疗器械经营许可证（或医疗器械经营备案凭证），生产、经营范围应涵盖报价所含医疗器械，并提供相应产品的医疗器械注册证（或医疗器械备案凭证）；</w:t>
      </w:r>
    </w:p>
    <w:p w14:paraId="2A37F591">
      <w:pPr>
        <w:numPr>
          <w:ilvl w:val="0"/>
          <w:numId w:val="3"/>
        </w:numPr>
        <w:spacing w:line="360" w:lineRule="auto"/>
        <w:ind w:left="0" w:firstLine="480" w:firstLineChars="200"/>
        <w:jc w:val="left"/>
        <w:rPr>
          <w:bCs/>
          <w:color w:val="000000"/>
          <w:sz w:val="24"/>
        </w:rPr>
      </w:pPr>
      <w:r>
        <w:rPr>
          <w:rFonts w:hint="eastAsia"/>
          <w:sz w:val="24"/>
        </w:rPr>
        <w:t>报价产品符合相关认证标准的证明文件复印件；</w:t>
      </w:r>
    </w:p>
    <w:p w14:paraId="73FAF7F9">
      <w:pPr>
        <w:numPr>
          <w:ilvl w:val="0"/>
          <w:numId w:val="3"/>
        </w:numPr>
        <w:spacing w:line="360" w:lineRule="auto"/>
        <w:ind w:left="0" w:firstLine="480" w:firstLineChars="200"/>
        <w:jc w:val="left"/>
        <w:rPr>
          <w:sz w:val="24"/>
        </w:rPr>
      </w:pPr>
      <w:r>
        <w:rPr>
          <w:rFonts w:hint="eastAsia"/>
          <w:sz w:val="24"/>
        </w:rPr>
        <w:t>报价产品技术情况详细介绍及产品彩图；</w:t>
      </w:r>
    </w:p>
    <w:p w14:paraId="097B99A2">
      <w:pPr>
        <w:numPr>
          <w:ilvl w:val="0"/>
          <w:numId w:val="3"/>
        </w:numPr>
        <w:spacing w:line="360" w:lineRule="auto"/>
        <w:ind w:left="0" w:firstLine="480" w:firstLineChars="200"/>
        <w:jc w:val="left"/>
        <w:rPr>
          <w:sz w:val="24"/>
        </w:rPr>
      </w:pPr>
      <w:r>
        <w:rPr>
          <w:rFonts w:hint="eastAsia"/>
          <w:sz w:val="24"/>
        </w:rPr>
        <w:t>报价人202</w:t>
      </w:r>
      <w:r>
        <w:rPr>
          <w:rFonts w:hint="eastAsia"/>
          <w:sz w:val="24"/>
          <w:lang w:val="en-US" w:eastAsia="zh-CN"/>
        </w:rPr>
        <w:t>2</w:t>
      </w:r>
      <w:r>
        <w:rPr>
          <w:rFonts w:hint="eastAsia"/>
          <w:sz w:val="24"/>
        </w:rPr>
        <w:t>年1月至今同类型产品销售业绩（请提供合同关键页复印件及有效联系人方式）；</w:t>
      </w:r>
    </w:p>
    <w:p w14:paraId="20C6BDB8">
      <w:pPr>
        <w:numPr>
          <w:ilvl w:val="0"/>
          <w:numId w:val="3"/>
        </w:numPr>
        <w:spacing w:line="360" w:lineRule="auto"/>
        <w:ind w:left="0" w:firstLine="480" w:firstLineChars="200"/>
        <w:jc w:val="left"/>
        <w:rPr>
          <w:sz w:val="24"/>
        </w:rPr>
      </w:pPr>
      <w:r>
        <w:rPr>
          <w:rFonts w:hint="eastAsia"/>
          <w:sz w:val="24"/>
        </w:rPr>
        <w:t>交货时间承诺；</w:t>
      </w:r>
    </w:p>
    <w:p w14:paraId="1C2B8A4A">
      <w:pPr>
        <w:numPr>
          <w:ilvl w:val="0"/>
          <w:numId w:val="3"/>
        </w:numPr>
        <w:spacing w:line="360" w:lineRule="auto"/>
        <w:ind w:left="0" w:firstLine="480" w:firstLineChars="200"/>
        <w:jc w:val="left"/>
        <w:rPr>
          <w:sz w:val="24"/>
        </w:rPr>
      </w:pPr>
      <w:r>
        <w:rPr>
          <w:rFonts w:hint="eastAsia"/>
          <w:sz w:val="24"/>
        </w:rPr>
        <w:t>售后服务承诺或产品制造商售后服务声明；</w:t>
      </w:r>
    </w:p>
    <w:p w14:paraId="54855A4A">
      <w:pPr>
        <w:numPr>
          <w:ilvl w:val="0"/>
          <w:numId w:val="3"/>
        </w:numPr>
        <w:spacing w:line="360" w:lineRule="auto"/>
        <w:ind w:left="0" w:firstLine="480" w:firstLineChars="200"/>
        <w:jc w:val="left"/>
        <w:rPr>
          <w:sz w:val="24"/>
        </w:rPr>
      </w:pPr>
      <w:r>
        <w:rPr>
          <w:rFonts w:hint="eastAsia"/>
          <w:sz w:val="24"/>
        </w:rPr>
        <w:t>提供与报价人单位负责人为同一人或者存在直接控股、管理关系的不同单位（主体）的清单；如报价任务此类关联单位（主体），则需作出书面声明承诺。</w:t>
      </w:r>
    </w:p>
    <w:p w14:paraId="3E00AEEC">
      <w:pPr>
        <w:numPr>
          <w:ilvl w:val="0"/>
          <w:numId w:val="3"/>
        </w:numPr>
        <w:spacing w:line="360" w:lineRule="auto"/>
        <w:ind w:left="0" w:firstLine="480" w:firstLineChars="200"/>
        <w:jc w:val="left"/>
        <w:rPr>
          <w:sz w:val="24"/>
        </w:rPr>
      </w:pPr>
      <w:r>
        <w:rPr>
          <w:rFonts w:hint="eastAsia"/>
          <w:sz w:val="24"/>
        </w:rPr>
        <w:t>报价人认为需要提供的其它说明和资料。</w:t>
      </w:r>
    </w:p>
    <w:p w14:paraId="7856072E">
      <w:pPr>
        <w:pStyle w:val="45"/>
      </w:pPr>
      <w:r>
        <w:rPr>
          <w:rFonts w:hint="eastAsia"/>
        </w:rPr>
        <w:t>10.报价文件格式</w:t>
      </w:r>
    </w:p>
    <w:p w14:paraId="6318266D">
      <w:pPr>
        <w:pStyle w:val="46"/>
        <w:ind w:firstLine="480"/>
        <w:rPr>
          <w:b/>
        </w:rPr>
      </w:pPr>
      <w:r>
        <w:rPr>
          <w:rFonts w:hint="eastAsia"/>
        </w:rPr>
        <w:t>10.1竞争性谈判文件中凡提供报价文件格式的内容，报价人应按提供的格式填写，其余未提供格式的内容由报价人自行设计编写。</w:t>
      </w:r>
    </w:p>
    <w:p w14:paraId="7585BF2D">
      <w:pPr>
        <w:pStyle w:val="46"/>
        <w:ind w:firstLine="480"/>
      </w:pPr>
      <w:r>
        <w:rPr>
          <w:rFonts w:hint="eastAsia"/>
        </w:rPr>
        <w:t>10.2 报价人应在报价文件中详细说明所报产品的技术指标、规格等。</w:t>
      </w:r>
    </w:p>
    <w:p w14:paraId="61FF866A">
      <w:pPr>
        <w:pStyle w:val="45"/>
      </w:pPr>
      <w:r>
        <w:rPr>
          <w:rFonts w:hint="eastAsia"/>
        </w:rPr>
        <w:t>11.报价</w:t>
      </w:r>
    </w:p>
    <w:p w14:paraId="12DC54FF">
      <w:pPr>
        <w:pStyle w:val="46"/>
        <w:ind w:firstLine="480"/>
        <w:rPr>
          <w:rFonts w:ascii="宋体" w:hAnsi="宋体"/>
          <w:color w:val="000000"/>
        </w:rPr>
      </w:pPr>
      <w:r>
        <w:rPr>
          <w:rFonts w:hint="eastAsia" w:ascii="宋体" w:hAnsi="宋体"/>
          <w:color w:val="000000"/>
        </w:rPr>
        <w:t>11.1报价方应提供以人民币为结算单位的报价。</w:t>
      </w:r>
    </w:p>
    <w:p w14:paraId="0744A418">
      <w:pPr>
        <w:pStyle w:val="46"/>
        <w:ind w:firstLine="480"/>
        <w:rPr>
          <w:rFonts w:ascii="宋体" w:hAnsi="宋体"/>
          <w:color w:val="000000"/>
        </w:rPr>
      </w:pPr>
      <w:r>
        <w:rPr>
          <w:rFonts w:hint="eastAsia" w:ascii="宋体" w:hAnsi="宋体"/>
          <w:color w:val="000000"/>
        </w:rPr>
        <w:t>11.2报价企业的报价应为完成本项目所需的全部费用，包括但不限于以下费用：</w:t>
      </w:r>
    </w:p>
    <w:p w14:paraId="02217918">
      <w:pPr>
        <w:pStyle w:val="46"/>
        <w:ind w:firstLine="480"/>
        <w:rPr>
          <w:rFonts w:ascii="宋体" w:hAnsi="宋体"/>
          <w:color w:val="000000"/>
        </w:rPr>
      </w:pPr>
      <w:r>
        <w:rPr>
          <w:rFonts w:hint="eastAsia" w:ascii="宋体" w:hAnsi="宋体"/>
          <w:color w:val="000000"/>
        </w:rPr>
        <w:t>货物费用、运费、安装费、维护费、保险费、税金、利润等。</w:t>
      </w:r>
    </w:p>
    <w:p w14:paraId="05B0EE10">
      <w:pPr>
        <w:pStyle w:val="46"/>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07813BB0">
      <w:pPr>
        <w:pStyle w:val="46"/>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14:paraId="7E2F5BD9">
      <w:pPr>
        <w:spacing w:line="500" w:lineRule="exact"/>
        <w:ind w:firstLine="480" w:firstLineChars="200"/>
        <w:rPr>
          <w:rFonts w:ascii="宋体" w:hAnsi="宋体"/>
          <w:color w:val="000000"/>
          <w:sz w:val="24"/>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计取，由成交人在收到成交通知书时向采购单位一次支付。（</w:t>
      </w:r>
      <w:r>
        <w:rPr>
          <w:rFonts w:hint="eastAsia" w:ascii="宋体" w:hAnsi="宋体"/>
          <w:sz w:val="24"/>
        </w:rPr>
        <w:t>交费后5个工作日请领取发票，专票自取，其他需提供开票信息+邮箱+联系电话）</w:t>
      </w:r>
    </w:p>
    <w:p w14:paraId="57F7F245">
      <w:pPr>
        <w:spacing w:line="500" w:lineRule="exact"/>
        <w:ind w:left="735" w:leftChars="150" w:hanging="420" w:hangingChars="200"/>
        <w:rPr>
          <w:rFonts w:hint="eastAsia" w:ascii="宋体" w:hAnsi="宋体"/>
          <w:color w:val="000000"/>
        </w:rPr>
      </w:pPr>
      <w:r>
        <w:rPr>
          <w:rFonts w:hint="eastAsia" w:ascii="宋体" w:hAnsi="宋体"/>
          <w:color w:val="000000"/>
        </w:rPr>
        <w:t>表：</w:t>
      </w:r>
    </w:p>
    <w:tbl>
      <w:tblPr>
        <w:tblStyle w:val="2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713"/>
        <w:gridCol w:w="1258"/>
        <w:gridCol w:w="1485"/>
        <w:gridCol w:w="1089"/>
        <w:gridCol w:w="1973"/>
      </w:tblGrid>
      <w:tr w14:paraId="36EA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FE3A7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档次</w:t>
            </w:r>
          </w:p>
        </w:tc>
        <w:tc>
          <w:tcPr>
            <w:tcW w:w="271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BC118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成交</w:t>
            </w:r>
            <w:r>
              <w:rPr>
                <w:rFonts w:hint="eastAsia" w:ascii="宋体" w:hAnsi="宋体" w:eastAsia="宋体" w:cs="宋体"/>
                <w:b/>
                <w:bCs/>
                <w:i w:val="0"/>
                <w:iCs w:val="0"/>
                <w:color w:val="000000"/>
                <w:kern w:val="0"/>
                <w:sz w:val="20"/>
                <w:szCs w:val="20"/>
                <w:u w:val="none"/>
                <w:lang w:val="en-US" w:eastAsia="zh-CN" w:bidi="ar"/>
              </w:rPr>
              <w:t>金额</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万元</w:t>
            </w:r>
            <w:r>
              <w:rPr>
                <w:rFonts w:hint="eastAsia" w:ascii="宋体" w:hAnsi="宋体" w:cs="宋体"/>
                <w:b/>
                <w:bCs/>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D8574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货物招标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计费率</w:t>
            </w:r>
          </w:p>
        </w:tc>
        <w:tc>
          <w:tcPr>
            <w:tcW w:w="14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83485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累计服务费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w:t>
            </w:r>
          </w:p>
        </w:tc>
        <w:tc>
          <w:tcPr>
            <w:tcW w:w="108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FCCA7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服务招标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计费率</w:t>
            </w:r>
          </w:p>
        </w:tc>
        <w:tc>
          <w:tcPr>
            <w:tcW w:w="197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6EAEC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累计服务费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w:t>
            </w:r>
          </w:p>
        </w:tc>
      </w:tr>
      <w:tr w14:paraId="0FE5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1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D5FD">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59FF088">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870B">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B1500E5">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1.50%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9395">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最多15,000.00</w:t>
            </w:r>
          </w:p>
        </w:tc>
      </w:tr>
      <w:tr w14:paraId="6713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9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C87">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超过100-500</w:t>
            </w:r>
            <w:r>
              <w:rPr>
                <w:rFonts w:hint="eastAsia" w:ascii="宋体" w:hAnsi="宋体" w:cs="宋体"/>
                <w:i w:val="0"/>
                <w:iCs w:val="0"/>
                <w:color w:val="000000"/>
                <w:kern w:val="0"/>
                <w:sz w:val="20"/>
                <w:szCs w:val="20"/>
                <w:u w:val="none"/>
                <w:lang w:val="en-US" w:eastAsia="zh-CN" w:bidi="ar"/>
              </w:rPr>
              <w:t>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E070125">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DCE">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2B0E4600">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0.80%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F88A">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最多47,000.00</w:t>
            </w:r>
          </w:p>
        </w:tc>
      </w:tr>
      <w:tr w14:paraId="71A4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0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DB37">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00-1000</w:t>
            </w:r>
            <w:r>
              <w:rPr>
                <w:rFonts w:hint="eastAsia" w:ascii="宋体" w:hAnsi="宋体" w:cs="宋体"/>
                <w:i w:val="0"/>
                <w:iCs w:val="0"/>
                <w:color w:val="000000"/>
                <w:kern w:val="0"/>
                <w:sz w:val="20"/>
                <w:szCs w:val="20"/>
                <w:u w:val="none"/>
                <w:lang w:val="en-US" w:eastAsia="zh-CN" w:bidi="ar"/>
              </w:rPr>
              <w:t>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61378B1A">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0.80%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3E57">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1C2C3F92">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0.45%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28B">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最多69,500.00</w:t>
            </w:r>
          </w:p>
        </w:tc>
      </w:tr>
      <w:tr w14:paraId="6DB3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F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493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超过1000—5000</w:t>
            </w:r>
            <w:r>
              <w:rPr>
                <w:rFonts w:hint="eastAsia" w:ascii="宋体" w:hAnsi="宋体" w:cs="宋体"/>
                <w:i w:val="0"/>
                <w:iCs w:val="0"/>
                <w:color w:val="000000"/>
                <w:kern w:val="0"/>
                <w:sz w:val="20"/>
                <w:szCs w:val="20"/>
                <w:u w:val="none"/>
                <w:lang w:val="en-US" w:eastAsia="zh-CN" w:bidi="ar"/>
              </w:rPr>
              <w:t>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0ACDD8BF">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8719">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7A9CC4FA">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0.25%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E760">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最多169,500.00</w:t>
            </w:r>
          </w:p>
        </w:tc>
      </w:tr>
      <w:tr w14:paraId="3896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31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A78595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代理服务收费按差额定率累进法计算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1.差额定率累进法：按资产金额大小划分收费档次，分档计算收费额，各档累加为收费总额。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2.假设货物成交金额为5000万元，那么按照一定的要求可以计算得到相关结果：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①100万元以下部分： 100×1.5%=1.5万元；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②100万元-500万元部分： 400×1.1%=4.4万元；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③500万元-1000万元部分： 500×0.8%=4万元；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④1000万元-5000万元部分： 4000×0.5%=20万元；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⑤合计：1.5+4+4+20= 29.5万。</w:t>
            </w:r>
          </w:p>
          <w:p w14:paraId="4A1007AD">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3.若采购成交额不足100万元，服务费按照最终采购成交额×1.5%计算。</w:t>
            </w:r>
          </w:p>
        </w:tc>
      </w:tr>
    </w:tbl>
    <w:p w14:paraId="60222EC3">
      <w:pPr>
        <w:spacing w:line="360" w:lineRule="auto"/>
        <w:rPr>
          <w:rFonts w:ascii="宋体" w:hAnsi="宋体"/>
          <w:b/>
          <w:color w:val="000000"/>
          <w:szCs w:val="21"/>
        </w:rPr>
      </w:pPr>
      <w:r>
        <w:rPr>
          <w:rFonts w:hint="eastAsia" w:ascii="宋体" w:hAnsi="宋体"/>
          <w:b/>
          <w:color w:val="000000"/>
          <w:szCs w:val="21"/>
        </w:rPr>
        <w:t>收款单位：国家体育总局体育器材装备中心</w:t>
      </w:r>
    </w:p>
    <w:p w14:paraId="10AA0865">
      <w:pPr>
        <w:spacing w:line="360" w:lineRule="auto"/>
        <w:ind w:left="721" w:hanging="721" w:hangingChars="342"/>
        <w:rPr>
          <w:rFonts w:hint="eastAsia" w:ascii="宋体" w:hAnsi="宋体"/>
          <w:b/>
          <w:color w:val="000000"/>
        </w:rPr>
      </w:pPr>
      <w:r>
        <w:rPr>
          <w:rFonts w:hint="eastAsia" w:ascii="宋体" w:hAnsi="宋体"/>
          <w:b/>
          <w:color w:val="000000"/>
          <w:szCs w:val="21"/>
        </w:rPr>
        <w:t>开 户 行：</w:t>
      </w:r>
      <w:r>
        <w:rPr>
          <w:rFonts w:hint="eastAsia" w:ascii="宋体" w:hAnsi="宋体"/>
          <w:b/>
          <w:color w:val="000000"/>
        </w:rPr>
        <w:t>工行北京体育馆路支行</w:t>
      </w:r>
    </w:p>
    <w:p w14:paraId="05C81AD1">
      <w:pPr>
        <w:spacing w:line="360" w:lineRule="auto"/>
        <w:ind w:left="721" w:hanging="721" w:hangingChars="342"/>
        <w:rPr>
          <w:b/>
          <w:sz w:val="24"/>
        </w:rPr>
      </w:pPr>
      <w:r>
        <w:rPr>
          <w:rFonts w:hint="eastAsia" w:ascii="宋体" w:hAnsi="宋体"/>
          <w:b/>
          <w:color w:val="000000"/>
          <w:szCs w:val="21"/>
        </w:rPr>
        <w:t>银行账号：</w:t>
      </w:r>
      <w:r>
        <w:rPr>
          <w:rFonts w:hint="eastAsia" w:ascii="宋体" w:hAnsi="宋体"/>
          <w:b/>
          <w:color w:val="000000"/>
        </w:rPr>
        <w:t>0200008109089053553</w:t>
      </w:r>
    </w:p>
    <w:p w14:paraId="7D036AD2">
      <w:pPr>
        <w:pStyle w:val="45"/>
      </w:pPr>
      <w:r>
        <w:rPr>
          <w:rFonts w:hint="eastAsia"/>
        </w:rPr>
        <w:t>12.报价文件的形式</w:t>
      </w:r>
    </w:p>
    <w:p w14:paraId="7B902D60">
      <w:pPr>
        <w:pStyle w:val="46"/>
        <w:ind w:firstLine="480"/>
        <w:rPr>
          <w:color w:val="000000"/>
        </w:rPr>
      </w:pPr>
      <w:bookmarkStart w:id="42" w:name="_Toc115756027"/>
      <w:r>
        <w:rPr>
          <w:rFonts w:hint="eastAsia"/>
          <w:color w:val="000000"/>
        </w:rPr>
        <w:t>12.1报价人应按照竞争性谈判文件要求，在报价文件适当的位置填写报价人全称并加盖公章，同时由法定代表人或正式授权的代表签字。</w:t>
      </w:r>
    </w:p>
    <w:p w14:paraId="3BCCBD0D">
      <w:pPr>
        <w:pStyle w:val="40"/>
      </w:pPr>
      <w:bookmarkStart w:id="43" w:name="_Toc32191"/>
      <w:bookmarkStart w:id="44" w:name="_Toc141968434"/>
      <w:bookmarkStart w:id="45" w:name="_Toc25303"/>
      <w:r>
        <w:rPr>
          <w:rFonts w:hint="eastAsia"/>
        </w:rPr>
        <w:t>四、合同的授予</w:t>
      </w:r>
      <w:bookmarkEnd w:id="42"/>
      <w:bookmarkEnd w:id="43"/>
      <w:bookmarkEnd w:id="44"/>
      <w:bookmarkEnd w:id="45"/>
    </w:p>
    <w:p w14:paraId="39778F06">
      <w:pPr>
        <w:pStyle w:val="45"/>
      </w:pPr>
      <w:r>
        <w:rPr>
          <w:rFonts w:hint="eastAsia"/>
        </w:rPr>
        <w:t>13.合同授予的条件</w:t>
      </w:r>
    </w:p>
    <w:p w14:paraId="11083B3C">
      <w:pPr>
        <w:pStyle w:val="1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14:paraId="59A76C94">
      <w:pPr>
        <w:pStyle w:val="45"/>
      </w:pPr>
      <w:r>
        <w:rPr>
          <w:rFonts w:hint="eastAsia"/>
        </w:rPr>
        <w:t>14.成交结果通知方式</w:t>
      </w:r>
    </w:p>
    <w:p w14:paraId="711F9825">
      <w:pPr>
        <w:pStyle w:val="46"/>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14:paraId="0FA8263C">
      <w:pPr>
        <w:pStyle w:val="46"/>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14:paraId="0E250322">
      <w:pPr>
        <w:pStyle w:val="45"/>
      </w:pPr>
      <w:r>
        <w:rPr>
          <w:rFonts w:hint="eastAsia"/>
        </w:rPr>
        <w:t>15.合同的签订</w:t>
      </w:r>
    </w:p>
    <w:p w14:paraId="626EB348">
      <w:pPr>
        <w:pStyle w:val="46"/>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14:paraId="29CBD9D1">
      <w:pPr>
        <w:pStyle w:val="46"/>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14:paraId="7F54810D">
      <w:pPr>
        <w:pStyle w:val="46"/>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14:paraId="17A09A4F">
      <w:pPr>
        <w:pStyle w:val="40"/>
      </w:pPr>
      <w:bookmarkStart w:id="46" w:name="_Toc141968435"/>
      <w:bookmarkStart w:id="47" w:name="_Toc20675"/>
      <w:bookmarkStart w:id="48" w:name="_Toc16894"/>
      <w:r>
        <w:rPr>
          <w:rFonts w:hint="eastAsia"/>
        </w:rPr>
        <w:t>五、质疑和投诉</w:t>
      </w:r>
      <w:bookmarkEnd w:id="46"/>
      <w:bookmarkEnd w:id="47"/>
      <w:bookmarkEnd w:id="48"/>
    </w:p>
    <w:p w14:paraId="43461A7F">
      <w:pPr>
        <w:pStyle w:val="45"/>
      </w:pPr>
      <w:r>
        <w:rPr>
          <w:rFonts w:hint="eastAsia"/>
        </w:rPr>
        <w:t>16.质疑和投诉</w:t>
      </w:r>
    </w:p>
    <w:p w14:paraId="7E8A3FDC">
      <w:pPr>
        <w:pStyle w:val="46"/>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w:t>
      </w:r>
      <w:r>
        <w:rPr>
          <w:rFonts w:hint="eastAsia"/>
          <w:color w:val="000000"/>
          <w:lang w:eastAsia="zh-CN"/>
        </w:rPr>
        <w:t>作出</w:t>
      </w:r>
      <w:r>
        <w:rPr>
          <w:rFonts w:hint="eastAsia"/>
          <w:color w:val="000000"/>
        </w:rPr>
        <w:t>答复，但答复的内容不涉及商业秘密。</w:t>
      </w:r>
    </w:p>
    <w:p w14:paraId="08EEAA2A">
      <w:pPr>
        <w:pStyle w:val="46"/>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14:paraId="323934B2">
      <w:pPr>
        <w:pStyle w:val="46"/>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34825CA1">
      <w:pPr>
        <w:pStyle w:val="46"/>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w:t>
      </w:r>
      <w:r>
        <w:rPr>
          <w:rFonts w:hint="eastAsia"/>
          <w:color w:val="000000"/>
          <w:lang w:eastAsia="zh-CN"/>
        </w:rPr>
        <w:t>作出</w:t>
      </w:r>
      <w:r>
        <w:rPr>
          <w:rFonts w:hint="eastAsia"/>
          <w:color w:val="000000"/>
        </w:rPr>
        <w:t>答复或相关处理决定，并以书面形式通知质疑报价人和其他有关报价人，但答复的内容不涉及商业秘密。</w:t>
      </w:r>
    </w:p>
    <w:p w14:paraId="624DC7ED">
      <w:pPr>
        <w:pStyle w:val="46"/>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w:t>
      </w:r>
      <w:r>
        <w:rPr>
          <w:rFonts w:hint="eastAsia" w:ascii="宋体" w:hAnsi="宋体"/>
          <w:color w:val="000000"/>
          <w:lang w:eastAsia="zh-CN"/>
        </w:rPr>
        <w:t>作出</w:t>
      </w:r>
      <w:r>
        <w:rPr>
          <w:rFonts w:hint="eastAsia" w:ascii="宋体" w:hAnsi="宋体"/>
          <w:color w:val="000000"/>
        </w:rPr>
        <w:t>答复的，可以在答复期满后15个工作日内向财政部投诉。</w:t>
      </w:r>
    </w:p>
    <w:p w14:paraId="09F20ECE">
      <w:pPr>
        <w:pStyle w:val="40"/>
      </w:pPr>
      <w:bookmarkStart w:id="49" w:name="_Toc29262"/>
      <w:bookmarkStart w:id="50" w:name="_Toc141968436"/>
      <w:bookmarkStart w:id="51" w:name="_Toc23353"/>
      <w:r>
        <w:rPr>
          <w:rFonts w:hint="eastAsia"/>
        </w:rPr>
        <w:t>六、其它须知</w:t>
      </w:r>
      <w:bookmarkEnd w:id="49"/>
      <w:bookmarkEnd w:id="50"/>
      <w:bookmarkEnd w:id="51"/>
    </w:p>
    <w:p w14:paraId="6DFE8914">
      <w:pPr>
        <w:pStyle w:val="45"/>
      </w:pPr>
      <w:r>
        <w:rPr>
          <w:rFonts w:hint="eastAsia"/>
        </w:rPr>
        <w:t>17.关于关联企业</w:t>
      </w:r>
    </w:p>
    <w:p w14:paraId="56853A8E">
      <w:pPr>
        <w:pStyle w:val="47"/>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14:paraId="74D5ADB3">
      <w:pPr>
        <w:pStyle w:val="45"/>
      </w:pPr>
      <w:r>
        <w:rPr>
          <w:rFonts w:hint="eastAsia"/>
        </w:rPr>
        <w:t>18.同品牌同型号报价产品</w:t>
      </w:r>
    </w:p>
    <w:p w14:paraId="27238352">
      <w:pPr>
        <w:pStyle w:val="47"/>
        <w:ind w:firstLine="480"/>
      </w:pPr>
      <w:r>
        <w:rPr>
          <w:rFonts w:hint="eastAsia"/>
        </w:rPr>
        <w:t>整包所报价核心产品为同品牌、同型号的不同报价人按一家报价人计算报价人数量。</w:t>
      </w:r>
    </w:p>
    <w:p w14:paraId="38DDBBA3">
      <w:pPr>
        <w:pStyle w:val="47"/>
        <w:ind w:firstLine="0" w:firstLineChars="0"/>
        <w:rPr>
          <w:rFonts w:ascii="宋体" w:hAnsi="宋体"/>
          <w:b/>
          <w:bCs/>
          <w:color w:val="000000"/>
        </w:rPr>
      </w:pPr>
      <w:r>
        <w:rPr>
          <w:rFonts w:hint="eastAsia" w:ascii="宋体" w:hAnsi="宋体"/>
          <w:b/>
          <w:bCs/>
          <w:color w:val="000000"/>
        </w:rPr>
        <w:t>19.关于信用信息查询和使用</w:t>
      </w:r>
    </w:p>
    <w:p w14:paraId="375DCA0D">
      <w:pPr>
        <w:pStyle w:val="47"/>
        <w:ind w:firstLine="480"/>
        <w:rPr>
          <w:bCs/>
        </w:rPr>
      </w:pPr>
      <w:r>
        <w:rPr>
          <w:rFonts w:hint="eastAsia"/>
          <w:bCs/>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315A6EED">
      <w:pPr>
        <w:pStyle w:val="47"/>
        <w:ind w:firstLine="0" w:firstLineChars="0"/>
        <w:rPr>
          <w:rFonts w:ascii="宋体" w:hAnsi="宋体"/>
          <w:b/>
          <w:bCs/>
          <w:color w:val="000000"/>
        </w:rPr>
      </w:pPr>
      <w:r>
        <w:rPr>
          <w:rFonts w:hint="eastAsia" w:ascii="宋体" w:hAnsi="宋体"/>
          <w:b/>
          <w:bCs/>
          <w:color w:val="000000"/>
        </w:rPr>
        <w:t>20.中小微型企业规定</w:t>
      </w:r>
    </w:p>
    <w:p w14:paraId="274C0559">
      <w:pPr>
        <w:pStyle w:val="47"/>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6D24A975">
      <w:pPr>
        <w:pStyle w:val="47"/>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rFonts w:hint="eastAsia"/>
          <w:bCs/>
          <w:u w:val="single"/>
        </w:rPr>
        <w:t>20</w:t>
      </w:r>
      <w:r>
        <w:rPr>
          <w:bCs/>
          <w:u w:val="single"/>
        </w:rPr>
        <w:t>%</w:t>
      </w:r>
      <w:r>
        <w:rPr>
          <w:rFonts w:hint="eastAsia"/>
          <w:bCs/>
        </w:rPr>
        <w:t>的扣除，用扣除后的价格参与评审。</w:t>
      </w:r>
    </w:p>
    <w:p w14:paraId="43B93FAA">
      <w:pPr>
        <w:pStyle w:val="47"/>
        <w:ind w:firstLine="480"/>
        <w:rPr>
          <w:bCs/>
        </w:rPr>
      </w:pPr>
      <w:r>
        <w:rPr>
          <w:bCs/>
        </w:rPr>
        <w:t>20.3 根据财库</w:t>
      </w:r>
      <w:r>
        <w:rPr>
          <w:rFonts w:hint="eastAsia"/>
          <w:bCs/>
          <w:lang w:eastAsia="zh-CN"/>
        </w:rPr>
        <w:t>〔2014〕68号</w:t>
      </w:r>
      <w:r>
        <w:rPr>
          <w:bCs/>
        </w:rPr>
        <w:t>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14:paraId="5BBE52E2">
      <w:pPr>
        <w:pStyle w:val="47"/>
        <w:ind w:firstLine="0" w:firstLineChars="0"/>
        <w:rPr>
          <w:bCs/>
        </w:rPr>
      </w:pPr>
      <w:r>
        <w:rPr>
          <w:rFonts w:hint="eastAsia" w:ascii="宋体" w:hAnsi="宋体"/>
          <w:b/>
          <w:bCs/>
          <w:color w:val="000000"/>
        </w:rPr>
        <w:t>21.节能环保要求</w:t>
      </w:r>
    </w:p>
    <w:p w14:paraId="15B98909">
      <w:pPr>
        <w:pStyle w:val="47"/>
        <w:ind w:firstLine="480"/>
        <w:rPr>
          <w:bCs/>
        </w:rPr>
      </w:pPr>
      <w:r>
        <w:rPr>
          <w:rFonts w:hint="eastAsia"/>
          <w:bCs/>
        </w:rPr>
        <w:t>21.1对于属于政府采购节能产品、环境标志产品品目清单范围的采购产品，实施政府优先采购或强制采购。报价人/报价人应提供国家确定的认证机构出具的、处于有效期之内的节能产品、环境标志产品认证证书，采购人及采购单位对获得证书的产品实施政府优先采购或强制采购。</w:t>
      </w:r>
    </w:p>
    <w:p w14:paraId="364B7C9F">
      <w:pPr>
        <w:spacing w:line="360" w:lineRule="auto"/>
        <w:rPr>
          <w:rFonts w:ascii="宋体" w:hAnsi="宋体"/>
          <w:b/>
          <w:bCs/>
          <w:color w:val="000000"/>
          <w:sz w:val="24"/>
        </w:rPr>
      </w:pPr>
      <w:r>
        <w:rPr>
          <w:rFonts w:hint="eastAsia" w:ascii="宋体" w:hAnsi="宋体"/>
          <w:b/>
          <w:bCs/>
          <w:color w:val="000000"/>
          <w:sz w:val="24"/>
        </w:rPr>
        <w:t>22.残疾人福利性单位规定</w:t>
      </w:r>
    </w:p>
    <w:p w14:paraId="28CF204F">
      <w:pPr>
        <w:pStyle w:val="47"/>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w:t>
      </w:r>
      <w:r>
        <w:rPr>
          <w:rFonts w:hint="eastAsia"/>
          <w:bCs/>
          <w:lang w:eastAsia="zh-CN"/>
        </w:rPr>
        <w:t>〔2017〕141号</w:t>
      </w:r>
      <w:r>
        <w:rPr>
          <w:rFonts w:hint="eastAsia"/>
          <w:bCs/>
        </w:rPr>
        <w:t>），符合相关条件的享受政府采购支持政策的残疾人福利性单位应根据采购文件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62A464FB">
      <w:pPr>
        <w:pStyle w:val="47"/>
        <w:ind w:firstLine="480"/>
        <w:rPr>
          <w:bCs/>
        </w:rPr>
      </w:pPr>
      <w:r>
        <w:rPr>
          <w:rFonts w:hint="eastAsia"/>
          <w:bCs/>
        </w:rPr>
        <w:t>22.2 根据《财政部民政部中国残疾人联合会关于促进残疾人就业政府采购政策的通知》（财库</w:t>
      </w:r>
      <w:r>
        <w:rPr>
          <w:rFonts w:hint="eastAsia"/>
          <w:bCs/>
          <w:lang w:eastAsia="zh-CN"/>
        </w:rPr>
        <w:t>〔2017〕141号</w:t>
      </w:r>
      <w:r>
        <w:rPr>
          <w:rFonts w:hint="eastAsia"/>
          <w:bCs/>
        </w:rPr>
        <w:t>），对于非专门面向此类企业的项目，对残疾人福利性单位产品的价格给予6%的扣除，用扣除后的价格参与评审。残疾人福利性单位属于小微企业的，不重复享受政策。</w:t>
      </w:r>
    </w:p>
    <w:p w14:paraId="7FBC9956">
      <w:pPr>
        <w:pStyle w:val="21"/>
        <w:ind w:firstLine="3855" w:firstLineChars="1200"/>
        <w:jc w:val="both"/>
        <w:rPr>
          <w:color w:val="000000"/>
        </w:rPr>
      </w:pPr>
      <w:bookmarkStart w:id="52" w:name="_Toc147024753"/>
    </w:p>
    <w:p w14:paraId="256BC518">
      <w:pPr>
        <w:pStyle w:val="21"/>
        <w:ind w:firstLine="3855" w:firstLineChars="1200"/>
        <w:jc w:val="both"/>
        <w:rPr>
          <w:color w:val="000000"/>
        </w:rPr>
        <w:sectPr>
          <w:footerReference r:id="rId6" w:type="first"/>
          <w:headerReference r:id="rId3" w:type="default"/>
          <w:footerReference r:id="rId4" w:type="default"/>
          <w:footerReference r:id="rId5" w:type="even"/>
          <w:pgSz w:w="11907" w:h="16840"/>
          <w:pgMar w:top="1089" w:right="1107" w:bottom="935" w:left="1260" w:header="851" w:footer="992" w:gutter="0"/>
          <w:pgNumType w:start="0" w:chapStyle="2"/>
          <w:cols w:space="720" w:num="1"/>
          <w:titlePg/>
          <w:docGrid w:type="lines" w:linePitch="312" w:charSpace="0"/>
        </w:sectPr>
      </w:pPr>
    </w:p>
    <w:p w14:paraId="35CC7857">
      <w:pPr>
        <w:pStyle w:val="21"/>
        <w:rPr>
          <w:color w:val="000000"/>
        </w:rPr>
      </w:pPr>
      <w:bookmarkStart w:id="53" w:name="_Toc21"/>
      <w:bookmarkStart w:id="54" w:name="_Toc141968437"/>
      <w:bookmarkStart w:id="55" w:name="_Toc26790"/>
      <w:r>
        <w:rPr>
          <w:rFonts w:hint="eastAsia"/>
          <w:color w:val="000000"/>
        </w:rPr>
        <w:t>第三部分 采购清单</w:t>
      </w:r>
      <w:bookmarkEnd w:id="53"/>
      <w:bookmarkEnd w:id="54"/>
      <w:bookmarkEnd w:id="55"/>
      <w:bookmarkStart w:id="56" w:name="PO_TDCUS_ITEM_P_REQ_TITLE_1"/>
    </w:p>
    <w:p w14:paraId="155D604C">
      <w:pPr>
        <w:pStyle w:val="21"/>
        <w:jc w:val="both"/>
        <w:rPr>
          <w:rFonts w:hint="eastAsia"/>
          <w:color w:val="000000"/>
          <w:sz w:val="24"/>
          <w:szCs w:val="24"/>
          <w:lang w:val="en-US"/>
        </w:rPr>
      </w:pPr>
      <w:bookmarkStart w:id="57" w:name="_Toc16889"/>
      <w:bookmarkStart w:id="58" w:name="_Toc13426"/>
      <w:r>
        <w:rPr>
          <w:rFonts w:hint="eastAsia"/>
          <w:color w:val="000000"/>
          <w:sz w:val="24"/>
          <w:szCs w:val="24"/>
          <w:lang w:val="en-US" w:eastAsia="zh-CN"/>
        </w:rPr>
        <w:t>标项1：铁人三项器材，预算：10.2万元</w:t>
      </w:r>
      <w:bookmarkEnd w:id="57"/>
      <w:bookmarkEnd w:id="58"/>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499"/>
        <w:gridCol w:w="5535"/>
        <w:gridCol w:w="945"/>
        <w:gridCol w:w="870"/>
      </w:tblGrid>
      <w:tr w14:paraId="0781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tcPr>
          <w:p w14:paraId="684B28AA">
            <w:pPr>
              <w:jc w:val="center"/>
              <w:rPr>
                <w:rFonts w:hint="eastAsia" w:ascii="Arial Regular" w:hAnsi="Arial Regular" w:cs="Arial Regular"/>
              </w:rPr>
            </w:pPr>
            <w:r>
              <w:rPr>
                <w:rFonts w:hint="eastAsia" w:ascii="Arial Regular" w:hAnsi="Arial Regular" w:cs="Arial Regular"/>
              </w:rPr>
              <w:t>序号</w:t>
            </w:r>
          </w:p>
        </w:tc>
        <w:tc>
          <w:tcPr>
            <w:tcW w:w="1499" w:type="dxa"/>
          </w:tcPr>
          <w:p w14:paraId="44540828">
            <w:pPr>
              <w:jc w:val="center"/>
              <w:rPr>
                <w:rFonts w:hint="eastAsia" w:ascii="Arial Regular" w:hAnsi="Arial Regular" w:cs="Arial Regular"/>
                <w:lang w:eastAsia="zh-Hans"/>
              </w:rPr>
            </w:pPr>
            <w:r>
              <w:rPr>
                <w:rFonts w:hint="eastAsia" w:ascii="Arial Regular" w:hAnsi="Arial Regular" w:cs="Arial Regular"/>
              </w:rPr>
              <w:t>项目</w:t>
            </w:r>
            <w:r>
              <w:rPr>
                <w:rFonts w:ascii="Arial Regular" w:hAnsi="Arial Regular" w:cs="Arial Regular"/>
                <w:lang w:eastAsia="zh-Hans"/>
              </w:rPr>
              <w:t>名称</w:t>
            </w:r>
          </w:p>
        </w:tc>
        <w:tc>
          <w:tcPr>
            <w:tcW w:w="5535" w:type="dxa"/>
          </w:tcPr>
          <w:p w14:paraId="4C78928F">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945" w:type="dxa"/>
          </w:tcPr>
          <w:p w14:paraId="7FAA93C1">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4C43BAA8">
            <w:pPr>
              <w:jc w:val="center"/>
              <w:rPr>
                <w:rFonts w:hint="eastAsia" w:ascii="Arial Regular" w:hAnsi="Arial Regular" w:cs="Arial Regular"/>
                <w:lang w:eastAsia="zh-Hans"/>
              </w:rPr>
            </w:pPr>
            <w:r>
              <w:rPr>
                <w:rFonts w:ascii="Arial Regular" w:hAnsi="Arial Regular" w:cs="Arial Regular"/>
                <w:lang w:eastAsia="zh-Hans"/>
              </w:rPr>
              <w:t>单位</w:t>
            </w:r>
          </w:p>
        </w:tc>
      </w:tr>
      <w:tr w14:paraId="289F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2018C94F">
            <w:pPr>
              <w:keepNext w:val="0"/>
              <w:keepLines w:val="0"/>
              <w:widowControl/>
              <w:suppressLineNumbers w:val="0"/>
              <w:jc w:val="center"/>
              <w:textAlignment w:val="center"/>
              <w:rPr>
                <w:rFonts w:hint="eastAsia" w:ascii="Arial Regular" w:hAnsi="Arial Regular" w:cs="Arial Regular"/>
              </w:rPr>
            </w:pPr>
            <w:r>
              <w:rPr>
                <w:rFonts w:hint="eastAsia" w:ascii="宋体" w:hAnsi="宋体" w:eastAsia="宋体" w:cs="宋体"/>
                <w:i w:val="0"/>
                <w:iCs w:val="0"/>
                <w:color w:val="000000"/>
                <w:kern w:val="0"/>
                <w:sz w:val="24"/>
                <w:szCs w:val="24"/>
                <w:u w:val="none"/>
                <w:lang w:val="en-US" w:eastAsia="zh-CN" w:bidi="ar"/>
              </w:rPr>
              <w:t>1</w:t>
            </w:r>
          </w:p>
        </w:tc>
        <w:tc>
          <w:tcPr>
            <w:tcW w:w="1499" w:type="dxa"/>
            <w:vAlign w:val="center"/>
          </w:tcPr>
          <w:p w14:paraId="69FB2D9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公路自行车</w:t>
            </w:r>
          </w:p>
        </w:tc>
        <w:tc>
          <w:tcPr>
            <w:tcW w:w="5535" w:type="dxa"/>
            <w:vAlign w:val="top"/>
          </w:tcPr>
          <w:p w14:paraId="76B5414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1.车架：竞赛专用车架，采用高模量碳纤维材质；</w:t>
            </w:r>
          </w:p>
          <w:p w14:paraId="51D5B7A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★2.车架通过国际自行车联盟UCI认证，符合全国自行车比赛规定用车标准（提供UCI认证证书扫描件）；</w:t>
            </w:r>
          </w:p>
          <w:p w14:paraId="75BA88E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3.车把：采用全碳纤维破风一体车把；</w:t>
            </w:r>
          </w:p>
          <w:p w14:paraId="730E96C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4.套件：公路12s电子变速；</w:t>
            </w:r>
          </w:p>
          <w:p w14:paraId="625ACA1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5.轮组：公路真空碟刹MVMT轮组；</w:t>
            </w:r>
          </w:p>
          <w:p w14:paraId="04081FC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6.五通：采用碳纤维一体成型压入式五通规格，五通刚性值≥150（N/MM)、变形量≤2.3mm，在频率3</w:t>
            </w:r>
            <w:r>
              <w:rPr>
                <w:rFonts w:hint="eastAsia" w:ascii="宋体" w:hAnsi="宋体" w:cs="宋体"/>
                <w:i w:val="0"/>
                <w:iCs w:val="0"/>
                <w:color w:val="000000"/>
                <w:kern w:val="0"/>
                <w:sz w:val="21"/>
                <w:szCs w:val="21"/>
                <w:u w:val="none"/>
                <w:lang w:val="en-US" w:eastAsia="zh-CN" w:bidi="ar"/>
              </w:rPr>
              <w:t>Hz</w:t>
            </w:r>
            <w:r>
              <w:rPr>
                <w:rFonts w:hint="eastAsia" w:ascii="宋体" w:hAnsi="宋体" w:eastAsia="宋体" w:cs="宋体"/>
                <w:i w:val="0"/>
                <w:iCs w:val="0"/>
                <w:color w:val="000000"/>
                <w:kern w:val="0"/>
                <w:sz w:val="21"/>
                <w:szCs w:val="21"/>
                <w:u w:val="none"/>
                <w:lang w:val="en-US" w:eastAsia="zh-CN" w:bidi="ar"/>
              </w:rPr>
              <w:t>、施力1200N的环境下通过不少于12万次的踏力疲劳测试（提供生产厂家盖章的检测证明）；</w:t>
            </w:r>
          </w:p>
          <w:p w14:paraId="1039C28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7.头管：头管刚性测试变形量≤2mm、刚性值≥100；在施力+600/-600N的条件下通过不少于12万次的水平力疲劳（提供生产厂家盖章的检测证明）；</w:t>
            </w:r>
          </w:p>
          <w:p w14:paraId="1AD5059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8.座管：需在施力1200N情况下,通过不少于6万次的座管垂直力疲劳测试，测试后座管无损伤车架无破坏（提供生产厂家盖章的检测证明）；</w:t>
            </w:r>
          </w:p>
          <w:p w14:paraId="79E2AF6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9.后叉：车架后叉须通过双边刚性测试，在施力20kgf情况下，双边刚性≥40（N/MM) ，变形量≤5.0mm（提供生产厂家盖章的检测证明）；</w:t>
            </w:r>
          </w:p>
          <w:p w14:paraId="3897C3B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★10.涂装：车架组需根据运动队特点进行定制涂装服务（提供生产厂家盖章的承诺函）；</w:t>
            </w:r>
          </w:p>
          <w:p w14:paraId="65E17454">
            <w:pPr>
              <w:keepNext w:val="0"/>
              <w:keepLines w:val="0"/>
              <w:widowControl/>
              <w:suppressLineNumbers w:val="0"/>
              <w:jc w:val="left"/>
              <w:textAlignment w:val="top"/>
              <w:rPr>
                <w:rFonts w:hint="eastAsia" w:ascii="宋体" w:hAnsi="宋体" w:cs="宋体"/>
                <w:color w:val="000000"/>
                <w:kern w:val="0"/>
                <w:sz w:val="21"/>
                <w:szCs w:val="21"/>
                <w:u w:val="none"/>
                <w:lang w:val="en-US" w:bidi="ar"/>
              </w:rPr>
            </w:pPr>
            <w:r>
              <w:rPr>
                <w:rFonts w:hint="eastAsia" w:ascii="宋体" w:hAnsi="宋体" w:eastAsia="宋体" w:cs="宋体"/>
                <w:i w:val="0"/>
                <w:iCs w:val="0"/>
                <w:color w:val="000000"/>
                <w:kern w:val="0"/>
                <w:sz w:val="21"/>
                <w:szCs w:val="21"/>
                <w:u w:val="none"/>
                <w:lang w:val="en-US" w:eastAsia="zh-CN" w:bidi="ar"/>
              </w:rPr>
              <w:t>★11.产品服务：</w:t>
            </w:r>
            <w:r>
              <w:rPr>
                <w:rFonts w:hint="eastAsia" w:ascii="宋体" w:hAnsi="宋体" w:cs="宋体"/>
                <w:i w:val="0"/>
                <w:iCs w:val="0"/>
                <w:color w:val="000000"/>
                <w:kern w:val="0"/>
                <w:sz w:val="21"/>
                <w:szCs w:val="21"/>
                <w:u w:val="none"/>
                <w:lang w:val="en-US" w:eastAsia="zh-CN" w:bidi="ar"/>
              </w:rPr>
              <w:t>接到报修</w:t>
            </w:r>
            <w:r>
              <w:rPr>
                <w:rFonts w:hint="eastAsia" w:ascii="宋体" w:hAnsi="宋体" w:eastAsia="宋体" w:cs="宋体"/>
                <w:i w:val="0"/>
                <w:iCs w:val="0"/>
                <w:color w:val="000000"/>
                <w:kern w:val="0"/>
                <w:sz w:val="21"/>
                <w:szCs w:val="21"/>
                <w:u w:val="none"/>
                <w:lang w:val="en-US" w:eastAsia="zh-CN" w:bidi="ar"/>
              </w:rPr>
              <w:t>电话，2小时内响应，24小时内到达现场，提供上门保修服务，队伍国内比赛期间须提供全程免费跟队保障服务（提供投标人承诺函）。</w:t>
            </w:r>
          </w:p>
        </w:tc>
        <w:tc>
          <w:tcPr>
            <w:tcW w:w="945" w:type="dxa"/>
            <w:vAlign w:val="center"/>
          </w:tcPr>
          <w:p w14:paraId="0724CAF4">
            <w:pPr>
              <w:keepNext w:val="0"/>
              <w:keepLines w:val="0"/>
              <w:widowControl/>
              <w:suppressLineNumbers w:val="0"/>
              <w:jc w:val="center"/>
              <w:textAlignment w:val="center"/>
              <w:rPr>
                <w:rFonts w:ascii="宋体" w:hAnsi="宋体" w:cs="Arial"/>
                <w:sz w:val="22"/>
                <w:szCs w:val="22"/>
              </w:rPr>
            </w:pPr>
            <w:r>
              <w:rPr>
                <w:rFonts w:hint="eastAsia" w:ascii="宋体" w:hAnsi="宋体" w:eastAsia="宋体" w:cs="宋体"/>
                <w:i w:val="0"/>
                <w:iCs w:val="0"/>
                <w:color w:val="000000"/>
                <w:kern w:val="0"/>
                <w:sz w:val="24"/>
                <w:szCs w:val="24"/>
                <w:u w:val="none"/>
                <w:lang w:val="en-US" w:eastAsia="zh-CN" w:bidi="ar"/>
              </w:rPr>
              <w:t>2</w:t>
            </w:r>
          </w:p>
        </w:tc>
        <w:tc>
          <w:tcPr>
            <w:tcW w:w="870" w:type="dxa"/>
            <w:vAlign w:val="center"/>
          </w:tcPr>
          <w:p w14:paraId="76E48D9C">
            <w:pPr>
              <w:keepNext w:val="0"/>
              <w:keepLines w:val="0"/>
              <w:widowControl/>
              <w:suppressLineNumbers w:val="0"/>
              <w:jc w:val="center"/>
              <w:textAlignment w:val="center"/>
              <w:rPr>
                <w:rFonts w:ascii="宋体" w:hAnsi="宋体" w:cs="Arial"/>
                <w:sz w:val="22"/>
                <w:szCs w:val="22"/>
              </w:rPr>
            </w:pPr>
            <w:r>
              <w:rPr>
                <w:rFonts w:hint="eastAsia" w:ascii="宋体" w:hAnsi="宋体" w:cs="宋体"/>
                <w:i w:val="0"/>
                <w:iCs w:val="0"/>
                <w:color w:val="000000"/>
                <w:kern w:val="0"/>
                <w:sz w:val="22"/>
                <w:szCs w:val="22"/>
                <w:u w:val="none"/>
                <w:lang w:val="en-US" w:eastAsia="zh-CN" w:bidi="ar"/>
              </w:rPr>
              <w:t>辆</w:t>
            </w:r>
          </w:p>
        </w:tc>
      </w:tr>
      <w:tr w14:paraId="4885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0C4B619C">
            <w:pPr>
              <w:keepNext w:val="0"/>
              <w:keepLines w:val="0"/>
              <w:widowControl/>
              <w:suppressLineNumbers w:val="0"/>
              <w:jc w:val="center"/>
              <w:textAlignment w:val="center"/>
              <w:rPr>
                <w:rFonts w:hint="eastAsia" w:ascii="Arial Regular" w:hAnsi="Arial Regular" w:cs="Arial Regular"/>
              </w:rPr>
            </w:pPr>
            <w:r>
              <w:rPr>
                <w:rFonts w:hint="eastAsia" w:ascii="宋体" w:hAnsi="宋体" w:eastAsia="宋体" w:cs="宋体"/>
                <w:i w:val="0"/>
                <w:iCs w:val="0"/>
                <w:color w:val="000000"/>
                <w:kern w:val="0"/>
                <w:sz w:val="24"/>
                <w:szCs w:val="24"/>
                <w:u w:val="none"/>
                <w:lang w:val="en-US" w:eastAsia="zh-CN" w:bidi="ar"/>
              </w:rPr>
              <w:t>2</w:t>
            </w:r>
          </w:p>
        </w:tc>
        <w:tc>
          <w:tcPr>
            <w:tcW w:w="1499" w:type="dxa"/>
            <w:vAlign w:val="center"/>
          </w:tcPr>
          <w:p w14:paraId="377DFAFF">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心率表</w:t>
            </w:r>
          </w:p>
        </w:tc>
        <w:tc>
          <w:tcPr>
            <w:tcW w:w="5535" w:type="dxa"/>
            <w:vAlign w:val="top"/>
          </w:tcPr>
          <w:p w14:paraId="4F41201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1.实时监测：心率，心率区间，距离，速度距离，心率百分比，训练负荷，R-R数据；</w:t>
            </w:r>
          </w:p>
          <w:p w14:paraId="1AB7A32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2.AMOLED触摸显示屏，单独储存音乐功能，睡眠和恢复追踪等；</w:t>
            </w:r>
          </w:p>
          <w:p w14:paraId="6576C6E2">
            <w:pPr>
              <w:keepNext w:val="0"/>
              <w:keepLines w:val="0"/>
              <w:widowControl/>
              <w:suppressLineNumbers w:val="0"/>
              <w:jc w:val="left"/>
              <w:textAlignment w:val="top"/>
              <w:rPr>
                <w:rFonts w:hint="eastAsia" w:ascii="宋体" w:hAnsi="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3.心率表总重量不超过55g。</w:t>
            </w:r>
          </w:p>
        </w:tc>
        <w:tc>
          <w:tcPr>
            <w:tcW w:w="945" w:type="dxa"/>
            <w:vAlign w:val="center"/>
          </w:tcPr>
          <w:p w14:paraId="66171ACC">
            <w:pPr>
              <w:keepNext w:val="0"/>
              <w:keepLines w:val="0"/>
              <w:widowControl/>
              <w:suppressLineNumbers w:val="0"/>
              <w:jc w:val="center"/>
              <w:textAlignment w:val="center"/>
              <w:rPr>
                <w:rFonts w:ascii="宋体" w:hAnsi="宋体" w:cs="Arial"/>
                <w:sz w:val="22"/>
                <w:szCs w:val="22"/>
              </w:rPr>
            </w:pPr>
            <w:r>
              <w:rPr>
                <w:rFonts w:hint="eastAsia" w:ascii="宋体" w:hAnsi="宋体" w:eastAsia="宋体" w:cs="宋体"/>
                <w:i w:val="0"/>
                <w:iCs w:val="0"/>
                <w:color w:val="000000"/>
                <w:kern w:val="0"/>
                <w:sz w:val="24"/>
                <w:szCs w:val="24"/>
                <w:u w:val="none"/>
                <w:lang w:val="en-US" w:eastAsia="zh-CN" w:bidi="ar"/>
              </w:rPr>
              <w:t>10</w:t>
            </w:r>
          </w:p>
        </w:tc>
        <w:tc>
          <w:tcPr>
            <w:tcW w:w="870" w:type="dxa"/>
            <w:vAlign w:val="center"/>
          </w:tcPr>
          <w:p w14:paraId="762A2535">
            <w:pPr>
              <w:keepNext w:val="0"/>
              <w:keepLines w:val="0"/>
              <w:widowControl/>
              <w:suppressLineNumbers w:val="0"/>
              <w:jc w:val="center"/>
              <w:textAlignment w:val="center"/>
              <w:rPr>
                <w:rFonts w:ascii="宋体" w:hAnsi="宋体" w:cs="Arial"/>
                <w:sz w:val="22"/>
                <w:szCs w:val="22"/>
              </w:rPr>
            </w:pPr>
            <w:r>
              <w:rPr>
                <w:rFonts w:hint="eastAsia" w:ascii="宋体" w:hAnsi="宋体" w:cs="宋体"/>
                <w:i w:val="0"/>
                <w:iCs w:val="0"/>
                <w:color w:val="000000"/>
                <w:kern w:val="0"/>
                <w:sz w:val="22"/>
                <w:szCs w:val="22"/>
                <w:u w:val="none"/>
                <w:lang w:val="en-US" w:eastAsia="zh-CN" w:bidi="ar"/>
              </w:rPr>
              <w:t>块</w:t>
            </w:r>
          </w:p>
        </w:tc>
      </w:tr>
      <w:tr w14:paraId="3D52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1BD841B5">
            <w:pPr>
              <w:keepNext w:val="0"/>
              <w:keepLines w:val="0"/>
              <w:widowControl/>
              <w:suppressLineNumbers w:val="0"/>
              <w:jc w:val="center"/>
              <w:textAlignment w:val="center"/>
              <w:rPr>
                <w:rFonts w:hint="eastAsia" w:ascii="Arial Regular" w:hAnsi="Arial Regular" w:cs="Arial Regular"/>
              </w:rPr>
            </w:pPr>
            <w:r>
              <w:rPr>
                <w:rFonts w:hint="eastAsia" w:ascii="宋体" w:hAnsi="宋体" w:eastAsia="宋体" w:cs="宋体"/>
                <w:i w:val="0"/>
                <w:iCs w:val="0"/>
                <w:color w:val="000000"/>
                <w:kern w:val="0"/>
                <w:sz w:val="24"/>
                <w:szCs w:val="24"/>
                <w:u w:val="none"/>
                <w:lang w:val="en-US" w:eastAsia="zh-CN" w:bidi="ar"/>
              </w:rPr>
              <w:t>3</w:t>
            </w:r>
          </w:p>
        </w:tc>
        <w:tc>
          <w:tcPr>
            <w:tcW w:w="1499" w:type="dxa"/>
            <w:vAlign w:val="center"/>
          </w:tcPr>
          <w:p w14:paraId="4E959909">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秒表</w:t>
            </w:r>
          </w:p>
        </w:tc>
        <w:tc>
          <w:tcPr>
            <w:tcW w:w="5535" w:type="dxa"/>
            <w:vAlign w:val="top"/>
          </w:tcPr>
          <w:p w14:paraId="00FC4D4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1.分段记录：在不停表的情况下能记录999次分段成绩；</w:t>
            </w:r>
          </w:p>
          <w:p w14:paraId="3325843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2.总成绩和分段成绩之间切换；</w:t>
            </w:r>
          </w:p>
          <w:p w14:paraId="7F12715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3.倒计时功能；</w:t>
            </w:r>
          </w:p>
          <w:p w14:paraId="24987D61">
            <w:pPr>
              <w:keepNext w:val="0"/>
              <w:keepLines w:val="0"/>
              <w:widowControl/>
              <w:suppressLineNumbers w:val="0"/>
              <w:jc w:val="left"/>
              <w:textAlignment w:val="top"/>
              <w:rPr>
                <w:rFonts w:hint="eastAsia" w:ascii="宋体" w:hAnsi="宋体" w:eastAsia="宋体" w:cs="宋体"/>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4.防水功能。</w:t>
            </w:r>
          </w:p>
        </w:tc>
        <w:tc>
          <w:tcPr>
            <w:tcW w:w="945" w:type="dxa"/>
            <w:vAlign w:val="center"/>
          </w:tcPr>
          <w:p w14:paraId="174F4FD7">
            <w:pPr>
              <w:keepNext w:val="0"/>
              <w:keepLines w:val="0"/>
              <w:widowControl/>
              <w:suppressLineNumbers w:val="0"/>
              <w:jc w:val="center"/>
              <w:textAlignment w:val="center"/>
              <w:rPr>
                <w:rFonts w:ascii="宋体" w:hAnsi="宋体" w:cs="Arial"/>
                <w:sz w:val="22"/>
                <w:szCs w:val="22"/>
              </w:rPr>
            </w:pPr>
            <w:r>
              <w:rPr>
                <w:rFonts w:hint="eastAsia" w:ascii="宋体" w:hAnsi="宋体" w:eastAsia="宋体" w:cs="宋体"/>
                <w:i w:val="0"/>
                <w:iCs w:val="0"/>
                <w:color w:val="000000"/>
                <w:kern w:val="0"/>
                <w:sz w:val="24"/>
                <w:szCs w:val="24"/>
                <w:u w:val="none"/>
                <w:lang w:val="en-US" w:eastAsia="zh-CN" w:bidi="ar"/>
              </w:rPr>
              <w:t>8</w:t>
            </w:r>
          </w:p>
        </w:tc>
        <w:tc>
          <w:tcPr>
            <w:tcW w:w="870" w:type="dxa"/>
            <w:vAlign w:val="center"/>
          </w:tcPr>
          <w:p w14:paraId="661A5C08">
            <w:pPr>
              <w:keepNext w:val="0"/>
              <w:keepLines w:val="0"/>
              <w:widowControl/>
              <w:suppressLineNumbers w:val="0"/>
              <w:jc w:val="center"/>
              <w:textAlignment w:val="center"/>
              <w:rPr>
                <w:rFonts w:ascii="宋体" w:hAnsi="宋体" w:cs="Arial"/>
                <w:sz w:val="22"/>
                <w:szCs w:val="22"/>
              </w:rPr>
            </w:pPr>
            <w:r>
              <w:rPr>
                <w:rFonts w:hint="eastAsia" w:ascii="宋体" w:hAnsi="宋体" w:cs="宋体"/>
                <w:i w:val="0"/>
                <w:iCs w:val="0"/>
                <w:color w:val="000000"/>
                <w:kern w:val="0"/>
                <w:sz w:val="22"/>
                <w:szCs w:val="22"/>
                <w:u w:val="none"/>
                <w:lang w:val="en-US" w:eastAsia="zh-CN" w:bidi="ar"/>
              </w:rPr>
              <w:t>块</w:t>
            </w:r>
          </w:p>
        </w:tc>
      </w:tr>
      <w:tr w14:paraId="022A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gridSpan w:val="2"/>
            <w:vAlign w:val="center"/>
          </w:tcPr>
          <w:p w14:paraId="72ACC50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59" w:name="_Toc13954"/>
            <w:bookmarkStart w:id="60" w:name="_Toc13142"/>
            <w:r>
              <w:rPr>
                <w:rFonts w:hint="eastAsia" w:ascii="宋体" w:hAnsi="宋体" w:cs="宋体"/>
                <w:i w:val="0"/>
                <w:iCs w:val="0"/>
                <w:color w:val="000000"/>
                <w:kern w:val="0"/>
                <w:sz w:val="24"/>
                <w:szCs w:val="24"/>
                <w:u w:val="none"/>
                <w:lang w:val="en-US" w:eastAsia="zh-CN" w:bidi="ar"/>
              </w:rPr>
              <w:t>备注</w:t>
            </w:r>
          </w:p>
        </w:tc>
        <w:tc>
          <w:tcPr>
            <w:tcW w:w="7350" w:type="dxa"/>
            <w:gridSpan w:val="3"/>
            <w:vAlign w:val="top"/>
          </w:tcPr>
          <w:p w14:paraId="2A08A11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加注</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的参数为实质性响应技术参数，不满足将导致报价无效。</w:t>
            </w:r>
          </w:p>
        </w:tc>
      </w:tr>
    </w:tbl>
    <w:p w14:paraId="768A98F2">
      <w:pPr>
        <w:pStyle w:val="21"/>
        <w:jc w:val="both"/>
        <w:rPr>
          <w:rFonts w:hint="default"/>
          <w:color w:val="000000"/>
          <w:sz w:val="24"/>
          <w:szCs w:val="24"/>
          <w:lang w:val="en-US"/>
        </w:rPr>
      </w:pPr>
      <w:r>
        <w:rPr>
          <w:rFonts w:hint="eastAsia"/>
          <w:color w:val="000000"/>
          <w:sz w:val="24"/>
          <w:szCs w:val="24"/>
          <w:lang w:val="en-US" w:eastAsia="zh-CN"/>
        </w:rPr>
        <w:t>标项2：柔道项目及辅助训练器材，预算：42万元</w:t>
      </w:r>
      <w:bookmarkEnd w:id="59"/>
      <w:bookmarkEnd w:id="60"/>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97"/>
        <w:gridCol w:w="5535"/>
        <w:gridCol w:w="945"/>
        <w:gridCol w:w="870"/>
      </w:tblGrid>
      <w:tr w14:paraId="6DA0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5CD22443">
            <w:pPr>
              <w:jc w:val="center"/>
              <w:rPr>
                <w:rFonts w:hint="eastAsia" w:ascii="Arial Regular" w:hAnsi="Arial Regular" w:cs="Arial Regular"/>
              </w:rPr>
            </w:pPr>
            <w:r>
              <w:rPr>
                <w:rFonts w:hint="eastAsia" w:ascii="Arial Regular" w:hAnsi="Arial Regular" w:cs="Arial Regular"/>
              </w:rPr>
              <w:t>序号</w:t>
            </w:r>
          </w:p>
        </w:tc>
        <w:tc>
          <w:tcPr>
            <w:tcW w:w="1397" w:type="dxa"/>
          </w:tcPr>
          <w:p w14:paraId="43EBB7BB">
            <w:pPr>
              <w:jc w:val="center"/>
              <w:rPr>
                <w:rFonts w:hint="eastAsia" w:ascii="Arial Regular" w:hAnsi="Arial Regular" w:cs="Arial Regular"/>
                <w:lang w:eastAsia="zh-Hans"/>
              </w:rPr>
            </w:pPr>
            <w:r>
              <w:rPr>
                <w:rFonts w:hint="eastAsia" w:ascii="Arial Regular" w:hAnsi="Arial Regular" w:cs="Arial Regular"/>
              </w:rPr>
              <w:t>项目</w:t>
            </w:r>
            <w:r>
              <w:rPr>
                <w:rFonts w:ascii="Arial Regular" w:hAnsi="Arial Regular" w:cs="Arial Regular"/>
                <w:lang w:eastAsia="zh-Hans"/>
              </w:rPr>
              <w:t>名称</w:t>
            </w:r>
          </w:p>
        </w:tc>
        <w:tc>
          <w:tcPr>
            <w:tcW w:w="5535" w:type="dxa"/>
          </w:tcPr>
          <w:p w14:paraId="36721C3E">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945" w:type="dxa"/>
          </w:tcPr>
          <w:p w14:paraId="04F2C89E">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3F081D81">
            <w:pPr>
              <w:jc w:val="center"/>
              <w:rPr>
                <w:rFonts w:hint="eastAsia" w:ascii="Arial Regular" w:hAnsi="Arial Regular" w:cs="Arial Regular"/>
                <w:lang w:eastAsia="zh-Hans"/>
              </w:rPr>
            </w:pPr>
            <w:r>
              <w:rPr>
                <w:rFonts w:ascii="Arial Regular" w:hAnsi="Arial Regular" w:cs="Arial Regular"/>
                <w:lang w:eastAsia="zh-Hans"/>
              </w:rPr>
              <w:t>单位</w:t>
            </w:r>
          </w:p>
        </w:tc>
      </w:tr>
      <w:tr w14:paraId="29F0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3E7CF1F9">
            <w:pPr>
              <w:keepNext w:val="0"/>
              <w:keepLines w:val="0"/>
              <w:widowControl/>
              <w:suppressLineNumbers w:val="0"/>
              <w:jc w:val="center"/>
              <w:textAlignment w:val="center"/>
              <w:rPr>
                <w:rFonts w:hint="eastAsia" w:ascii="Arial Regular" w:hAnsi="Arial Regular" w:eastAsia="宋体" w:cs="Arial Regular"/>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97" w:type="dxa"/>
            <w:vAlign w:val="center"/>
          </w:tcPr>
          <w:p w14:paraId="3D6B4302">
            <w:pPr>
              <w:keepNext w:val="0"/>
              <w:keepLines w:val="0"/>
              <w:widowControl/>
              <w:suppressLineNumbers w:val="0"/>
              <w:jc w:val="left"/>
              <w:textAlignment w:val="center"/>
              <w:rPr>
                <w:rFonts w:hint="eastAsia" w:ascii="Arial Regular" w:hAnsi="Arial Regular" w:cs="Arial Regular"/>
              </w:rPr>
            </w:pPr>
            <w:r>
              <w:rPr>
                <w:rFonts w:hint="eastAsia" w:ascii="宋体" w:hAnsi="宋体" w:eastAsia="宋体" w:cs="宋体"/>
                <w:i w:val="0"/>
                <w:iCs w:val="0"/>
                <w:color w:val="000000"/>
                <w:kern w:val="0"/>
                <w:sz w:val="21"/>
                <w:szCs w:val="21"/>
                <w:u w:val="none"/>
                <w:lang w:val="en-US" w:eastAsia="zh-CN" w:bidi="ar"/>
              </w:rPr>
              <w:t>柔道垫子</w:t>
            </w:r>
          </w:p>
        </w:tc>
        <w:tc>
          <w:tcPr>
            <w:tcW w:w="5535" w:type="dxa"/>
            <w:vAlign w:val="top"/>
          </w:tcPr>
          <w:p w14:paraId="787D93C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2000×1000×50mm；每套108块组成；颜色：红、黄色材质：上表层为红色和黄色PVC柔道布；内胎上层为优质压缩海绵，有很好的吸能作用，保护运动员不受到伤害；中层纤维板防止热胀冷缩变形；下层为压缩海绵，起到很好的缓冲作用；底部设计有TPE流延防滑层。</w:t>
            </w:r>
          </w:p>
          <w:p w14:paraId="532CFA7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2.柔道布：厚度 1.15±0.05mm；面密度 ≥900 g/m²；拉伸负荷径向≥1000N，纬向≥300N；断裂伸长率径向≥25%,纬向≥15%；撕裂负荷径向≥60N，纬向≥60N；剥离强度≥30N。提供具有CMA及CNAS标识的检测报告及全国认可信息公共服务平台查询截图。</w:t>
            </w:r>
          </w:p>
          <w:p w14:paraId="7CD1098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3.内胎</w:t>
            </w:r>
          </w:p>
          <w:p w14:paraId="7C4CAAF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1）上层压缩海绵：50%压缩应力0.220～0.260Mpa；耐折牢度:单方向对折180度，在1分钟内，对折缝处无断裂现象；</w:t>
            </w:r>
          </w:p>
          <w:p w14:paraId="7AD859C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2）下层压缩海绵：50%压缩应力 0.080～0.130Mpa；耐折牢度:单方向对折180度，在1分钟内，对折缝处无断裂现象。提供具有CMA及CNAS标识的检测报告及全国认可信息公共服务平台查询截图。</w:t>
            </w:r>
          </w:p>
          <w:p w14:paraId="252C7BB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4.产品阻燃性能符合续燃时间≤5s，阴燃时间≤10s，提供具有CMA及CNAS标识的检测报告及全国认可信息公共服务平台查询截图。</w:t>
            </w:r>
          </w:p>
          <w:p w14:paraId="5BC771CB">
            <w:pPr>
              <w:keepNext w:val="0"/>
              <w:keepLines w:val="0"/>
              <w:widowControl/>
              <w:suppressLineNumbers w:val="0"/>
              <w:jc w:val="left"/>
              <w:textAlignment w:val="top"/>
              <w:rPr>
                <w:rFonts w:ascii="Arial Regular" w:hAnsi="Arial Regular" w:cs="Arial Regular"/>
                <w:lang w:eastAsia="zh-Hans"/>
              </w:rPr>
            </w:pPr>
            <w:r>
              <w:rPr>
                <w:rFonts w:hint="eastAsia" w:ascii="宋体" w:hAnsi="宋体" w:eastAsia="宋体" w:cs="宋体"/>
                <w:i w:val="0"/>
                <w:iCs w:val="0"/>
                <w:color w:val="000000"/>
                <w:kern w:val="0"/>
                <w:sz w:val="21"/>
                <w:szCs w:val="21"/>
                <w:u w:val="none"/>
                <w:lang w:val="en-US" w:eastAsia="zh-CN" w:bidi="ar"/>
              </w:rPr>
              <w:t>5.产品通过有毒有害物质检测，铅(Pb)含量、镉(Cd)含量、汞(Hg)含量、六价铬(Cr6+)含量、溴离子(Br-)含量≤1000mg/kg，氯离子(C1-)含量≤900mg/kg，一氧化碳(C0)释放量≤1.0g/kg，氰化氢(HCN)释放量≤0. 1g/kg，氯化氢(HC1)释放量≤0. 5g/kg，提供具有CMA及CNAS标识的检测报告及全国认可信息公共服务平台查询截图。</w:t>
            </w:r>
          </w:p>
        </w:tc>
        <w:tc>
          <w:tcPr>
            <w:tcW w:w="945" w:type="dxa"/>
            <w:vAlign w:val="center"/>
          </w:tcPr>
          <w:p w14:paraId="44A489C7">
            <w:pPr>
              <w:keepNext w:val="0"/>
              <w:keepLines w:val="0"/>
              <w:widowControl/>
              <w:suppressLineNumbers w:val="0"/>
              <w:jc w:val="center"/>
              <w:textAlignment w:val="center"/>
              <w:rPr>
                <w:rFonts w:ascii="Arial Regular" w:hAnsi="Arial Regular" w:cs="Arial Regular"/>
                <w:lang w:eastAsia="zh-Hans"/>
              </w:rPr>
            </w:pPr>
            <w:r>
              <w:rPr>
                <w:rFonts w:hint="eastAsia" w:ascii="宋体" w:hAnsi="宋体" w:eastAsia="宋体" w:cs="宋体"/>
                <w:i w:val="0"/>
                <w:iCs w:val="0"/>
                <w:color w:val="000000"/>
                <w:kern w:val="0"/>
                <w:sz w:val="21"/>
                <w:szCs w:val="21"/>
                <w:u w:val="none"/>
                <w:lang w:val="en-US" w:eastAsia="zh-CN" w:bidi="ar"/>
              </w:rPr>
              <w:t>3</w:t>
            </w:r>
          </w:p>
        </w:tc>
        <w:tc>
          <w:tcPr>
            <w:tcW w:w="870" w:type="dxa"/>
            <w:vAlign w:val="center"/>
          </w:tcPr>
          <w:p w14:paraId="6573C3EF">
            <w:pPr>
              <w:keepNext w:val="0"/>
              <w:keepLines w:val="0"/>
              <w:widowControl/>
              <w:suppressLineNumbers w:val="0"/>
              <w:jc w:val="center"/>
              <w:textAlignment w:val="center"/>
              <w:rPr>
                <w:rFonts w:ascii="Arial Regular" w:hAnsi="Arial Regular" w:cs="Arial Regular"/>
                <w:lang w:eastAsia="zh-Hans"/>
              </w:rPr>
            </w:pPr>
            <w:r>
              <w:rPr>
                <w:rFonts w:hint="eastAsia" w:ascii="宋体" w:hAnsi="宋体" w:cs="宋体"/>
                <w:i w:val="0"/>
                <w:iCs w:val="0"/>
                <w:color w:val="000000"/>
                <w:kern w:val="0"/>
                <w:sz w:val="22"/>
                <w:szCs w:val="22"/>
                <w:u w:val="none"/>
                <w:lang w:val="en-US" w:eastAsia="zh-CN" w:bidi="ar"/>
              </w:rPr>
              <w:t>套</w:t>
            </w:r>
          </w:p>
        </w:tc>
      </w:tr>
      <w:tr w14:paraId="064C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vAlign w:val="center"/>
          </w:tcPr>
          <w:p w14:paraId="71DF5D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bookmarkStart w:id="61" w:name="_Toc27173"/>
            <w:r>
              <w:rPr>
                <w:rFonts w:hint="eastAsia" w:ascii="宋体" w:hAnsi="宋体" w:cs="宋体"/>
                <w:i w:val="0"/>
                <w:iCs w:val="0"/>
                <w:color w:val="000000"/>
                <w:kern w:val="0"/>
                <w:sz w:val="21"/>
                <w:szCs w:val="21"/>
                <w:u w:val="none"/>
                <w:lang w:val="en-US" w:eastAsia="zh-CN" w:bidi="ar"/>
              </w:rPr>
              <w:t>2</w:t>
            </w:r>
          </w:p>
        </w:tc>
        <w:tc>
          <w:tcPr>
            <w:tcW w:w="1397" w:type="dxa"/>
            <w:shd w:val="clear" w:color="auto" w:fill="auto"/>
            <w:vAlign w:val="center"/>
          </w:tcPr>
          <w:p w14:paraId="569FBDF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智能电子秤</w:t>
            </w:r>
          </w:p>
        </w:tc>
        <w:tc>
          <w:tcPr>
            <w:tcW w:w="5535" w:type="dxa"/>
            <w:shd w:val="clear" w:color="auto" w:fill="auto"/>
            <w:vAlign w:val="top"/>
          </w:tcPr>
          <w:p w14:paraId="2308863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1.加厚碳钢秤架，高承重不变形；</w:t>
            </w:r>
          </w:p>
          <w:p w14:paraId="7A68E87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2.专业级传感器及处理芯片，数据稳定，使用寿命长；</w:t>
            </w:r>
          </w:p>
          <w:p w14:paraId="26E2DAB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3.可一键开关控重终端，重新启动后自动恢复至正常使用状态；</w:t>
            </w:r>
          </w:p>
          <w:p w14:paraId="2353FC0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4.体重数据自动记录，自动生成可视化数据和图表；</w:t>
            </w:r>
          </w:p>
          <w:p w14:paraId="4FAC37B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5.可通过手机、电脑等多终端查看数据和图表分析；</w:t>
            </w:r>
          </w:p>
          <w:p w14:paraId="5D5885D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6.可通过个人微信便捷使用系统；</w:t>
            </w:r>
          </w:p>
          <w:p w14:paraId="58FF657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7.管理员可对采集的数据进行手工修改或手工录入；</w:t>
            </w:r>
          </w:p>
          <w:p w14:paraId="791949B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8.数据可精确到每次测量，可进行日对比、周对比、月对比、年对比等不同颗粒精度的数据呈现和分析；</w:t>
            </w:r>
          </w:p>
          <w:p w14:paraId="6B2C772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9.数据可永久保存和追溯；</w:t>
            </w:r>
          </w:p>
          <w:p w14:paraId="1FD5CA29">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10.管理员可自主进行运动队新建、管理及各类用户的新建和管理。</w:t>
            </w:r>
          </w:p>
        </w:tc>
        <w:tc>
          <w:tcPr>
            <w:tcW w:w="945" w:type="dxa"/>
            <w:shd w:val="clear" w:color="auto" w:fill="FFFFFF"/>
            <w:vAlign w:val="center"/>
          </w:tcPr>
          <w:p w14:paraId="7AE276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shd w:val="clear" w:color="auto" w:fill="auto"/>
            <w:vAlign w:val="center"/>
          </w:tcPr>
          <w:p w14:paraId="0C2A68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14:paraId="45F7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vAlign w:val="center"/>
          </w:tcPr>
          <w:p w14:paraId="515277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w:t>
            </w:r>
          </w:p>
        </w:tc>
        <w:tc>
          <w:tcPr>
            <w:tcW w:w="1397" w:type="dxa"/>
            <w:shd w:val="clear" w:color="auto" w:fill="auto"/>
            <w:vAlign w:val="center"/>
          </w:tcPr>
          <w:p w14:paraId="1C5B156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便携空气加压再生冷仓</w:t>
            </w:r>
          </w:p>
        </w:tc>
        <w:tc>
          <w:tcPr>
            <w:tcW w:w="5535" w:type="dxa"/>
            <w:shd w:val="clear" w:color="auto" w:fill="auto"/>
            <w:vAlign w:val="top"/>
          </w:tcPr>
          <w:p w14:paraId="2B41FBB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1.电源电压：100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240V，50Hz/60Hz；</w:t>
            </w:r>
          </w:p>
          <w:p w14:paraId="0165B60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2.耗电量：≤36VA ；     </w:t>
            </w:r>
          </w:p>
          <w:p w14:paraId="3422CC6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3.空气加压：具备空气加压功能，空气压力0-150mmHg多档压力值可调节；</w:t>
            </w:r>
          </w:p>
          <w:p w14:paraId="7C9FBAD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4.可调水流：可调节冷敷循环水流大小，使包裹带温度可调节；</w:t>
            </w:r>
          </w:p>
          <w:p w14:paraId="440C5ED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5.可调时间：5~120分钟单次工作时间可调；</w:t>
            </w:r>
          </w:p>
          <w:p w14:paraId="59DE759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6.可通过手机控制设备；</w:t>
            </w:r>
          </w:p>
          <w:p w14:paraId="45F6845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7.具备AI功能，能根据所选使用场景自动生成适合的工作方案；</w:t>
            </w:r>
          </w:p>
          <w:p w14:paraId="71B2876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8.冷敷加压仪主机配合包裹带使用，可实现空气加压和循环冷却；</w:t>
            </w:r>
          </w:p>
          <w:p w14:paraId="7AC340A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9.一台主机可配合2个包裹带同时使用；</w:t>
            </w:r>
          </w:p>
          <w:p w14:paraId="5BA841D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10.可提供便携包；</w:t>
            </w:r>
          </w:p>
          <w:p w14:paraId="02B23F81">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11.可设定程序，自动进行周期性空气加压。</w:t>
            </w:r>
          </w:p>
        </w:tc>
        <w:tc>
          <w:tcPr>
            <w:tcW w:w="945" w:type="dxa"/>
            <w:shd w:val="clear" w:color="auto" w:fill="FFFFFF"/>
            <w:vAlign w:val="center"/>
          </w:tcPr>
          <w:p w14:paraId="68888D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70" w:type="dxa"/>
            <w:shd w:val="clear" w:color="auto" w:fill="auto"/>
            <w:vAlign w:val="center"/>
          </w:tcPr>
          <w:p w14:paraId="6E6E7C2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bookmarkEnd w:id="56"/>
      <w:bookmarkEnd w:id="61"/>
    </w:tbl>
    <w:p w14:paraId="2194E669">
      <w:pPr>
        <w:numPr>
          <w:ilvl w:val="0"/>
          <w:numId w:val="4"/>
        </w:numPr>
        <w:ind w:left="1230" w:leftChars="0" w:hanging="600" w:firstLineChars="0"/>
        <w:rPr>
          <w:rFonts w:hint="eastAsia" w:ascii="宋体" w:hAnsi="宋体" w:eastAsia="宋体" w:cs="宋体"/>
          <w:sz w:val="24"/>
          <w:szCs w:val="24"/>
          <w:u w:val="none"/>
          <w:lang w:val="en-US" w:eastAsia="zh-CN"/>
        </w:rPr>
      </w:pPr>
      <w:bookmarkStart w:id="62" w:name="_Toc141968438"/>
      <w:bookmarkStart w:id="63" w:name="_Toc8403"/>
      <w:r>
        <w:rPr>
          <w:rFonts w:hint="eastAsia" w:ascii="宋体" w:hAnsi="宋体" w:eastAsia="宋体" w:cs="宋体"/>
          <w:sz w:val="24"/>
          <w:szCs w:val="24"/>
          <w:u w:val="none"/>
          <w:lang w:val="en-US" w:eastAsia="zh-CN"/>
        </w:rPr>
        <w:t>交货日期：</w:t>
      </w:r>
    </w:p>
    <w:p w14:paraId="0BD10BF6">
      <w:pPr>
        <w:pStyle w:val="47"/>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合同签订后，90天内完成对设备的安装、调试。</w:t>
      </w:r>
    </w:p>
    <w:p w14:paraId="53E0AF0F">
      <w:pPr>
        <w:pStyle w:val="47"/>
        <w:ind w:firstLine="480"/>
        <w:rPr>
          <w:rFonts w:hint="eastAsia" w:ascii="Times New Roman" w:hAnsi="Times New Roman" w:eastAsia="宋体" w:cs="Times New Roman"/>
          <w:sz w:val="24"/>
          <w:szCs w:val="24"/>
          <w:u w:val="none"/>
          <w:lang w:val="en-US" w:eastAsia="zh-CN"/>
        </w:rPr>
      </w:pPr>
      <w:r>
        <w:rPr>
          <w:rFonts w:hint="eastAsia" w:cs="Times New Roman"/>
          <w:sz w:val="24"/>
          <w:szCs w:val="24"/>
          <w:u w:val="none"/>
          <w:lang w:val="en-US" w:eastAsia="zh-CN"/>
        </w:rPr>
        <w:t>二、</w:t>
      </w:r>
      <w:r>
        <w:rPr>
          <w:rFonts w:hint="eastAsia" w:ascii="Times New Roman" w:hAnsi="Times New Roman" w:eastAsia="宋体" w:cs="Times New Roman"/>
          <w:sz w:val="24"/>
          <w:szCs w:val="24"/>
          <w:u w:val="none"/>
          <w:lang w:val="en-US" w:eastAsia="zh-CN"/>
        </w:rPr>
        <w:t>售后服务要求：</w:t>
      </w:r>
    </w:p>
    <w:p w14:paraId="3ABEC918">
      <w:pPr>
        <w:pStyle w:val="47"/>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1.保证在合同货物出现故障和缺陷时，或接到甲方提出的技术服务要求后2小时内予以答复，如甲方有要求或必要时，乙方应在接到甲方通知后12小时内派员至甲方免费维修和提供现场指导。</w:t>
      </w:r>
    </w:p>
    <w:p w14:paraId="6CE20912">
      <w:pPr>
        <w:pStyle w:val="47"/>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2.在合同货物保修期届满后，如果因合同货物硬件或软件的固有缺陷和瑕疵出现紧急故障和事故，乙方应在接到甲方通知后立即提供电话支持、远程支持并在12小时内到达现场，迅速排除货物故障。</w:t>
      </w:r>
    </w:p>
    <w:p w14:paraId="2C39D966">
      <w:pPr>
        <w:pStyle w:val="47"/>
        <w:ind w:firstLine="480"/>
        <w:rPr>
          <w:rFonts w:hint="eastAsia" w:ascii="Times New Roman" w:hAnsi="Times New Roman" w:eastAsia="宋体" w:cs="Times New Roman"/>
          <w:sz w:val="24"/>
          <w:szCs w:val="24"/>
          <w:u w:val="none"/>
          <w:lang w:val="en-US" w:eastAsia="zh-CN"/>
        </w:rPr>
      </w:pPr>
      <w:r>
        <w:rPr>
          <w:rFonts w:hint="eastAsia" w:cs="Times New Roman"/>
          <w:sz w:val="24"/>
          <w:szCs w:val="24"/>
          <w:u w:val="none"/>
          <w:lang w:val="en-US" w:eastAsia="zh-CN"/>
        </w:rPr>
        <w:t>三、</w:t>
      </w:r>
      <w:r>
        <w:rPr>
          <w:rFonts w:hint="eastAsia" w:ascii="Times New Roman" w:hAnsi="Times New Roman" w:eastAsia="宋体" w:cs="Times New Roman"/>
          <w:sz w:val="24"/>
          <w:szCs w:val="24"/>
          <w:u w:val="none"/>
          <w:lang w:val="en-US" w:eastAsia="zh-CN"/>
        </w:rPr>
        <w:t>实施要求</w:t>
      </w:r>
    </w:p>
    <w:p w14:paraId="0C7C4288">
      <w:pPr>
        <w:pStyle w:val="47"/>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1.供货方承诺提供的货物质量应符合国家标准(强制或推荐)、行业标准、企业标准及相应的技术规范要求中要求最高的标准,并提供其出具的质量合格证书。货物完全符合本项目谈判文件、响应文件（技术正偏离）规定的质量、性能和规格的要求。</w:t>
      </w:r>
    </w:p>
    <w:p w14:paraId="6CC355D6">
      <w:pPr>
        <w:pStyle w:val="47"/>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2.除采购文件另有规定在报价文件中载明并为使用方所接受外，供货方不得将合同的全部或部分转让、转包或分包给其他报价人履行,但合同的主体或关键性工作必须由供货方亲自完成。</w:t>
      </w:r>
    </w:p>
    <w:p w14:paraId="4CAC59BD">
      <w:pPr>
        <w:pStyle w:val="47"/>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3.供货方应保证所提供的货物经正确安装、合理操作和维护保养在其使用寿命期内具有令使用方满意的性能，并对由于合同货物的设计、工艺或材料的缺陷而发生的任何故障负责。</w:t>
      </w:r>
    </w:p>
    <w:p w14:paraId="30C26C40">
      <w:pPr>
        <w:pStyle w:val="47"/>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4.对合同货物的数量、规格和质量的检验，应依据本项目采购文件中的有关规定进行。采用现场交货方式的，检验在交货地点进行。</w:t>
      </w:r>
    </w:p>
    <w:p w14:paraId="045856F1">
      <w:pPr>
        <w:pStyle w:val="47"/>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5.在双方签署验收证书后三十日内，如果发现货物内在的、非显而易见的损坏，或者货物的质量与合同规定不符，或者在货物质量保证期内证实货物是有缺陷的（包括潜在的缺陷或使用不符合要求的材料等），使用方有权要求免费更换有缺陷的货物或部件。使用方应在发现该情况之日起三日内以书面形式通知供货方，在收到通知后十日内免费更换有缺陷的货物或部件，相关费用由供货方承担，且货物保修期顺延至使用方再次验收合格之日起算。</w:t>
      </w:r>
    </w:p>
    <w:p w14:paraId="0D3DAE57">
      <w:pPr>
        <w:pStyle w:val="47"/>
        <w:ind w:firstLine="480"/>
        <w:rPr>
          <w:rFonts w:hint="eastAsia" w:ascii="Times New Roman" w:hAnsi="Times New Roman" w:eastAsia="宋体" w:cs="Times New Roman"/>
          <w:sz w:val="24"/>
          <w:szCs w:val="24"/>
          <w:u w:val="none"/>
          <w:lang w:val="en-US" w:eastAsia="zh-CN"/>
        </w:rPr>
      </w:pPr>
      <w:r>
        <w:rPr>
          <w:rFonts w:hint="eastAsia" w:cs="Times New Roman"/>
          <w:sz w:val="24"/>
          <w:szCs w:val="24"/>
          <w:u w:val="none"/>
          <w:lang w:val="en-US" w:eastAsia="zh-CN"/>
        </w:rPr>
        <w:t>四</w:t>
      </w:r>
      <w:r>
        <w:rPr>
          <w:rFonts w:hint="eastAsia" w:ascii="Times New Roman" w:hAnsi="Times New Roman" w:eastAsia="宋体" w:cs="Times New Roman"/>
          <w:sz w:val="24"/>
          <w:szCs w:val="24"/>
          <w:u w:val="none"/>
          <w:lang w:val="en-US" w:eastAsia="zh-CN"/>
        </w:rPr>
        <w:t>、验收要求</w:t>
      </w:r>
    </w:p>
    <w:p w14:paraId="45997789">
      <w:pPr>
        <w:pStyle w:val="47"/>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供货方承诺提供的货物质量应符合国家标准(强制或推荐)、行业标准、企业标准及相应的技术规范要求中要求最高的标准,并提供其出具的质量合格证书。货物完全符合本项目招标文件、投标文件（技术正偏离）规定的质量、性能和规格的要求。</w:t>
      </w:r>
    </w:p>
    <w:p w14:paraId="21EF04DD">
      <w:pPr>
        <w:pStyle w:val="21"/>
        <w:rPr>
          <w:rFonts w:hint="eastAsia"/>
          <w:color w:val="000000"/>
        </w:rPr>
      </w:pPr>
    </w:p>
    <w:p w14:paraId="447C7361">
      <w:pPr>
        <w:pStyle w:val="21"/>
        <w:rPr>
          <w:color w:val="000000"/>
        </w:rPr>
      </w:pPr>
      <w:bookmarkStart w:id="64" w:name="_Toc9016"/>
      <w:r>
        <w:rPr>
          <w:rFonts w:hint="eastAsia"/>
          <w:color w:val="000000"/>
        </w:rPr>
        <w:t>第四部分 评定标准</w:t>
      </w:r>
      <w:bookmarkEnd w:id="52"/>
      <w:bookmarkEnd w:id="62"/>
      <w:bookmarkEnd w:id="63"/>
      <w:bookmarkEnd w:id="64"/>
    </w:p>
    <w:p w14:paraId="466FBA30">
      <w:pPr>
        <w:pStyle w:val="40"/>
        <w:numPr>
          <w:ilvl w:val="5"/>
          <w:numId w:val="5"/>
        </w:numPr>
      </w:pPr>
      <w:bookmarkStart w:id="65" w:name="_Toc8085"/>
      <w:bookmarkStart w:id="66" w:name="_Toc14268"/>
      <w:bookmarkStart w:id="67" w:name="_Toc141968439"/>
      <w:r>
        <w:rPr>
          <w:rFonts w:hint="eastAsia"/>
        </w:rPr>
        <w:t>一、总则</w:t>
      </w:r>
      <w:bookmarkEnd w:id="65"/>
      <w:bookmarkEnd w:id="66"/>
      <w:bookmarkEnd w:id="67"/>
    </w:p>
    <w:p w14:paraId="59D1535B">
      <w:pPr>
        <w:pStyle w:val="46"/>
        <w:ind w:firstLine="480"/>
      </w:pPr>
      <w:r>
        <w:rPr>
          <w:rFonts w:hint="eastAsia"/>
        </w:rPr>
        <w:t>第一条 本项目评定标准是依据《中华人民共和国政府采购法》及相应法规、文件制定本评定标准。</w:t>
      </w:r>
    </w:p>
    <w:p w14:paraId="0298B924">
      <w:pPr>
        <w:pStyle w:val="46"/>
        <w:ind w:firstLine="480"/>
      </w:pPr>
      <w:r>
        <w:rPr>
          <w:rFonts w:hint="eastAsia"/>
        </w:rPr>
        <w:t>第二条 评定原则：</w:t>
      </w:r>
    </w:p>
    <w:p w14:paraId="1FA7CA21">
      <w:pPr>
        <w:pStyle w:val="46"/>
        <w:ind w:firstLine="480"/>
      </w:pPr>
      <w:r>
        <w:rPr>
          <w:rFonts w:hint="eastAsia"/>
        </w:rPr>
        <w:t>1、公开、公正、公平。</w:t>
      </w:r>
    </w:p>
    <w:p w14:paraId="007BB83F">
      <w:pPr>
        <w:pStyle w:val="46"/>
        <w:ind w:firstLine="480"/>
      </w:pPr>
      <w:r>
        <w:rPr>
          <w:rFonts w:hint="eastAsia"/>
        </w:rPr>
        <w:t>2、科学、合理。</w:t>
      </w:r>
    </w:p>
    <w:p w14:paraId="5530F6D1">
      <w:pPr>
        <w:pStyle w:val="46"/>
        <w:ind w:firstLine="480"/>
      </w:pPr>
      <w:r>
        <w:rPr>
          <w:rFonts w:hint="eastAsia"/>
        </w:rPr>
        <w:t>3、反不正当竞争。</w:t>
      </w:r>
    </w:p>
    <w:p w14:paraId="42F8B9AB">
      <w:pPr>
        <w:pStyle w:val="46"/>
        <w:ind w:firstLine="480"/>
      </w:pPr>
      <w:r>
        <w:rPr>
          <w:rFonts w:hint="eastAsia"/>
        </w:rPr>
        <w:t>4、贯彻采购单位对本项目的各项要求和原则。</w:t>
      </w:r>
    </w:p>
    <w:p w14:paraId="1C626517">
      <w:pPr>
        <w:pStyle w:val="46"/>
        <w:ind w:firstLine="480"/>
      </w:pPr>
      <w:r>
        <w:rPr>
          <w:rFonts w:hint="eastAsia"/>
        </w:rPr>
        <w:t>第三条 评定工作由专家和采购人代表组成的谈判小组承担。谈判小组由采购人的代表和有关专家共三人以上的单数组成，其中，专家的人数不少于成员总数的三分之二，采购单位工作人员不参加评定。</w:t>
      </w:r>
    </w:p>
    <w:p w14:paraId="52006DA6">
      <w:pPr>
        <w:pStyle w:val="40"/>
        <w:numPr>
          <w:ilvl w:val="5"/>
          <w:numId w:val="5"/>
        </w:numPr>
      </w:pPr>
      <w:bookmarkStart w:id="68" w:name="_Toc27090"/>
      <w:bookmarkStart w:id="69" w:name="_Toc141968440"/>
      <w:bookmarkStart w:id="70" w:name="_Toc18405"/>
      <w:r>
        <w:rPr>
          <w:rFonts w:hint="eastAsia"/>
        </w:rPr>
        <w:t>二、谈判程序及说明</w:t>
      </w:r>
      <w:bookmarkEnd w:id="68"/>
      <w:bookmarkEnd w:id="69"/>
      <w:bookmarkEnd w:id="70"/>
    </w:p>
    <w:p w14:paraId="68E3CDE0">
      <w:pPr>
        <w:pStyle w:val="47"/>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7568E8A4">
      <w:pPr>
        <w:pStyle w:val="47"/>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07A2AE91">
      <w:pPr>
        <w:pStyle w:val="47"/>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14:paraId="5C3B362E">
      <w:pPr>
        <w:pStyle w:val="40"/>
        <w:numPr>
          <w:ilvl w:val="5"/>
          <w:numId w:val="5"/>
        </w:numPr>
      </w:pPr>
      <w:bookmarkStart w:id="71" w:name="_Toc8958"/>
      <w:bookmarkStart w:id="72" w:name="_Toc18301"/>
      <w:bookmarkStart w:id="73" w:name="_Toc141968441"/>
      <w:r>
        <w:rPr>
          <w:rFonts w:hint="eastAsia"/>
        </w:rPr>
        <w:t>三、评定标准</w:t>
      </w:r>
      <w:bookmarkEnd w:id="71"/>
      <w:bookmarkEnd w:id="72"/>
      <w:bookmarkEnd w:id="73"/>
    </w:p>
    <w:p w14:paraId="28F9834E">
      <w:pPr>
        <w:pStyle w:val="47"/>
        <w:ind w:firstLine="480"/>
      </w:pPr>
      <w:r>
        <w:rPr>
          <w:rFonts w:hint="eastAsia"/>
        </w:rPr>
        <w:t>谈判小组将从以下几个方面对报价人进行综合评定：企业纳税及社保资金缴纳情况、产品报价与交货</w:t>
      </w:r>
      <w:bookmarkStart w:id="74" w:name="_Toc115756053"/>
      <w:r>
        <w:rPr>
          <w:rFonts w:hint="eastAsia"/>
        </w:rPr>
        <w:t>期、产品质量、同类型项目业绩、售后服务承诺等。</w:t>
      </w:r>
    </w:p>
    <w:p w14:paraId="347A82BD">
      <w:pPr>
        <w:pStyle w:val="47"/>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rPr>
        <w:t xml:space="preserve">20 </w:t>
      </w:r>
      <w:r>
        <w:rPr>
          <w:rFonts w:hint="eastAsia" w:ascii="宋体" w:hAnsi="宋体"/>
          <w:bCs/>
        </w:rPr>
        <w:t>% 的扣除，用扣除后的价格参与评审。</w:t>
      </w:r>
    </w:p>
    <w:p w14:paraId="0DAFC07E">
      <w:pPr>
        <w:pStyle w:val="47"/>
        <w:ind w:firstLine="480"/>
        <w:rPr>
          <w:rFonts w:ascii="宋体" w:hAnsi="宋体"/>
          <w:bCs/>
        </w:rPr>
      </w:pPr>
      <w:r>
        <w:rPr>
          <w:rFonts w:hint="eastAsia" w:ascii="宋体" w:hAnsi="宋体"/>
          <w:bCs/>
        </w:rPr>
        <w:t>根据《财政部 民政部 中国残疾人联合会关于促进残疾人就业政府采购政策的通知》（财库</w:t>
      </w:r>
      <w:r>
        <w:rPr>
          <w:rFonts w:hint="eastAsia" w:ascii="宋体" w:hAnsi="宋体"/>
          <w:bCs/>
          <w:lang w:eastAsia="zh-CN"/>
        </w:rPr>
        <w:t>〔2017〕141号</w:t>
      </w:r>
      <w:r>
        <w:rPr>
          <w:rFonts w:hint="eastAsia" w:ascii="宋体" w:hAnsi="宋体"/>
          <w:bCs/>
        </w:rPr>
        <w:t>），对于非专门面向此类企业的项目，对残疾人福利性单位产品的价格给予6%的扣除，用扣除后的价格参与评审。</w:t>
      </w:r>
    </w:p>
    <w:p w14:paraId="02ACD79E">
      <w:pPr>
        <w:pStyle w:val="47"/>
        <w:ind w:firstLine="480"/>
        <w:rPr>
          <w:rFonts w:ascii="宋体" w:hAnsi="宋体"/>
        </w:rPr>
      </w:pPr>
      <w:r>
        <w:rPr>
          <w:rFonts w:hint="eastAsia" w:ascii="宋体" w:hAnsi="宋体"/>
          <w:bCs/>
        </w:rPr>
        <w:t>既符合小微型企业标准，同时也符合残疾人福利性单位的企业，价格也仅扣除一次。</w:t>
      </w:r>
    </w:p>
    <w:p w14:paraId="644F0D94">
      <w:pPr>
        <w:pStyle w:val="21"/>
        <w:rPr>
          <w:rFonts w:hint="eastAsia"/>
          <w:color w:val="000000"/>
        </w:rPr>
      </w:pPr>
      <w:bookmarkStart w:id="75" w:name="_Toc141968442"/>
      <w:bookmarkStart w:id="76" w:name="_Toc11648"/>
    </w:p>
    <w:p w14:paraId="06A4B6C0">
      <w:pPr>
        <w:pStyle w:val="21"/>
        <w:rPr>
          <w:rFonts w:hint="eastAsia"/>
          <w:color w:val="000000"/>
        </w:rPr>
      </w:pPr>
    </w:p>
    <w:p w14:paraId="7A909132">
      <w:pPr>
        <w:pStyle w:val="21"/>
        <w:rPr>
          <w:color w:val="000000"/>
        </w:rPr>
      </w:pPr>
      <w:bookmarkStart w:id="77" w:name="_Toc11502"/>
      <w:r>
        <w:rPr>
          <w:rFonts w:hint="eastAsia"/>
          <w:color w:val="000000"/>
        </w:rPr>
        <w:t>第五部分 报价文件格式</w:t>
      </w:r>
      <w:bookmarkEnd w:id="74"/>
      <w:bookmarkEnd w:id="75"/>
      <w:bookmarkEnd w:id="76"/>
      <w:bookmarkEnd w:id="77"/>
    </w:p>
    <w:p w14:paraId="55BA70E2">
      <w:pPr>
        <w:pStyle w:val="40"/>
        <w:numPr>
          <w:ilvl w:val="5"/>
          <w:numId w:val="5"/>
        </w:numPr>
        <w:rPr>
          <w:sz w:val="30"/>
        </w:rPr>
      </w:pPr>
      <w:bookmarkStart w:id="78" w:name="_Toc13017"/>
      <w:bookmarkStart w:id="79" w:name="_Toc141968443"/>
      <w:bookmarkStart w:id="80" w:name="_Toc12960"/>
      <w:bookmarkStart w:id="81" w:name="_Toc29904228"/>
      <w:r>
        <w:rPr>
          <w:rFonts w:hint="eastAsia"/>
        </w:rPr>
        <w:t>报价人提交文件须知</w:t>
      </w:r>
      <w:bookmarkEnd w:id="78"/>
      <w:bookmarkEnd w:id="79"/>
      <w:bookmarkEnd w:id="80"/>
      <w:bookmarkEnd w:id="81"/>
    </w:p>
    <w:p w14:paraId="2FDBB6FA">
      <w:pPr>
        <w:pStyle w:val="46"/>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14:paraId="3A98534B">
      <w:pPr>
        <w:pStyle w:val="46"/>
        <w:ind w:firstLine="480"/>
        <w:rPr>
          <w:rFonts w:ascii="宋体" w:hAnsi="宋体"/>
          <w:color w:val="000000"/>
        </w:rPr>
      </w:pPr>
      <w:r>
        <w:rPr>
          <w:rFonts w:hint="eastAsia" w:ascii="宋体" w:hAnsi="宋体"/>
          <w:color w:val="000000"/>
        </w:rPr>
        <w:t>2.所附表格中要求回答的全部问题和信息都必须正面回答。</w:t>
      </w:r>
    </w:p>
    <w:p w14:paraId="62384DF3">
      <w:pPr>
        <w:pStyle w:val="46"/>
        <w:ind w:firstLine="480"/>
        <w:rPr>
          <w:rFonts w:ascii="宋体" w:hAnsi="宋体"/>
          <w:color w:val="000000"/>
        </w:rPr>
      </w:pPr>
      <w:r>
        <w:rPr>
          <w:rFonts w:hint="eastAsia" w:ascii="宋体" w:hAnsi="宋体"/>
          <w:color w:val="000000"/>
        </w:rPr>
        <w:t>3.本资格声明的签字人应保证全部声明和问题的回答是真实的和准确的。</w:t>
      </w:r>
    </w:p>
    <w:p w14:paraId="4D5998B5">
      <w:pPr>
        <w:pStyle w:val="46"/>
        <w:ind w:firstLine="480"/>
        <w:rPr>
          <w:rFonts w:ascii="宋体" w:hAnsi="宋体"/>
          <w:b/>
          <w:color w:val="000000"/>
        </w:rPr>
      </w:pPr>
      <w:r>
        <w:rPr>
          <w:rFonts w:hint="eastAsia" w:ascii="宋体" w:hAnsi="宋体"/>
          <w:color w:val="000000"/>
        </w:rPr>
        <w:t>4．报价人提交的材料将被保密保存，但不退还。</w:t>
      </w:r>
    </w:p>
    <w:p w14:paraId="21B413B9">
      <w:pPr>
        <w:pStyle w:val="46"/>
        <w:ind w:firstLine="480"/>
        <w:rPr>
          <w:rFonts w:ascii="宋体" w:hAnsi="宋体"/>
        </w:rPr>
      </w:pPr>
      <w:r>
        <w:rPr>
          <w:rFonts w:hint="eastAsia" w:ascii="宋体" w:hAnsi="宋体"/>
        </w:rPr>
        <w:t>5.全部文件应按报价须知中规定的语言和份数提交。</w:t>
      </w:r>
    </w:p>
    <w:p w14:paraId="7530D3BB">
      <w:pPr>
        <w:pStyle w:val="7"/>
        <w:numPr>
          <w:ilvl w:val="5"/>
          <w:numId w:val="5"/>
        </w:numPr>
        <w:rPr>
          <w:color w:val="000000"/>
          <w:sz w:val="28"/>
          <w:szCs w:val="28"/>
        </w:rPr>
      </w:pPr>
      <w:r>
        <w:rPr>
          <w:rFonts w:ascii="仿宋_GB2312" w:eastAsia="仿宋_GB2312"/>
          <w:color w:val="000000"/>
          <w:sz w:val="28"/>
          <w:szCs w:val="28"/>
        </w:rPr>
        <w:br w:type="page"/>
      </w:r>
      <w:bookmarkStart w:id="82" w:name="_Toc8028"/>
      <w:bookmarkStart w:id="83" w:name="_Toc141968444"/>
      <w:bookmarkStart w:id="84" w:name="_Toc115756054"/>
      <w:bookmarkStart w:id="85" w:name="_Toc5993"/>
      <w:r>
        <w:rPr>
          <w:rFonts w:hint="eastAsia"/>
          <w:color w:val="000000"/>
          <w:sz w:val="28"/>
          <w:szCs w:val="28"/>
        </w:rPr>
        <w:t>附件1： 封面</w:t>
      </w:r>
      <w:bookmarkEnd w:id="82"/>
      <w:bookmarkEnd w:id="83"/>
      <w:bookmarkEnd w:id="84"/>
      <w:bookmarkEnd w:id="85"/>
    </w:p>
    <w:p w14:paraId="3850B214">
      <w:pPr>
        <w:pStyle w:val="50"/>
        <w:spacing w:line="500" w:lineRule="exact"/>
        <w:jc w:val="both"/>
        <w:rPr>
          <w:rFonts w:ascii="宋体" w:hAnsi="宋体"/>
          <w:b/>
          <w:color w:val="000000"/>
          <w:sz w:val="24"/>
        </w:rPr>
      </w:pPr>
    </w:p>
    <w:p w14:paraId="7F3C5EB8">
      <w:pPr>
        <w:pStyle w:val="50"/>
        <w:spacing w:line="500" w:lineRule="exact"/>
        <w:rPr>
          <w:rFonts w:ascii="宋体" w:hAnsi="宋体"/>
          <w:b/>
          <w:color w:val="000000"/>
          <w:sz w:val="24"/>
        </w:rPr>
      </w:pPr>
    </w:p>
    <w:p w14:paraId="39B06FD1">
      <w:pPr>
        <w:pStyle w:val="50"/>
        <w:rPr>
          <w:rFonts w:ascii="宋体" w:hAnsi="宋体"/>
          <w:b/>
          <w:color w:val="000000"/>
          <w:sz w:val="24"/>
        </w:rPr>
      </w:pPr>
    </w:p>
    <w:p w14:paraId="63E1C5DD">
      <w:pPr>
        <w:pStyle w:val="50"/>
        <w:rPr>
          <w:rFonts w:ascii="宋体" w:hAnsi="宋体"/>
          <w:b/>
          <w:color w:val="000000"/>
          <w:sz w:val="72"/>
        </w:rPr>
      </w:pPr>
      <w:r>
        <w:rPr>
          <w:rFonts w:hint="eastAsia" w:ascii="宋体" w:hAnsi="宋体"/>
          <w:b/>
          <w:color w:val="000000"/>
          <w:sz w:val="72"/>
        </w:rPr>
        <w:t>报价文件</w:t>
      </w:r>
    </w:p>
    <w:p w14:paraId="626015A3">
      <w:pPr>
        <w:pStyle w:val="50"/>
        <w:spacing w:line="500" w:lineRule="exact"/>
        <w:jc w:val="both"/>
        <w:rPr>
          <w:rFonts w:ascii="宋体" w:hAnsi="宋体"/>
          <w:b/>
          <w:color w:val="000000"/>
          <w:sz w:val="24"/>
        </w:rPr>
      </w:pPr>
    </w:p>
    <w:p w14:paraId="0F9032CE">
      <w:pPr>
        <w:pStyle w:val="50"/>
        <w:spacing w:line="500" w:lineRule="exact"/>
        <w:jc w:val="both"/>
        <w:rPr>
          <w:rFonts w:ascii="宋体" w:hAnsi="宋体"/>
          <w:b/>
          <w:color w:val="000000"/>
          <w:sz w:val="24"/>
        </w:rPr>
      </w:pPr>
    </w:p>
    <w:p w14:paraId="68D24206">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14:paraId="62F641BE">
      <w:pPr>
        <w:pStyle w:val="50"/>
        <w:spacing w:after="0" w:line="360" w:lineRule="auto"/>
        <w:ind w:firstLine="1687" w:firstLineChars="600"/>
        <w:jc w:val="both"/>
        <w:rPr>
          <w:rFonts w:ascii="宋体" w:hAnsi="宋体"/>
          <w:b/>
          <w:color w:val="000000"/>
          <w:sz w:val="28"/>
          <w:szCs w:val="28"/>
          <w:u w:val="single"/>
        </w:rPr>
      </w:pPr>
      <w:r>
        <w:rPr>
          <w:rFonts w:hint="eastAsia" w:ascii="宋体" w:hAnsi="宋体"/>
          <w:b/>
          <w:color w:val="000000"/>
          <w:sz w:val="28"/>
          <w:szCs w:val="28"/>
        </w:rPr>
        <w:t>项目编号：</w:t>
      </w:r>
    </w:p>
    <w:p w14:paraId="17207F5F">
      <w:pPr>
        <w:pStyle w:val="48"/>
        <w:spacing w:line="500" w:lineRule="exact"/>
        <w:rPr>
          <w:rFonts w:ascii="宋体" w:hAnsi="宋体"/>
          <w:b/>
          <w:color w:val="000000"/>
        </w:rPr>
      </w:pPr>
    </w:p>
    <w:p w14:paraId="170F2AB1">
      <w:pPr>
        <w:pStyle w:val="48"/>
        <w:spacing w:line="360" w:lineRule="auto"/>
        <w:rPr>
          <w:rFonts w:ascii="宋体" w:hAnsi="宋体"/>
          <w:color w:val="000000"/>
          <w:sz w:val="28"/>
          <w:u w:val="single"/>
        </w:rPr>
      </w:pPr>
      <w:r>
        <w:rPr>
          <w:rFonts w:hint="eastAsia" w:ascii="宋体" w:hAnsi="宋体"/>
          <w:color w:val="000000"/>
          <w:sz w:val="28"/>
        </w:rPr>
        <w:t>报价人全称：</w:t>
      </w:r>
    </w:p>
    <w:p w14:paraId="49B90C69">
      <w:pPr>
        <w:pStyle w:val="48"/>
        <w:spacing w:line="360" w:lineRule="auto"/>
        <w:rPr>
          <w:rFonts w:ascii="宋体" w:hAnsi="宋体"/>
          <w:color w:val="000000"/>
          <w:sz w:val="28"/>
        </w:rPr>
      </w:pPr>
      <w:r>
        <w:rPr>
          <w:rFonts w:hint="eastAsia" w:ascii="宋体" w:hAnsi="宋体"/>
          <w:color w:val="000000"/>
          <w:sz w:val="28"/>
        </w:rPr>
        <w:t>（盖章）</w:t>
      </w:r>
    </w:p>
    <w:p w14:paraId="219F0100">
      <w:pPr>
        <w:pStyle w:val="48"/>
        <w:spacing w:line="360" w:lineRule="auto"/>
        <w:rPr>
          <w:rFonts w:ascii="宋体" w:hAnsi="宋体"/>
          <w:color w:val="000000"/>
          <w:sz w:val="28"/>
          <w:u w:val="single"/>
        </w:rPr>
      </w:pPr>
      <w:r>
        <w:rPr>
          <w:rFonts w:hint="eastAsia" w:ascii="宋体" w:hAnsi="宋体"/>
          <w:color w:val="000000"/>
          <w:sz w:val="28"/>
        </w:rPr>
        <w:t>法人代表：</w:t>
      </w:r>
    </w:p>
    <w:p w14:paraId="45CE458F">
      <w:pPr>
        <w:pStyle w:val="48"/>
        <w:spacing w:line="360" w:lineRule="auto"/>
        <w:rPr>
          <w:rFonts w:ascii="宋体" w:hAnsi="宋体"/>
          <w:color w:val="000000"/>
          <w:sz w:val="28"/>
        </w:rPr>
      </w:pPr>
      <w:r>
        <w:rPr>
          <w:rFonts w:hint="eastAsia" w:ascii="宋体" w:hAnsi="宋体"/>
          <w:color w:val="000000"/>
          <w:sz w:val="28"/>
        </w:rPr>
        <w:t>（签 字）</w:t>
      </w:r>
    </w:p>
    <w:p w14:paraId="5EE8DAD0">
      <w:pPr>
        <w:pStyle w:val="48"/>
        <w:spacing w:line="360" w:lineRule="auto"/>
        <w:rPr>
          <w:rFonts w:ascii="宋体" w:hAnsi="宋体"/>
          <w:color w:val="000000"/>
          <w:sz w:val="28"/>
          <w:u w:val="single"/>
        </w:rPr>
      </w:pPr>
      <w:r>
        <w:rPr>
          <w:rFonts w:hint="eastAsia" w:ascii="宋体" w:hAnsi="宋体"/>
          <w:color w:val="000000"/>
          <w:sz w:val="28"/>
        </w:rPr>
        <w:t>授权代表：</w:t>
      </w:r>
    </w:p>
    <w:p w14:paraId="434283E6">
      <w:pPr>
        <w:pStyle w:val="48"/>
        <w:spacing w:line="360" w:lineRule="auto"/>
        <w:rPr>
          <w:rFonts w:ascii="宋体" w:hAnsi="宋体"/>
          <w:color w:val="000000"/>
          <w:sz w:val="28"/>
        </w:rPr>
      </w:pPr>
      <w:r>
        <w:rPr>
          <w:rFonts w:hint="eastAsia" w:ascii="宋体" w:hAnsi="宋体"/>
          <w:color w:val="000000"/>
          <w:sz w:val="28"/>
        </w:rPr>
        <w:t>（签 字）</w:t>
      </w:r>
    </w:p>
    <w:p w14:paraId="034AC19D">
      <w:pPr>
        <w:pStyle w:val="48"/>
        <w:spacing w:line="360" w:lineRule="auto"/>
        <w:rPr>
          <w:rFonts w:ascii="宋体" w:hAnsi="宋体"/>
          <w:color w:val="000000"/>
          <w:sz w:val="28"/>
        </w:rPr>
      </w:pPr>
      <w:r>
        <w:rPr>
          <w:rFonts w:hint="eastAsia" w:ascii="宋体" w:hAnsi="宋体"/>
          <w:color w:val="000000"/>
          <w:sz w:val="28"/>
        </w:rPr>
        <w:t>报价时间：</w:t>
      </w:r>
    </w:p>
    <w:p w14:paraId="2212F110">
      <w:pPr>
        <w:pStyle w:val="48"/>
        <w:spacing w:line="360" w:lineRule="auto"/>
        <w:rPr>
          <w:rFonts w:ascii="宋体" w:hAnsi="宋体"/>
          <w:color w:val="000000"/>
          <w:sz w:val="28"/>
          <w:u w:val="single"/>
        </w:rPr>
      </w:pPr>
      <w:r>
        <w:rPr>
          <w:rFonts w:hint="eastAsia" w:ascii="宋体" w:hAnsi="宋体"/>
          <w:color w:val="000000"/>
          <w:sz w:val="28"/>
        </w:rPr>
        <w:t>报价人地址：</w:t>
      </w:r>
    </w:p>
    <w:p w14:paraId="08396FDE">
      <w:pPr>
        <w:spacing w:line="360" w:lineRule="auto"/>
        <w:outlineLvl w:val="0"/>
        <w:rPr>
          <w:rFonts w:ascii="宋体" w:hAnsi="宋体"/>
          <w:color w:val="000000"/>
          <w:sz w:val="28"/>
          <w:u w:val="single"/>
        </w:rPr>
      </w:pPr>
      <w:r>
        <w:rPr>
          <w:rFonts w:hint="eastAsia" w:ascii="宋体" w:hAnsi="宋体"/>
          <w:color w:val="000000"/>
          <w:sz w:val="28"/>
        </w:rPr>
        <w:t>联系电话：</w:t>
      </w:r>
      <w:bookmarkStart w:id="86" w:name="_Toc132786437"/>
    </w:p>
    <w:p w14:paraId="6A175F4C">
      <w:pPr>
        <w:spacing w:line="360" w:lineRule="auto"/>
        <w:outlineLvl w:val="0"/>
        <w:rPr>
          <w:rFonts w:ascii="宋体" w:hAnsi="宋体"/>
          <w:color w:val="000000"/>
          <w:sz w:val="28"/>
          <w:u w:val="single"/>
        </w:rPr>
      </w:pPr>
    </w:p>
    <w:p w14:paraId="300C6BCC">
      <w:pPr>
        <w:spacing w:line="360" w:lineRule="auto"/>
        <w:outlineLvl w:val="0"/>
        <w:rPr>
          <w:rFonts w:ascii="宋体" w:hAnsi="宋体"/>
          <w:color w:val="000000"/>
          <w:sz w:val="28"/>
          <w:u w:val="single"/>
        </w:rPr>
      </w:pPr>
    </w:p>
    <w:p w14:paraId="1A10D7AB">
      <w:pPr>
        <w:spacing w:line="360" w:lineRule="auto"/>
        <w:outlineLvl w:val="0"/>
        <w:rPr>
          <w:rFonts w:ascii="宋体" w:hAnsi="宋体"/>
          <w:color w:val="000000"/>
          <w:sz w:val="28"/>
          <w:u w:val="single"/>
        </w:rPr>
      </w:pPr>
    </w:p>
    <w:p w14:paraId="5BEB5580">
      <w:pPr>
        <w:pStyle w:val="7"/>
        <w:numPr>
          <w:ilvl w:val="5"/>
          <w:numId w:val="5"/>
        </w:numPr>
        <w:jc w:val="center"/>
        <w:rPr>
          <w:color w:val="000000"/>
          <w:sz w:val="28"/>
          <w:szCs w:val="28"/>
        </w:rPr>
      </w:pPr>
    </w:p>
    <w:p w14:paraId="45689479">
      <w:pPr>
        <w:pStyle w:val="7"/>
        <w:numPr>
          <w:ilvl w:val="5"/>
          <w:numId w:val="5"/>
        </w:numPr>
        <w:jc w:val="both"/>
        <w:rPr>
          <w:color w:val="000000"/>
          <w:sz w:val="28"/>
          <w:szCs w:val="28"/>
        </w:rPr>
      </w:pPr>
      <w:bookmarkStart w:id="87" w:name="_Toc17198"/>
      <w:bookmarkStart w:id="88" w:name="_Toc23234"/>
      <w:bookmarkStart w:id="89" w:name="_Toc141968445"/>
      <w:r>
        <w:rPr>
          <w:rFonts w:hint="eastAsia"/>
          <w:color w:val="000000"/>
          <w:sz w:val="28"/>
          <w:szCs w:val="28"/>
        </w:rPr>
        <w:t>附件2： 法定代表人证明书</w:t>
      </w:r>
      <w:bookmarkEnd w:id="86"/>
      <w:bookmarkEnd w:id="87"/>
      <w:bookmarkEnd w:id="88"/>
      <w:bookmarkEnd w:id="89"/>
    </w:p>
    <w:p w14:paraId="0389686A">
      <w:pPr>
        <w:spacing w:line="360" w:lineRule="auto"/>
        <w:rPr>
          <w:rFonts w:ascii="宋体" w:hAnsi="宋体"/>
          <w:color w:val="000000"/>
          <w:sz w:val="24"/>
        </w:rPr>
      </w:pPr>
      <w:r>
        <w:rPr>
          <w:rFonts w:hint="eastAsia" w:ascii="宋体" w:hAnsi="宋体"/>
          <w:color w:val="000000"/>
          <w:sz w:val="24"/>
        </w:rPr>
        <w:t>国家体育总局体育器材装备中心：</w:t>
      </w:r>
    </w:p>
    <w:p w14:paraId="57F4A24B">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2FD492F4">
      <w:pPr>
        <w:spacing w:line="500" w:lineRule="exact"/>
        <w:rPr>
          <w:color w:val="000000"/>
          <w:sz w:val="24"/>
        </w:rPr>
      </w:pPr>
      <w:r>
        <w:rPr>
          <w:color w:val="000000"/>
          <w:sz w:val="24"/>
        </w:rPr>
        <w:t>特此证明。</w:t>
      </w:r>
    </w:p>
    <w:p w14:paraId="7D3D53A4">
      <w:pPr>
        <w:spacing w:line="500" w:lineRule="exact"/>
        <w:ind w:firstLine="720" w:firstLineChars="300"/>
        <w:rPr>
          <w:color w:val="000000"/>
          <w:sz w:val="24"/>
        </w:rPr>
      </w:pPr>
    </w:p>
    <w:p w14:paraId="798AE787">
      <w:pPr>
        <w:spacing w:line="500" w:lineRule="exact"/>
        <w:rPr>
          <w:color w:val="000000"/>
          <w:sz w:val="24"/>
        </w:rPr>
      </w:pPr>
      <w:r>
        <w:rPr>
          <w:rFonts w:hint="eastAsia"/>
          <w:color w:val="000000"/>
          <w:sz w:val="24"/>
        </w:rPr>
        <w:t>法定代表人住址：法定代表人身份证号：（身份证复印件附后）</w:t>
      </w:r>
    </w:p>
    <w:p w14:paraId="2CA4A38A">
      <w:pPr>
        <w:spacing w:line="500" w:lineRule="exact"/>
        <w:rPr>
          <w:color w:val="000000"/>
          <w:sz w:val="24"/>
        </w:rPr>
      </w:pPr>
      <w:r>
        <w:rPr>
          <w:rFonts w:hint="eastAsia"/>
          <w:color w:val="000000"/>
          <w:sz w:val="24"/>
        </w:rPr>
        <w:t>法定代表人电话：</w:t>
      </w:r>
    </w:p>
    <w:p w14:paraId="60C39B4A">
      <w:pPr>
        <w:spacing w:line="500" w:lineRule="exact"/>
        <w:rPr>
          <w:rFonts w:ascii="宋体" w:hAnsi="宋体"/>
          <w:color w:val="000000"/>
          <w:sz w:val="24"/>
          <w:u w:val="single"/>
        </w:rPr>
      </w:pPr>
      <w:r>
        <w:rPr>
          <w:rFonts w:hint="eastAsia" w:ascii="宋体" w:hAnsi="宋体"/>
          <w:color w:val="000000"/>
          <w:sz w:val="24"/>
        </w:rPr>
        <w:t>报价人全称（公章）：</w:t>
      </w:r>
    </w:p>
    <w:p w14:paraId="7FF7B805">
      <w:pPr>
        <w:spacing w:line="500" w:lineRule="exact"/>
        <w:rPr>
          <w:rFonts w:ascii="宋体" w:hAnsi="宋体"/>
          <w:color w:val="000000"/>
          <w:sz w:val="24"/>
        </w:rPr>
      </w:pPr>
      <w:r>
        <w:rPr>
          <w:rFonts w:hint="eastAsia" w:ascii="宋体" w:hAnsi="宋体"/>
          <w:color w:val="000000"/>
          <w:sz w:val="24"/>
        </w:rPr>
        <w:t>日期：  年   月  日</w:t>
      </w:r>
    </w:p>
    <w:p w14:paraId="0E1F3C1D">
      <w:pPr>
        <w:spacing w:line="500" w:lineRule="exact"/>
        <w:rPr>
          <w:rFonts w:ascii="宋体" w:hAnsi="宋体"/>
          <w:color w:val="000000"/>
          <w:sz w:val="24"/>
        </w:rPr>
      </w:pPr>
    </w:p>
    <w:p w14:paraId="61B6620D">
      <w:pPr>
        <w:pStyle w:val="7"/>
        <w:numPr>
          <w:ilvl w:val="5"/>
          <w:numId w:val="5"/>
        </w:numPr>
        <w:jc w:val="both"/>
        <w:rPr>
          <w:rFonts w:ascii="宋体" w:hAnsi="宋体"/>
          <w:color w:val="000000"/>
          <w:sz w:val="24"/>
        </w:rPr>
      </w:pPr>
      <w:bookmarkStart w:id="90" w:name="_Toc132786438"/>
      <w:bookmarkStart w:id="91" w:name="_Toc141968446"/>
      <w:bookmarkStart w:id="92" w:name="_Toc5230"/>
      <w:bookmarkStart w:id="93" w:name="_Toc18366"/>
      <w:r>
        <w:rPr>
          <w:rFonts w:hint="eastAsia"/>
          <w:color w:val="000000"/>
          <w:sz w:val="28"/>
          <w:szCs w:val="28"/>
        </w:rPr>
        <w:t>附件3：法定代表人的授权委托书</w:t>
      </w:r>
      <w:bookmarkEnd w:id="90"/>
      <w:bookmarkStart w:id="94" w:name="_Toc29904232"/>
      <w:r>
        <w:rPr>
          <w:rFonts w:hint="eastAsia" w:ascii="宋体" w:hAnsi="宋体"/>
          <w:color w:val="000000"/>
          <w:sz w:val="28"/>
          <w:szCs w:val="28"/>
        </w:rPr>
        <w:t>（如非法定代表人亲自参与谈判时提供，加盖单位公章）</w:t>
      </w:r>
      <w:bookmarkEnd w:id="91"/>
      <w:bookmarkEnd w:id="92"/>
      <w:bookmarkEnd w:id="93"/>
      <w:bookmarkEnd w:id="94"/>
    </w:p>
    <w:p w14:paraId="53C25B86">
      <w:pPr>
        <w:spacing w:line="500" w:lineRule="exact"/>
        <w:rPr>
          <w:rFonts w:ascii="宋体" w:hAnsi="宋体"/>
          <w:color w:val="000000"/>
          <w:sz w:val="24"/>
        </w:rPr>
      </w:pPr>
      <w:r>
        <w:rPr>
          <w:rFonts w:hint="eastAsia" w:ascii="宋体" w:hAnsi="宋体"/>
          <w:color w:val="000000"/>
          <w:sz w:val="24"/>
        </w:rPr>
        <w:t>国家体育总局体育器材装备中心：</w:t>
      </w:r>
    </w:p>
    <w:p w14:paraId="326C1DE5">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14:paraId="1B1D83D5">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w:t>
      </w:r>
      <w:r>
        <w:rPr>
          <w:rFonts w:hint="eastAsia" w:ascii="宋体" w:hAnsi="宋体"/>
          <w:color w:val="000000"/>
          <w:sz w:val="24"/>
          <w:lang w:eastAsia="zh-CN"/>
        </w:rPr>
        <w:t>签订的</w:t>
      </w:r>
      <w:r>
        <w:rPr>
          <w:rFonts w:hint="eastAsia" w:ascii="宋体" w:hAnsi="宋体"/>
          <w:color w:val="000000"/>
          <w:sz w:val="24"/>
        </w:rPr>
        <w:t>采购合同，以及处理与之有关的一切事务，我公司均予以承认。授权代表无转委托权。</w:t>
      </w:r>
    </w:p>
    <w:p w14:paraId="01618ECC">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14:paraId="24CC796B">
      <w:pPr>
        <w:spacing w:line="500" w:lineRule="exact"/>
        <w:rPr>
          <w:rFonts w:ascii="宋体" w:hAnsi="宋体"/>
          <w:color w:val="000000"/>
          <w:sz w:val="24"/>
        </w:rPr>
      </w:pPr>
    </w:p>
    <w:p w14:paraId="610BC781">
      <w:pPr>
        <w:spacing w:line="500" w:lineRule="exact"/>
        <w:rPr>
          <w:rFonts w:ascii="宋体" w:hAnsi="宋体"/>
          <w:color w:val="000000"/>
          <w:sz w:val="24"/>
        </w:rPr>
      </w:pPr>
    </w:p>
    <w:p w14:paraId="17B95C03">
      <w:pPr>
        <w:spacing w:line="500" w:lineRule="exact"/>
        <w:rPr>
          <w:rFonts w:ascii="宋体" w:hAnsi="宋体"/>
          <w:color w:val="000000"/>
          <w:sz w:val="24"/>
          <w:u w:val="single"/>
        </w:rPr>
      </w:pPr>
      <w:r>
        <w:rPr>
          <w:rFonts w:hint="eastAsia" w:ascii="宋体" w:hAnsi="宋体"/>
          <w:color w:val="000000"/>
          <w:sz w:val="24"/>
        </w:rPr>
        <w:t>法定代表人印刷体姓名：  签字：</w:t>
      </w:r>
    </w:p>
    <w:p w14:paraId="35C32423">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14:paraId="6F9F7C78">
      <w:pPr>
        <w:spacing w:line="500" w:lineRule="exact"/>
        <w:rPr>
          <w:rFonts w:ascii="宋体" w:hAnsi="宋体"/>
          <w:color w:val="000000"/>
          <w:sz w:val="24"/>
        </w:rPr>
      </w:pPr>
      <w:r>
        <w:rPr>
          <w:rFonts w:hint="eastAsia" w:ascii="宋体" w:hAnsi="宋体"/>
          <w:color w:val="000000"/>
          <w:sz w:val="24"/>
        </w:rPr>
        <w:t>报价人代表身份证号：（身份证复印件附后）</w:t>
      </w:r>
    </w:p>
    <w:p w14:paraId="0DF51612">
      <w:pPr>
        <w:spacing w:line="500" w:lineRule="exact"/>
        <w:rPr>
          <w:rFonts w:ascii="宋体" w:hAnsi="宋体"/>
          <w:color w:val="000000"/>
          <w:sz w:val="24"/>
          <w:u w:val="single"/>
        </w:rPr>
      </w:pPr>
      <w:r>
        <w:rPr>
          <w:rFonts w:hint="eastAsia" w:ascii="宋体" w:hAnsi="宋体"/>
          <w:color w:val="000000"/>
          <w:sz w:val="24"/>
        </w:rPr>
        <w:t>报价人全称（公章）：</w:t>
      </w:r>
    </w:p>
    <w:p w14:paraId="404E62F4">
      <w:pPr>
        <w:spacing w:line="500" w:lineRule="exact"/>
        <w:rPr>
          <w:rFonts w:ascii="宋体" w:hAnsi="宋体"/>
          <w:color w:val="000000"/>
          <w:sz w:val="24"/>
          <w:u w:val="single"/>
        </w:rPr>
      </w:pPr>
    </w:p>
    <w:p w14:paraId="34E6694B">
      <w:pPr>
        <w:pStyle w:val="7"/>
        <w:numPr>
          <w:ilvl w:val="5"/>
          <w:numId w:val="5"/>
        </w:numPr>
        <w:jc w:val="both"/>
        <w:rPr>
          <w:color w:val="000000"/>
          <w:sz w:val="28"/>
          <w:szCs w:val="28"/>
        </w:rPr>
      </w:pPr>
      <w:bookmarkStart w:id="95" w:name="_Toc141968447"/>
      <w:bookmarkStart w:id="96" w:name="_Toc132786448"/>
      <w:bookmarkStart w:id="97" w:name="_Toc6275"/>
      <w:bookmarkStart w:id="98" w:name="_Toc12801"/>
      <w:r>
        <w:rPr>
          <w:rFonts w:hint="eastAsia"/>
          <w:color w:val="000000"/>
          <w:sz w:val="28"/>
          <w:szCs w:val="28"/>
        </w:rPr>
        <w:t>附件4： 产品报价明细表</w:t>
      </w:r>
      <w:bookmarkEnd w:id="95"/>
      <w:bookmarkEnd w:id="96"/>
      <w:bookmarkEnd w:id="97"/>
      <w:bookmarkEnd w:id="98"/>
    </w:p>
    <w:p w14:paraId="5A788E4A">
      <w:pPr>
        <w:rPr>
          <w:color w:val="000000"/>
          <w:sz w:val="24"/>
        </w:rPr>
      </w:pPr>
      <w:r>
        <w:rPr>
          <w:rFonts w:hint="eastAsia"/>
          <w:color w:val="000000"/>
          <w:sz w:val="24"/>
        </w:rPr>
        <w:t>项目名称：</w:t>
      </w:r>
    </w:p>
    <w:p w14:paraId="1DAA4457">
      <w:pPr>
        <w:rPr>
          <w:color w:val="000000"/>
          <w:sz w:val="24"/>
        </w:rPr>
      </w:pPr>
      <w:r>
        <w:rPr>
          <w:rFonts w:hint="eastAsia"/>
          <w:color w:val="000000"/>
          <w:sz w:val="24"/>
        </w:rPr>
        <w:t>采购编号：</w:t>
      </w:r>
    </w:p>
    <w:p w14:paraId="4D8E7CEB">
      <w:pPr>
        <w:rPr>
          <w:color w:val="000000"/>
          <w:sz w:val="24"/>
        </w:rPr>
      </w:pPr>
      <w:r>
        <w:rPr>
          <w:rFonts w:hint="eastAsia"/>
          <w:color w:val="000000"/>
          <w:sz w:val="24"/>
        </w:rPr>
        <w:t>标项：</w:t>
      </w:r>
    </w:p>
    <w:p w14:paraId="5D5415E2">
      <w:pPr>
        <w:rPr>
          <w:color w:val="000000"/>
          <w:sz w:val="24"/>
        </w:rPr>
      </w:pPr>
    </w:p>
    <w:p w14:paraId="4F44E1B6">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14:paraId="08B85851">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03166C29">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14:paraId="0CBF0F63">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14:paraId="712CF2BE">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14:paraId="3D5A65FA">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14:paraId="25E39822">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14:paraId="5E22E53C">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14:paraId="66F30303">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14:paraId="4E13EE4E">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14:paraId="132776DD">
            <w:pPr>
              <w:autoSpaceDE w:val="0"/>
              <w:autoSpaceDN w:val="0"/>
              <w:jc w:val="center"/>
              <w:rPr>
                <w:rFonts w:ascii="宋体" w:hAnsi="宋体"/>
                <w:color w:val="000000"/>
                <w:sz w:val="24"/>
              </w:rPr>
            </w:pPr>
            <w:r>
              <w:rPr>
                <w:rFonts w:hint="eastAsia" w:ascii="宋体" w:hAnsi="宋体"/>
                <w:color w:val="000000"/>
                <w:sz w:val="24"/>
              </w:rPr>
              <w:t>备注</w:t>
            </w:r>
          </w:p>
        </w:tc>
      </w:tr>
      <w:tr w14:paraId="036F4AF6">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33F0B66A">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7C28FEDB">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7E622AE9">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13D15DD3">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0A53BC12">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4E06220">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8A2C4F7">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756F41D">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40C02B7A">
            <w:pPr>
              <w:autoSpaceDE w:val="0"/>
              <w:autoSpaceDN w:val="0"/>
              <w:jc w:val="center"/>
              <w:rPr>
                <w:rFonts w:ascii="宋体" w:hAnsi="宋体"/>
                <w:color w:val="000000"/>
                <w:sz w:val="24"/>
              </w:rPr>
            </w:pPr>
          </w:p>
        </w:tc>
      </w:tr>
      <w:tr w14:paraId="08FF71E7">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66EBA6CC">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372C508C">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4606F4EE">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6E446DC">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4192C0CB">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2F52C64">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DF61703">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28B5094">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1A532476">
            <w:pPr>
              <w:autoSpaceDE w:val="0"/>
              <w:autoSpaceDN w:val="0"/>
              <w:jc w:val="center"/>
              <w:rPr>
                <w:rFonts w:ascii="宋体" w:hAnsi="宋体"/>
                <w:color w:val="000000"/>
                <w:sz w:val="24"/>
              </w:rPr>
            </w:pPr>
          </w:p>
        </w:tc>
      </w:tr>
      <w:tr w14:paraId="61BEB6B5">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0D29D8A2">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083038B5">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2944CE23">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2C44A15">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0B8D7323">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8ACCCE8">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8594F61">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668FEBC">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3B11DD5E">
            <w:pPr>
              <w:autoSpaceDE w:val="0"/>
              <w:autoSpaceDN w:val="0"/>
              <w:jc w:val="center"/>
              <w:rPr>
                <w:rFonts w:ascii="宋体" w:hAnsi="宋体"/>
                <w:color w:val="000000"/>
                <w:sz w:val="24"/>
              </w:rPr>
            </w:pPr>
          </w:p>
        </w:tc>
      </w:tr>
      <w:tr w14:paraId="30798F69">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7B788C64">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3C297546">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14972BD3">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7E44A1E">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0FE7FA89">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5D43822">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CA4EF5C">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B68FA59">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43E66277">
            <w:pPr>
              <w:autoSpaceDE w:val="0"/>
              <w:autoSpaceDN w:val="0"/>
              <w:jc w:val="center"/>
              <w:rPr>
                <w:rFonts w:ascii="宋体" w:hAnsi="宋体"/>
                <w:color w:val="000000"/>
                <w:sz w:val="24"/>
              </w:rPr>
            </w:pPr>
          </w:p>
        </w:tc>
      </w:tr>
    </w:tbl>
    <w:p w14:paraId="48BD08FD">
      <w:pPr>
        <w:ind w:firstLine="240" w:firstLineChars="100"/>
        <w:rPr>
          <w:color w:val="000000"/>
          <w:sz w:val="24"/>
          <w:u w:val="single"/>
        </w:rPr>
      </w:pPr>
      <w:r>
        <w:rPr>
          <w:rFonts w:hint="eastAsia" w:ascii="宋体" w:hAnsi="宋体"/>
          <w:color w:val="000000"/>
          <w:sz w:val="24"/>
        </w:rPr>
        <w:t>总计：人民币</w:t>
      </w:r>
    </w:p>
    <w:p w14:paraId="65CCABCB">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14:paraId="3647F8E0">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14:paraId="58D762BF">
      <w:pPr>
        <w:spacing w:line="360" w:lineRule="auto"/>
        <w:ind w:firstLine="240" w:firstLineChars="100"/>
        <w:rPr>
          <w:color w:val="000000"/>
          <w:sz w:val="24"/>
        </w:rPr>
      </w:pPr>
      <w:r>
        <w:rPr>
          <w:rFonts w:hint="eastAsia" w:ascii="宋体" w:hAnsi="宋体"/>
          <w:color w:val="000000"/>
          <w:sz w:val="24"/>
        </w:rPr>
        <w:t>日期：</w:t>
      </w:r>
    </w:p>
    <w:p w14:paraId="1693CE95">
      <w:pPr>
        <w:spacing w:line="500" w:lineRule="exact"/>
        <w:outlineLvl w:val="0"/>
        <w:rPr>
          <w:rFonts w:ascii="宋体" w:hAnsi="宋体"/>
          <w:b/>
          <w:color w:val="000000"/>
          <w:sz w:val="24"/>
        </w:rPr>
      </w:pPr>
    </w:p>
    <w:p w14:paraId="084FEB30">
      <w:pPr>
        <w:pStyle w:val="7"/>
        <w:numPr>
          <w:ilvl w:val="5"/>
          <w:numId w:val="5"/>
        </w:numPr>
        <w:jc w:val="both"/>
        <w:rPr>
          <w:rFonts w:ascii="宋体" w:hAnsi="宋体"/>
          <w:bCs w:val="0"/>
          <w:color w:val="000000"/>
          <w:sz w:val="28"/>
          <w:szCs w:val="28"/>
        </w:rPr>
      </w:pPr>
      <w:bookmarkStart w:id="99" w:name="_Toc26171"/>
      <w:bookmarkStart w:id="100" w:name="_Toc141968448"/>
      <w:bookmarkStart w:id="101" w:name="_Toc9923"/>
      <w:r>
        <w:rPr>
          <w:rFonts w:hint="eastAsia" w:ascii="宋体" w:hAnsi="宋体"/>
          <w:bCs w:val="0"/>
          <w:color w:val="000000"/>
          <w:sz w:val="28"/>
          <w:szCs w:val="28"/>
        </w:rPr>
        <w:t>附件5：产品技术偏离表</w:t>
      </w:r>
      <w:bookmarkEnd w:id="99"/>
      <w:bookmarkEnd w:id="100"/>
      <w:bookmarkEnd w:id="101"/>
    </w:p>
    <w:p w14:paraId="06D83B66">
      <w:pPr>
        <w:spacing w:line="500" w:lineRule="exact"/>
        <w:jc w:val="center"/>
        <w:outlineLvl w:val="0"/>
        <w:rPr>
          <w:rFonts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14:paraId="26DF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14:paraId="786A8861">
            <w:pPr>
              <w:jc w:val="center"/>
              <w:rPr>
                <w:rFonts w:ascii="Tahoma" w:hAnsi="Tahoma"/>
                <w:color w:val="000000"/>
              </w:rPr>
            </w:pPr>
            <w:r>
              <w:rPr>
                <w:rFonts w:hint="eastAsia" w:ascii="Tahoma" w:hAnsi="Tahoma"/>
                <w:color w:val="000000"/>
              </w:rPr>
              <w:t>序号</w:t>
            </w:r>
          </w:p>
        </w:tc>
        <w:tc>
          <w:tcPr>
            <w:tcW w:w="1954" w:type="dxa"/>
            <w:vAlign w:val="center"/>
          </w:tcPr>
          <w:p w14:paraId="60C916B0">
            <w:pPr>
              <w:jc w:val="center"/>
              <w:rPr>
                <w:rFonts w:ascii="Tahoma" w:hAnsi="Tahoma"/>
                <w:color w:val="000000"/>
              </w:rPr>
            </w:pPr>
            <w:r>
              <w:rPr>
                <w:rFonts w:hint="eastAsia" w:ascii="Tahoma" w:hAnsi="Tahoma"/>
                <w:color w:val="000000"/>
              </w:rPr>
              <w:t>品名</w:t>
            </w:r>
          </w:p>
        </w:tc>
        <w:tc>
          <w:tcPr>
            <w:tcW w:w="1106" w:type="dxa"/>
            <w:vAlign w:val="center"/>
          </w:tcPr>
          <w:p w14:paraId="35F3903A">
            <w:pPr>
              <w:jc w:val="center"/>
              <w:rPr>
                <w:rFonts w:ascii="Tahoma" w:hAnsi="Tahoma"/>
                <w:color w:val="000000"/>
              </w:rPr>
            </w:pPr>
            <w:r>
              <w:rPr>
                <w:rFonts w:hint="eastAsia" w:ascii="Tahoma" w:hAnsi="Tahoma"/>
                <w:color w:val="000000"/>
              </w:rPr>
              <w:t>数量</w:t>
            </w:r>
          </w:p>
        </w:tc>
        <w:tc>
          <w:tcPr>
            <w:tcW w:w="1800" w:type="dxa"/>
            <w:vAlign w:val="center"/>
          </w:tcPr>
          <w:p w14:paraId="0567A288">
            <w:pPr>
              <w:jc w:val="center"/>
              <w:rPr>
                <w:rFonts w:ascii="Tahoma" w:hAnsi="Tahoma"/>
                <w:color w:val="000000"/>
              </w:rPr>
            </w:pPr>
            <w:r>
              <w:rPr>
                <w:rFonts w:hint="eastAsia" w:ascii="Tahoma" w:hAnsi="Tahoma"/>
                <w:color w:val="000000"/>
              </w:rPr>
              <w:t>采购文件</w:t>
            </w:r>
          </w:p>
          <w:p w14:paraId="5B2A7592">
            <w:pPr>
              <w:jc w:val="center"/>
              <w:rPr>
                <w:rFonts w:ascii="Tahoma" w:hAnsi="Tahoma"/>
                <w:color w:val="000000"/>
              </w:rPr>
            </w:pPr>
            <w:r>
              <w:rPr>
                <w:rFonts w:hint="eastAsia" w:ascii="Tahoma" w:hAnsi="Tahoma"/>
                <w:color w:val="000000"/>
              </w:rPr>
              <w:t>技术要求</w:t>
            </w:r>
          </w:p>
        </w:tc>
        <w:tc>
          <w:tcPr>
            <w:tcW w:w="1980" w:type="dxa"/>
            <w:vAlign w:val="center"/>
          </w:tcPr>
          <w:p w14:paraId="494CA811">
            <w:pPr>
              <w:jc w:val="center"/>
              <w:rPr>
                <w:rFonts w:ascii="Tahoma" w:hAnsi="Tahoma"/>
                <w:color w:val="000000"/>
              </w:rPr>
            </w:pPr>
            <w:r>
              <w:rPr>
                <w:rFonts w:hint="eastAsia" w:ascii="Tahoma" w:hAnsi="Tahoma"/>
                <w:color w:val="000000"/>
              </w:rPr>
              <w:t>报价文件</w:t>
            </w:r>
          </w:p>
          <w:p w14:paraId="5A8467D8">
            <w:pPr>
              <w:jc w:val="center"/>
              <w:rPr>
                <w:rFonts w:ascii="Tahoma" w:hAnsi="Tahoma"/>
                <w:color w:val="000000"/>
              </w:rPr>
            </w:pPr>
            <w:r>
              <w:rPr>
                <w:rFonts w:hint="eastAsia" w:ascii="Tahoma" w:hAnsi="Tahoma"/>
                <w:color w:val="000000"/>
              </w:rPr>
              <w:t>对应技术指标</w:t>
            </w:r>
          </w:p>
        </w:tc>
        <w:tc>
          <w:tcPr>
            <w:tcW w:w="1260" w:type="dxa"/>
            <w:vAlign w:val="center"/>
          </w:tcPr>
          <w:p w14:paraId="453BE9A4">
            <w:pPr>
              <w:jc w:val="center"/>
              <w:rPr>
                <w:rFonts w:ascii="Tahoma" w:hAnsi="Tahoma"/>
                <w:color w:val="000000"/>
              </w:rPr>
            </w:pPr>
            <w:r>
              <w:rPr>
                <w:rFonts w:hint="eastAsia" w:ascii="Tahoma" w:hAnsi="Tahoma"/>
                <w:color w:val="000000"/>
              </w:rPr>
              <w:t>偏差</w:t>
            </w:r>
          </w:p>
        </w:tc>
        <w:tc>
          <w:tcPr>
            <w:tcW w:w="716" w:type="dxa"/>
            <w:vAlign w:val="center"/>
          </w:tcPr>
          <w:p w14:paraId="45E70E40">
            <w:pPr>
              <w:jc w:val="center"/>
              <w:rPr>
                <w:rFonts w:ascii="Tahoma" w:hAnsi="Tahoma"/>
                <w:color w:val="000000"/>
              </w:rPr>
            </w:pPr>
            <w:r>
              <w:rPr>
                <w:rFonts w:hint="eastAsia" w:ascii="Tahoma" w:hAnsi="Tahoma"/>
                <w:color w:val="000000"/>
              </w:rPr>
              <w:t>备注</w:t>
            </w:r>
          </w:p>
        </w:tc>
      </w:tr>
      <w:tr w14:paraId="50543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CF42500">
            <w:pPr>
              <w:rPr>
                <w:rFonts w:ascii="Tahoma" w:hAnsi="Tahoma"/>
                <w:color w:val="000000"/>
              </w:rPr>
            </w:pPr>
          </w:p>
        </w:tc>
        <w:tc>
          <w:tcPr>
            <w:tcW w:w="1954" w:type="dxa"/>
            <w:vAlign w:val="center"/>
          </w:tcPr>
          <w:p w14:paraId="7E77C73C">
            <w:pPr>
              <w:rPr>
                <w:rFonts w:ascii="Tahoma" w:hAnsi="Tahoma"/>
                <w:color w:val="000000"/>
              </w:rPr>
            </w:pPr>
          </w:p>
        </w:tc>
        <w:tc>
          <w:tcPr>
            <w:tcW w:w="1106" w:type="dxa"/>
            <w:vAlign w:val="center"/>
          </w:tcPr>
          <w:p w14:paraId="5F1F7901">
            <w:pPr>
              <w:rPr>
                <w:rFonts w:ascii="Tahoma" w:hAnsi="Tahoma"/>
                <w:color w:val="000000"/>
              </w:rPr>
            </w:pPr>
          </w:p>
        </w:tc>
        <w:tc>
          <w:tcPr>
            <w:tcW w:w="1800" w:type="dxa"/>
            <w:vAlign w:val="center"/>
          </w:tcPr>
          <w:p w14:paraId="506DE41C">
            <w:pPr>
              <w:rPr>
                <w:rFonts w:ascii="Tahoma" w:hAnsi="Tahoma"/>
                <w:color w:val="000000"/>
              </w:rPr>
            </w:pPr>
          </w:p>
        </w:tc>
        <w:tc>
          <w:tcPr>
            <w:tcW w:w="1980" w:type="dxa"/>
            <w:vAlign w:val="center"/>
          </w:tcPr>
          <w:p w14:paraId="48B77948">
            <w:pPr>
              <w:rPr>
                <w:rFonts w:ascii="Tahoma" w:hAnsi="Tahoma"/>
                <w:color w:val="000000"/>
              </w:rPr>
            </w:pPr>
          </w:p>
        </w:tc>
        <w:tc>
          <w:tcPr>
            <w:tcW w:w="1260" w:type="dxa"/>
            <w:vAlign w:val="center"/>
          </w:tcPr>
          <w:p w14:paraId="1428EB94">
            <w:pPr>
              <w:rPr>
                <w:rFonts w:ascii="Tahoma" w:hAnsi="Tahoma"/>
                <w:color w:val="000000"/>
              </w:rPr>
            </w:pPr>
          </w:p>
        </w:tc>
        <w:tc>
          <w:tcPr>
            <w:tcW w:w="716" w:type="dxa"/>
            <w:vAlign w:val="center"/>
          </w:tcPr>
          <w:p w14:paraId="0FC5D19D">
            <w:pPr>
              <w:rPr>
                <w:rFonts w:ascii="Tahoma" w:hAnsi="Tahoma"/>
                <w:color w:val="000000"/>
              </w:rPr>
            </w:pPr>
          </w:p>
        </w:tc>
      </w:tr>
      <w:tr w14:paraId="6329C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B79CC25">
            <w:pPr>
              <w:rPr>
                <w:rFonts w:ascii="Tahoma" w:hAnsi="Tahoma"/>
                <w:color w:val="000000"/>
              </w:rPr>
            </w:pPr>
          </w:p>
        </w:tc>
        <w:tc>
          <w:tcPr>
            <w:tcW w:w="1954" w:type="dxa"/>
            <w:vAlign w:val="center"/>
          </w:tcPr>
          <w:p w14:paraId="3EBBB647">
            <w:pPr>
              <w:rPr>
                <w:rFonts w:ascii="Tahoma" w:hAnsi="Tahoma"/>
                <w:color w:val="000000"/>
              </w:rPr>
            </w:pPr>
          </w:p>
        </w:tc>
        <w:tc>
          <w:tcPr>
            <w:tcW w:w="1106" w:type="dxa"/>
            <w:vAlign w:val="center"/>
          </w:tcPr>
          <w:p w14:paraId="0C107935">
            <w:pPr>
              <w:rPr>
                <w:rFonts w:ascii="Tahoma" w:hAnsi="Tahoma"/>
                <w:color w:val="000000"/>
              </w:rPr>
            </w:pPr>
          </w:p>
        </w:tc>
        <w:tc>
          <w:tcPr>
            <w:tcW w:w="1800" w:type="dxa"/>
            <w:vAlign w:val="center"/>
          </w:tcPr>
          <w:p w14:paraId="0EEE55EC">
            <w:pPr>
              <w:rPr>
                <w:rFonts w:ascii="Tahoma" w:hAnsi="Tahoma"/>
                <w:color w:val="000000"/>
              </w:rPr>
            </w:pPr>
          </w:p>
        </w:tc>
        <w:tc>
          <w:tcPr>
            <w:tcW w:w="1980" w:type="dxa"/>
            <w:vAlign w:val="center"/>
          </w:tcPr>
          <w:p w14:paraId="22867164">
            <w:pPr>
              <w:rPr>
                <w:rFonts w:ascii="Tahoma" w:hAnsi="Tahoma"/>
                <w:color w:val="000000"/>
              </w:rPr>
            </w:pPr>
          </w:p>
        </w:tc>
        <w:tc>
          <w:tcPr>
            <w:tcW w:w="1260" w:type="dxa"/>
            <w:vAlign w:val="center"/>
          </w:tcPr>
          <w:p w14:paraId="2DF1BC29">
            <w:pPr>
              <w:rPr>
                <w:rFonts w:ascii="Tahoma" w:hAnsi="Tahoma"/>
                <w:color w:val="000000"/>
              </w:rPr>
            </w:pPr>
          </w:p>
        </w:tc>
        <w:tc>
          <w:tcPr>
            <w:tcW w:w="716" w:type="dxa"/>
            <w:vAlign w:val="center"/>
          </w:tcPr>
          <w:p w14:paraId="1E95F5BF">
            <w:pPr>
              <w:rPr>
                <w:rFonts w:ascii="Tahoma" w:hAnsi="Tahoma"/>
                <w:color w:val="000000"/>
              </w:rPr>
            </w:pPr>
          </w:p>
        </w:tc>
      </w:tr>
      <w:tr w14:paraId="1536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604D38B9">
            <w:pPr>
              <w:rPr>
                <w:rFonts w:ascii="Tahoma" w:hAnsi="Tahoma"/>
                <w:color w:val="000000"/>
              </w:rPr>
            </w:pPr>
          </w:p>
        </w:tc>
        <w:tc>
          <w:tcPr>
            <w:tcW w:w="1954" w:type="dxa"/>
            <w:vAlign w:val="center"/>
          </w:tcPr>
          <w:p w14:paraId="0218702C">
            <w:pPr>
              <w:rPr>
                <w:rFonts w:ascii="Tahoma" w:hAnsi="Tahoma"/>
                <w:color w:val="000000"/>
              </w:rPr>
            </w:pPr>
          </w:p>
        </w:tc>
        <w:tc>
          <w:tcPr>
            <w:tcW w:w="1106" w:type="dxa"/>
            <w:vAlign w:val="center"/>
          </w:tcPr>
          <w:p w14:paraId="6087B69C">
            <w:pPr>
              <w:rPr>
                <w:rFonts w:ascii="Tahoma" w:hAnsi="Tahoma"/>
                <w:color w:val="000000"/>
              </w:rPr>
            </w:pPr>
          </w:p>
        </w:tc>
        <w:tc>
          <w:tcPr>
            <w:tcW w:w="1800" w:type="dxa"/>
            <w:vAlign w:val="center"/>
          </w:tcPr>
          <w:p w14:paraId="0EA941EF">
            <w:pPr>
              <w:rPr>
                <w:rFonts w:ascii="Tahoma" w:hAnsi="Tahoma"/>
                <w:color w:val="000000"/>
              </w:rPr>
            </w:pPr>
          </w:p>
        </w:tc>
        <w:tc>
          <w:tcPr>
            <w:tcW w:w="1980" w:type="dxa"/>
            <w:vAlign w:val="center"/>
          </w:tcPr>
          <w:p w14:paraId="48FCB214">
            <w:pPr>
              <w:rPr>
                <w:rFonts w:ascii="Tahoma" w:hAnsi="Tahoma"/>
                <w:color w:val="000000"/>
              </w:rPr>
            </w:pPr>
          </w:p>
        </w:tc>
        <w:tc>
          <w:tcPr>
            <w:tcW w:w="1260" w:type="dxa"/>
            <w:vAlign w:val="center"/>
          </w:tcPr>
          <w:p w14:paraId="4E54F37B">
            <w:pPr>
              <w:rPr>
                <w:rFonts w:ascii="Tahoma" w:hAnsi="Tahoma"/>
                <w:color w:val="000000"/>
              </w:rPr>
            </w:pPr>
          </w:p>
        </w:tc>
        <w:tc>
          <w:tcPr>
            <w:tcW w:w="716" w:type="dxa"/>
            <w:vAlign w:val="center"/>
          </w:tcPr>
          <w:p w14:paraId="5301FB37">
            <w:pPr>
              <w:rPr>
                <w:rFonts w:ascii="Tahoma" w:hAnsi="Tahoma"/>
                <w:color w:val="000000"/>
              </w:rPr>
            </w:pPr>
          </w:p>
        </w:tc>
      </w:tr>
      <w:tr w14:paraId="2BA7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6B4AD58">
            <w:pPr>
              <w:rPr>
                <w:rFonts w:ascii="Tahoma" w:hAnsi="Tahoma"/>
                <w:color w:val="000000"/>
              </w:rPr>
            </w:pPr>
          </w:p>
        </w:tc>
        <w:tc>
          <w:tcPr>
            <w:tcW w:w="1954" w:type="dxa"/>
            <w:vAlign w:val="center"/>
          </w:tcPr>
          <w:p w14:paraId="0F016316">
            <w:pPr>
              <w:rPr>
                <w:rFonts w:ascii="Tahoma" w:hAnsi="Tahoma"/>
                <w:color w:val="000000"/>
              </w:rPr>
            </w:pPr>
          </w:p>
        </w:tc>
        <w:tc>
          <w:tcPr>
            <w:tcW w:w="1106" w:type="dxa"/>
            <w:vAlign w:val="center"/>
          </w:tcPr>
          <w:p w14:paraId="7B7FE298">
            <w:pPr>
              <w:rPr>
                <w:rFonts w:ascii="Tahoma" w:hAnsi="Tahoma"/>
                <w:color w:val="000000"/>
              </w:rPr>
            </w:pPr>
          </w:p>
        </w:tc>
        <w:tc>
          <w:tcPr>
            <w:tcW w:w="1800" w:type="dxa"/>
            <w:vAlign w:val="center"/>
          </w:tcPr>
          <w:p w14:paraId="6C50FF7D">
            <w:pPr>
              <w:rPr>
                <w:rFonts w:ascii="Tahoma" w:hAnsi="Tahoma"/>
                <w:color w:val="000000"/>
              </w:rPr>
            </w:pPr>
          </w:p>
        </w:tc>
        <w:tc>
          <w:tcPr>
            <w:tcW w:w="1980" w:type="dxa"/>
            <w:vAlign w:val="center"/>
          </w:tcPr>
          <w:p w14:paraId="237B71A7">
            <w:pPr>
              <w:rPr>
                <w:rFonts w:ascii="Tahoma" w:hAnsi="Tahoma"/>
                <w:color w:val="000000"/>
              </w:rPr>
            </w:pPr>
          </w:p>
        </w:tc>
        <w:tc>
          <w:tcPr>
            <w:tcW w:w="1260" w:type="dxa"/>
            <w:vAlign w:val="center"/>
          </w:tcPr>
          <w:p w14:paraId="1E9B7A27">
            <w:pPr>
              <w:rPr>
                <w:rFonts w:ascii="Tahoma" w:hAnsi="Tahoma"/>
                <w:color w:val="000000"/>
              </w:rPr>
            </w:pPr>
          </w:p>
        </w:tc>
        <w:tc>
          <w:tcPr>
            <w:tcW w:w="716" w:type="dxa"/>
            <w:vAlign w:val="center"/>
          </w:tcPr>
          <w:p w14:paraId="4F779D7C">
            <w:pPr>
              <w:rPr>
                <w:rFonts w:ascii="Tahoma" w:hAnsi="Tahoma"/>
                <w:color w:val="000000"/>
              </w:rPr>
            </w:pPr>
          </w:p>
        </w:tc>
      </w:tr>
      <w:tr w14:paraId="3418F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15342E7">
            <w:pPr>
              <w:rPr>
                <w:rFonts w:ascii="Tahoma" w:hAnsi="Tahoma"/>
                <w:color w:val="000000"/>
              </w:rPr>
            </w:pPr>
          </w:p>
        </w:tc>
        <w:tc>
          <w:tcPr>
            <w:tcW w:w="1954" w:type="dxa"/>
            <w:vAlign w:val="center"/>
          </w:tcPr>
          <w:p w14:paraId="2758AB77">
            <w:pPr>
              <w:rPr>
                <w:rFonts w:ascii="Tahoma" w:hAnsi="Tahoma"/>
                <w:color w:val="000000"/>
              </w:rPr>
            </w:pPr>
          </w:p>
        </w:tc>
        <w:tc>
          <w:tcPr>
            <w:tcW w:w="1106" w:type="dxa"/>
            <w:vAlign w:val="center"/>
          </w:tcPr>
          <w:p w14:paraId="47432E2F">
            <w:pPr>
              <w:rPr>
                <w:rFonts w:ascii="Tahoma" w:hAnsi="Tahoma"/>
                <w:color w:val="000000"/>
              </w:rPr>
            </w:pPr>
          </w:p>
        </w:tc>
        <w:tc>
          <w:tcPr>
            <w:tcW w:w="1800" w:type="dxa"/>
            <w:vAlign w:val="center"/>
          </w:tcPr>
          <w:p w14:paraId="5E819C39">
            <w:pPr>
              <w:rPr>
                <w:rFonts w:ascii="Tahoma" w:hAnsi="Tahoma"/>
                <w:color w:val="000000"/>
              </w:rPr>
            </w:pPr>
          </w:p>
        </w:tc>
        <w:tc>
          <w:tcPr>
            <w:tcW w:w="1980" w:type="dxa"/>
            <w:vAlign w:val="center"/>
          </w:tcPr>
          <w:p w14:paraId="0AF9AC0D">
            <w:pPr>
              <w:rPr>
                <w:rFonts w:ascii="Tahoma" w:hAnsi="Tahoma"/>
                <w:color w:val="000000"/>
              </w:rPr>
            </w:pPr>
          </w:p>
        </w:tc>
        <w:tc>
          <w:tcPr>
            <w:tcW w:w="1260" w:type="dxa"/>
            <w:vAlign w:val="center"/>
          </w:tcPr>
          <w:p w14:paraId="349F1193">
            <w:pPr>
              <w:rPr>
                <w:rFonts w:ascii="Tahoma" w:hAnsi="Tahoma"/>
                <w:color w:val="000000"/>
              </w:rPr>
            </w:pPr>
          </w:p>
        </w:tc>
        <w:tc>
          <w:tcPr>
            <w:tcW w:w="716" w:type="dxa"/>
            <w:vAlign w:val="center"/>
          </w:tcPr>
          <w:p w14:paraId="734E6041">
            <w:pPr>
              <w:rPr>
                <w:rFonts w:ascii="Tahoma" w:hAnsi="Tahoma"/>
                <w:color w:val="000000"/>
              </w:rPr>
            </w:pPr>
          </w:p>
        </w:tc>
      </w:tr>
      <w:tr w14:paraId="442D9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CB70B3C">
            <w:pPr>
              <w:rPr>
                <w:rFonts w:ascii="Tahoma" w:hAnsi="Tahoma"/>
                <w:color w:val="000000"/>
              </w:rPr>
            </w:pPr>
          </w:p>
        </w:tc>
        <w:tc>
          <w:tcPr>
            <w:tcW w:w="1954" w:type="dxa"/>
            <w:vAlign w:val="center"/>
          </w:tcPr>
          <w:p w14:paraId="1363AC59">
            <w:pPr>
              <w:rPr>
                <w:rFonts w:ascii="Tahoma" w:hAnsi="Tahoma"/>
                <w:color w:val="000000"/>
              </w:rPr>
            </w:pPr>
          </w:p>
        </w:tc>
        <w:tc>
          <w:tcPr>
            <w:tcW w:w="1106" w:type="dxa"/>
            <w:vAlign w:val="center"/>
          </w:tcPr>
          <w:p w14:paraId="3A185E1F">
            <w:pPr>
              <w:rPr>
                <w:rFonts w:ascii="Tahoma" w:hAnsi="Tahoma"/>
                <w:color w:val="000000"/>
              </w:rPr>
            </w:pPr>
          </w:p>
        </w:tc>
        <w:tc>
          <w:tcPr>
            <w:tcW w:w="1800" w:type="dxa"/>
            <w:vAlign w:val="center"/>
          </w:tcPr>
          <w:p w14:paraId="4EDD005C">
            <w:pPr>
              <w:rPr>
                <w:rFonts w:ascii="Tahoma" w:hAnsi="Tahoma"/>
                <w:color w:val="000000"/>
              </w:rPr>
            </w:pPr>
          </w:p>
        </w:tc>
        <w:tc>
          <w:tcPr>
            <w:tcW w:w="1980" w:type="dxa"/>
            <w:vAlign w:val="center"/>
          </w:tcPr>
          <w:p w14:paraId="3FC6DDF5">
            <w:pPr>
              <w:rPr>
                <w:rFonts w:ascii="Tahoma" w:hAnsi="Tahoma"/>
                <w:color w:val="000000"/>
              </w:rPr>
            </w:pPr>
          </w:p>
        </w:tc>
        <w:tc>
          <w:tcPr>
            <w:tcW w:w="1260" w:type="dxa"/>
            <w:vAlign w:val="center"/>
          </w:tcPr>
          <w:p w14:paraId="204A5685">
            <w:pPr>
              <w:rPr>
                <w:rFonts w:ascii="Tahoma" w:hAnsi="Tahoma"/>
                <w:color w:val="000000"/>
              </w:rPr>
            </w:pPr>
          </w:p>
        </w:tc>
        <w:tc>
          <w:tcPr>
            <w:tcW w:w="716" w:type="dxa"/>
            <w:vAlign w:val="center"/>
          </w:tcPr>
          <w:p w14:paraId="5D1CCBFB">
            <w:pPr>
              <w:rPr>
                <w:rFonts w:ascii="Tahoma" w:hAnsi="Tahoma"/>
                <w:color w:val="000000"/>
              </w:rPr>
            </w:pPr>
          </w:p>
        </w:tc>
      </w:tr>
    </w:tbl>
    <w:p w14:paraId="22D790E8"/>
    <w:p w14:paraId="537EC5CB"/>
    <w:p w14:paraId="4CEBD3B9">
      <w:pPr>
        <w:spacing w:line="588" w:lineRule="exact"/>
        <w:jc w:val="center"/>
        <w:rPr>
          <w:rFonts w:ascii="宋体" w:hAnsi="宋体"/>
          <w:b/>
          <w:color w:val="000000"/>
          <w:kern w:val="0"/>
          <w:sz w:val="28"/>
          <w:szCs w:val="28"/>
          <w:highlight w:val="yellow"/>
        </w:rPr>
      </w:pPr>
    </w:p>
    <w:p w14:paraId="334920A9">
      <w:pPr>
        <w:spacing w:line="588" w:lineRule="exact"/>
        <w:jc w:val="center"/>
        <w:rPr>
          <w:rFonts w:ascii="宋体" w:hAnsi="宋体"/>
          <w:b/>
          <w:color w:val="000000"/>
          <w:kern w:val="0"/>
          <w:sz w:val="28"/>
          <w:szCs w:val="28"/>
          <w:highlight w:val="yellow"/>
        </w:rPr>
      </w:pPr>
    </w:p>
    <w:p w14:paraId="5538562D">
      <w:pPr>
        <w:spacing w:line="588" w:lineRule="exact"/>
        <w:jc w:val="center"/>
        <w:rPr>
          <w:rFonts w:ascii="宋体" w:hAnsi="宋体"/>
          <w:b/>
          <w:color w:val="000000"/>
          <w:kern w:val="0"/>
          <w:sz w:val="28"/>
          <w:szCs w:val="28"/>
          <w:highlight w:val="yellow"/>
        </w:rPr>
      </w:pPr>
    </w:p>
    <w:p w14:paraId="022D2A94">
      <w:pPr>
        <w:spacing w:line="588" w:lineRule="exact"/>
        <w:jc w:val="center"/>
        <w:rPr>
          <w:rFonts w:ascii="宋体" w:hAnsi="宋体"/>
          <w:b/>
          <w:color w:val="000000"/>
          <w:kern w:val="0"/>
          <w:sz w:val="28"/>
          <w:szCs w:val="28"/>
          <w:highlight w:val="yellow"/>
        </w:rPr>
      </w:pPr>
    </w:p>
    <w:p w14:paraId="48BC168F">
      <w:pPr>
        <w:pStyle w:val="7"/>
        <w:numPr>
          <w:ilvl w:val="5"/>
          <w:numId w:val="5"/>
        </w:numPr>
        <w:jc w:val="both"/>
        <w:rPr>
          <w:rFonts w:ascii="宋体" w:hAnsi="宋体"/>
          <w:bCs w:val="0"/>
          <w:color w:val="000000"/>
          <w:sz w:val="28"/>
          <w:szCs w:val="28"/>
        </w:rPr>
      </w:pPr>
      <w:bookmarkStart w:id="102" w:name="_Toc141968449"/>
      <w:bookmarkStart w:id="103" w:name="_Toc7099"/>
      <w:bookmarkStart w:id="104" w:name="_Toc26475"/>
      <w:r>
        <w:rPr>
          <w:rFonts w:hint="eastAsia" w:ascii="宋体" w:hAnsi="宋体"/>
          <w:bCs w:val="0"/>
          <w:color w:val="000000"/>
          <w:sz w:val="28"/>
          <w:szCs w:val="28"/>
        </w:rPr>
        <w:t>附件6： 中小企业声明函</w:t>
      </w:r>
      <w:bookmarkEnd w:id="102"/>
      <w:bookmarkEnd w:id="103"/>
      <w:bookmarkEnd w:id="104"/>
    </w:p>
    <w:p w14:paraId="1C31D6F3">
      <w:pPr>
        <w:spacing w:line="588" w:lineRule="exact"/>
        <w:jc w:val="center"/>
        <w:rPr>
          <w:rFonts w:ascii="宋体" w:hAnsi="宋体"/>
          <w:b/>
          <w:color w:val="000000"/>
          <w:kern w:val="0"/>
          <w:sz w:val="28"/>
          <w:szCs w:val="28"/>
        </w:rPr>
      </w:pPr>
    </w:p>
    <w:p w14:paraId="6FE15CE1">
      <w:pPr>
        <w:snapToGrid w:val="0"/>
        <w:spacing w:line="360" w:lineRule="auto"/>
        <w:ind w:firstLine="803" w:firstLineChars="250"/>
        <w:jc w:val="center"/>
        <w:rPr>
          <w:rFonts w:ascii="宋体" w:hAnsi="宋体"/>
          <w:b/>
          <w:color w:val="000000"/>
          <w:sz w:val="32"/>
        </w:rPr>
      </w:pPr>
      <w:r>
        <w:rPr>
          <w:rFonts w:ascii="宋体" w:hAnsi="宋体"/>
          <w:b/>
          <w:color w:val="000000"/>
          <w:sz w:val="32"/>
        </w:rPr>
        <w:t xml:space="preserve">中小企业声明函（货物） </w:t>
      </w:r>
    </w:p>
    <w:p w14:paraId="7E09AB4A">
      <w:pPr>
        <w:snapToGrid w:val="0"/>
        <w:spacing w:line="360" w:lineRule="auto"/>
        <w:ind w:firstLine="480" w:firstLineChars="20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14:paraId="3146D5B4">
      <w:pPr>
        <w:snapToGrid w:val="0"/>
        <w:spacing w:line="360" w:lineRule="auto"/>
        <w:ind w:firstLine="600" w:firstLineChars="25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14:paraId="4E4C6CAD">
      <w:pPr>
        <w:snapToGrid w:val="0"/>
        <w:spacing w:line="360" w:lineRule="auto"/>
        <w:ind w:firstLine="600" w:firstLineChars="25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14:paraId="0CD061DC">
      <w:pPr>
        <w:snapToGrid w:val="0"/>
        <w:spacing w:line="360" w:lineRule="auto"/>
        <w:ind w:firstLine="600" w:firstLineChars="250"/>
        <w:jc w:val="left"/>
        <w:rPr>
          <w:rFonts w:ascii="宋体" w:hAnsi="宋体"/>
          <w:color w:val="000000"/>
          <w:sz w:val="24"/>
        </w:rPr>
      </w:pPr>
      <w:r>
        <w:rPr>
          <w:rFonts w:ascii="宋体" w:hAnsi="宋体"/>
          <w:color w:val="000000"/>
          <w:sz w:val="24"/>
        </w:rPr>
        <w:t xml:space="preserve">…… </w:t>
      </w:r>
    </w:p>
    <w:p w14:paraId="60B67E5A">
      <w:pPr>
        <w:snapToGrid w:val="0"/>
        <w:spacing w:line="360" w:lineRule="auto"/>
        <w:ind w:firstLine="480" w:firstLineChars="20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14:paraId="08B4C66E">
      <w:pPr>
        <w:snapToGrid w:val="0"/>
        <w:spacing w:line="360" w:lineRule="auto"/>
        <w:ind w:firstLine="480" w:firstLineChars="200"/>
        <w:rPr>
          <w:rFonts w:ascii="宋体" w:hAnsi="宋体"/>
          <w:color w:val="000000"/>
          <w:sz w:val="24"/>
        </w:rPr>
      </w:pPr>
      <w:r>
        <w:rPr>
          <w:rFonts w:ascii="宋体" w:hAnsi="宋体"/>
          <w:color w:val="000000"/>
          <w:sz w:val="24"/>
        </w:rPr>
        <w:t xml:space="preserve">本企业对上述声明内容的真实性负责。如有虚假，将依法承担相应责任。 </w:t>
      </w:r>
    </w:p>
    <w:p w14:paraId="3956BFA3">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p>
    <w:p w14:paraId="6F7DE275">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14:paraId="756564F1">
      <w:pPr>
        <w:snapToGrid w:val="0"/>
        <w:spacing w:line="360" w:lineRule="auto"/>
        <w:ind w:firstLine="600" w:firstLineChars="250"/>
        <w:jc w:val="center"/>
        <w:rPr>
          <w:rFonts w:ascii="宋体" w:hAnsi="宋体"/>
          <w:color w:val="000000"/>
          <w:sz w:val="24"/>
        </w:rPr>
      </w:pPr>
      <w:r>
        <w:rPr>
          <w:rFonts w:ascii="宋体" w:hAnsi="宋体"/>
          <w:color w:val="000000"/>
          <w:sz w:val="24"/>
        </w:rPr>
        <w:t>日 期：</w:t>
      </w:r>
    </w:p>
    <w:p w14:paraId="23061031">
      <w:pPr>
        <w:rPr>
          <w:rFonts w:ascii="宋体" w:hAnsi="宋体"/>
          <w:b/>
          <w:color w:val="000000"/>
          <w:kern w:val="0"/>
          <w:sz w:val="28"/>
          <w:szCs w:val="28"/>
        </w:rPr>
      </w:pPr>
    </w:p>
    <w:p w14:paraId="012076A7">
      <w:pPr>
        <w:jc w:val="center"/>
        <w:rPr>
          <w:rFonts w:ascii="宋体" w:hAnsi="宋体"/>
          <w:b/>
          <w:color w:val="000000"/>
          <w:kern w:val="0"/>
          <w:sz w:val="28"/>
          <w:szCs w:val="28"/>
        </w:rPr>
      </w:pPr>
    </w:p>
    <w:p w14:paraId="252F9FA5">
      <w:pPr>
        <w:jc w:val="center"/>
        <w:rPr>
          <w:rFonts w:ascii="宋体" w:hAnsi="宋体"/>
          <w:b/>
          <w:color w:val="000000"/>
          <w:kern w:val="0"/>
          <w:sz w:val="28"/>
          <w:szCs w:val="28"/>
        </w:rPr>
      </w:pPr>
    </w:p>
    <w:p w14:paraId="32F1130D">
      <w:pPr>
        <w:jc w:val="center"/>
        <w:rPr>
          <w:rFonts w:ascii="宋体" w:hAnsi="宋体"/>
          <w:b/>
          <w:color w:val="000000"/>
          <w:kern w:val="0"/>
          <w:sz w:val="28"/>
          <w:szCs w:val="28"/>
        </w:rPr>
      </w:pPr>
    </w:p>
    <w:p w14:paraId="523D542B">
      <w:pPr>
        <w:jc w:val="center"/>
        <w:rPr>
          <w:rFonts w:ascii="宋体" w:hAnsi="宋体"/>
          <w:b/>
          <w:color w:val="000000"/>
          <w:kern w:val="0"/>
          <w:sz w:val="28"/>
          <w:szCs w:val="28"/>
        </w:rPr>
      </w:pPr>
    </w:p>
    <w:p w14:paraId="45F1E511">
      <w:pPr>
        <w:jc w:val="center"/>
        <w:rPr>
          <w:rFonts w:ascii="宋体" w:hAnsi="宋体"/>
          <w:b/>
          <w:color w:val="000000"/>
          <w:kern w:val="0"/>
          <w:sz w:val="28"/>
          <w:szCs w:val="28"/>
        </w:rPr>
      </w:pPr>
    </w:p>
    <w:p w14:paraId="55A6D741">
      <w:pPr>
        <w:jc w:val="center"/>
        <w:rPr>
          <w:rFonts w:ascii="宋体" w:hAnsi="宋体"/>
          <w:b/>
          <w:color w:val="000000"/>
          <w:kern w:val="0"/>
          <w:sz w:val="28"/>
          <w:szCs w:val="28"/>
        </w:rPr>
      </w:pPr>
    </w:p>
    <w:p w14:paraId="5CAAEE1F">
      <w:pPr>
        <w:jc w:val="center"/>
        <w:rPr>
          <w:rFonts w:ascii="宋体" w:hAnsi="宋体"/>
          <w:b/>
          <w:color w:val="000000"/>
          <w:kern w:val="0"/>
          <w:sz w:val="28"/>
          <w:szCs w:val="28"/>
        </w:rPr>
      </w:pPr>
    </w:p>
    <w:p w14:paraId="68A54AD1">
      <w:pPr>
        <w:jc w:val="center"/>
        <w:rPr>
          <w:rFonts w:ascii="宋体" w:hAnsi="宋体"/>
          <w:b/>
          <w:color w:val="000000"/>
          <w:kern w:val="0"/>
          <w:sz w:val="28"/>
          <w:szCs w:val="28"/>
        </w:rPr>
      </w:pPr>
    </w:p>
    <w:p w14:paraId="4BAD929E">
      <w:pPr>
        <w:rPr>
          <w:rFonts w:ascii="宋体" w:hAnsi="宋体"/>
          <w:b/>
          <w:color w:val="000000"/>
          <w:kern w:val="0"/>
          <w:sz w:val="28"/>
          <w:szCs w:val="28"/>
        </w:rPr>
      </w:pPr>
    </w:p>
    <w:p w14:paraId="47C08DC1">
      <w:pPr>
        <w:rPr>
          <w:rFonts w:ascii="宋体" w:hAnsi="宋体"/>
          <w:b/>
          <w:color w:val="000000"/>
          <w:kern w:val="0"/>
          <w:sz w:val="28"/>
          <w:szCs w:val="28"/>
        </w:rPr>
      </w:pPr>
    </w:p>
    <w:p w14:paraId="2BAB2639">
      <w:pPr>
        <w:jc w:val="center"/>
        <w:rPr>
          <w:rFonts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60288"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60288;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14:paraId="2B822692">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6996957A">
      <w:pPr>
        <w:rPr>
          <w:rFonts w:ascii="宋体" w:hAnsi="宋体"/>
          <w:b/>
          <w:color w:val="000000"/>
          <w:kern w:val="0"/>
          <w:sz w:val="28"/>
          <w:szCs w:val="28"/>
        </w:rPr>
      </w:pPr>
    </w:p>
    <w:p w14:paraId="2300F5FD">
      <w:pPr>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14:paraId="0F43A346">
      <w:pPr>
        <w:rPr>
          <w:rFonts w:ascii="宋体" w:hAnsi="宋体"/>
          <w:b/>
          <w:color w:val="000000"/>
          <w:kern w:val="0"/>
          <w:sz w:val="28"/>
          <w:szCs w:val="28"/>
        </w:rPr>
      </w:pPr>
    </w:p>
    <w:p w14:paraId="2756F78C">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w:t>
      </w:r>
      <w:r>
        <w:rPr>
          <w:rFonts w:hint="eastAsia" w:ascii="宋体" w:hAnsi="宋体"/>
          <w:color w:val="000000"/>
          <w:sz w:val="24"/>
          <w:lang w:eastAsia="zh-CN"/>
        </w:rPr>
        <w:t>〔2017〕141号</w:t>
      </w:r>
      <w:r>
        <w:rPr>
          <w:rFonts w:hint="eastAsia" w:ascii="宋体" w:hAnsi="宋体"/>
          <w:color w:val="000000"/>
          <w:sz w:val="24"/>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F07C29">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14:paraId="4A4F09D6">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14:paraId="4E517711">
      <w:pPr>
        <w:spacing w:line="588" w:lineRule="exact"/>
        <w:ind w:firstLine="480" w:firstLineChars="200"/>
        <w:rPr>
          <w:rFonts w:ascii="宋体" w:hAnsi="宋体"/>
          <w:color w:val="000000"/>
          <w:sz w:val="24"/>
        </w:rPr>
      </w:pPr>
      <w:r>
        <w:rPr>
          <w:rFonts w:hint="eastAsia" w:ascii="宋体" w:hAnsi="宋体"/>
          <w:color w:val="000000"/>
          <w:sz w:val="24"/>
        </w:rPr>
        <w:t xml:space="preserve">               日  期：</w:t>
      </w:r>
    </w:p>
    <w:p w14:paraId="15B44758">
      <w:pPr>
        <w:spacing w:line="588" w:lineRule="exact"/>
        <w:ind w:firstLine="480" w:firstLineChars="200"/>
        <w:rPr>
          <w:rFonts w:ascii="宋体" w:hAnsi="宋体"/>
          <w:color w:val="000000"/>
          <w:sz w:val="24"/>
        </w:rPr>
      </w:pPr>
    </w:p>
    <w:p w14:paraId="3E18CF4D">
      <w:pPr>
        <w:spacing w:line="588" w:lineRule="exact"/>
        <w:ind w:firstLine="480" w:firstLineChars="200"/>
        <w:rPr>
          <w:rFonts w:ascii="宋体" w:hAnsi="宋体"/>
          <w:color w:val="000000"/>
          <w:sz w:val="24"/>
        </w:rPr>
        <w:sectPr>
          <w:pgSz w:w="11907" w:h="16840"/>
          <w:pgMar w:top="1089" w:right="1106" w:bottom="936" w:left="1259" w:header="851" w:footer="992" w:gutter="0"/>
          <w:pgNumType w:chapStyle="2"/>
          <w:cols w:space="720" w:num="1"/>
          <w:titlePg/>
          <w:docGrid w:linePitch="312" w:charSpace="0"/>
        </w:sectPr>
      </w:pPr>
    </w:p>
    <w:p w14:paraId="13E94810">
      <w:pPr>
        <w:pStyle w:val="21"/>
      </w:pPr>
      <w:bookmarkStart w:id="105" w:name="_Toc150737675"/>
      <w:bookmarkStart w:id="106" w:name="_Toc145215446"/>
      <w:bookmarkStart w:id="107" w:name="_Toc201641339"/>
      <w:bookmarkStart w:id="108" w:name="_Toc20489"/>
      <w:bookmarkStart w:id="109" w:name="_Toc25985"/>
      <w:bookmarkStart w:id="110" w:name="_Toc141968450"/>
      <w:r>
        <w:rPr>
          <w:rFonts w:hint="eastAsia"/>
        </w:rPr>
        <w:t>第六部分 采购合同</w:t>
      </w:r>
      <w:bookmarkEnd w:id="105"/>
      <w:bookmarkEnd w:id="106"/>
      <w:r>
        <w:rPr>
          <w:rFonts w:hint="eastAsia"/>
        </w:rPr>
        <w:t>（草稿）</w:t>
      </w:r>
      <w:bookmarkEnd w:id="107"/>
      <w:bookmarkEnd w:id="108"/>
      <w:bookmarkEnd w:id="109"/>
      <w:bookmarkEnd w:id="110"/>
    </w:p>
    <w:p w14:paraId="72E3D9DB">
      <w:pPr>
        <w:ind w:firstLine="7330" w:firstLineChars="3477"/>
        <w:rPr>
          <w:rFonts w:ascii="宋体" w:hAnsi="宋体"/>
          <w:b/>
          <w:bCs/>
          <w:color w:val="000000"/>
        </w:rPr>
      </w:pPr>
      <w:r>
        <w:rPr>
          <w:rFonts w:hint="eastAsia" w:ascii="宋体" w:hAnsi="宋体"/>
          <w:b/>
          <w:bCs/>
          <w:color w:val="000000"/>
        </w:rPr>
        <w:t>合同编号：</w:t>
      </w:r>
    </w:p>
    <w:p w14:paraId="34713E8F">
      <w:pPr>
        <w:spacing w:line="360" w:lineRule="auto"/>
        <w:ind w:firstLine="480" w:firstLineChars="200"/>
        <w:jc w:val="left"/>
        <w:rPr>
          <w:rFonts w:ascii="仿宋" w:hAnsi="仿宋" w:eastAsia="仿宋" w:cs="仿宋"/>
          <w:sz w:val="24"/>
        </w:rPr>
      </w:pPr>
      <w:r>
        <w:rPr>
          <w:rFonts w:hint="eastAsia" w:ascii="仿宋" w:hAnsi="仿宋" w:eastAsia="仿宋" w:cs="仿宋"/>
          <w:sz w:val="24"/>
        </w:rPr>
        <w:t>甲方：北京体育大学附属竞技体育学校</w:t>
      </w:r>
    </w:p>
    <w:p w14:paraId="6218150D">
      <w:pPr>
        <w:spacing w:line="360" w:lineRule="auto"/>
        <w:ind w:firstLine="480" w:firstLineChars="200"/>
        <w:jc w:val="left"/>
        <w:rPr>
          <w:rFonts w:ascii="仿宋" w:hAnsi="仿宋" w:eastAsia="仿宋" w:cs="仿宋"/>
          <w:sz w:val="24"/>
        </w:rPr>
      </w:pPr>
      <w:r>
        <w:rPr>
          <w:rFonts w:hint="eastAsia" w:ascii="仿宋" w:hAnsi="仿宋" w:eastAsia="仿宋" w:cs="仿宋"/>
          <w:sz w:val="24"/>
        </w:rPr>
        <w:t>乙方：</w:t>
      </w:r>
    </w:p>
    <w:p w14:paraId="23F86AC2">
      <w:pPr>
        <w:spacing w:line="360" w:lineRule="auto"/>
        <w:ind w:firstLine="480" w:firstLineChars="200"/>
        <w:jc w:val="left"/>
        <w:rPr>
          <w:rFonts w:ascii="仿宋" w:hAnsi="仿宋" w:eastAsia="仿宋" w:cs="仿宋"/>
          <w:sz w:val="24"/>
        </w:rPr>
      </w:pPr>
      <w:r>
        <w:rPr>
          <w:rFonts w:hint="eastAsia" w:ascii="仿宋" w:hAnsi="仿宋" w:eastAsia="仿宋" w:cs="仿宋"/>
          <w:sz w:val="24"/>
        </w:rPr>
        <w:t>根据《中华人民共和国政府采购法</w:t>
      </w:r>
      <w:r>
        <w:rPr>
          <w:rFonts w:hint="eastAsia" w:ascii="仿宋" w:hAnsi="仿宋" w:eastAsia="仿宋" w:cs="仿宋"/>
          <w:sz w:val="24"/>
          <w:lang w:eastAsia="zh-CN"/>
        </w:rPr>
        <w:t>》《</w:t>
      </w:r>
      <w:r>
        <w:rPr>
          <w:rFonts w:hint="eastAsia" w:ascii="仿宋" w:hAnsi="仿宋" w:eastAsia="仿宋" w:cs="仿宋"/>
          <w:sz w:val="24"/>
        </w:rPr>
        <w:t xml:space="preserve">中华人民共和国民法典》等相关法律法规以及本项目招标文件的规定，合同各方经平等协商达成合同如下： </w:t>
      </w:r>
    </w:p>
    <w:p w14:paraId="471A1DC6">
      <w:pPr>
        <w:pStyle w:val="20"/>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一、定义</w:t>
      </w:r>
    </w:p>
    <w:p w14:paraId="398990DA">
      <w:pPr>
        <w:spacing w:line="360" w:lineRule="auto"/>
        <w:ind w:firstLine="480" w:firstLineChars="200"/>
        <w:jc w:val="left"/>
        <w:rPr>
          <w:rFonts w:ascii="仿宋" w:hAnsi="仿宋" w:eastAsia="仿宋" w:cs="仿宋"/>
          <w:sz w:val="24"/>
        </w:rPr>
      </w:pPr>
      <w:r>
        <w:rPr>
          <w:rFonts w:hint="eastAsia" w:ascii="仿宋" w:hAnsi="仿宋" w:eastAsia="仿宋" w:cs="仿宋"/>
          <w:sz w:val="24"/>
        </w:rPr>
        <w:t>除非另有特别解释或说明，在本合同及与本合同相关的，甲、乙双方另行签署的其他文件（包括但不限于本合同的附件）中，下述词语均依如下定义进行解释：</w:t>
      </w:r>
    </w:p>
    <w:p w14:paraId="0773533F">
      <w:pPr>
        <w:spacing w:line="360" w:lineRule="auto"/>
        <w:ind w:firstLine="480" w:firstLineChars="200"/>
        <w:jc w:val="left"/>
        <w:rPr>
          <w:rFonts w:ascii="仿宋" w:hAnsi="仿宋" w:eastAsia="仿宋" w:cs="仿宋"/>
          <w:sz w:val="24"/>
        </w:rPr>
      </w:pPr>
      <w:r>
        <w:rPr>
          <w:rFonts w:hint="eastAsia" w:ascii="仿宋" w:hAnsi="仿宋" w:eastAsia="仿宋" w:cs="仿宋"/>
          <w:sz w:val="24"/>
        </w:rPr>
        <w:t>1、“项目”指（项目名称）采购项目  。</w:t>
      </w:r>
    </w:p>
    <w:p w14:paraId="71773233">
      <w:pPr>
        <w:spacing w:line="360" w:lineRule="auto"/>
        <w:ind w:firstLine="480" w:firstLineChars="200"/>
        <w:jc w:val="left"/>
        <w:rPr>
          <w:rFonts w:ascii="仿宋" w:hAnsi="仿宋" w:eastAsia="仿宋" w:cs="仿宋"/>
          <w:sz w:val="24"/>
        </w:rPr>
      </w:pPr>
      <w:r>
        <w:rPr>
          <w:rFonts w:hint="eastAsia" w:ascii="仿宋" w:hAnsi="仿宋" w:eastAsia="仿宋" w:cs="仿宋"/>
          <w:sz w:val="24"/>
        </w:rPr>
        <w:t>2、“合同”指甲、乙双方签署的，与本项目相关的协议、附件、附录和其他一切文件。</w:t>
      </w:r>
    </w:p>
    <w:p w14:paraId="26721AC2">
      <w:pPr>
        <w:spacing w:line="360" w:lineRule="auto"/>
        <w:ind w:firstLine="480" w:firstLineChars="200"/>
        <w:jc w:val="left"/>
        <w:rPr>
          <w:rFonts w:ascii="仿宋" w:hAnsi="仿宋" w:eastAsia="仿宋" w:cs="仿宋"/>
          <w:sz w:val="24"/>
        </w:rPr>
      </w:pPr>
      <w:r>
        <w:rPr>
          <w:rFonts w:hint="eastAsia" w:ascii="仿宋" w:hAnsi="仿宋" w:eastAsia="仿宋" w:cs="仿宋"/>
          <w:sz w:val="24"/>
        </w:rPr>
        <w:t>3、“附件”是指与本合同的订立、履行有关的，经甲、乙双方认可的，对本合同约定的内容进行细化、补充、修改、变更的文件、图纸、音像制品等资料。</w:t>
      </w:r>
    </w:p>
    <w:p w14:paraId="5711BE90">
      <w:pPr>
        <w:spacing w:line="360" w:lineRule="auto"/>
        <w:ind w:firstLine="480" w:firstLineChars="200"/>
        <w:jc w:val="left"/>
        <w:rPr>
          <w:rFonts w:ascii="仿宋" w:hAnsi="仿宋" w:eastAsia="仿宋" w:cs="仿宋"/>
          <w:sz w:val="24"/>
        </w:rPr>
      </w:pPr>
      <w:r>
        <w:rPr>
          <w:rFonts w:hint="eastAsia" w:ascii="仿宋" w:hAnsi="仿宋" w:eastAsia="仿宋" w:cs="仿宋"/>
          <w:sz w:val="24"/>
        </w:rPr>
        <w:t>4、“合同货物”指合同货物清单（附件一）（同投标/报价文件中最终产品报价明细表，下同）中所规定的货物、硬件、软件、安装材料、备件及专用器具、文件资料等内容。</w:t>
      </w:r>
    </w:p>
    <w:p w14:paraId="462F3653">
      <w:pPr>
        <w:spacing w:line="360" w:lineRule="auto"/>
        <w:ind w:firstLine="480" w:firstLineChars="200"/>
        <w:jc w:val="left"/>
        <w:rPr>
          <w:rFonts w:ascii="仿宋" w:hAnsi="仿宋" w:eastAsia="仿宋" w:cs="仿宋"/>
          <w:sz w:val="24"/>
        </w:rPr>
      </w:pPr>
      <w:r>
        <w:rPr>
          <w:rFonts w:hint="eastAsia" w:ascii="仿宋" w:hAnsi="仿宋" w:eastAsia="仿宋" w:cs="仿宋"/>
          <w:sz w:val="24"/>
        </w:rPr>
        <w:t>5、“服务”指根据合同规定乙方应承担的与供货有关的辅助服务，包括（但不限于）合同货物的运输、保险、安装、测试、调试、配套施工、培训、维修、提供技术指导和支持、保修期外的维护以及其他类似的义务。</w:t>
      </w:r>
    </w:p>
    <w:p w14:paraId="4E4E06D5">
      <w:pPr>
        <w:spacing w:line="360" w:lineRule="auto"/>
        <w:ind w:firstLine="480" w:firstLineChars="200"/>
        <w:jc w:val="left"/>
        <w:rPr>
          <w:rFonts w:ascii="仿宋" w:hAnsi="仿宋" w:eastAsia="仿宋" w:cs="仿宋"/>
          <w:sz w:val="24"/>
        </w:rPr>
      </w:pPr>
      <w:r>
        <w:rPr>
          <w:rFonts w:hint="eastAsia" w:ascii="仿宋" w:hAnsi="仿宋" w:eastAsia="仿宋" w:cs="仿宋"/>
          <w:sz w:val="24"/>
        </w:rPr>
        <w:t>6、“检验”指甲方收货后，按照本合同约定的标准对合同货物进行的检测与查验。</w:t>
      </w:r>
    </w:p>
    <w:p w14:paraId="52B6C655">
      <w:pPr>
        <w:spacing w:line="360" w:lineRule="auto"/>
        <w:ind w:firstLine="480" w:firstLineChars="200"/>
        <w:jc w:val="left"/>
        <w:rPr>
          <w:rFonts w:ascii="仿宋" w:hAnsi="仿宋" w:eastAsia="仿宋" w:cs="仿宋"/>
          <w:sz w:val="24"/>
        </w:rPr>
      </w:pPr>
      <w:r>
        <w:rPr>
          <w:rFonts w:hint="eastAsia" w:ascii="仿宋" w:hAnsi="仿宋" w:eastAsia="仿宋" w:cs="仿宋"/>
          <w:sz w:val="24"/>
        </w:rPr>
        <w:t>7、“验收单”指检验完成后由甲、乙双方共同签署的验收单（记录表）或相关证明通过验收的书面文件。</w:t>
      </w:r>
    </w:p>
    <w:p w14:paraId="7B2EED42">
      <w:pPr>
        <w:spacing w:line="360" w:lineRule="auto"/>
        <w:ind w:firstLine="480" w:firstLineChars="200"/>
        <w:jc w:val="left"/>
        <w:rPr>
          <w:rFonts w:ascii="仿宋" w:hAnsi="仿宋" w:eastAsia="仿宋" w:cs="仿宋"/>
          <w:sz w:val="24"/>
        </w:rPr>
      </w:pPr>
      <w:r>
        <w:rPr>
          <w:rFonts w:hint="eastAsia" w:ascii="仿宋" w:hAnsi="仿宋" w:eastAsia="仿宋" w:cs="仿宋"/>
          <w:sz w:val="24"/>
        </w:rPr>
        <w:t>8、“技术资料”指安装、调试、使用、维修合同货物所应具备的产品使用说明书和／或使用指南、操作手册、维修指南、服务手册、电路图、产品演示等文件。</w:t>
      </w:r>
    </w:p>
    <w:p w14:paraId="40D12BD7">
      <w:pPr>
        <w:spacing w:line="360" w:lineRule="auto"/>
        <w:ind w:firstLine="480" w:firstLineChars="200"/>
        <w:jc w:val="left"/>
        <w:rPr>
          <w:rFonts w:ascii="仿宋" w:hAnsi="仿宋" w:eastAsia="仿宋" w:cs="仿宋"/>
          <w:sz w:val="24"/>
        </w:rPr>
      </w:pPr>
      <w:r>
        <w:rPr>
          <w:rFonts w:hint="eastAsia" w:ascii="仿宋" w:hAnsi="仿宋" w:eastAsia="仿宋" w:cs="仿宋"/>
          <w:sz w:val="24"/>
        </w:rPr>
        <w:t>9、“保修期”指自验收单签署之日起，乙方以自担费用方式保证合同货物正常运行的时期。</w:t>
      </w:r>
    </w:p>
    <w:p w14:paraId="258C0E3D">
      <w:pPr>
        <w:spacing w:line="360" w:lineRule="auto"/>
        <w:ind w:firstLine="480" w:firstLineChars="200"/>
        <w:jc w:val="left"/>
        <w:rPr>
          <w:rFonts w:ascii="仿宋" w:hAnsi="仿宋" w:eastAsia="仿宋" w:cs="仿宋"/>
          <w:sz w:val="24"/>
        </w:rPr>
      </w:pPr>
      <w:r>
        <w:rPr>
          <w:rFonts w:hint="eastAsia" w:ascii="仿宋" w:hAnsi="仿宋" w:eastAsia="仿宋" w:cs="仿宋"/>
          <w:sz w:val="24"/>
        </w:rPr>
        <w:t>10、“第三人”是指本合同双方以外的任何中国境内、外的自然人、法人或其他经济组织。</w:t>
      </w:r>
    </w:p>
    <w:p w14:paraId="075C494A">
      <w:pPr>
        <w:spacing w:line="360" w:lineRule="auto"/>
        <w:ind w:firstLine="480" w:firstLineChars="200"/>
        <w:jc w:val="left"/>
        <w:rPr>
          <w:rFonts w:ascii="仿宋" w:hAnsi="仿宋" w:eastAsia="仿宋" w:cs="仿宋"/>
          <w:sz w:val="24"/>
        </w:rPr>
      </w:pPr>
      <w:r>
        <w:rPr>
          <w:rFonts w:hint="eastAsia" w:ascii="仿宋" w:hAnsi="仿宋" w:eastAsia="仿宋" w:cs="仿宋"/>
          <w:sz w:val="24"/>
        </w:rPr>
        <w:t>11、“法律、法规”是指由中国有关部门制定的法律、行政法规、地方性法规、规章及其他规范性文件以及经全国人民代表大会常务委员会批准的中国缔结、参加的国际条（公）约的有关规定。“谈判/采购文件</w:t>
      </w:r>
      <w:r>
        <w:rPr>
          <w:rFonts w:hint="eastAsia" w:ascii="仿宋" w:hAnsi="仿宋" w:eastAsia="仿宋" w:cs="仿宋"/>
          <w:color w:val="1D41D5"/>
          <w:sz w:val="24"/>
        </w:rPr>
        <w:t>”</w:t>
      </w:r>
      <w:r>
        <w:rPr>
          <w:rFonts w:hint="eastAsia" w:ascii="仿宋" w:hAnsi="仿宋" w:eastAsia="仿宋" w:cs="仿宋"/>
          <w:sz w:val="24"/>
        </w:rPr>
        <w:t>指</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号（采购编号）采购文件。</w:t>
      </w:r>
    </w:p>
    <w:p w14:paraId="65DF2906">
      <w:pPr>
        <w:spacing w:line="360" w:lineRule="auto"/>
        <w:ind w:firstLine="480" w:firstLineChars="200"/>
        <w:jc w:val="left"/>
        <w:rPr>
          <w:rFonts w:ascii="仿宋" w:hAnsi="仿宋" w:eastAsia="仿宋" w:cs="仿宋"/>
          <w:sz w:val="24"/>
        </w:rPr>
      </w:pPr>
      <w:r>
        <w:rPr>
          <w:rFonts w:hint="eastAsia" w:ascii="仿宋" w:hAnsi="仿宋" w:eastAsia="仿宋" w:cs="仿宋"/>
          <w:sz w:val="24"/>
        </w:rPr>
        <w:t>12、“投标/报价文件”指乙方</w:t>
      </w:r>
      <w:r>
        <w:rPr>
          <w:rFonts w:hint="eastAsia" w:ascii="仿宋" w:hAnsi="仿宋" w:eastAsia="仿宋" w:cs="仿宋"/>
          <w:sz w:val="24"/>
          <w:u w:val="single"/>
        </w:rPr>
        <w:t xml:space="preserve">   </w:t>
      </w:r>
      <w:r>
        <w:rPr>
          <w:rFonts w:hint="eastAsia" w:ascii="仿宋" w:hAnsi="仿宋" w:eastAsia="仿宋" w:cs="仿宋"/>
          <w:sz w:val="24"/>
        </w:rPr>
        <w:t>号（采购编号）采购文件的要求编制和投递，并最终被采购单位接受的投标/报价文件。</w:t>
      </w:r>
    </w:p>
    <w:p w14:paraId="48763E5E">
      <w:pPr>
        <w:spacing w:line="360" w:lineRule="auto"/>
        <w:ind w:firstLine="480" w:firstLineChars="200"/>
        <w:jc w:val="left"/>
        <w:rPr>
          <w:rFonts w:ascii="仿宋" w:hAnsi="仿宋" w:eastAsia="仿宋" w:cs="仿宋"/>
          <w:sz w:val="24"/>
        </w:rPr>
      </w:pPr>
      <w:r>
        <w:rPr>
          <w:rFonts w:hint="eastAsia" w:ascii="仿宋" w:hAnsi="仿宋" w:eastAsia="仿宋" w:cs="仿宋"/>
          <w:sz w:val="24"/>
        </w:rPr>
        <w:t>13、“合同标的”指甲方同意从乙方购买合同货物，乙方同意向甲方出售附件一、合同货物清单（同投标文件中产品报价明细表）中所列货物及相关服务。</w:t>
      </w:r>
    </w:p>
    <w:p w14:paraId="40029A6E">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二、合同价格</w:t>
      </w:r>
    </w:p>
    <w:p w14:paraId="39A965AE">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1、合同总金额为</w:t>
      </w:r>
      <w:r>
        <w:rPr>
          <w:rFonts w:hint="eastAsia" w:ascii="仿宋" w:hAnsi="仿宋" w:eastAsia="仿宋" w:cs="仿宋"/>
          <w:sz w:val="24"/>
          <w:u w:val="single"/>
        </w:rPr>
        <w:t>人民币细小写：￥   元（大写：  元整）</w:t>
      </w:r>
      <w:r>
        <w:rPr>
          <w:rFonts w:hint="eastAsia" w:ascii="仿宋" w:hAnsi="仿宋" w:eastAsia="仿宋" w:cs="仿宋"/>
          <w:sz w:val="24"/>
        </w:rPr>
        <w:t>。</w:t>
      </w:r>
    </w:p>
    <w:p w14:paraId="696FA9B9">
      <w:pPr>
        <w:widowControl/>
        <w:tabs>
          <w:tab w:val="left" w:pos="4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 本合同价格包含了购买合同货物及其全部相关服务的费用和所需缴纳的所有税费,包含但不限于：货物发运到指定地点并安装调试及合同货物的进口报关、仓储、保险、保修、维修、保养等一切费用。</w:t>
      </w:r>
    </w:p>
    <w:p w14:paraId="103CC5AB">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3、合同货物详细目录及价格见</w:t>
      </w:r>
      <w:r>
        <w:rPr>
          <w:rFonts w:hint="eastAsia" w:ascii="仿宋" w:hAnsi="仿宋" w:eastAsia="仿宋" w:cs="仿宋"/>
          <w:sz w:val="24"/>
          <w:u w:val="single"/>
        </w:rPr>
        <w:t>附件一、合同货物清单（同投标/报价文件中产品报价明细表）</w:t>
      </w:r>
      <w:r>
        <w:rPr>
          <w:rFonts w:hint="eastAsia" w:ascii="仿宋" w:hAnsi="仿宋" w:eastAsia="仿宋" w:cs="仿宋"/>
          <w:sz w:val="24"/>
        </w:rPr>
        <w:t>。</w:t>
      </w:r>
    </w:p>
    <w:p w14:paraId="3362503C">
      <w:pPr>
        <w:spacing w:line="360" w:lineRule="auto"/>
        <w:ind w:firstLine="482" w:firstLineChars="200"/>
        <w:jc w:val="left"/>
        <w:rPr>
          <w:rFonts w:ascii="仿宋" w:hAnsi="仿宋" w:eastAsia="仿宋" w:cs="仿宋"/>
          <w:b/>
          <w:color w:val="FF0000"/>
          <w:sz w:val="24"/>
          <w:highlight w:val="yellow"/>
        </w:rPr>
      </w:pPr>
      <w:r>
        <w:rPr>
          <w:rFonts w:hint="eastAsia" w:ascii="仿宋" w:hAnsi="仿宋" w:eastAsia="仿宋" w:cs="仿宋"/>
          <w:b/>
          <w:sz w:val="24"/>
        </w:rPr>
        <w:t>三、合同款支付和结算方式</w:t>
      </w:r>
    </w:p>
    <w:p w14:paraId="2A63BB72">
      <w:pPr>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1、本合同生效后十个工作日内，甲方支付乙方合同总额的50%，即大写人民币:</w:t>
      </w:r>
      <w:r>
        <w:rPr>
          <w:rFonts w:hint="eastAsia" w:ascii="仿宋" w:hAnsi="仿宋" w:eastAsia="仿宋" w:cs="仿宋"/>
          <w:sz w:val="24"/>
          <w:u w:val="single"/>
        </w:rPr>
        <w:t xml:space="preserve"> 元整 （小写：￥ 元</w:t>
      </w:r>
      <w:r>
        <w:rPr>
          <w:rFonts w:hint="eastAsia" w:ascii="仿宋" w:hAnsi="仿宋" w:eastAsia="仿宋" w:cs="仿宋"/>
          <w:sz w:val="24"/>
        </w:rPr>
        <w:t>），乙方提供相应金额增值税发票。</w:t>
      </w:r>
    </w:p>
    <w:p w14:paraId="2595EC5E">
      <w:pPr>
        <w:spacing w:line="360" w:lineRule="auto"/>
        <w:ind w:firstLine="480" w:firstLineChars="200"/>
        <w:jc w:val="left"/>
        <w:rPr>
          <w:rFonts w:ascii="仿宋" w:hAnsi="仿宋" w:eastAsia="仿宋" w:cs="仿宋"/>
          <w:sz w:val="24"/>
        </w:rPr>
      </w:pPr>
      <w:r>
        <w:rPr>
          <w:rFonts w:hint="eastAsia" w:ascii="仿宋" w:hAnsi="仿宋" w:eastAsia="仿宋" w:cs="仿宋"/>
          <w:sz w:val="24"/>
        </w:rPr>
        <w:t>2、乙方完成供货并安装到位，调试运行并通过甲方验收后的十个工作日内，甲方向乙方支付合同总额的50%，即大写人民币:</w:t>
      </w:r>
      <w:r>
        <w:rPr>
          <w:rFonts w:hint="eastAsia" w:ascii="仿宋" w:hAnsi="仿宋" w:eastAsia="仿宋" w:cs="仿宋"/>
          <w:sz w:val="24"/>
          <w:u w:val="single"/>
        </w:rPr>
        <w:t xml:space="preserve">  元整（小写：￥ ）</w:t>
      </w:r>
      <w:r>
        <w:rPr>
          <w:rFonts w:hint="eastAsia" w:ascii="仿宋" w:hAnsi="仿宋" w:eastAsia="仿宋" w:cs="仿宋"/>
          <w:sz w:val="24"/>
        </w:rPr>
        <w:t>，乙方提供相应金额增值税发票。</w:t>
      </w:r>
    </w:p>
    <w:p w14:paraId="3C493606">
      <w:pPr>
        <w:widowControl/>
        <w:tabs>
          <w:tab w:val="left" w:pos="420"/>
        </w:tabs>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3、付款方式：甲方将以转账支票方式向乙方支付货款。</w:t>
      </w:r>
    </w:p>
    <w:p w14:paraId="46D66E86">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四、交货</w:t>
      </w:r>
    </w:p>
    <w:p w14:paraId="0627C27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1、交货方式：现场交货：</w:t>
      </w:r>
    </w:p>
    <w:p w14:paraId="7B56078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1）乙方负责办理运输和保险，将货物运抵交货地点，并负责进行安装、调试。有关运输、保险和装卸等一切相关的费用由乙方承担。</w:t>
      </w:r>
    </w:p>
    <w:p w14:paraId="1E3B47D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货物应运至甲方指定地点，并卸至甲方指定位置并且安装调试合格，经甲方核对并验收无误，甲、乙双方签署收货单后为交货完毕。收货单一式两份，甲方、乙方各执一份。交货完毕交货日后的货物所有权、风险发生转移，此前货物的一切风险由乙方承担。</w:t>
      </w:r>
    </w:p>
    <w:p w14:paraId="0E72E5D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3）所有货物运抵现场并安装调试合格，经甲方核对无误，甲、乙双方签署收货单的日期为交货日期。</w:t>
      </w:r>
    </w:p>
    <w:p w14:paraId="2D0638D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乙方应在交货日七日前，向甲方提供交货计划（内容包括但不限于：合同号、货物名称、数量、价格、箱数、型号规格、生产厂家、产地、重量和体积、拟发运的时间及其他必要的说明），并于发运的同时通知甲方。</w:t>
      </w:r>
    </w:p>
    <w:p w14:paraId="61CC99C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5)其他约定事项</w:t>
      </w:r>
      <w:r>
        <w:rPr>
          <w:rFonts w:hint="eastAsia" w:ascii="仿宋" w:hAnsi="仿宋" w:eastAsia="仿宋" w:cs="仿宋"/>
          <w:sz w:val="24"/>
          <w:u w:val="single"/>
        </w:rPr>
        <w:tab/>
      </w:r>
      <w:r>
        <w:rPr>
          <w:rFonts w:hint="eastAsia" w:ascii="仿宋" w:hAnsi="仿宋" w:eastAsia="仿宋" w:cs="仿宋"/>
          <w:sz w:val="24"/>
          <w:u w:val="single"/>
        </w:rPr>
        <w:t xml:space="preserve">交货内容将包括有关设备的安装、调试、试运行以及设备安装前期的工程配合等内容。       </w:t>
      </w:r>
      <w:r>
        <w:rPr>
          <w:rFonts w:hint="eastAsia" w:ascii="仿宋" w:hAnsi="仿宋" w:eastAsia="仿宋" w:cs="仿宋"/>
          <w:sz w:val="24"/>
        </w:rPr>
        <w:t>。</w:t>
      </w:r>
    </w:p>
    <w:p w14:paraId="4D24E49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2、交货日期：</w:t>
      </w:r>
      <w:r>
        <w:rPr>
          <w:rFonts w:hint="eastAsia" w:ascii="仿宋" w:hAnsi="仿宋" w:eastAsia="仿宋" w:cs="仿宋"/>
          <w:sz w:val="24"/>
          <w:u w:val="single"/>
        </w:rPr>
        <w:t xml:space="preserve">    。</w:t>
      </w:r>
    </w:p>
    <w:p w14:paraId="10753A4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3、运输方式：</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3B9A96B">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4、交货（安装、调试、服务）地点：</w:t>
      </w:r>
      <w:r>
        <w:rPr>
          <w:rFonts w:hint="eastAsia" w:ascii="仿宋" w:hAnsi="仿宋" w:eastAsia="仿宋" w:cs="仿宋"/>
          <w:sz w:val="24"/>
          <w:u w:val="single"/>
        </w:rPr>
        <w:t>乙方将货物运输北京体育大学指定地点。</w:t>
      </w:r>
    </w:p>
    <w:p w14:paraId="313AC5FA">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五、包装和标记</w:t>
      </w:r>
    </w:p>
    <w:p w14:paraId="0F63AD6D">
      <w:pPr>
        <w:tabs>
          <w:tab w:val="left" w:pos="1260"/>
        </w:tabs>
        <w:spacing w:line="360" w:lineRule="auto"/>
        <w:ind w:firstLine="480" w:firstLineChars="200"/>
        <w:jc w:val="left"/>
        <w:rPr>
          <w:rFonts w:ascii="仿宋" w:hAnsi="仿宋" w:eastAsia="仿宋" w:cs="仿宋"/>
          <w:sz w:val="24"/>
        </w:rPr>
      </w:pPr>
      <w:r>
        <w:rPr>
          <w:rFonts w:hint="eastAsia" w:ascii="仿宋" w:hAnsi="仿宋" w:eastAsia="仿宋" w:cs="仿宋"/>
          <w:sz w:val="24"/>
        </w:rPr>
        <w:t>1、乙方交付所有合同货物应具有适于长途运输多次搬运和装卸的坚固包装，且乙方应根据合同货物的不同特性和要求采取防潮、防雨、防锈、防震、防腐等保护。</w:t>
      </w:r>
    </w:p>
    <w:p w14:paraId="68D6F395">
      <w:pPr>
        <w:widowControl/>
        <w:tabs>
          <w:tab w:val="left" w:pos="840"/>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1）合同货物数量和货物生产商家出具的质量合格证书、保修证书</w:t>
      </w:r>
    </w:p>
    <w:p w14:paraId="77B78164">
      <w:pPr>
        <w:widowControl/>
        <w:tabs>
          <w:tab w:val="left" w:pos="840"/>
        </w:tabs>
        <w:spacing w:line="360" w:lineRule="auto"/>
        <w:ind w:firstLine="480" w:firstLineChars="200"/>
        <w:jc w:val="left"/>
        <w:rPr>
          <w:rFonts w:ascii="仿宋" w:hAnsi="仿宋" w:eastAsia="仿宋" w:cs="仿宋"/>
          <w:sz w:val="24"/>
        </w:rPr>
      </w:pPr>
      <w:r>
        <w:rPr>
          <w:rFonts w:hint="eastAsia" w:ascii="仿宋" w:hAnsi="仿宋" w:eastAsia="仿宋" w:cs="仿宋"/>
          <w:sz w:val="24"/>
        </w:rPr>
        <w:t>2）产品使用说明书及其它必要的技术资料（中文）</w:t>
      </w:r>
    </w:p>
    <w:p w14:paraId="797C2024">
      <w:pPr>
        <w:spacing w:line="360" w:lineRule="auto"/>
        <w:ind w:firstLine="480" w:firstLineChars="200"/>
        <w:jc w:val="left"/>
        <w:rPr>
          <w:rFonts w:ascii="仿宋" w:hAnsi="仿宋" w:eastAsia="仿宋" w:cs="仿宋"/>
          <w:sz w:val="24"/>
        </w:rPr>
      </w:pPr>
      <w:r>
        <w:rPr>
          <w:rFonts w:hint="eastAsia" w:ascii="仿宋" w:hAnsi="仿宋" w:eastAsia="仿宋" w:cs="仿宋"/>
          <w:sz w:val="24"/>
        </w:rPr>
        <w:t>2、乙方对合同货物包装不善、标记不明、防护措施不当或在合同货物装箱前保管不良，致使合同货物遭到损坏或丢失，乙方应按甲方要求负责免费修理、更换，并承担由此给甲方造成的一切损失。</w:t>
      </w:r>
    </w:p>
    <w:p w14:paraId="0222C64E">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六、质量标准和检验</w:t>
      </w:r>
    </w:p>
    <w:p w14:paraId="037AFE1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1、乙方应保证提供给甲方的合同货物是货物生产厂商原厂制造的，全新、未使用过的， 是用一流的工艺和优质材料制造而成的，并完全符合本项目谈判文件、报价文件（技术正偏离）规定的质量、性能和规格的要求。</w:t>
      </w:r>
    </w:p>
    <w:p w14:paraId="4C84FDB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2、乙方承诺提供给甲方的合同货物质量应符合国家标准(强制或推荐)、行业标准、企业标准及相应的技术规范要求中要求最高的标准。</w:t>
      </w:r>
    </w:p>
    <w:p w14:paraId="40F92FB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3、除招标文件另有规定或乙方已在投标文件中载明并为甲方所接受外，乙方不得将合同的全部或部分转让、转包或分包给其他供应商履行,但合同的主体或关键性工作必须由乙方亲自完成。</w:t>
      </w:r>
    </w:p>
    <w:p w14:paraId="6BD2051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4、乙方应保证所提供的货物经正确安装、合理操作和维护保养在其使用寿命期内具有</w:t>
      </w:r>
      <w:r>
        <w:rPr>
          <w:rFonts w:hint="eastAsia" w:ascii="仿宋" w:hAnsi="仿宋" w:eastAsia="仿宋" w:cs="仿宋"/>
          <w:sz w:val="24"/>
          <w:lang w:eastAsia="zh-CN"/>
        </w:rPr>
        <w:t>令</w:t>
      </w:r>
      <w:r>
        <w:rPr>
          <w:rFonts w:hint="eastAsia" w:ascii="仿宋" w:hAnsi="仿宋" w:eastAsia="仿宋" w:cs="仿宋"/>
          <w:sz w:val="24"/>
        </w:rPr>
        <w:t>甲方满意的性能，并对由于合同货物的设计、工艺或材料的缺陷而发生的任何故障负责。</w:t>
      </w:r>
    </w:p>
    <w:p w14:paraId="133EC8D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5、乙方提供给甲方的合同货物应通过货物制造厂商的出厂检验，并提供其出具的质量合格证书。</w:t>
      </w:r>
    </w:p>
    <w:p w14:paraId="3F8F5E5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6、甲方对合同货物的数量、规格和质量的检验，应依据本项目谈判文件、投标/报价文件中的有关规定进行。采用现场交货方式的，检验在交货地点进行。</w:t>
      </w:r>
    </w:p>
    <w:p w14:paraId="7961203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开箱检验时甲、乙双方应派人员参加，并签署验收单，以此作为各方确定责任的依据。</w:t>
      </w:r>
    </w:p>
    <w:p w14:paraId="68E1F8CB">
      <w:pPr>
        <w:widowControl/>
        <w:spacing w:line="360" w:lineRule="auto"/>
        <w:ind w:firstLine="480" w:firstLineChars="200"/>
        <w:jc w:val="left"/>
        <w:rPr>
          <w:rFonts w:ascii="仿宋" w:hAnsi="仿宋" w:eastAsia="仿宋" w:cs="仿宋"/>
          <w:color w:val="FF0000"/>
          <w:sz w:val="24"/>
        </w:rPr>
      </w:pPr>
      <w:r>
        <w:rPr>
          <w:rFonts w:hint="eastAsia" w:ascii="仿宋" w:hAnsi="仿宋" w:eastAsia="仿宋" w:cs="仿宋"/>
          <w:sz w:val="24"/>
        </w:rPr>
        <w:t>合同中货品安装、调试完毕后，由用户单位专业人员现场操作试机，检查产品是否功能齐备、运行正常后即行验收</w:t>
      </w:r>
      <w:r>
        <w:rPr>
          <w:rFonts w:hint="eastAsia" w:ascii="仿宋" w:hAnsi="仿宋" w:eastAsia="仿宋" w:cs="仿宋"/>
          <w:color w:val="000000"/>
          <w:sz w:val="24"/>
        </w:rPr>
        <w:t>。</w:t>
      </w:r>
      <w:r>
        <w:rPr>
          <w:rFonts w:hint="eastAsia" w:ascii="仿宋" w:hAnsi="仿宋" w:eastAsia="仿宋" w:cs="仿宋"/>
          <w:sz w:val="24"/>
        </w:rPr>
        <w:t>验收期限自安装、调试完毕次日起不超过20日，逾期不验收，视为验收合格，如货品安装、调试完毕后甲方未验收或未提出书面异议，即视为验收合格。</w:t>
      </w:r>
    </w:p>
    <w:p w14:paraId="7771A4C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305BEC7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9、乙方保证向甲方提供的技术资料是清晰的、正确的、完整的。甲方在清点乙方提供的技术资料时如发现缺失，乙方应在接到甲方通知后七日内予以补足。</w:t>
      </w:r>
    </w:p>
    <w:p w14:paraId="6429F7B0">
      <w:pPr>
        <w:widowControl/>
        <w:spacing w:line="360" w:lineRule="auto"/>
        <w:ind w:firstLine="480" w:firstLineChars="200"/>
        <w:jc w:val="left"/>
        <w:rPr>
          <w:rFonts w:ascii="仿宋" w:hAnsi="仿宋" w:eastAsia="仿宋" w:cs="仿宋"/>
          <w:b/>
          <w:sz w:val="24"/>
        </w:rPr>
      </w:pPr>
      <w:r>
        <w:rPr>
          <w:rFonts w:hint="eastAsia" w:ascii="仿宋" w:hAnsi="仿宋" w:eastAsia="仿宋" w:cs="仿宋"/>
          <w:sz w:val="24"/>
        </w:rPr>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677F2C3F">
      <w:pPr>
        <w:spacing w:line="360" w:lineRule="auto"/>
        <w:ind w:firstLine="482" w:firstLineChars="200"/>
        <w:jc w:val="left"/>
        <w:rPr>
          <w:rFonts w:ascii="仿宋" w:hAnsi="仿宋" w:eastAsia="仿宋" w:cs="仿宋"/>
          <w:sz w:val="24"/>
        </w:rPr>
      </w:pPr>
      <w:r>
        <w:rPr>
          <w:rFonts w:hint="eastAsia" w:ascii="仿宋" w:hAnsi="仿宋" w:eastAsia="仿宋" w:cs="仿宋"/>
          <w:b/>
          <w:sz w:val="24"/>
        </w:rPr>
        <w:t>七、技术服务和保修责任</w:t>
      </w:r>
    </w:p>
    <w:p w14:paraId="3034162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1、乙方对合同货物的质量保修期为验收单签署之日起 </w:t>
      </w:r>
      <w:r>
        <w:rPr>
          <w:rFonts w:hint="eastAsia" w:ascii="仿宋" w:hAnsi="仿宋" w:eastAsia="仿宋" w:cs="仿宋"/>
          <w:sz w:val="24"/>
          <w:u w:val="single"/>
        </w:rPr>
        <w:t>（）</w:t>
      </w:r>
      <w:r>
        <w:rPr>
          <w:rFonts w:hint="eastAsia" w:ascii="仿宋" w:hAnsi="仿宋" w:eastAsia="仿宋" w:cs="仿宋"/>
          <w:sz w:val="24"/>
        </w:rPr>
        <w:t>个月。若厂家规定的保修期或合同货物主要部件的保修期长于本合同保修期，应适用其保修期。</w:t>
      </w:r>
    </w:p>
    <w:p w14:paraId="4138B5D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2、乙方承诺在合同货物的质量保修期内免费为甲方提供合同货物的技术指导和维修服务及零配件更换。</w:t>
      </w:r>
    </w:p>
    <w:p w14:paraId="12272F0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3、乙方保证在合同货物出现故障和缺陷时，或接到甲方提出的技术服务要求后（）小时内予以答复，如甲方有要求或必要时，乙方应在接到甲方通知后（）小时内派员至甲方免费维修和提供现场指导。</w:t>
      </w:r>
    </w:p>
    <w:p w14:paraId="7C323A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4、如乙方在接到甲方维修通知后</w:t>
      </w:r>
      <w:r>
        <w:rPr>
          <w:rFonts w:hint="eastAsia" w:ascii="仿宋" w:hAnsi="仿宋" w:eastAsia="仿宋" w:cs="仿宋"/>
          <w:sz w:val="24"/>
          <w:u w:val="single"/>
        </w:rPr>
        <w:t>（）</w:t>
      </w:r>
      <w:r>
        <w:rPr>
          <w:rFonts w:hint="eastAsia" w:ascii="仿宋" w:hAnsi="仿宋" w:eastAsia="仿宋" w:cs="仿宋"/>
          <w:sz w:val="24"/>
        </w:rPr>
        <w:t>内仍不能修复有关货物，乙方应提供与该货物同一型号的备用货物，如因此给甲方造成损失，乙方应负责赔偿。</w:t>
      </w:r>
    </w:p>
    <w:p w14:paraId="54B226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如乙方在接到甲方提出的技术服务要求或维修通知后（）小时内没有响应、拒绝或没有派人员到达甲方提供技术服务、修理或退换货物，甲方有权委托第三人对合同货物进行维修或提供技术服务，由此产生的一切费用由乙方承担。</w:t>
      </w:r>
    </w:p>
    <w:p w14:paraId="41DF39B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6、如因甲方在使用中自行变更货物的硬件或软件而引起的缺陷，或因甲方人员维护不当而损坏的货物或零部件，乙方不负保修责任，乙方可以提供更换或修理服务，由此引起的费用由甲方负担。</w:t>
      </w:r>
    </w:p>
    <w:p w14:paraId="7623C27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7D0B2A1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8、在合同货物保修期内，如果由于乙方更换、修理和续补货物，而造成本合同货物不得不停止运行，货物保修期应依照停止运行的实际时间加以延长，如因此给甲方造成损失，乙方应负责赔偿。</w:t>
      </w:r>
    </w:p>
    <w:p w14:paraId="349E4DF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9、在合同货物保修期届满后，乙方保证继续为甲方提供货物的零配件及维修服务，甲方应按乙方提供的优惠价格向乙方支付相关费用，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19F7B1C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10、在合同货物保修期届满后，如果因合同货物硬件或软件的固有缺陷和瑕疵出现紧急故障和事故，乙方应在接到甲方通知后立即提供电话支持、远程支持并在()小时内到达现场，迅速排除货物故障。</w:t>
      </w:r>
    </w:p>
    <w:p w14:paraId="341FD6D8">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八、违约责任</w:t>
      </w:r>
    </w:p>
    <w:p w14:paraId="483440C3">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1、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14:paraId="2B53820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1）在甲方同意延长的期限内交付全部货物、提供服务并承担由此给甲方造成的一切损失。</w:t>
      </w:r>
    </w:p>
    <w:p w14:paraId="196C04B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31C447C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3）根据货物低劣程度、损坏程度以及使甲方所遭受的损失，经甲乙双方商定降低货物的价格或赔偿甲方所遭受的损失。</w:t>
      </w:r>
    </w:p>
    <w:p w14:paraId="271E0E3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14:paraId="4EF4FFC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14:paraId="02A57F84">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5242F71B">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3、延期付款的违约责任</w:t>
      </w:r>
    </w:p>
    <w:p w14:paraId="2A5AF840">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1E51D2D2">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2）如在乙方未违约的情况下，甲方要求退货，应向乙方支付退货部分价款百分之（十）的违约金。</w:t>
      </w:r>
    </w:p>
    <w:p w14:paraId="6840D084">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4、延期交货的违约责任</w:t>
      </w:r>
    </w:p>
    <w:p w14:paraId="4206FCB3">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6E483D7B">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2）如乙方在合同规定的交货日期后（十）天内仍未能交货，则视为乙方不能交货，甲方有权单方解除合同，乙方除退还已收取的货款外，还应向甲方偿付全部货款百分之（十）的违约金。</w:t>
      </w:r>
    </w:p>
    <w:p w14:paraId="72356296">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5、以上各项交付的违约金并不影响违约方履行合同的各项义务。</w:t>
      </w:r>
    </w:p>
    <w:p w14:paraId="302DA773">
      <w:pPr>
        <w:tabs>
          <w:tab w:val="left" w:pos="6276"/>
        </w:tabs>
        <w:spacing w:line="360" w:lineRule="auto"/>
        <w:ind w:firstLine="480" w:firstLineChars="200"/>
        <w:jc w:val="left"/>
        <w:rPr>
          <w:rFonts w:ascii="仿宋" w:hAnsi="仿宋" w:eastAsia="仿宋" w:cs="仿宋"/>
          <w:color w:val="0D0D0D"/>
          <w:sz w:val="24"/>
        </w:rPr>
      </w:pPr>
      <w:r>
        <w:rPr>
          <w:rFonts w:hint="eastAsia" w:ascii="仿宋" w:hAnsi="仿宋" w:eastAsia="仿宋" w:cs="仿宋"/>
          <w:sz w:val="24"/>
        </w:rPr>
        <w:t>6、</w:t>
      </w:r>
      <w:r>
        <w:rPr>
          <w:rFonts w:hint="eastAsia" w:ascii="仿宋" w:hAnsi="仿宋" w:eastAsia="仿宋" w:cs="仿宋"/>
          <w:color w:val="0D0D0D"/>
          <w:sz w:val="24"/>
        </w:rPr>
        <w:t>关于违反招标、投标规定的违约责任</w:t>
      </w:r>
      <w:r>
        <w:rPr>
          <w:rFonts w:hint="eastAsia" w:ascii="仿宋" w:hAnsi="仿宋" w:eastAsia="仿宋" w:cs="仿宋"/>
          <w:color w:val="0D0D0D"/>
          <w:sz w:val="24"/>
        </w:rPr>
        <w:tab/>
      </w:r>
    </w:p>
    <w:p w14:paraId="5B98A3AF">
      <w:pPr>
        <w:pStyle w:val="13"/>
        <w:spacing w:line="360" w:lineRule="auto"/>
        <w:ind w:firstLine="480" w:firstLineChars="200"/>
        <w:rPr>
          <w:rFonts w:ascii="仿宋" w:hAnsi="仿宋" w:eastAsia="仿宋" w:cs="仿宋"/>
        </w:rPr>
      </w:pPr>
      <w:r>
        <w:rPr>
          <w:rFonts w:hint="eastAsia" w:ascii="仿宋" w:hAnsi="仿宋" w:eastAsia="仿宋" w:cs="仿宋"/>
          <w:color w:val="0D0D0D"/>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14:paraId="093DE50A">
      <w:pPr>
        <w:widowControl/>
        <w:tabs>
          <w:tab w:val="left" w:pos="420"/>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九、不可抗力</w:t>
      </w:r>
    </w:p>
    <w:p w14:paraId="5CEE4F9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1、不可抗力指下列事件：战争、动乱、瘟疫、严重火灾、洪水、地震、风暴或其他自然灾害，以及本合同各方不可预见、不可防止并不能避免或克服的一切其他事件。</w:t>
      </w:r>
    </w:p>
    <w:p w14:paraId="3E765F8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33D753F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25DB41F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4、合同各方应根据不可抗力对本合同履行的影响程度，协商确定是否终止本合同，或是继续履行本合同。</w:t>
      </w:r>
    </w:p>
    <w:p w14:paraId="0DCD4953">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十、联系方式</w:t>
      </w:r>
    </w:p>
    <w:p w14:paraId="250BF532">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4BCC30CE">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2、合同各方发出的与本合同有关的通知或回复均应发至以下通讯地址，付款或收款应使用</w:t>
      </w:r>
      <w:r>
        <w:rPr>
          <w:rFonts w:hint="eastAsia" w:ascii="仿宋" w:hAnsi="仿宋" w:eastAsia="仿宋" w:cs="仿宋"/>
          <w:sz w:val="24"/>
          <w:lang w:eastAsia="zh-CN"/>
        </w:rPr>
        <w:t>以下账号</w:t>
      </w:r>
      <w:r>
        <w:rPr>
          <w:rFonts w:hint="eastAsia" w:ascii="仿宋" w:hAnsi="仿宋" w:eastAsia="仿宋" w:cs="仿宋"/>
          <w:sz w:val="24"/>
        </w:rPr>
        <w:t>，一方变更通讯地址或</w:t>
      </w:r>
      <w:r>
        <w:rPr>
          <w:rFonts w:hint="eastAsia" w:ascii="仿宋" w:hAnsi="仿宋" w:eastAsia="仿宋" w:cs="仿宋"/>
          <w:sz w:val="24"/>
          <w:lang w:eastAsia="zh-CN"/>
        </w:rPr>
        <w:t>账号</w:t>
      </w:r>
      <w:r>
        <w:rPr>
          <w:rFonts w:hint="eastAsia" w:ascii="仿宋" w:hAnsi="仿宋" w:eastAsia="仿宋" w:cs="仿宋"/>
          <w:sz w:val="24"/>
        </w:rPr>
        <w:t>，应自变更之日起三个工作日内，将变更后的地址通知对方。变更方不履行通知义务的，应对此造成的一切后果承担法律责任。</w:t>
      </w:r>
    </w:p>
    <w:p w14:paraId="5DCAFB00">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甲方（开票名称）：北京体育大学附属竞技体育学校</w:t>
      </w:r>
      <w:r>
        <w:rPr>
          <w:rFonts w:hint="eastAsia" w:ascii="仿宋" w:hAnsi="仿宋" w:eastAsia="仿宋" w:cs="仿宋"/>
          <w:sz w:val="24"/>
        </w:rPr>
        <w:tab/>
      </w:r>
    </w:p>
    <w:p w14:paraId="63046696">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项目联系人： </w:t>
      </w:r>
    </w:p>
    <w:p w14:paraId="46E841E9">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地址：北京市海淀区圆明园东路北京体育大学</w:t>
      </w:r>
    </w:p>
    <w:p w14:paraId="66C8E547">
      <w:pPr>
        <w:tabs>
          <w:tab w:val="left" w:pos="50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邮编：  100084       </w:t>
      </w:r>
    </w:p>
    <w:p w14:paraId="485E48A8">
      <w:pPr>
        <w:tabs>
          <w:tab w:val="left" w:pos="50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联系人电话：   传真：              </w:t>
      </w:r>
    </w:p>
    <w:p w14:paraId="0D9754AB">
      <w:pPr>
        <w:tabs>
          <w:tab w:val="left" w:pos="50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开户银行及账号：</w:t>
      </w:r>
    </w:p>
    <w:p w14:paraId="39608CF8">
      <w:pPr>
        <w:tabs>
          <w:tab w:val="left" w:pos="360"/>
          <w:tab w:val="left" w:pos="4320"/>
        </w:tabs>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sz w:val="24"/>
        </w:rPr>
        <w:t>财务电话：</w:t>
      </w:r>
    </w:p>
    <w:p w14:paraId="7E350A15">
      <w:pPr>
        <w:tabs>
          <w:tab w:val="left" w:pos="36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税务号：</w:t>
      </w:r>
    </w:p>
    <w:p w14:paraId="353245E9">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乙方：             </w:t>
      </w:r>
    </w:p>
    <w:p w14:paraId="72681920">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联系人：    </w:t>
      </w:r>
    </w:p>
    <w:p w14:paraId="7410B484">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地址：   </w:t>
      </w:r>
    </w:p>
    <w:p w14:paraId="70DC83B9">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邮编：</w:t>
      </w:r>
    </w:p>
    <w:p w14:paraId="4A15F057">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电话：       </w:t>
      </w:r>
      <w:r>
        <w:rPr>
          <w:rFonts w:hint="eastAsia" w:ascii="仿宋" w:hAnsi="仿宋" w:eastAsia="仿宋" w:cs="仿宋"/>
          <w:sz w:val="24"/>
        </w:rPr>
        <w:tab/>
      </w:r>
      <w:r>
        <w:rPr>
          <w:rFonts w:hint="eastAsia" w:ascii="仿宋" w:hAnsi="仿宋" w:eastAsia="仿宋" w:cs="仿宋"/>
          <w:sz w:val="24"/>
        </w:rPr>
        <w:t xml:space="preserve"> 传真： </w:t>
      </w:r>
    </w:p>
    <w:p w14:paraId="582BC4C6">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开户银行及账号：</w:t>
      </w:r>
    </w:p>
    <w:p w14:paraId="40EED043">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纳税人识别号： </w:t>
      </w:r>
    </w:p>
    <w:p w14:paraId="2F998EE5">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上述发出通知、回复的费用由发出一方承担。</w:t>
      </w:r>
    </w:p>
    <w:p w14:paraId="6C99BE2E">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十一、保密条款</w:t>
      </w:r>
    </w:p>
    <w:p w14:paraId="1903589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1、任何一方对其获知的本合同及附件中其他各方的商业秘密和国家秘密负有保密义务。</w:t>
      </w:r>
    </w:p>
    <w:p w14:paraId="20EDDF5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2、除非</w:t>
      </w:r>
      <w:r>
        <w:rPr>
          <w:rFonts w:hint="eastAsia" w:ascii="仿宋" w:hAnsi="仿宋" w:eastAsia="仿宋" w:cs="仿宋"/>
          <w:sz w:val="24"/>
          <w:lang w:eastAsia="zh-CN"/>
        </w:rPr>
        <w:t>法律法规</w:t>
      </w:r>
      <w:r>
        <w:rPr>
          <w:rFonts w:hint="eastAsia" w:ascii="仿宋" w:hAnsi="仿宋" w:eastAsia="仿宋" w:cs="仿宋"/>
          <w:sz w:val="24"/>
        </w:rPr>
        <w:t>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14:paraId="06F4B63A">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十二、合同的解释和法律适用</w:t>
      </w:r>
    </w:p>
    <w:p w14:paraId="3948772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1、任何一方对本合同及其附件的解释均应遵循诚实信用原则,依照本合同签订时有效的中国</w:t>
      </w:r>
      <w:r>
        <w:rPr>
          <w:rFonts w:hint="eastAsia" w:ascii="仿宋" w:hAnsi="仿宋" w:eastAsia="仿宋" w:cs="仿宋"/>
          <w:sz w:val="24"/>
          <w:lang w:eastAsia="zh-CN"/>
        </w:rPr>
        <w:t>法律法规</w:t>
      </w:r>
      <w:r>
        <w:rPr>
          <w:rFonts w:hint="eastAsia" w:ascii="仿宋" w:hAnsi="仿宋" w:eastAsia="仿宋" w:cs="仿宋"/>
          <w:sz w:val="24"/>
        </w:rPr>
        <w:t>以及通常的理解进行。</w:t>
      </w:r>
    </w:p>
    <w:p w14:paraId="756B644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2、本合同标题仅供查阅方便，并非对本合同的诠释或解释；本合同中以日表述的时间期限均指自然日。</w:t>
      </w:r>
    </w:p>
    <w:p w14:paraId="536D78C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3、对本合同的任何解释均应以书面作出。</w:t>
      </w:r>
    </w:p>
    <w:p w14:paraId="6A20795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4、本合同及附件的订立、效力、解释、履行、争议的解决等适用本合同签订时有效的中华人民共和国</w:t>
      </w:r>
      <w:r>
        <w:rPr>
          <w:rFonts w:hint="eastAsia" w:ascii="仿宋" w:hAnsi="仿宋" w:eastAsia="仿宋" w:cs="仿宋"/>
          <w:sz w:val="24"/>
          <w:lang w:eastAsia="zh-CN"/>
        </w:rPr>
        <w:t>法律法规</w:t>
      </w:r>
      <w:r>
        <w:rPr>
          <w:rFonts w:hint="eastAsia" w:ascii="仿宋" w:hAnsi="仿宋" w:eastAsia="仿宋" w:cs="仿宋"/>
          <w:sz w:val="24"/>
        </w:rPr>
        <w:t>的有关规定。</w:t>
      </w:r>
    </w:p>
    <w:p w14:paraId="22499C2D">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十三、合同的终止</w:t>
      </w:r>
    </w:p>
    <w:p w14:paraId="4B08F4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1、本合同因下列原因而终止：</w:t>
      </w:r>
    </w:p>
    <w:p w14:paraId="4AC667E0">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1）本合同正常履行完毕；</w:t>
      </w:r>
    </w:p>
    <w:p w14:paraId="689595F3">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2）合同双方协议终止本合同的履行；</w:t>
      </w:r>
    </w:p>
    <w:p w14:paraId="28BD3A68">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3）不可抗力事件导致本合同无法履行或履行不必要；</w:t>
      </w:r>
    </w:p>
    <w:p w14:paraId="0D49CADC">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4）任何一方行使解除权，解除本合同。</w:t>
      </w:r>
    </w:p>
    <w:p w14:paraId="76A5E1E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2、对本合同终止有过错的一方应赔偿另外一方因合同终止而受到的损失。对合同终止各方均无过错的，则各自承担所受到的损失。</w:t>
      </w:r>
    </w:p>
    <w:p w14:paraId="4EC798D0">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十四、争议的解决</w:t>
      </w:r>
    </w:p>
    <w:p w14:paraId="4F48A19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1、合同各方应通过友好协商解决因解释﹑执行本合同所发生的和本合同有关的一切争议。如果经协商不能达成协议，则各方同意在甲方住所地有管辖权的人民法院提起诉讼。</w:t>
      </w:r>
    </w:p>
    <w:p w14:paraId="1944C4B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2、在诉讼期间，除了必须在诉讼过程中进行解决的那部分问题外，合同其余部分应继续履行。</w:t>
      </w:r>
    </w:p>
    <w:p w14:paraId="739A0553">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十五、合同的补充、修改和变更</w:t>
      </w:r>
    </w:p>
    <w:p w14:paraId="63365C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1、双方协商一致，可以对本合同进行补充、修改或变更。</w:t>
      </w:r>
    </w:p>
    <w:p w14:paraId="28A0EFB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2、对本合同的任何补充、修改或变更必须以书面形式进行。</w:t>
      </w:r>
    </w:p>
    <w:p w14:paraId="5FDE375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3、各方签订的补充协议以及修改或变更的条款与本合同具有同等法律效力。</w:t>
      </w:r>
    </w:p>
    <w:p w14:paraId="7D647930">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十六、合同的生效</w:t>
      </w:r>
    </w:p>
    <w:p w14:paraId="41245894">
      <w:pPr>
        <w:spacing w:line="360" w:lineRule="auto"/>
        <w:ind w:firstLine="480" w:firstLineChars="200"/>
        <w:jc w:val="left"/>
        <w:rPr>
          <w:rFonts w:ascii="仿宋" w:hAnsi="仿宋" w:eastAsia="仿宋" w:cs="仿宋"/>
          <w:sz w:val="24"/>
        </w:rPr>
      </w:pPr>
      <w:r>
        <w:rPr>
          <w:rFonts w:hint="eastAsia" w:ascii="仿宋" w:hAnsi="仿宋" w:eastAsia="仿宋" w:cs="仿宋"/>
          <w:sz w:val="24"/>
        </w:rPr>
        <w:t>本合同经双方法定代表人签字并加盖单位公章后生效。</w:t>
      </w:r>
    </w:p>
    <w:p w14:paraId="0ECF619A">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十七、其它约定事项</w:t>
      </w:r>
    </w:p>
    <w:p w14:paraId="3B7880E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1、本合同未尽事宜，按照本招标文件的有关规定、中标人的中标文件及其澄清、说明或者补正文件执行。</w:t>
      </w:r>
    </w:p>
    <w:p w14:paraId="3D0C6C9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2、本合同中的附件均为本合同不可分割的部分，与本合同具有相同的法律效力。</w:t>
      </w:r>
    </w:p>
    <w:p w14:paraId="19F7741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3、一方当事人未经另对方书面同意，不得将其在合同项下的权利和义务全部或部分转让给第三人。</w:t>
      </w:r>
    </w:p>
    <w:p w14:paraId="35A8BF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4、本合同壹式陆份，每份具有同等法律效力。甲方肆份，乙方贰份。</w:t>
      </w:r>
    </w:p>
    <w:p w14:paraId="0570BA4C">
      <w:pPr>
        <w:spacing w:line="360" w:lineRule="auto"/>
        <w:ind w:firstLine="480" w:firstLineChars="200"/>
        <w:jc w:val="left"/>
        <w:rPr>
          <w:rFonts w:ascii="仿宋" w:hAnsi="仿宋" w:eastAsia="仿宋" w:cs="仿宋"/>
          <w:sz w:val="24"/>
        </w:rPr>
      </w:pPr>
      <w:r>
        <w:rPr>
          <w:rFonts w:hint="eastAsia" w:ascii="仿宋" w:hAnsi="仿宋" w:eastAsia="仿宋" w:cs="仿宋"/>
          <w:sz w:val="24"/>
        </w:rPr>
        <w:t>甲方（采购人）：北京体育大学附属竞技体育学校　</w:t>
      </w:r>
    </w:p>
    <w:p w14:paraId="384B62A7">
      <w:pPr>
        <w:spacing w:line="360" w:lineRule="auto"/>
        <w:ind w:firstLine="480" w:firstLineChars="200"/>
        <w:jc w:val="left"/>
        <w:rPr>
          <w:rFonts w:ascii="仿宋" w:hAnsi="仿宋" w:eastAsia="仿宋" w:cs="仿宋"/>
          <w:sz w:val="24"/>
        </w:rPr>
      </w:pPr>
      <w:r>
        <w:rPr>
          <w:rFonts w:hint="eastAsia" w:ascii="仿宋" w:hAnsi="仿宋" w:eastAsia="仿宋" w:cs="仿宋"/>
          <w:sz w:val="24"/>
        </w:rPr>
        <w:t>（公章）</w:t>
      </w:r>
      <w:r>
        <w:rPr>
          <w:rFonts w:hint="eastAsia" w:ascii="仿宋" w:hAnsi="仿宋" w:eastAsia="仿宋" w:cs="仿宋"/>
          <w:sz w:val="24"/>
        </w:rPr>
        <w:tab/>
      </w:r>
    </w:p>
    <w:p w14:paraId="1F436C04">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 xml:space="preserve">法定代表：　　　　　　 </w:t>
      </w:r>
      <w:r>
        <w:rPr>
          <w:rFonts w:hint="eastAsia" w:ascii="仿宋" w:hAnsi="仿宋" w:eastAsia="仿宋" w:cs="仿宋"/>
          <w:sz w:val="24"/>
        </w:rPr>
        <w:tab/>
      </w:r>
    </w:p>
    <w:p w14:paraId="51D07A76">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签订时间：  年   月  日      </w:t>
      </w:r>
    </w:p>
    <w:p w14:paraId="0ECBF773">
      <w:pPr>
        <w:spacing w:line="360" w:lineRule="auto"/>
        <w:ind w:firstLine="480" w:firstLineChars="200"/>
        <w:jc w:val="left"/>
        <w:rPr>
          <w:rFonts w:ascii="仿宋" w:hAnsi="仿宋" w:eastAsia="仿宋" w:cs="仿宋"/>
          <w:sz w:val="24"/>
        </w:rPr>
      </w:pPr>
      <w:r>
        <w:rPr>
          <w:rFonts w:hint="eastAsia" w:ascii="仿宋" w:hAnsi="仿宋" w:eastAsia="仿宋" w:cs="仿宋"/>
          <w:sz w:val="24"/>
        </w:rPr>
        <w:t>乙方（中标人）：（公章）</w:t>
      </w:r>
    </w:p>
    <w:p w14:paraId="1EDC5072">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 </w:t>
      </w:r>
    </w:p>
    <w:p w14:paraId="0EC1A16A">
      <w:pPr>
        <w:spacing w:line="360" w:lineRule="auto"/>
        <w:ind w:firstLine="480" w:firstLineChars="200"/>
        <w:jc w:val="left"/>
        <w:rPr>
          <w:rFonts w:ascii="仿宋" w:hAnsi="仿宋" w:eastAsia="仿宋" w:cs="仿宋"/>
          <w:sz w:val="24"/>
        </w:rPr>
      </w:pPr>
      <w:r>
        <w:rPr>
          <w:rFonts w:hint="eastAsia" w:ascii="仿宋" w:hAnsi="仿宋" w:eastAsia="仿宋" w:cs="仿宋"/>
          <w:sz w:val="24"/>
        </w:rPr>
        <w:t>签订时间：   年  月  日</w:t>
      </w:r>
    </w:p>
    <w:p w14:paraId="10499084">
      <w:pPr>
        <w:ind w:firstLine="420" w:firstLineChars="200"/>
        <w:rPr>
          <w:rFonts w:ascii="宋体" w:hAnsi="宋体"/>
          <w:color w:val="000000"/>
        </w:rPr>
      </w:pPr>
    </w:p>
    <w:sectPr>
      <w:pgSz w:w="11907" w:h="16840"/>
      <w:pgMar w:top="1089" w:right="1106" w:bottom="936" w:left="1259" w:header="851" w:footer="992" w:gutter="0"/>
      <w:pgNumType w:chapStyle="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Arial Regular">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315F">
    <w:pPr>
      <w:pStyle w:val="16"/>
      <w:framePr w:wrap="around" w:vAnchor="text" w:hAnchor="margin" w:xAlign="right" w:y="1"/>
      <w:jc w:val="center"/>
      <w:rPr>
        <w:rStyle w:val="26"/>
      </w:rPr>
    </w:pPr>
    <w:r>
      <w:fldChar w:fldCharType="begin"/>
    </w:r>
    <w:r>
      <w:rPr>
        <w:rStyle w:val="26"/>
      </w:rPr>
      <w:instrText xml:space="preserve">PAGE  </w:instrText>
    </w:r>
    <w:r>
      <w:fldChar w:fldCharType="separate"/>
    </w:r>
    <w:r>
      <w:rPr>
        <w:rStyle w:val="26"/>
      </w:rPr>
      <w:t>15</w:t>
    </w:r>
    <w:r>
      <w:fldChar w:fldCharType="end"/>
    </w:r>
  </w:p>
  <w:p w14:paraId="7315D02E">
    <w:pPr>
      <w:pStyle w:val="16"/>
      <w:framePr w:wrap="around" w:vAnchor="text" w:hAnchor="margin" w:xAlign="right" w:y="1"/>
      <w:ind w:right="360"/>
      <w:rPr>
        <w:rStyle w:val="26"/>
      </w:rPr>
    </w:pPr>
  </w:p>
  <w:p w14:paraId="3DCE49BB">
    <w:pPr>
      <w:pStyle w:val="16"/>
      <w:framePr w:wrap="around" w:vAnchor="text" w:hAnchor="margin" w:xAlign="right" w:y="1"/>
      <w:ind w:right="360"/>
      <w:rPr>
        <w:rStyle w:val="26"/>
      </w:rPr>
    </w:pPr>
  </w:p>
  <w:p w14:paraId="0FBAD729">
    <w:pPr>
      <w:pStyle w:val="16"/>
      <w:framePr w:wrap="around" w:vAnchor="text" w:hAnchor="margin" w:xAlign="center" w:y="1"/>
      <w:ind w:right="360"/>
      <w:rPr>
        <w:rStyle w:val="26"/>
      </w:rPr>
    </w:pPr>
  </w:p>
  <w:p w14:paraId="7786F49F">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4813">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47CE8A7D">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E44C">
    <w:pPr>
      <w:pStyle w:val="16"/>
      <w:jc w:val="center"/>
    </w:pPr>
  </w:p>
  <w:p w14:paraId="23C56E9B">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6E58">
    <w:pPr>
      <w:pStyle w:val="17"/>
      <w:pBdr>
        <w:bottom w:val="single" w:color="auto" w:sz="6" w:space="0"/>
      </w:pBdr>
      <w:jc w:val="left"/>
      <w:rPr>
        <w:rFonts w:hint="eastAsia" w:eastAsia="宋体"/>
        <w:szCs w:val="18"/>
        <w:lang w:val="en-US" w:eastAsia="zh-CN"/>
      </w:rPr>
    </w:pPr>
    <w:r>
      <w:rPr>
        <w:rFonts w:hint="eastAsia"/>
        <w:szCs w:val="18"/>
      </w:rPr>
      <w:t>项目名称：</w:t>
    </w:r>
    <w:r>
      <w:rPr>
        <w:rFonts w:hint="eastAsia" w:ascii="Times New Roman" w:hAnsi="Times New Roman"/>
        <w:b w:val="0"/>
        <w:bCs w:val="0"/>
        <w:sz w:val="18"/>
        <w:szCs w:val="18"/>
        <w:lang w:val="en-US" w:eastAsia="zh-CN"/>
      </w:rPr>
      <w:t>北京体育大学附属竞技体育学校（2025年）体育专项器材</w:t>
    </w:r>
    <w:r>
      <w:rPr>
        <w:rFonts w:hint="eastAsia" w:ascii="Times New Roman" w:hAnsi="Times New Roman"/>
        <w:b w:val="0"/>
        <w:bCs w:val="0"/>
        <w:sz w:val="18"/>
        <w:szCs w:val="18"/>
      </w:rPr>
      <w:t>采购竞争性谈判</w:t>
    </w:r>
    <w:r>
      <w:rPr>
        <w:rFonts w:hint="eastAsia"/>
        <w:szCs w:val="18"/>
      </w:rPr>
      <w:t xml:space="preserve">     </w:t>
    </w:r>
    <w:r>
      <w:rPr>
        <w:rFonts w:hint="eastAsia"/>
        <w:szCs w:val="18"/>
        <w:lang w:val="en-US" w:eastAsia="zh-CN"/>
      </w:rPr>
      <w:t xml:space="preserve">       </w:t>
    </w:r>
    <w:r>
      <w:rPr>
        <w:rFonts w:hint="eastAsia"/>
        <w:szCs w:val="18"/>
      </w:rPr>
      <w:t>项目编号：TPQW2</w:t>
    </w:r>
    <w:r>
      <w:rPr>
        <w:rFonts w:hint="eastAsia"/>
        <w:szCs w:val="18"/>
        <w:lang w:val="en-US" w:eastAsia="zh-CN"/>
      </w:rPr>
      <w:t>5</w:t>
    </w:r>
    <w:r>
      <w:rPr>
        <w:rFonts w:hint="eastAsia"/>
        <w:szCs w:val="18"/>
      </w:rPr>
      <w:t>-0</w:t>
    </w:r>
    <w:r>
      <w:rPr>
        <w:rFonts w:hint="eastAsia"/>
        <w:szCs w:val="18"/>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5"/>
    <w:multiLevelType w:val="multilevel"/>
    <w:tmpl w:val="00000015"/>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A"/>
    <w:multiLevelType w:val="multilevel"/>
    <w:tmpl w:val="0000001A"/>
    <w:lvl w:ilvl="0" w:tentative="0">
      <w:start w:val="1"/>
      <w:numFmt w:val="decimal"/>
      <w:lvlText w:val="%1."/>
      <w:lvlJc w:val="left"/>
      <w:pPr>
        <w:tabs>
          <w:tab w:val="left" w:pos="643"/>
        </w:tabs>
        <w:ind w:left="643"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415F0F"/>
    <w:multiLevelType w:val="multilevel"/>
    <w:tmpl w:val="76415F0F"/>
    <w:lvl w:ilvl="0" w:tentative="0">
      <w:start w:val="1"/>
      <w:numFmt w:val="japaneseCounting"/>
      <w:lvlText w:val="%1、"/>
      <w:lvlJc w:val="left"/>
      <w:pPr>
        <w:ind w:left="123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DUyODdjODU1ODdjYWM1N2RiODcxOTlhNTc3NDkifQ=="/>
  </w:docVars>
  <w:rsids>
    <w:rsidRoot w:val="00172A27"/>
    <w:rsid w:val="00004667"/>
    <w:rsid w:val="00014FCB"/>
    <w:rsid w:val="000150AF"/>
    <w:rsid w:val="0002078D"/>
    <w:rsid w:val="00026682"/>
    <w:rsid w:val="00026D4C"/>
    <w:rsid w:val="000340D5"/>
    <w:rsid w:val="0003791A"/>
    <w:rsid w:val="000730BC"/>
    <w:rsid w:val="000760F7"/>
    <w:rsid w:val="000844C8"/>
    <w:rsid w:val="00091C26"/>
    <w:rsid w:val="000A7140"/>
    <w:rsid w:val="000B0686"/>
    <w:rsid w:val="000E1F90"/>
    <w:rsid w:val="00120959"/>
    <w:rsid w:val="00121500"/>
    <w:rsid w:val="00137220"/>
    <w:rsid w:val="001460DC"/>
    <w:rsid w:val="0015365E"/>
    <w:rsid w:val="00160DD5"/>
    <w:rsid w:val="00164030"/>
    <w:rsid w:val="00172A27"/>
    <w:rsid w:val="001B73FD"/>
    <w:rsid w:val="001F661D"/>
    <w:rsid w:val="00207589"/>
    <w:rsid w:val="00225B58"/>
    <w:rsid w:val="00233B9C"/>
    <w:rsid w:val="00233BB9"/>
    <w:rsid w:val="002342F9"/>
    <w:rsid w:val="00244EF9"/>
    <w:rsid w:val="00251EE3"/>
    <w:rsid w:val="00261373"/>
    <w:rsid w:val="0026273B"/>
    <w:rsid w:val="002946A3"/>
    <w:rsid w:val="00297742"/>
    <w:rsid w:val="002D4936"/>
    <w:rsid w:val="002E30A4"/>
    <w:rsid w:val="002F36EE"/>
    <w:rsid w:val="002F6EEE"/>
    <w:rsid w:val="003072A3"/>
    <w:rsid w:val="003211BD"/>
    <w:rsid w:val="00321C21"/>
    <w:rsid w:val="0032734C"/>
    <w:rsid w:val="003279D3"/>
    <w:rsid w:val="003378B2"/>
    <w:rsid w:val="00341CAB"/>
    <w:rsid w:val="00356745"/>
    <w:rsid w:val="003719E4"/>
    <w:rsid w:val="0038162A"/>
    <w:rsid w:val="00382E3B"/>
    <w:rsid w:val="003B02E2"/>
    <w:rsid w:val="003B2D49"/>
    <w:rsid w:val="0040153B"/>
    <w:rsid w:val="00413639"/>
    <w:rsid w:val="00414DF6"/>
    <w:rsid w:val="00420CFF"/>
    <w:rsid w:val="0042161C"/>
    <w:rsid w:val="0042254E"/>
    <w:rsid w:val="004268F1"/>
    <w:rsid w:val="00431F20"/>
    <w:rsid w:val="00454521"/>
    <w:rsid w:val="00460BCE"/>
    <w:rsid w:val="0046691A"/>
    <w:rsid w:val="00472207"/>
    <w:rsid w:val="00474E20"/>
    <w:rsid w:val="00484C76"/>
    <w:rsid w:val="00497BB4"/>
    <w:rsid w:val="004A0727"/>
    <w:rsid w:val="004A0E28"/>
    <w:rsid w:val="004B5B92"/>
    <w:rsid w:val="004D1988"/>
    <w:rsid w:val="004F1D13"/>
    <w:rsid w:val="00502FAC"/>
    <w:rsid w:val="0052758C"/>
    <w:rsid w:val="00527F8D"/>
    <w:rsid w:val="00544F63"/>
    <w:rsid w:val="00547E53"/>
    <w:rsid w:val="00564025"/>
    <w:rsid w:val="00571A9E"/>
    <w:rsid w:val="005A1C02"/>
    <w:rsid w:val="005B48F3"/>
    <w:rsid w:val="005B4D71"/>
    <w:rsid w:val="005C15A2"/>
    <w:rsid w:val="005C6920"/>
    <w:rsid w:val="005D55C4"/>
    <w:rsid w:val="005F25B4"/>
    <w:rsid w:val="006042B8"/>
    <w:rsid w:val="0060442E"/>
    <w:rsid w:val="006236A1"/>
    <w:rsid w:val="006461B2"/>
    <w:rsid w:val="006504A6"/>
    <w:rsid w:val="006816DD"/>
    <w:rsid w:val="00684DF4"/>
    <w:rsid w:val="00685C7C"/>
    <w:rsid w:val="006C121F"/>
    <w:rsid w:val="007023AE"/>
    <w:rsid w:val="007116AC"/>
    <w:rsid w:val="007162B3"/>
    <w:rsid w:val="00721C23"/>
    <w:rsid w:val="007320CE"/>
    <w:rsid w:val="00737C15"/>
    <w:rsid w:val="00777E4F"/>
    <w:rsid w:val="00795727"/>
    <w:rsid w:val="007B428D"/>
    <w:rsid w:val="007C3AB8"/>
    <w:rsid w:val="007E5459"/>
    <w:rsid w:val="007F50CF"/>
    <w:rsid w:val="0080016D"/>
    <w:rsid w:val="00807D7A"/>
    <w:rsid w:val="00811150"/>
    <w:rsid w:val="00821131"/>
    <w:rsid w:val="00831449"/>
    <w:rsid w:val="00834DB5"/>
    <w:rsid w:val="00846703"/>
    <w:rsid w:val="0086667C"/>
    <w:rsid w:val="008863DB"/>
    <w:rsid w:val="00894674"/>
    <w:rsid w:val="008952DC"/>
    <w:rsid w:val="008A020C"/>
    <w:rsid w:val="008A3079"/>
    <w:rsid w:val="008B0F3C"/>
    <w:rsid w:val="008D2C44"/>
    <w:rsid w:val="008D781F"/>
    <w:rsid w:val="008F528B"/>
    <w:rsid w:val="00903C8D"/>
    <w:rsid w:val="00951894"/>
    <w:rsid w:val="00952109"/>
    <w:rsid w:val="00964180"/>
    <w:rsid w:val="0097082C"/>
    <w:rsid w:val="00973CC5"/>
    <w:rsid w:val="009B2B77"/>
    <w:rsid w:val="009C0770"/>
    <w:rsid w:val="009C0AF9"/>
    <w:rsid w:val="009D4958"/>
    <w:rsid w:val="009E7DCF"/>
    <w:rsid w:val="009F097A"/>
    <w:rsid w:val="00A1675B"/>
    <w:rsid w:val="00A45A62"/>
    <w:rsid w:val="00A50102"/>
    <w:rsid w:val="00A50852"/>
    <w:rsid w:val="00A54492"/>
    <w:rsid w:val="00A57E1B"/>
    <w:rsid w:val="00A66673"/>
    <w:rsid w:val="00A674E6"/>
    <w:rsid w:val="00A95ABC"/>
    <w:rsid w:val="00AA7336"/>
    <w:rsid w:val="00AD1A97"/>
    <w:rsid w:val="00AD7589"/>
    <w:rsid w:val="00AF4413"/>
    <w:rsid w:val="00AF512E"/>
    <w:rsid w:val="00B05B13"/>
    <w:rsid w:val="00B22CEF"/>
    <w:rsid w:val="00B2733B"/>
    <w:rsid w:val="00B313F3"/>
    <w:rsid w:val="00B33282"/>
    <w:rsid w:val="00B372A5"/>
    <w:rsid w:val="00B40562"/>
    <w:rsid w:val="00B614D8"/>
    <w:rsid w:val="00B62D68"/>
    <w:rsid w:val="00B731E3"/>
    <w:rsid w:val="00B84F99"/>
    <w:rsid w:val="00BD36EF"/>
    <w:rsid w:val="00BD5F26"/>
    <w:rsid w:val="00BD631A"/>
    <w:rsid w:val="00BD6EF0"/>
    <w:rsid w:val="00BF7790"/>
    <w:rsid w:val="00C223C9"/>
    <w:rsid w:val="00C24441"/>
    <w:rsid w:val="00C32E2A"/>
    <w:rsid w:val="00C332BF"/>
    <w:rsid w:val="00C65C63"/>
    <w:rsid w:val="00C869AA"/>
    <w:rsid w:val="00C969A8"/>
    <w:rsid w:val="00C976E9"/>
    <w:rsid w:val="00CA5E1D"/>
    <w:rsid w:val="00CE2DC1"/>
    <w:rsid w:val="00CE418B"/>
    <w:rsid w:val="00CF296E"/>
    <w:rsid w:val="00D07656"/>
    <w:rsid w:val="00D10633"/>
    <w:rsid w:val="00D1314C"/>
    <w:rsid w:val="00D177E0"/>
    <w:rsid w:val="00D225DD"/>
    <w:rsid w:val="00D27DFA"/>
    <w:rsid w:val="00D478FA"/>
    <w:rsid w:val="00D532FD"/>
    <w:rsid w:val="00D759AB"/>
    <w:rsid w:val="00D91CE8"/>
    <w:rsid w:val="00D94F79"/>
    <w:rsid w:val="00D97263"/>
    <w:rsid w:val="00DD4225"/>
    <w:rsid w:val="00DF2AFA"/>
    <w:rsid w:val="00DF47F1"/>
    <w:rsid w:val="00E05F9C"/>
    <w:rsid w:val="00E121C1"/>
    <w:rsid w:val="00E14545"/>
    <w:rsid w:val="00E24335"/>
    <w:rsid w:val="00E370F7"/>
    <w:rsid w:val="00E41568"/>
    <w:rsid w:val="00E91B2E"/>
    <w:rsid w:val="00E92B2E"/>
    <w:rsid w:val="00E94866"/>
    <w:rsid w:val="00EC4E5F"/>
    <w:rsid w:val="00ED2263"/>
    <w:rsid w:val="00ED5DDF"/>
    <w:rsid w:val="00F028EC"/>
    <w:rsid w:val="00F21045"/>
    <w:rsid w:val="00F4410D"/>
    <w:rsid w:val="00F47D81"/>
    <w:rsid w:val="00F74FF8"/>
    <w:rsid w:val="00F774FF"/>
    <w:rsid w:val="00F87916"/>
    <w:rsid w:val="00F90540"/>
    <w:rsid w:val="00F926E3"/>
    <w:rsid w:val="00F96917"/>
    <w:rsid w:val="00FA5B15"/>
    <w:rsid w:val="00FD3878"/>
    <w:rsid w:val="00FF7B5E"/>
    <w:rsid w:val="01116165"/>
    <w:rsid w:val="01F40F97"/>
    <w:rsid w:val="028A7B4B"/>
    <w:rsid w:val="05B80D1A"/>
    <w:rsid w:val="08CB4810"/>
    <w:rsid w:val="0A245A7D"/>
    <w:rsid w:val="0BBA3CE8"/>
    <w:rsid w:val="0D5858E9"/>
    <w:rsid w:val="0E3E277D"/>
    <w:rsid w:val="0EC67D76"/>
    <w:rsid w:val="0F745BEF"/>
    <w:rsid w:val="0F844AE3"/>
    <w:rsid w:val="0FCA0B6B"/>
    <w:rsid w:val="100A4484"/>
    <w:rsid w:val="100C2DE8"/>
    <w:rsid w:val="10EB2AFD"/>
    <w:rsid w:val="12842252"/>
    <w:rsid w:val="134600BE"/>
    <w:rsid w:val="13E921CC"/>
    <w:rsid w:val="15E9428C"/>
    <w:rsid w:val="187F4D4B"/>
    <w:rsid w:val="1D832630"/>
    <w:rsid w:val="1E7F411C"/>
    <w:rsid w:val="1F0152EE"/>
    <w:rsid w:val="1FD6020F"/>
    <w:rsid w:val="206161FE"/>
    <w:rsid w:val="21156B08"/>
    <w:rsid w:val="2123458A"/>
    <w:rsid w:val="21313A70"/>
    <w:rsid w:val="21AA5F60"/>
    <w:rsid w:val="22594A0D"/>
    <w:rsid w:val="23D17FAC"/>
    <w:rsid w:val="26452A9E"/>
    <w:rsid w:val="267E1B2E"/>
    <w:rsid w:val="27B55D3B"/>
    <w:rsid w:val="28925402"/>
    <w:rsid w:val="28B8108E"/>
    <w:rsid w:val="299558B3"/>
    <w:rsid w:val="2A152533"/>
    <w:rsid w:val="2AA1156E"/>
    <w:rsid w:val="2B2F0232"/>
    <w:rsid w:val="2C171C68"/>
    <w:rsid w:val="2C2D1CDD"/>
    <w:rsid w:val="2C3863DB"/>
    <w:rsid w:val="2CF8127F"/>
    <w:rsid w:val="2D771DDA"/>
    <w:rsid w:val="2D841F92"/>
    <w:rsid w:val="2E3207C2"/>
    <w:rsid w:val="30181908"/>
    <w:rsid w:val="301E207D"/>
    <w:rsid w:val="30DA5A09"/>
    <w:rsid w:val="35F24ACE"/>
    <w:rsid w:val="36CE2285"/>
    <w:rsid w:val="38DE53D9"/>
    <w:rsid w:val="3D474F4A"/>
    <w:rsid w:val="3D6D6452"/>
    <w:rsid w:val="3E0C5B98"/>
    <w:rsid w:val="40081496"/>
    <w:rsid w:val="439E42E3"/>
    <w:rsid w:val="47F64A0A"/>
    <w:rsid w:val="49883D8D"/>
    <w:rsid w:val="4A4B3EBC"/>
    <w:rsid w:val="4A7472B0"/>
    <w:rsid w:val="4AF527F5"/>
    <w:rsid w:val="4B3C3D5B"/>
    <w:rsid w:val="4B5D6B5E"/>
    <w:rsid w:val="4B5F5AF6"/>
    <w:rsid w:val="4E0D09E3"/>
    <w:rsid w:val="4E6E623D"/>
    <w:rsid w:val="4FCF20CA"/>
    <w:rsid w:val="513F7105"/>
    <w:rsid w:val="52183160"/>
    <w:rsid w:val="533335DB"/>
    <w:rsid w:val="5AFD3AD5"/>
    <w:rsid w:val="5B3301EC"/>
    <w:rsid w:val="5BF00D31"/>
    <w:rsid w:val="5C544706"/>
    <w:rsid w:val="603D25D3"/>
    <w:rsid w:val="607B63D6"/>
    <w:rsid w:val="608D17E6"/>
    <w:rsid w:val="617E483B"/>
    <w:rsid w:val="62595020"/>
    <w:rsid w:val="641A4059"/>
    <w:rsid w:val="663D263D"/>
    <w:rsid w:val="66851C22"/>
    <w:rsid w:val="670651D9"/>
    <w:rsid w:val="692725BC"/>
    <w:rsid w:val="6A5A33A8"/>
    <w:rsid w:val="6A5E0250"/>
    <w:rsid w:val="6B34498A"/>
    <w:rsid w:val="6C210E3D"/>
    <w:rsid w:val="6C721AA9"/>
    <w:rsid w:val="6C7B0067"/>
    <w:rsid w:val="6CE216C1"/>
    <w:rsid w:val="6CFB1A9C"/>
    <w:rsid w:val="6CFB5AC0"/>
    <w:rsid w:val="745724AB"/>
    <w:rsid w:val="745C735B"/>
    <w:rsid w:val="74F30207"/>
    <w:rsid w:val="76500CFE"/>
    <w:rsid w:val="76D865E8"/>
    <w:rsid w:val="76E971B9"/>
    <w:rsid w:val="77EF13D7"/>
    <w:rsid w:val="78B461EA"/>
    <w:rsid w:val="78BE732C"/>
    <w:rsid w:val="793B4A15"/>
    <w:rsid w:val="79FA50CD"/>
    <w:rsid w:val="7B05191C"/>
    <w:rsid w:val="7C415967"/>
    <w:rsid w:val="7DE2182A"/>
    <w:rsid w:val="7ED91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3"/>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37"/>
    <w:autoRedefine/>
    <w:qFormat/>
    <w:uiPriority w:val="0"/>
    <w:pPr>
      <w:jc w:val="left"/>
    </w:pPr>
  </w:style>
  <w:style w:type="paragraph" w:styleId="12">
    <w:name w:val="Body Text"/>
    <w:basedOn w:val="1"/>
    <w:autoRedefine/>
    <w:qFormat/>
    <w:uiPriority w:val="0"/>
    <w:pPr>
      <w:tabs>
        <w:tab w:val="left" w:pos="1155"/>
      </w:tabs>
      <w:spacing w:line="420" w:lineRule="exact"/>
    </w:pPr>
    <w:rPr>
      <w:rFonts w:ascii="宋体"/>
      <w:sz w:val="24"/>
    </w:rPr>
  </w:style>
  <w:style w:type="paragraph" w:styleId="13">
    <w:name w:val="Body Text Indent"/>
    <w:basedOn w:val="1"/>
    <w:autoRedefine/>
    <w:qFormat/>
    <w:uiPriority w:val="0"/>
    <w:pPr>
      <w:widowControl/>
      <w:ind w:firstLine="360"/>
      <w:jc w:val="left"/>
    </w:pPr>
    <w:rPr>
      <w:kern w:val="0"/>
      <w:sz w:val="24"/>
    </w:rPr>
  </w:style>
  <w:style w:type="paragraph" w:styleId="14">
    <w:name w:val="Body Text Indent 2"/>
    <w:basedOn w:val="1"/>
    <w:autoRedefine/>
    <w:qFormat/>
    <w:uiPriority w:val="0"/>
    <w:pPr>
      <w:spacing w:line="500" w:lineRule="exact"/>
      <w:ind w:left="359" w:leftChars="171" w:firstLine="540" w:firstLineChars="225"/>
    </w:pPr>
    <w:rPr>
      <w:rFonts w:ascii="宋体" w:hAnsi="宋体"/>
      <w:sz w:val="24"/>
    </w:rPr>
  </w:style>
  <w:style w:type="paragraph" w:styleId="15">
    <w:name w:val="Balloon Text"/>
    <w:basedOn w:val="1"/>
    <w:autoRedefine/>
    <w:qFormat/>
    <w:uiPriority w:val="0"/>
    <w:rPr>
      <w:sz w:val="18"/>
      <w:szCs w:val="18"/>
    </w:rPr>
  </w:style>
  <w:style w:type="paragraph" w:styleId="16">
    <w:name w:val="footer"/>
    <w:basedOn w:val="1"/>
    <w:link w:val="52"/>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39"/>
    <w:pPr>
      <w:spacing w:before="120" w:after="120"/>
      <w:jc w:val="left"/>
    </w:pPr>
    <w:rPr>
      <w:b/>
      <w:bCs/>
      <w:caps/>
    </w:rPr>
  </w:style>
  <w:style w:type="paragraph" w:styleId="19">
    <w:name w:val="toc 6"/>
    <w:basedOn w:val="1"/>
    <w:next w:val="1"/>
    <w:autoRedefine/>
    <w:qFormat/>
    <w:uiPriority w:val="39"/>
    <w:pPr>
      <w:ind w:left="1050"/>
      <w:jc w:val="left"/>
    </w:pPr>
    <w:rPr>
      <w:szCs w:val="21"/>
    </w:rPr>
  </w:style>
  <w:style w:type="paragraph" w:styleId="20">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53"/>
    <w:autoRedefine/>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8"/>
    <w:autoRedefine/>
    <w:qFormat/>
    <w:uiPriority w:val="0"/>
    <w:rPr>
      <w:b/>
      <w:bCs/>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Emphasis"/>
    <w:basedOn w:val="25"/>
    <w:autoRedefine/>
    <w:qFormat/>
    <w:uiPriority w:val="20"/>
    <w:rPr>
      <w:i/>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paragraph" w:customStyle="1" w:styleId="30">
    <w:name w:val="样式1"/>
    <w:basedOn w:val="21"/>
    <w:autoRedefine/>
    <w:qFormat/>
    <w:uiPriority w:val="0"/>
  </w:style>
  <w:style w:type="character" w:customStyle="1" w:styleId="31">
    <w:name w:val="样式2 Char"/>
    <w:link w:val="32"/>
    <w:autoRedefine/>
    <w:qFormat/>
    <w:uiPriority w:val="0"/>
    <w:rPr>
      <w:rFonts w:ascii="Arial" w:hAnsi="Arial"/>
      <w:b/>
      <w:bCs/>
      <w:color w:val="000000"/>
      <w:sz w:val="28"/>
      <w:szCs w:val="24"/>
    </w:rPr>
  </w:style>
  <w:style w:type="paragraph" w:customStyle="1" w:styleId="32">
    <w:name w:val="样式2"/>
    <w:basedOn w:val="7"/>
    <w:link w:val="31"/>
    <w:autoRedefine/>
    <w:qFormat/>
    <w:uiPriority w:val="0"/>
    <w:pPr>
      <w:spacing w:before="120" w:after="60" w:line="240" w:lineRule="auto"/>
    </w:pPr>
    <w:rPr>
      <w:color w:val="000000"/>
      <w:sz w:val="28"/>
    </w:rPr>
  </w:style>
  <w:style w:type="character" w:customStyle="1" w:styleId="33">
    <w:name w:val="标题 6 Char"/>
    <w:link w:val="7"/>
    <w:autoRedefine/>
    <w:qFormat/>
    <w:uiPriority w:val="0"/>
    <w:rPr>
      <w:rFonts w:ascii="Arial" w:hAnsi="Arial"/>
      <w:b/>
      <w:bCs/>
      <w:sz w:val="32"/>
      <w:szCs w:val="24"/>
    </w:rPr>
  </w:style>
  <w:style w:type="character" w:customStyle="1" w:styleId="34">
    <w:name w:val="列出段落 Char"/>
    <w:link w:val="35"/>
    <w:autoRedefine/>
    <w:qFormat/>
    <w:uiPriority w:val="34"/>
    <w:rPr>
      <w:rFonts w:ascii="Calibri" w:hAnsi="Calibri"/>
      <w:kern w:val="2"/>
      <w:sz w:val="21"/>
      <w:szCs w:val="22"/>
    </w:rPr>
  </w:style>
  <w:style w:type="paragraph" w:styleId="35">
    <w:name w:val="List Paragraph"/>
    <w:basedOn w:val="1"/>
    <w:link w:val="34"/>
    <w:autoRedefine/>
    <w:qFormat/>
    <w:uiPriority w:val="34"/>
    <w:pPr>
      <w:ind w:firstLine="420" w:firstLineChars="200"/>
    </w:pPr>
    <w:rPr>
      <w:rFonts w:ascii="Calibri" w:hAnsi="Calibri"/>
      <w:szCs w:val="22"/>
    </w:rPr>
  </w:style>
  <w:style w:type="character" w:customStyle="1" w:styleId="36">
    <w:name w:val="p141"/>
    <w:qFormat/>
    <w:uiPriority w:val="0"/>
    <w:rPr>
      <w:sz w:val="21"/>
      <w:szCs w:val="21"/>
    </w:rPr>
  </w:style>
  <w:style w:type="character" w:customStyle="1" w:styleId="37">
    <w:name w:val="批注文字 Char"/>
    <w:link w:val="11"/>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Char Char Char Char Char Char Char Char Char Char Char1 Char Char Char1"/>
    <w:basedOn w:val="1"/>
    <w:autoRedefine/>
    <w:qFormat/>
    <w:uiPriority w:val="0"/>
    <w:pPr>
      <w:ind w:firstLine="200" w:firstLineChars="200"/>
      <w:jc w:val="left"/>
    </w:pPr>
    <w:rPr>
      <w:rFonts w:ascii="Tahoma" w:hAnsi="Tahoma"/>
      <w:sz w:val="24"/>
    </w:rPr>
  </w:style>
  <w:style w:type="paragraph" w:customStyle="1" w:styleId="40">
    <w:name w:val="样式 标题 6 + 黑色"/>
    <w:basedOn w:val="7"/>
    <w:autoRedefine/>
    <w:qFormat/>
    <w:uiPriority w:val="0"/>
    <w:pPr>
      <w:spacing w:before="120" w:after="60"/>
    </w:pPr>
    <w:rPr>
      <w:color w:val="000000"/>
      <w:sz w:val="28"/>
    </w:rPr>
  </w:style>
  <w:style w:type="paragraph" w:customStyle="1" w:styleId="41">
    <w:name w:val="样式 宋体 小四 加粗 黑色 行距: 固定值 25 磅"/>
    <w:basedOn w:val="1"/>
    <w:autoRedefine/>
    <w:qFormat/>
    <w:uiPriority w:val="0"/>
    <w:pPr>
      <w:spacing w:line="500" w:lineRule="exact"/>
      <w:jc w:val="left"/>
    </w:pPr>
    <w:rPr>
      <w:rFonts w:ascii="宋体" w:hAnsi="宋体"/>
      <w:b/>
      <w:bCs/>
      <w:color w:val="000000"/>
      <w:sz w:val="24"/>
    </w:rPr>
  </w:style>
  <w:style w:type="paragraph" w:customStyle="1" w:styleId="42">
    <w:name w:val="样式 宋体 黑色 左"/>
    <w:basedOn w:val="1"/>
    <w:autoRedefine/>
    <w:qFormat/>
    <w:uiPriority w:val="0"/>
    <w:pPr>
      <w:ind w:firstLine="200" w:firstLineChars="200"/>
      <w:jc w:val="left"/>
    </w:pPr>
    <w:rPr>
      <w:rFonts w:ascii="宋体" w:hAnsi="宋体"/>
      <w:color w:val="000000"/>
    </w:rPr>
  </w:style>
  <w:style w:type="paragraph" w:customStyle="1" w:styleId="43">
    <w:name w:val="样式3"/>
    <w:basedOn w:val="7"/>
    <w:autoRedefine/>
    <w:qFormat/>
    <w:uiPriority w:val="0"/>
    <w:pPr>
      <w:jc w:val="center"/>
    </w:pPr>
    <w:rPr>
      <w:color w:val="000000"/>
    </w:rPr>
  </w:style>
  <w:style w:type="paragraph" w:customStyle="1" w:styleId="44">
    <w:name w:val="Char1"/>
    <w:basedOn w:val="1"/>
    <w:autoRedefine/>
    <w:qFormat/>
    <w:uiPriority w:val="0"/>
    <w:rPr>
      <w:rFonts w:ascii="Tahoma" w:hAnsi="Tahoma"/>
      <w:sz w:val="24"/>
      <w:szCs w:val="20"/>
    </w:rPr>
  </w:style>
  <w:style w:type="paragraph" w:customStyle="1" w:styleId="45">
    <w:name w:val="样式4"/>
    <w:basedOn w:val="1"/>
    <w:autoRedefine/>
    <w:qFormat/>
    <w:uiPriority w:val="0"/>
    <w:pPr>
      <w:spacing w:line="500" w:lineRule="exact"/>
      <w:jc w:val="left"/>
    </w:pPr>
    <w:rPr>
      <w:rFonts w:ascii="宋体" w:hAnsi="宋体"/>
      <w:b/>
      <w:bCs/>
      <w:color w:val="000000"/>
      <w:sz w:val="24"/>
    </w:rPr>
  </w:style>
  <w:style w:type="paragraph" w:customStyle="1" w:styleId="46">
    <w:name w:val="样式5"/>
    <w:basedOn w:val="1"/>
    <w:autoRedefine/>
    <w:qFormat/>
    <w:uiPriority w:val="0"/>
    <w:pPr>
      <w:spacing w:line="360" w:lineRule="auto"/>
      <w:ind w:firstLine="200" w:firstLineChars="200"/>
      <w:jc w:val="left"/>
    </w:pPr>
    <w:rPr>
      <w:sz w:val="24"/>
    </w:rPr>
  </w:style>
  <w:style w:type="paragraph" w:customStyle="1" w:styleId="47">
    <w:name w:val="样式6"/>
    <w:basedOn w:val="1"/>
    <w:autoRedefine/>
    <w:qFormat/>
    <w:uiPriority w:val="0"/>
    <w:pPr>
      <w:spacing w:line="360" w:lineRule="auto"/>
      <w:ind w:firstLine="200" w:firstLineChars="200"/>
      <w:jc w:val="left"/>
    </w:pPr>
    <w:rPr>
      <w:sz w:val="24"/>
    </w:rPr>
  </w:style>
  <w:style w:type="paragraph" w:customStyle="1" w:styleId="48">
    <w:name w:val="缺省文本"/>
    <w:basedOn w:val="1"/>
    <w:autoRedefine/>
    <w:qFormat/>
    <w:uiPriority w:val="0"/>
    <w:pPr>
      <w:autoSpaceDE w:val="0"/>
      <w:autoSpaceDN w:val="0"/>
      <w:adjustRightInd w:val="0"/>
      <w:jc w:val="left"/>
    </w:pPr>
    <w:rPr>
      <w:kern w:val="0"/>
      <w:sz w:val="24"/>
      <w:szCs w:val="20"/>
    </w:rPr>
  </w:style>
  <w:style w:type="paragraph" w:customStyle="1" w:styleId="49">
    <w:name w:val="Char Char Char"/>
    <w:basedOn w:val="1"/>
    <w:autoRedefine/>
    <w:qFormat/>
    <w:uiPriority w:val="0"/>
    <w:rPr>
      <w:rFonts w:ascii="Tahoma" w:hAnsi="Tahoma"/>
      <w:sz w:val="24"/>
      <w:szCs w:val="20"/>
    </w:rPr>
  </w:style>
  <w:style w:type="paragraph" w:customStyle="1" w:styleId="50">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51">
    <w:name w:val="样式 宋体 黑色 左1"/>
    <w:basedOn w:val="1"/>
    <w:autoRedefine/>
    <w:qFormat/>
    <w:uiPriority w:val="0"/>
    <w:pPr>
      <w:ind w:firstLine="200" w:firstLineChars="200"/>
      <w:jc w:val="left"/>
    </w:pPr>
    <w:rPr>
      <w:rFonts w:ascii="宋体" w:hAnsi="宋体"/>
      <w:color w:val="000000"/>
    </w:rPr>
  </w:style>
  <w:style w:type="character" w:customStyle="1" w:styleId="52">
    <w:name w:val="页脚 Char"/>
    <w:basedOn w:val="25"/>
    <w:link w:val="16"/>
    <w:autoRedefine/>
    <w:qFormat/>
    <w:uiPriority w:val="99"/>
    <w:rPr>
      <w:kern w:val="2"/>
      <w:sz w:val="18"/>
    </w:rPr>
  </w:style>
  <w:style w:type="character" w:customStyle="1" w:styleId="53">
    <w:name w:val="标题 Char"/>
    <w:basedOn w:val="25"/>
    <w:link w:val="21"/>
    <w:autoRedefine/>
    <w:qFormat/>
    <w:uiPriority w:val="0"/>
    <w:rPr>
      <w:rFonts w:ascii="Arial" w:hAnsi="Arial" w:cs="Arial"/>
      <w:b/>
      <w:bCs/>
      <w:kern w:val="2"/>
      <w:sz w:val="32"/>
      <w:szCs w:val="32"/>
    </w:rPr>
  </w:style>
  <w:style w:type="table" w:customStyle="1" w:styleId="54">
    <w:name w:val="Table Normal1"/>
    <w:autoRedefine/>
    <w:qFormat/>
    <w:uiPriority w:val="0"/>
    <w:rPr>
      <w:rFonts w:eastAsia="Arial Unicode MS"/>
    </w:rPr>
    <w:tblPr>
      <w:tblCellMar>
        <w:top w:w="0" w:type="dxa"/>
        <w:left w:w="0" w:type="dxa"/>
        <w:bottom w:w="0" w:type="dxa"/>
        <w:right w:w="0" w:type="dxa"/>
      </w:tblCellMar>
    </w:tblPr>
  </w:style>
  <w:style w:type="paragraph" w:customStyle="1" w:styleId="55">
    <w:name w:val="Revision"/>
    <w:autoRedefine/>
    <w:hidden/>
    <w:unhideWhenUsed/>
    <w:qFormat/>
    <w:uiPriority w:val="99"/>
    <w:rPr>
      <w:rFonts w:ascii="Times New Roman" w:hAnsi="Times New Roman" w:eastAsia="宋体" w:cs="Times New Roman"/>
      <w:kern w:val="2"/>
      <w:sz w:val="21"/>
      <w:szCs w:val="24"/>
      <w:lang w:val="en-US" w:eastAsia="zh-CN" w:bidi="ar-SA"/>
    </w:rPr>
  </w:style>
  <w:style w:type="table" w:customStyle="1" w:styleId="56">
    <w:name w:val="网格型1"/>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font51"/>
    <w:basedOn w:val="25"/>
    <w:qFormat/>
    <w:uiPriority w:val="0"/>
    <w:rPr>
      <w:rFonts w:hint="default" w:ascii="Times New Roman" w:hAnsi="Times New Roman" w:cs="Times New Roman"/>
      <w:color w:val="000000"/>
      <w:sz w:val="18"/>
      <w:szCs w:val="18"/>
      <w:u w:val="none"/>
    </w:rPr>
  </w:style>
  <w:style w:type="character" w:customStyle="1" w:styleId="58">
    <w:name w:val="font21"/>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9BCF9-DEF0-46CD-AA61-F09BDC66F949}">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30</Pages>
  <Words>4614</Words>
  <Characters>5166</Characters>
  <Lines>170</Lines>
  <Paragraphs>47</Paragraphs>
  <TotalTime>76</TotalTime>
  <ScaleCrop>false</ScaleCrop>
  <LinksUpToDate>false</LinksUpToDate>
  <CharactersWithSpaces>5260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2024-03-15T06:57:00Z</dcterms:created>
  <dc:creator>zz</dc:creator>
  <cp:lastModifiedBy>蔷薇</cp:lastModifiedBy>
  <cp:lastPrinted>2024-09-27T05:44:00Z</cp:lastPrinted>
  <dcterms:modified xsi:type="dcterms:W3CDTF">2025-06-03T05:50:06Z</dcterms:modified>
  <dc:title>国家体育总局国家队器材采购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9D8D08E5920245D2ACB44F71C06548CF_13</vt:lpwstr>
  </property>
  <property fmtid="{D5CDD505-2E9C-101B-9397-08002B2CF9AE}" pid="4" name="commondata">
    <vt:lpwstr>eyJoZGlkIjoiNTJiNmU3YzUyZjc4MWRhMGMwNDFhZGJlNzc2NzQxNzgifQ==</vt:lpwstr>
  </property>
  <property fmtid="{D5CDD505-2E9C-101B-9397-08002B2CF9AE}" pid="5" name="KSOTemplateDocerSaveRecord">
    <vt:lpwstr>eyJoZGlkIjoiYmZhMDUyODdjODU1ODdjYWM1N2RiODcxOTlhNTc3NDkiLCJ1c2VySWQiOiIxMTAwMDU2NjE0In0=</vt:lpwstr>
  </property>
</Properties>
</file>