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47991">
      <w:pPr>
        <w:spacing w:line="720" w:lineRule="auto"/>
        <w:jc w:val="center"/>
        <w:rPr>
          <w:rFonts w:eastAsia="黑体"/>
          <w:b/>
          <w:bCs/>
          <w:color w:val="000000"/>
          <w:sz w:val="52"/>
          <w:szCs w:val="52"/>
        </w:rPr>
      </w:pPr>
      <w:r>
        <w:rPr>
          <w:rFonts w:hint="eastAsia" w:eastAsia="黑体"/>
          <w:b/>
          <w:bCs/>
          <w:color w:val="000000"/>
          <w:sz w:val="52"/>
          <w:szCs w:val="52"/>
        </w:rPr>
        <w:t>采购文件</w:t>
      </w:r>
    </w:p>
    <w:p w14:paraId="1CA7DD2B">
      <w:pPr>
        <w:rPr>
          <w:rFonts w:eastAsia="黑体"/>
          <w:b/>
          <w:color w:val="000000"/>
          <w:sz w:val="36"/>
        </w:rPr>
      </w:pPr>
    </w:p>
    <w:p w14:paraId="0A366A37">
      <w:pPr>
        <w:rPr>
          <w:rFonts w:eastAsia="黑体"/>
          <w:b/>
          <w:color w:val="000000"/>
          <w:sz w:val="36"/>
        </w:rPr>
      </w:pPr>
    </w:p>
    <w:p w14:paraId="0AB4EA08">
      <w:pPr>
        <w:rPr>
          <w:rFonts w:eastAsia="黑体"/>
          <w:b/>
          <w:color w:val="000000"/>
          <w:sz w:val="36"/>
        </w:rPr>
      </w:pPr>
    </w:p>
    <w:p w14:paraId="7DC533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color w:val="000000"/>
          <w:sz w:val="36"/>
          <w:szCs w:val="36"/>
          <w:lang w:val="en-US" w:eastAsia="zh-CN"/>
        </w:rPr>
      </w:pPr>
      <w:r>
        <w:rPr>
          <w:rFonts w:hint="eastAsia" w:ascii="宋体" w:hAnsi="宋体"/>
          <w:b/>
          <w:bCs/>
          <w:color w:val="000000"/>
          <w:sz w:val="36"/>
          <w:szCs w:val="36"/>
        </w:rPr>
        <w:t>项目名称：国家体育总局</w:t>
      </w:r>
      <w:r>
        <w:rPr>
          <w:rFonts w:hint="eastAsia" w:ascii="宋体" w:hAnsi="宋体"/>
          <w:b/>
          <w:bCs/>
          <w:color w:val="000000"/>
          <w:sz w:val="36"/>
          <w:szCs w:val="36"/>
          <w:lang w:val="en-US" w:eastAsia="zh-CN"/>
        </w:rPr>
        <w:t>秦皇岛训练基地（中国足球学校）</w:t>
      </w:r>
    </w:p>
    <w:p w14:paraId="308FE17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b/>
          <w:bCs/>
          <w:color w:val="000000"/>
          <w:sz w:val="36"/>
          <w:szCs w:val="36"/>
        </w:rPr>
      </w:pPr>
      <w:r>
        <w:rPr>
          <w:rFonts w:hint="eastAsia" w:ascii="宋体" w:hAnsi="宋体"/>
          <w:b/>
          <w:bCs/>
          <w:color w:val="000000"/>
          <w:sz w:val="36"/>
          <w:szCs w:val="36"/>
          <w:lang w:val="en-US" w:eastAsia="zh-CN"/>
        </w:rPr>
        <w:t>国产排球鹰眼系统</w:t>
      </w:r>
      <w:r>
        <w:rPr>
          <w:rFonts w:hint="eastAsia" w:ascii="宋体" w:hAnsi="宋体"/>
          <w:b/>
          <w:bCs/>
          <w:color w:val="000000"/>
          <w:sz w:val="36"/>
          <w:szCs w:val="36"/>
        </w:rPr>
        <w:t>采购</w:t>
      </w:r>
    </w:p>
    <w:p w14:paraId="668E544C">
      <w:pPr>
        <w:rPr>
          <w:rFonts w:ascii="宋体" w:hAnsi="宋体"/>
          <w:b/>
          <w:bCs/>
          <w:color w:val="000000"/>
          <w:sz w:val="36"/>
          <w:szCs w:val="36"/>
        </w:rPr>
      </w:pPr>
    </w:p>
    <w:p w14:paraId="499ADF2C">
      <w:pPr>
        <w:jc w:val="center"/>
        <w:rPr>
          <w:rFonts w:hint="eastAsia" w:ascii="宋体" w:hAnsi="宋体" w:eastAsia="宋体"/>
          <w:b/>
          <w:bCs/>
          <w:color w:val="000000"/>
          <w:sz w:val="36"/>
          <w:szCs w:val="36"/>
          <w:lang w:eastAsia="zh-CN"/>
        </w:rPr>
      </w:pPr>
      <w:r>
        <w:rPr>
          <w:rFonts w:hint="eastAsia" w:ascii="宋体" w:hAnsi="宋体"/>
          <w:b/>
          <w:bCs/>
          <w:color w:val="000000"/>
          <w:sz w:val="36"/>
          <w:szCs w:val="36"/>
        </w:rPr>
        <w:t>项目编号：TPZJ2</w:t>
      </w:r>
      <w:r>
        <w:rPr>
          <w:rFonts w:hint="eastAsia" w:ascii="宋体" w:hAnsi="宋体"/>
          <w:b/>
          <w:bCs/>
          <w:color w:val="000000"/>
          <w:sz w:val="36"/>
          <w:szCs w:val="36"/>
          <w:lang w:val="en-US" w:eastAsia="zh-CN"/>
        </w:rPr>
        <w:t>5</w:t>
      </w:r>
      <w:r>
        <w:rPr>
          <w:rFonts w:hint="eastAsia" w:ascii="宋体" w:hAnsi="宋体"/>
          <w:b/>
          <w:bCs/>
          <w:color w:val="000000"/>
          <w:sz w:val="36"/>
          <w:szCs w:val="36"/>
        </w:rPr>
        <w:t>-0</w:t>
      </w:r>
      <w:r>
        <w:rPr>
          <w:rFonts w:hint="eastAsia" w:ascii="宋体" w:hAnsi="宋体"/>
          <w:b/>
          <w:bCs/>
          <w:color w:val="000000"/>
          <w:sz w:val="36"/>
          <w:szCs w:val="36"/>
          <w:lang w:val="en-US" w:eastAsia="zh-CN"/>
        </w:rPr>
        <w:t>1</w:t>
      </w:r>
    </w:p>
    <w:p w14:paraId="59731B43">
      <w:pPr>
        <w:spacing w:line="440" w:lineRule="exact"/>
        <w:ind w:firstLine="2880" w:firstLineChars="900"/>
        <w:rPr>
          <w:color w:val="000000"/>
          <w:sz w:val="32"/>
        </w:rPr>
      </w:pPr>
    </w:p>
    <w:p w14:paraId="7BC5227B">
      <w:pPr>
        <w:spacing w:line="440" w:lineRule="exact"/>
        <w:ind w:firstLine="2880" w:firstLineChars="900"/>
        <w:rPr>
          <w:color w:val="000000"/>
          <w:sz w:val="32"/>
        </w:rPr>
      </w:pPr>
    </w:p>
    <w:p w14:paraId="2B7147A1">
      <w:pPr>
        <w:spacing w:line="440" w:lineRule="exact"/>
        <w:ind w:firstLine="2880" w:firstLineChars="900"/>
        <w:rPr>
          <w:color w:val="000000"/>
          <w:sz w:val="32"/>
        </w:rPr>
      </w:pPr>
    </w:p>
    <w:p w14:paraId="08B70AA1">
      <w:pPr>
        <w:spacing w:line="440" w:lineRule="exact"/>
        <w:ind w:firstLine="2880" w:firstLineChars="900"/>
        <w:rPr>
          <w:color w:val="000000"/>
          <w:sz w:val="32"/>
        </w:rPr>
      </w:pPr>
    </w:p>
    <w:p w14:paraId="4B18A5D9">
      <w:pPr>
        <w:spacing w:line="440" w:lineRule="exact"/>
        <w:ind w:firstLine="2880" w:firstLineChars="900"/>
        <w:rPr>
          <w:color w:val="000000"/>
          <w:sz w:val="32"/>
        </w:rPr>
      </w:pPr>
    </w:p>
    <w:p w14:paraId="68CF0431">
      <w:pPr>
        <w:spacing w:line="440" w:lineRule="exact"/>
        <w:ind w:firstLine="2880" w:firstLineChars="900"/>
        <w:rPr>
          <w:color w:val="000000"/>
          <w:sz w:val="32"/>
        </w:rPr>
      </w:pPr>
    </w:p>
    <w:p w14:paraId="77C8DCE5">
      <w:pPr>
        <w:spacing w:line="440" w:lineRule="exact"/>
        <w:ind w:firstLine="2880" w:firstLineChars="900"/>
        <w:rPr>
          <w:color w:val="000000"/>
          <w:sz w:val="32"/>
        </w:rPr>
      </w:pPr>
    </w:p>
    <w:p w14:paraId="570D6772">
      <w:pPr>
        <w:spacing w:line="360" w:lineRule="auto"/>
        <w:rPr>
          <w:rFonts w:eastAsia="黑体"/>
          <w:bCs/>
          <w:color w:val="000000"/>
          <w:kern w:val="0"/>
          <w:sz w:val="32"/>
          <w:szCs w:val="32"/>
        </w:rPr>
      </w:pPr>
    </w:p>
    <w:p w14:paraId="59392598">
      <w:pPr>
        <w:pStyle w:val="13"/>
        <w:spacing w:line="440" w:lineRule="exact"/>
        <w:ind w:firstLine="0"/>
        <w:jc w:val="both"/>
        <w:rPr>
          <w:b/>
          <w:bCs/>
          <w:color w:val="000000"/>
        </w:rPr>
      </w:pPr>
    </w:p>
    <w:p w14:paraId="42529B5F">
      <w:pPr>
        <w:pStyle w:val="13"/>
        <w:spacing w:line="440" w:lineRule="exact"/>
        <w:ind w:firstLine="0"/>
        <w:jc w:val="both"/>
        <w:rPr>
          <w:rFonts w:hint="eastAsia" w:eastAsia="宋体"/>
          <w:b/>
          <w:bCs/>
          <w:color w:val="000000"/>
          <w:lang w:eastAsia="zh-CN"/>
        </w:rPr>
      </w:pPr>
    </w:p>
    <w:p w14:paraId="5C57A14C">
      <w:pPr>
        <w:pStyle w:val="13"/>
        <w:spacing w:line="440" w:lineRule="exact"/>
        <w:ind w:firstLine="0"/>
        <w:jc w:val="both"/>
        <w:rPr>
          <w:rFonts w:hint="eastAsia" w:eastAsia="宋体"/>
          <w:b/>
          <w:bCs/>
          <w:color w:val="000000"/>
          <w:lang w:eastAsia="zh-CN"/>
        </w:rPr>
      </w:pPr>
    </w:p>
    <w:p w14:paraId="20F0C4C6">
      <w:pPr>
        <w:pStyle w:val="13"/>
        <w:spacing w:line="440" w:lineRule="exact"/>
        <w:ind w:firstLine="0"/>
        <w:jc w:val="both"/>
        <w:rPr>
          <w:b/>
          <w:bCs/>
          <w:color w:val="000000"/>
        </w:rPr>
      </w:pPr>
    </w:p>
    <w:p w14:paraId="2E6DC938">
      <w:pPr>
        <w:pStyle w:val="13"/>
        <w:keepNext w:val="0"/>
        <w:keepLines w:val="0"/>
        <w:pageBreakBefore w:val="0"/>
        <w:widowControl/>
        <w:kinsoku/>
        <w:wordWrap/>
        <w:overflowPunct/>
        <w:topLinePunct w:val="0"/>
        <w:autoSpaceDE/>
        <w:autoSpaceDN/>
        <w:bidi w:val="0"/>
        <w:adjustRightInd/>
        <w:snapToGrid/>
        <w:spacing w:line="440" w:lineRule="exact"/>
        <w:ind w:firstLine="1800" w:firstLineChars="600"/>
        <w:jc w:val="left"/>
        <w:textAlignment w:val="auto"/>
        <w:rPr>
          <w:bCs/>
          <w:color w:val="000000"/>
          <w:sz w:val="30"/>
        </w:rPr>
      </w:pPr>
      <w:r>
        <w:rPr>
          <w:rFonts w:hint="eastAsia"/>
          <w:bCs/>
          <w:color w:val="000000"/>
          <w:sz w:val="30"/>
        </w:rPr>
        <w:t>采购单位：国家体育总局体育器材装备中心</w:t>
      </w:r>
    </w:p>
    <w:p w14:paraId="245197CB">
      <w:pPr>
        <w:pStyle w:val="13"/>
        <w:keepNext w:val="0"/>
        <w:keepLines w:val="0"/>
        <w:pageBreakBefore w:val="0"/>
        <w:widowControl/>
        <w:kinsoku/>
        <w:wordWrap/>
        <w:overflowPunct/>
        <w:topLinePunct w:val="0"/>
        <w:autoSpaceDE/>
        <w:autoSpaceDN/>
        <w:bidi w:val="0"/>
        <w:adjustRightInd/>
        <w:snapToGrid/>
        <w:spacing w:line="440" w:lineRule="exact"/>
        <w:ind w:firstLine="1800" w:firstLineChars="600"/>
        <w:jc w:val="left"/>
        <w:textAlignment w:val="auto"/>
        <w:rPr>
          <w:bCs/>
          <w:color w:val="000000"/>
          <w:sz w:val="30"/>
        </w:rPr>
      </w:pPr>
      <w:r>
        <w:rPr>
          <w:rFonts w:hint="eastAsia"/>
          <w:bCs/>
          <w:color w:val="000000"/>
          <w:sz w:val="30"/>
        </w:rPr>
        <w:t>采购人：国家体育总局秦皇岛训练基地（中国足球学校）</w:t>
      </w:r>
    </w:p>
    <w:p w14:paraId="1A7FDE57">
      <w:pPr>
        <w:pStyle w:val="13"/>
        <w:keepNext w:val="0"/>
        <w:keepLines w:val="0"/>
        <w:pageBreakBefore w:val="0"/>
        <w:widowControl/>
        <w:kinsoku/>
        <w:wordWrap/>
        <w:overflowPunct/>
        <w:topLinePunct w:val="0"/>
        <w:autoSpaceDE/>
        <w:autoSpaceDN/>
        <w:bidi w:val="0"/>
        <w:adjustRightInd/>
        <w:snapToGrid/>
        <w:spacing w:line="440" w:lineRule="exact"/>
        <w:ind w:firstLine="1800" w:firstLineChars="600"/>
        <w:jc w:val="left"/>
        <w:textAlignment w:val="auto"/>
        <w:rPr>
          <w:bCs/>
          <w:color w:val="000000"/>
          <w:sz w:val="30"/>
        </w:rPr>
      </w:pPr>
      <w:r>
        <w:rPr>
          <w:rFonts w:hint="eastAsia"/>
          <w:bCs/>
          <w:color w:val="000000"/>
          <w:sz w:val="30"/>
        </w:rPr>
        <w:t>日期：202</w:t>
      </w:r>
      <w:r>
        <w:rPr>
          <w:rFonts w:hint="eastAsia"/>
          <w:bCs/>
          <w:color w:val="000000"/>
          <w:sz w:val="30"/>
          <w:lang w:val="en-US" w:eastAsia="zh-CN"/>
        </w:rPr>
        <w:t>5</w:t>
      </w:r>
      <w:r>
        <w:rPr>
          <w:rFonts w:hint="eastAsia"/>
          <w:bCs/>
          <w:color w:val="000000"/>
          <w:sz w:val="30"/>
        </w:rPr>
        <w:t>年</w:t>
      </w:r>
      <w:r>
        <w:rPr>
          <w:rFonts w:hint="eastAsia"/>
          <w:bCs/>
          <w:color w:val="000000"/>
          <w:sz w:val="30"/>
          <w:lang w:val="en-US" w:eastAsia="zh-CN"/>
        </w:rPr>
        <w:t>6</w:t>
      </w:r>
      <w:r>
        <w:rPr>
          <w:rFonts w:hint="eastAsia"/>
          <w:bCs/>
          <w:color w:val="000000"/>
          <w:sz w:val="30"/>
        </w:rPr>
        <w:t>月</w:t>
      </w:r>
    </w:p>
    <w:p w14:paraId="1C3E13DD">
      <w:pPr>
        <w:pStyle w:val="1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14:paraId="48C6C65E">
      <w:pPr>
        <w:pStyle w:val="18"/>
        <w:tabs>
          <w:tab w:val="right" w:leader="dot" w:pos="9542"/>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rPr>
          <w:rFonts w:ascii="宋体" w:hAnsi="宋体"/>
          <w:bCs w:val="0"/>
          <w:color w:val="000000"/>
        </w:rPr>
        <w:fldChar w:fldCharType="begin"/>
      </w:r>
      <w:r>
        <w:rPr>
          <w:rFonts w:ascii="宋体" w:hAnsi="宋体"/>
          <w:bCs w:val="0"/>
        </w:rPr>
        <w:instrText xml:space="preserve"> HYPERLINK \l _Toc22696 </w:instrText>
      </w:r>
      <w:r>
        <w:rPr>
          <w:rFonts w:ascii="宋体" w:hAnsi="宋体"/>
          <w:bCs w:val="0"/>
        </w:rPr>
        <w:fldChar w:fldCharType="separate"/>
      </w:r>
      <w:r>
        <w:rPr>
          <w:rFonts w:hint="eastAsia"/>
        </w:rPr>
        <w:t>第一部分</w:t>
      </w:r>
      <w:r>
        <w:rPr>
          <w:rFonts w:hint="eastAsia"/>
          <w:lang w:val="en-US" w:eastAsia="zh-CN"/>
        </w:rPr>
        <w:t xml:space="preserve"> </w:t>
      </w:r>
      <w:r>
        <w:rPr>
          <w:rFonts w:hint="eastAsia"/>
        </w:rPr>
        <w:t>采购公告</w:t>
      </w:r>
      <w:r>
        <w:tab/>
      </w:r>
      <w:r>
        <w:fldChar w:fldCharType="begin"/>
      </w:r>
      <w:r>
        <w:instrText xml:space="preserve"> PAGEREF _Toc22696 \h </w:instrText>
      </w:r>
      <w:r>
        <w:fldChar w:fldCharType="separate"/>
      </w:r>
      <w:r>
        <w:t>3</w:t>
      </w:r>
      <w:r>
        <w:fldChar w:fldCharType="end"/>
      </w:r>
      <w:r>
        <w:rPr>
          <w:rFonts w:ascii="宋体" w:hAnsi="宋体"/>
          <w:bCs w:val="0"/>
          <w:color w:val="000000"/>
        </w:rPr>
        <w:fldChar w:fldCharType="end"/>
      </w:r>
    </w:p>
    <w:p w14:paraId="450F52E8">
      <w:pPr>
        <w:pStyle w:val="19"/>
        <w:tabs>
          <w:tab w:val="right" w:leader="dot" w:pos="9542"/>
        </w:tabs>
      </w:pPr>
      <w:r>
        <w:rPr>
          <w:rFonts w:ascii="宋体" w:hAnsi="宋体"/>
          <w:color w:val="000000"/>
        </w:rPr>
        <w:fldChar w:fldCharType="begin"/>
      </w:r>
      <w:r>
        <w:rPr>
          <w:rFonts w:ascii="宋体" w:hAnsi="宋体"/>
        </w:rPr>
        <w:instrText xml:space="preserve"> HYPERLINK \l _Toc18417 </w:instrText>
      </w:r>
      <w:r>
        <w:rPr>
          <w:rFonts w:ascii="宋体" w:hAnsi="宋体"/>
        </w:rPr>
        <w:fldChar w:fldCharType="separate"/>
      </w:r>
      <w:r>
        <w:rPr>
          <w:rFonts w:hint="eastAsia"/>
        </w:rPr>
        <w:t>一、项目名称及项目编号</w:t>
      </w:r>
      <w:r>
        <w:tab/>
      </w:r>
      <w:r>
        <w:fldChar w:fldCharType="begin"/>
      </w:r>
      <w:r>
        <w:instrText xml:space="preserve"> PAGEREF _Toc18417 \h </w:instrText>
      </w:r>
      <w:r>
        <w:fldChar w:fldCharType="separate"/>
      </w:r>
      <w:r>
        <w:t>3</w:t>
      </w:r>
      <w:r>
        <w:fldChar w:fldCharType="end"/>
      </w:r>
      <w:r>
        <w:rPr>
          <w:rFonts w:ascii="宋体" w:hAnsi="宋体"/>
          <w:color w:val="000000"/>
        </w:rPr>
        <w:fldChar w:fldCharType="end"/>
      </w:r>
    </w:p>
    <w:p w14:paraId="11197EAE">
      <w:pPr>
        <w:pStyle w:val="19"/>
        <w:tabs>
          <w:tab w:val="right" w:leader="dot" w:pos="9542"/>
        </w:tabs>
      </w:pPr>
      <w:r>
        <w:rPr>
          <w:rFonts w:ascii="宋体" w:hAnsi="宋体"/>
          <w:color w:val="000000"/>
        </w:rPr>
        <w:fldChar w:fldCharType="begin"/>
      </w:r>
      <w:r>
        <w:rPr>
          <w:rFonts w:ascii="宋体" w:hAnsi="宋体"/>
        </w:rPr>
        <w:instrText xml:space="preserve"> HYPERLINK \l _Toc26298 </w:instrText>
      </w:r>
      <w:r>
        <w:rPr>
          <w:rFonts w:ascii="宋体" w:hAnsi="宋体"/>
        </w:rPr>
        <w:fldChar w:fldCharType="separate"/>
      </w:r>
      <w:r>
        <w:rPr>
          <w:rFonts w:hint="eastAsia"/>
        </w:rPr>
        <w:t>二、采购内容</w:t>
      </w:r>
      <w:r>
        <w:tab/>
      </w:r>
      <w:r>
        <w:fldChar w:fldCharType="begin"/>
      </w:r>
      <w:r>
        <w:instrText xml:space="preserve"> PAGEREF _Toc26298 \h </w:instrText>
      </w:r>
      <w:r>
        <w:fldChar w:fldCharType="separate"/>
      </w:r>
      <w:r>
        <w:t>3</w:t>
      </w:r>
      <w:r>
        <w:fldChar w:fldCharType="end"/>
      </w:r>
      <w:r>
        <w:rPr>
          <w:rFonts w:ascii="宋体" w:hAnsi="宋体"/>
          <w:color w:val="000000"/>
        </w:rPr>
        <w:fldChar w:fldCharType="end"/>
      </w:r>
    </w:p>
    <w:p w14:paraId="047DDD7C">
      <w:pPr>
        <w:pStyle w:val="19"/>
        <w:tabs>
          <w:tab w:val="right" w:leader="dot" w:pos="9542"/>
        </w:tabs>
      </w:pPr>
      <w:r>
        <w:rPr>
          <w:rFonts w:ascii="宋体" w:hAnsi="宋体"/>
          <w:color w:val="000000"/>
        </w:rPr>
        <w:fldChar w:fldCharType="begin"/>
      </w:r>
      <w:r>
        <w:rPr>
          <w:rFonts w:ascii="宋体" w:hAnsi="宋体"/>
        </w:rPr>
        <w:instrText xml:space="preserve"> HYPERLINK \l _Toc22948 </w:instrText>
      </w:r>
      <w:r>
        <w:rPr>
          <w:rFonts w:ascii="宋体" w:hAnsi="宋体"/>
        </w:rPr>
        <w:fldChar w:fldCharType="separate"/>
      </w:r>
      <w:r>
        <w:rPr>
          <w:rFonts w:hint="eastAsia"/>
        </w:rPr>
        <w:t>三、合格的报价人</w:t>
      </w:r>
      <w:r>
        <w:tab/>
      </w:r>
      <w:r>
        <w:fldChar w:fldCharType="begin"/>
      </w:r>
      <w:r>
        <w:instrText xml:space="preserve"> PAGEREF _Toc22948 \h </w:instrText>
      </w:r>
      <w:r>
        <w:fldChar w:fldCharType="separate"/>
      </w:r>
      <w:r>
        <w:t>3</w:t>
      </w:r>
      <w:r>
        <w:fldChar w:fldCharType="end"/>
      </w:r>
      <w:r>
        <w:rPr>
          <w:rFonts w:ascii="宋体" w:hAnsi="宋体"/>
          <w:color w:val="000000"/>
        </w:rPr>
        <w:fldChar w:fldCharType="end"/>
      </w:r>
    </w:p>
    <w:p w14:paraId="788C0D5B">
      <w:pPr>
        <w:pStyle w:val="19"/>
        <w:tabs>
          <w:tab w:val="right" w:leader="dot" w:pos="9542"/>
        </w:tabs>
      </w:pPr>
      <w:r>
        <w:rPr>
          <w:rFonts w:ascii="宋体" w:hAnsi="宋体"/>
          <w:color w:val="000000"/>
        </w:rPr>
        <w:fldChar w:fldCharType="begin"/>
      </w:r>
      <w:r>
        <w:rPr>
          <w:rFonts w:ascii="宋体" w:hAnsi="宋体"/>
        </w:rPr>
        <w:instrText xml:space="preserve"> HYPERLINK \l _Toc4997 </w:instrText>
      </w:r>
      <w:r>
        <w:rPr>
          <w:rFonts w:ascii="宋体" w:hAnsi="宋体"/>
        </w:rPr>
        <w:fldChar w:fldCharType="separate"/>
      </w:r>
      <w:r>
        <w:rPr>
          <w:rFonts w:hint="eastAsia"/>
        </w:rPr>
        <w:t>四、报名</w:t>
      </w:r>
      <w:r>
        <w:tab/>
      </w:r>
      <w:r>
        <w:fldChar w:fldCharType="begin"/>
      </w:r>
      <w:r>
        <w:instrText xml:space="preserve"> PAGEREF _Toc4997 \h </w:instrText>
      </w:r>
      <w:r>
        <w:fldChar w:fldCharType="separate"/>
      </w:r>
      <w:r>
        <w:t>3</w:t>
      </w:r>
      <w:r>
        <w:fldChar w:fldCharType="end"/>
      </w:r>
      <w:r>
        <w:rPr>
          <w:rFonts w:ascii="宋体" w:hAnsi="宋体"/>
          <w:color w:val="000000"/>
        </w:rPr>
        <w:fldChar w:fldCharType="end"/>
      </w:r>
    </w:p>
    <w:p w14:paraId="182E63F5">
      <w:pPr>
        <w:pStyle w:val="19"/>
        <w:tabs>
          <w:tab w:val="right" w:leader="dot" w:pos="9542"/>
        </w:tabs>
      </w:pPr>
      <w:r>
        <w:rPr>
          <w:rFonts w:ascii="宋体" w:hAnsi="宋体"/>
          <w:color w:val="000000"/>
        </w:rPr>
        <w:fldChar w:fldCharType="begin"/>
      </w:r>
      <w:r>
        <w:rPr>
          <w:rFonts w:ascii="宋体" w:hAnsi="宋体"/>
        </w:rPr>
        <w:instrText xml:space="preserve"> HYPERLINK \l _Toc27827 </w:instrText>
      </w:r>
      <w:r>
        <w:rPr>
          <w:rFonts w:ascii="宋体" w:hAnsi="宋体"/>
        </w:rPr>
        <w:fldChar w:fldCharType="separate"/>
      </w:r>
      <w:r>
        <w:rPr>
          <w:rFonts w:hint="eastAsia" w:ascii="宋体" w:hAnsi="Times New Roman"/>
          <w:kern w:val="2"/>
        </w:rPr>
        <w:t>五</w:t>
      </w:r>
      <w:r>
        <w:rPr>
          <w:rFonts w:hint="eastAsia"/>
        </w:rPr>
        <w:t>、报价文件的递交</w:t>
      </w:r>
      <w:r>
        <w:tab/>
      </w:r>
      <w:r>
        <w:fldChar w:fldCharType="begin"/>
      </w:r>
      <w:r>
        <w:instrText xml:space="preserve"> PAGEREF _Toc27827 \h </w:instrText>
      </w:r>
      <w:r>
        <w:fldChar w:fldCharType="separate"/>
      </w:r>
      <w:r>
        <w:t>4</w:t>
      </w:r>
      <w:r>
        <w:fldChar w:fldCharType="end"/>
      </w:r>
      <w:r>
        <w:rPr>
          <w:rFonts w:ascii="宋体" w:hAnsi="宋体"/>
          <w:color w:val="000000"/>
        </w:rPr>
        <w:fldChar w:fldCharType="end"/>
      </w:r>
    </w:p>
    <w:p w14:paraId="38566E28">
      <w:pPr>
        <w:pStyle w:val="19"/>
        <w:tabs>
          <w:tab w:val="right" w:leader="dot" w:pos="9542"/>
        </w:tabs>
      </w:pPr>
      <w:r>
        <w:rPr>
          <w:rFonts w:ascii="宋体" w:hAnsi="宋体"/>
          <w:color w:val="000000"/>
        </w:rPr>
        <w:fldChar w:fldCharType="begin"/>
      </w:r>
      <w:r>
        <w:rPr>
          <w:rFonts w:ascii="宋体" w:hAnsi="宋体"/>
        </w:rPr>
        <w:instrText xml:space="preserve"> HYPERLINK \l _Toc20647 </w:instrText>
      </w:r>
      <w:r>
        <w:rPr>
          <w:rFonts w:ascii="宋体" w:hAnsi="宋体"/>
        </w:rPr>
        <w:fldChar w:fldCharType="separate"/>
      </w:r>
      <w:r>
        <w:rPr>
          <w:rFonts w:hint="eastAsia"/>
        </w:rPr>
        <w:t>六、谈判时间、地点</w:t>
      </w:r>
      <w:r>
        <w:tab/>
      </w:r>
      <w:r>
        <w:fldChar w:fldCharType="begin"/>
      </w:r>
      <w:r>
        <w:instrText xml:space="preserve"> PAGEREF _Toc20647 \h </w:instrText>
      </w:r>
      <w:r>
        <w:fldChar w:fldCharType="separate"/>
      </w:r>
      <w:r>
        <w:t>5</w:t>
      </w:r>
      <w:r>
        <w:fldChar w:fldCharType="end"/>
      </w:r>
      <w:r>
        <w:rPr>
          <w:rFonts w:ascii="宋体" w:hAnsi="宋体"/>
          <w:color w:val="000000"/>
        </w:rPr>
        <w:fldChar w:fldCharType="end"/>
      </w:r>
    </w:p>
    <w:p w14:paraId="302953A0">
      <w:pPr>
        <w:pStyle w:val="18"/>
        <w:tabs>
          <w:tab w:val="right" w:leader="dot" w:pos="9542"/>
        </w:tabs>
      </w:pPr>
      <w:r>
        <w:rPr>
          <w:rFonts w:ascii="宋体" w:hAnsi="宋体"/>
          <w:color w:val="000000"/>
        </w:rPr>
        <w:fldChar w:fldCharType="begin"/>
      </w:r>
      <w:r>
        <w:rPr>
          <w:rFonts w:ascii="宋体" w:hAnsi="宋体"/>
        </w:rPr>
        <w:instrText xml:space="preserve"> HYPERLINK \l _Toc2685 </w:instrText>
      </w:r>
      <w:r>
        <w:rPr>
          <w:rFonts w:ascii="宋体" w:hAnsi="宋体"/>
        </w:rPr>
        <w:fldChar w:fldCharType="separate"/>
      </w:r>
      <w:r>
        <w:rPr>
          <w:rFonts w:hint="eastAsia"/>
        </w:rPr>
        <w:t>第二部分报价须知</w:t>
      </w:r>
      <w:r>
        <w:tab/>
      </w:r>
      <w:r>
        <w:fldChar w:fldCharType="begin"/>
      </w:r>
      <w:r>
        <w:instrText xml:space="preserve"> PAGEREF _Toc2685 \h </w:instrText>
      </w:r>
      <w:r>
        <w:fldChar w:fldCharType="separate"/>
      </w:r>
      <w:r>
        <w:t>6</w:t>
      </w:r>
      <w:r>
        <w:fldChar w:fldCharType="end"/>
      </w:r>
      <w:r>
        <w:rPr>
          <w:rFonts w:ascii="宋体" w:hAnsi="宋体"/>
          <w:color w:val="000000"/>
        </w:rPr>
        <w:fldChar w:fldCharType="end"/>
      </w:r>
    </w:p>
    <w:p w14:paraId="04741B1C">
      <w:pPr>
        <w:pStyle w:val="19"/>
        <w:tabs>
          <w:tab w:val="right" w:leader="dot" w:pos="9542"/>
        </w:tabs>
      </w:pPr>
      <w:r>
        <w:rPr>
          <w:rFonts w:ascii="宋体" w:hAnsi="宋体"/>
          <w:color w:val="000000"/>
        </w:rPr>
        <w:fldChar w:fldCharType="begin"/>
      </w:r>
      <w:r>
        <w:rPr>
          <w:rFonts w:ascii="宋体" w:hAnsi="宋体"/>
        </w:rPr>
        <w:instrText xml:space="preserve"> HYPERLINK \l _Toc20310 </w:instrText>
      </w:r>
      <w:r>
        <w:rPr>
          <w:rFonts w:ascii="宋体" w:hAnsi="宋体"/>
        </w:rPr>
        <w:fldChar w:fldCharType="separate"/>
      </w:r>
      <w:r>
        <w:rPr>
          <w:rFonts w:hint="eastAsia"/>
        </w:rPr>
        <w:t>一、总则</w:t>
      </w:r>
      <w:r>
        <w:tab/>
      </w:r>
      <w:r>
        <w:fldChar w:fldCharType="begin"/>
      </w:r>
      <w:r>
        <w:instrText xml:space="preserve"> PAGEREF _Toc20310 \h </w:instrText>
      </w:r>
      <w:r>
        <w:fldChar w:fldCharType="separate"/>
      </w:r>
      <w:r>
        <w:t>6</w:t>
      </w:r>
      <w:r>
        <w:fldChar w:fldCharType="end"/>
      </w:r>
      <w:r>
        <w:rPr>
          <w:rFonts w:ascii="宋体" w:hAnsi="宋体"/>
          <w:color w:val="000000"/>
        </w:rPr>
        <w:fldChar w:fldCharType="end"/>
      </w:r>
    </w:p>
    <w:p w14:paraId="31A453E5">
      <w:pPr>
        <w:pStyle w:val="19"/>
        <w:tabs>
          <w:tab w:val="right" w:leader="dot" w:pos="9542"/>
        </w:tabs>
      </w:pPr>
      <w:r>
        <w:rPr>
          <w:rFonts w:ascii="宋体" w:hAnsi="宋体"/>
          <w:color w:val="000000"/>
        </w:rPr>
        <w:fldChar w:fldCharType="begin"/>
      </w:r>
      <w:r>
        <w:rPr>
          <w:rFonts w:ascii="宋体" w:hAnsi="宋体"/>
        </w:rPr>
        <w:instrText xml:space="preserve"> HYPERLINK \l _Toc32622 </w:instrText>
      </w:r>
      <w:r>
        <w:rPr>
          <w:rFonts w:ascii="宋体" w:hAnsi="宋体"/>
        </w:rPr>
        <w:fldChar w:fldCharType="separate"/>
      </w:r>
      <w:r>
        <w:rPr>
          <w:rFonts w:hint="eastAsia"/>
        </w:rPr>
        <w:t>二、采购信息说明</w:t>
      </w:r>
      <w:r>
        <w:tab/>
      </w:r>
      <w:r>
        <w:fldChar w:fldCharType="begin"/>
      </w:r>
      <w:r>
        <w:instrText xml:space="preserve"> PAGEREF _Toc32622 \h </w:instrText>
      </w:r>
      <w:r>
        <w:fldChar w:fldCharType="separate"/>
      </w:r>
      <w:r>
        <w:t>6</w:t>
      </w:r>
      <w:r>
        <w:fldChar w:fldCharType="end"/>
      </w:r>
      <w:r>
        <w:rPr>
          <w:rFonts w:ascii="宋体" w:hAnsi="宋体"/>
          <w:color w:val="000000"/>
        </w:rPr>
        <w:fldChar w:fldCharType="end"/>
      </w:r>
    </w:p>
    <w:p w14:paraId="2CAEDB3A">
      <w:pPr>
        <w:pStyle w:val="19"/>
        <w:tabs>
          <w:tab w:val="right" w:leader="dot" w:pos="9542"/>
        </w:tabs>
      </w:pPr>
      <w:r>
        <w:rPr>
          <w:rFonts w:ascii="宋体" w:hAnsi="宋体"/>
          <w:color w:val="000000"/>
        </w:rPr>
        <w:fldChar w:fldCharType="begin"/>
      </w:r>
      <w:r>
        <w:rPr>
          <w:rFonts w:ascii="宋体" w:hAnsi="宋体"/>
        </w:rPr>
        <w:instrText xml:space="preserve"> HYPERLINK \l _Toc12845 </w:instrText>
      </w:r>
      <w:r>
        <w:rPr>
          <w:rFonts w:ascii="宋体" w:hAnsi="宋体"/>
        </w:rPr>
        <w:fldChar w:fldCharType="separate"/>
      </w:r>
      <w:r>
        <w:rPr>
          <w:rFonts w:hint="eastAsia"/>
        </w:rPr>
        <w:t>三、报价文件的编写</w:t>
      </w:r>
      <w:r>
        <w:tab/>
      </w:r>
      <w:r>
        <w:fldChar w:fldCharType="begin"/>
      </w:r>
      <w:r>
        <w:instrText xml:space="preserve"> PAGEREF _Toc12845 \h </w:instrText>
      </w:r>
      <w:r>
        <w:fldChar w:fldCharType="separate"/>
      </w:r>
      <w:r>
        <w:t>7</w:t>
      </w:r>
      <w:r>
        <w:fldChar w:fldCharType="end"/>
      </w:r>
      <w:r>
        <w:rPr>
          <w:rFonts w:ascii="宋体" w:hAnsi="宋体"/>
          <w:color w:val="000000"/>
        </w:rPr>
        <w:fldChar w:fldCharType="end"/>
      </w:r>
    </w:p>
    <w:p w14:paraId="07D568BB">
      <w:pPr>
        <w:pStyle w:val="19"/>
        <w:tabs>
          <w:tab w:val="right" w:leader="dot" w:pos="9542"/>
        </w:tabs>
      </w:pPr>
      <w:r>
        <w:rPr>
          <w:rFonts w:ascii="宋体" w:hAnsi="宋体"/>
          <w:color w:val="000000"/>
        </w:rPr>
        <w:fldChar w:fldCharType="begin"/>
      </w:r>
      <w:r>
        <w:rPr>
          <w:rFonts w:ascii="宋体" w:hAnsi="宋体"/>
        </w:rPr>
        <w:instrText xml:space="preserve"> HYPERLINK \l _Toc21516 </w:instrText>
      </w:r>
      <w:r>
        <w:rPr>
          <w:rFonts w:ascii="宋体" w:hAnsi="宋体"/>
        </w:rPr>
        <w:fldChar w:fldCharType="separate"/>
      </w:r>
      <w:r>
        <w:rPr>
          <w:rFonts w:hint="eastAsia"/>
        </w:rPr>
        <w:t>四、合同的授予</w:t>
      </w:r>
      <w:r>
        <w:tab/>
      </w:r>
      <w:r>
        <w:fldChar w:fldCharType="begin"/>
      </w:r>
      <w:r>
        <w:instrText xml:space="preserve"> PAGEREF _Toc21516 \h </w:instrText>
      </w:r>
      <w:r>
        <w:fldChar w:fldCharType="separate"/>
      </w:r>
      <w:r>
        <w:t>10</w:t>
      </w:r>
      <w:r>
        <w:fldChar w:fldCharType="end"/>
      </w:r>
      <w:r>
        <w:rPr>
          <w:rFonts w:ascii="宋体" w:hAnsi="宋体"/>
          <w:color w:val="000000"/>
        </w:rPr>
        <w:fldChar w:fldCharType="end"/>
      </w:r>
    </w:p>
    <w:p w14:paraId="34BE8873">
      <w:pPr>
        <w:pStyle w:val="19"/>
        <w:tabs>
          <w:tab w:val="right" w:leader="dot" w:pos="9542"/>
        </w:tabs>
      </w:pPr>
      <w:r>
        <w:rPr>
          <w:rFonts w:ascii="宋体" w:hAnsi="宋体"/>
          <w:color w:val="000000"/>
        </w:rPr>
        <w:fldChar w:fldCharType="begin"/>
      </w:r>
      <w:r>
        <w:rPr>
          <w:rFonts w:ascii="宋体" w:hAnsi="宋体"/>
        </w:rPr>
        <w:instrText xml:space="preserve"> HYPERLINK \l _Toc30351 </w:instrText>
      </w:r>
      <w:r>
        <w:rPr>
          <w:rFonts w:ascii="宋体" w:hAnsi="宋体"/>
        </w:rPr>
        <w:fldChar w:fldCharType="separate"/>
      </w:r>
      <w:r>
        <w:rPr>
          <w:rFonts w:hint="eastAsia"/>
        </w:rPr>
        <w:t>五、质疑和投诉</w:t>
      </w:r>
      <w:r>
        <w:tab/>
      </w:r>
      <w:r>
        <w:fldChar w:fldCharType="begin"/>
      </w:r>
      <w:r>
        <w:instrText xml:space="preserve"> PAGEREF _Toc30351 \h </w:instrText>
      </w:r>
      <w:r>
        <w:fldChar w:fldCharType="separate"/>
      </w:r>
      <w:r>
        <w:t>11</w:t>
      </w:r>
      <w:r>
        <w:fldChar w:fldCharType="end"/>
      </w:r>
      <w:r>
        <w:rPr>
          <w:rFonts w:ascii="宋体" w:hAnsi="宋体"/>
          <w:color w:val="000000"/>
        </w:rPr>
        <w:fldChar w:fldCharType="end"/>
      </w:r>
    </w:p>
    <w:p w14:paraId="6D38E5B9">
      <w:pPr>
        <w:pStyle w:val="19"/>
        <w:tabs>
          <w:tab w:val="right" w:leader="dot" w:pos="9542"/>
        </w:tabs>
      </w:pPr>
      <w:r>
        <w:rPr>
          <w:rFonts w:ascii="宋体" w:hAnsi="宋体"/>
          <w:color w:val="000000"/>
        </w:rPr>
        <w:fldChar w:fldCharType="begin"/>
      </w:r>
      <w:r>
        <w:rPr>
          <w:rFonts w:ascii="宋体" w:hAnsi="宋体"/>
        </w:rPr>
        <w:instrText xml:space="preserve"> HYPERLINK \l _Toc4951 </w:instrText>
      </w:r>
      <w:r>
        <w:rPr>
          <w:rFonts w:ascii="宋体" w:hAnsi="宋体"/>
        </w:rPr>
        <w:fldChar w:fldCharType="separate"/>
      </w:r>
      <w:r>
        <w:rPr>
          <w:rFonts w:hint="eastAsia"/>
        </w:rPr>
        <w:t>六、其它须知</w:t>
      </w:r>
      <w:r>
        <w:tab/>
      </w:r>
      <w:r>
        <w:fldChar w:fldCharType="begin"/>
      </w:r>
      <w:r>
        <w:instrText xml:space="preserve"> PAGEREF _Toc4951 \h </w:instrText>
      </w:r>
      <w:r>
        <w:fldChar w:fldCharType="separate"/>
      </w:r>
      <w:r>
        <w:t>11</w:t>
      </w:r>
      <w:r>
        <w:fldChar w:fldCharType="end"/>
      </w:r>
      <w:r>
        <w:rPr>
          <w:rFonts w:ascii="宋体" w:hAnsi="宋体"/>
          <w:color w:val="000000"/>
        </w:rPr>
        <w:fldChar w:fldCharType="end"/>
      </w:r>
    </w:p>
    <w:p w14:paraId="52932506">
      <w:pPr>
        <w:pStyle w:val="18"/>
        <w:tabs>
          <w:tab w:val="right" w:leader="dot" w:pos="9542"/>
        </w:tabs>
      </w:pPr>
      <w:r>
        <w:rPr>
          <w:rFonts w:ascii="宋体" w:hAnsi="宋体"/>
          <w:color w:val="000000"/>
        </w:rPr>
        <w:fldChar w:fldCharType="begin"/>
      </w:r>
      <w:r>
        <w:rPr>
          <w:rFonts w:ascii="宋体" w:hAnsi="宋体"/>
        </w:rPr>
        <w:instrText xml:space="preserve"> HYPERLINK \l _Toc6648 </w:instrText>
      </w:r>
      <w:r>
        <w:rPr>
          <w:rFonts w:ascii="宋体" w:hAnsi="宋体"/>
        </w:rPr>
        <w:fldChar w:fldCharType="separate"/>
      </w:r>
      <w:r>
        <w:rPr>
          <w:rFonts w:hint="eastAsia"/>
        </w:rPr>
        <w:t>第三部分 采购清单</w:t>
      </w:r>
      <w:r>
        <w:tab/>
      </w:r>
      <w:r>
        <w:fldChar w:fldCharType="begin"/>
      </w:r>
      <w:r>
        <w:instrText xml:space="preserve"> PAGEREF _Toc6648 \h </w:instrText>
      </w:r>
      <w:r>
        <w:fldChar w:fldCharType="separate"/>
      </w:r>
      <w:r>
        <w:t>13</w:t>
      </w:r>
      <w:r>
        <w:fldChar w:fldCharType="end"/>
      </w:r>
      <w:r>
        <w:rPr>
          <w:rFonts w:ascii="宋体" w:hAnsi="宋体"/>
          <w:color w:val="000000"/>
        </w:rPr>
        <w:fldChar w:fldCharType="end"/>
      </w:r>
    </w:p>
    <w:p w14:paraId="1ABC6F9B">
      <w:pPr>
        <w:pStyle w:val="18"/>
        <w:tabs>
          <w:tab w:val="right" w:leader="dot" w:pos="9542"/>
        </w:tabs>
      </w:pPr>
      <w:r>
        <w:rPr>
          <w:rFonts w:ascii="宋体" w:hAnsi="宋体"/>
          <w:color w:val="000000"/>
        </w:rPr>
        <w:fldChar w:fldCharType="begin"/>
      </w:r>
      <w:r>
        <w:rPr>
          <w:rFonts w:ascii="宋体" w:hAnsi="宋体"/>
        </w:rPr>
        <w:instrText xml:space="preserve"> HYPERLINK \l _Toc29012 </w:instrText>
      </w:r>
      <w:r>
        <w:rPr>
          <w:rFonts w:ascii="宋体" w:hAnsi="宋体"/>
        </w:rPr>
        <w:fldChar w:fldCharType="separate"/>
      </w:r>
      <w:r>
        <w:rPr>
          <w:rFonts w:hint="eastAsia"/>
        </w:rPr>
        <w:t>第四部分 评定标准</w:t>
      </w:r>
      <w:r>
        <w:tab/>
      </w:r>
      <w:r>
        <w:fldChar w:fldCharType="begin"/>
      </w:r>
      <w:r>
        <w:instrText xml:space="preserve"> PAGEREF _Toc29012 \h </w:instrText>
      </w:r>
      <w:r>
        <w:fldChar w:fldCharType="separate"/>
      </w:r>
      <w:r>
        <w:t>16</w:t>
      </w:r>
      <w:r>
        <w:fldChar w:fldCharType="end"/>
      </w:r>
      <w:r>
        <w:rPr>
          <w:rFonts w:ascii="宋体" w:hAnsi="宋体"/>
          <w:color w:val="000000"/>
        </w:rPr>
        <w:fldChar w:fldCharType="end"/>
      </w:r>
    </w:p>
    <w:p w14:paraId="64255C58">
      <w:pPr>
        <w:pStyle w:val="19"/>
        <w:tabs>
          <w:tab w:val="right" w:leader="dot" w:pos="9542"/>
        </w:tabs>
      </w:pPr>
      <w:r>
        <w:rPr>
          <w:rFonts w:ascii="宋体" w:hAnsi="宋体"/>
          <w:color w:val="000000"/>
        </w:rPr>
        <w:fldChar w:fldCharType="begin"/>
      </w:r>
      <w:r>
        <w:rPr>
          <w:rFonts w:ascii="宋体" w:hAnsi="宋体"/>
        </w:rPr>
        <w:instrText xml:space="preserve"> HYPERLINK \l _Toc25330 </w:instrText>
      </w:r>
      <w:r>
        <w:rPr>
          <w:rFonts w:ascii="宋体" w:hAnsi="宋体"/>
        </w:rPr>
        <w:fldChar w:fldCharType="separate"/>
      </w:r>
      <w:r>
        <w:rPr>
          <w:rFonts w:hint="eastAsia"/>
        </w:rPr>
        <w:t>一、总则</w:t>
      </w:r>
      <w:r>
        <w:tab/>
      </w:r>
      <w:r>
        <w:fldChar w:fldCharType="begin"/>
      </w:r>
      <w:r>
        <w:instrText xml:space="preserve"> PAGEREF _Toc25330 \h </w:instrText>
      </w:r>
      <w:r>
        <w:fldChar w:fldCharType="separate"/>
      </w:r>
      <w:r>
        <w:t>16</w:t>
      </w:r>
      <w:r>
        <w:fldChar w:fldCharType="end"/>
      </w:r>
      <w:r>
        <w:rPr>
          <w:rFonts w:ascii="宋体" w:hAnsi="宋体"/>
          <w:color w:val="000000"/>
        </w:rPr>
        <w:fldChar w:fldCharType="end"/>
      </w:r>
    </w:p>
    <w:p w14:paraId="493DEBCE">
      <w:pPr>
        <w:pStyle w:val="19"/>
        <w:tabs>
          <w:tab w:val="right" w:leader="dot" w:pos="9542"/>
        </w:tabs>
      </w:pPr>
      <w:r>
        <w:rPr>
          <w:rFonts w:ascii="宋体" w:hAnsi="宋体"/>
          <w:color w:val="000000"/>
        </w:rPr>
        <w:fldChar w:fldCharType="begin"/>
      </w:r>
      <w:r>
        <w:rPr>
          <w:rFonts w:ascii="宋体" w:hAnsi="宋体"/>
        </w:rPr>
        <w:instrText xml:space="preserve"> HYPERLINK \l _Toc15031 </w:instrText>
      </w:r>
      <w:r>
        <w:rPr>
          <w:rFonts w:ascii="宋体" w:hAnsi="宋体"/>
        </w:rPr>
        <w:fldChar w:fldCharType="separate"/>
      </w:r>
      <w:r>
        <w:rPr>
          <w:rFonts w:hint="eastAsia"/>
        </w:rPr>
        <w:t>二、谈判程序及说明</w:t>
      </w:r>
      <w:r>
        <w:tab/>
      </w:r>
      <w:r>
        <w:fldChar w:fldCharType="begin"/>
      </w:r>
      <w:r>
        <w:instrText xml:space="preserve"> PAGEREF _Toc15031 \h </w:instrText>
      </w:r>
      <w:r>
        <w:fldChar w:fldCharType="separate"/>
      </w:r>
      <w:r>
        <w:t>16</w:t>
      </w:r>
      <w:r>
        <w:fldChar w:fldCharType="end"/>
      </w:r>
      <w:r>
        <w:rPr>
          <w:rFonts w:ascii="宋体" w:hAnsi="宋体"/>
          <w:color w:val="000000"/>
        </w:rPr>
        <w:fldChar w:fldCharType="end"/>
      </w:r>
    </w:p>
    <w:p w14:paraId="660CAF56">
      <w:pPr>
        <w:pStyle w:val="19"/>
        <w:tabs>
          <w:tab w:val="right" w:leader="dot" w:pos="9542"/>
        </w:tabs>
      </w:pPr>
      <w:r>
        <w:rPr>
          <w:rFonts w:ascii="宋体" w:hAnsi="宋体"/>
          <w:color w:val="000000"/>
        </w:rPr>
        <w:fldChar w:fldCharType="begin"/>
      </w:r>
      <w:r>
        <w:rPr>
          <w:rFonts w:ascii="宋体" w:hAnsi="宋体"/>
        </w:rPr>
        <w:instrText xml:space="preserve"> HYPERLINK \l _Toc12930 </w:instrText>
      </w:r>
      <w:r>
        <w:rPr>
          <w:rFonts w:ascii="宋体" w:hAnsi="宋体"/>
        </w:rPr>
        <w:fldChar w:fldCharType="separate"/>
      </w:r>
      <w:r>
        <w:rPr>
          <w:rFonts w:hint="eastAsia"/>
        </w:rPr>
        <w:t>三、评定标准</w:t>
      </w:r>
      <w:r>
        <w:tab/>
      </w:r>
      <w:r>
        <w:fldChar w:fldCharType="begin"/>
      </w:r>
      <w:r>
        <w:instrText xml:space="preserve"> PAGEREF _Toc12930 \h </w:instrText>
      </w:r>
      <w:r>
        <w:fldChar w:fldCharType="separate"/>
      </w:r>
      <w:r>
        <w:t>16</w:t>
      </w:r>
      <w:r>
        <w:fldChar w:fldCharType="end"/>
      </w:r>
      <w:r>
        <w:rPr>
          <w:rFonts w:ascii="宋体" w:hAnsi="宋体"/>
          <w:color w:val="000000"/>
        </w:rPr>
        <w:fldChar w:fldCharType="end"/>
      </w:r>
    </w:p>
    <w:p w14:paraId="450EF243">
      <w:pPr>
        <w:pStyle w:val="18"/>
        <w:tabs>
          <w:tab w:val="right" w:leader="dot" w:pos="9542"/>
        </w:tabs>
      </w:pPr>
      <w:r>
        <w:rPr>
          <w:rFonts w:ascii="宋体" w:hAnsi="宋体"/>
          <w:color w:val="000000"/>
        </w:rPr>
        <w:fldChar w:fldCharType="begin"/>
      </w:r>
      <w:r>
        <w:rPr>
          <w:rFonts w:ascii="宋体" w:hAnsi="宋体"/>
        </w:rPr>
        <w:instrText xml:space="preserve"> HYPERLINK \l _Toc32512 </w:instrText>
      </w:r>
      <w:r>
        <w:rPr>
          <w:rFonts w:ascii="宋体" w:hAnsi="宋体"/>
        </w:rPr>
        <w:fldChar w:fldCharType="separate"/>
      </w:r>
      <w:r>
        <w:rPr>
          <w:rFonts w:hint="eastAsia"/>
        </w:rPr>
        <w:t>第五部分报价文件格式</w:t>
      </w:r>
      <w:r>
        <w:tab/>
      </w:r>
      <w:r>
        <w:fldChar w:fldCharType="begin"/>
      </w:r>
      <w:r>
        <w:instrText xml:space="preserve"> PAGEREF _Toc32512 \h </w:instrText>
      </w:r>
      <w:r>
        <w:fldChar w:fldCharType="separate"/>
      </w:r>
      <w:r>
        <w:t>17</w:t>
      </w:r>
      <w:r>
        <w:fldChar w:fldCharType="end"/>
      </w:r>
      <w:r>
        <w:rPr>
          <w:rFonts w:ascii="宋体" w:hAnsi="宋体"/>
          <w:color w:val="000000"/>
        </w:rPr>
        <w:fldChar w:fldCharType="end"/>
      </w:r>
    </w:p>
    <w:p w14:paraId="2AAD7897">
      <w:pPr>
        <w:pStyle w:val="19"/>
        <w:tabs>
          <w:tab w:val="right" w:leader="dot" w:pos="9542"/>
        </w:tabs>
      </w:pPr>
      <w:r>
        <w:rPr>
          <w:rFonts w:ascii="宋体" w:hAnsi="宋体"/>
          <w:color w:val="000000"/>
        </w:rPr>
        <w:fldChar w:fldCharType="begin"/>
      </w:r>
      <w:r>
        <w:rPr>
          <w:rFonts w:ascii="宋体" w:hAnsi="宋体"/>
        </w:rPr>
        <w:instrText xml:space="preserve"> HYPERLINK \l _Toc10837 </w:instrText>
      </w:r>
      <w:r>
        <w:rPr>
          <w:rFonts w:ascii="宋体" w:hAnsi="宋体"/>
        </w:rPr>
        <w:fldChar w:fldCharType="separate"/>
      </w:r>
      <w:r>
        <w:rPr>
          <w:rFonts w:hint="eastAsia"/>
        </w:rPr>
        <w:t>报价人提交文件须知</w:t>
      </w:r>
      <w:r>
        <w:tab/>
      </w:r>
      <w:r>
        <w:fldChar w:fldCharType="begin"/>
      </w:r>
      <w:r>
        <w:instrText xml:space="preserve"> PAGEREF _Toc10837 \h </w:instrText>
      </w:r>
      <w:r>
        <w:fldChar w:fldCharType="separate"/>
      </w:r>
      <w:r>
        <w:t>17</w:t>
      </w:r>
      <w:r>
        <w:fldChar w:fldCharType="end"/>
      </w:r>
      <w:r>
        <w:rPr>
          <w:rFonts w:ascii="宋体" w:hAnsi="宋体"/>
          <w:color w:val="000000"/>
        </w:rPr>
        <w:fldChar w:fldCharType="end"/>
      </w:r>
    </w:p>
    <w:p w14:paraId="000ECB51">
      <w:pPr>
        <w:pStyle w:val="19"/>
        <w:tabs>
          <w:tab w:val="right" w:leader="dot" w:pos="9542"/>
        </w:tabs>
      </w:pPr>
      <w:r>
        <w:rPr>
          <w:rFonts w:ascii="宋体" w:hAnsi="宋体"/>
          <w:color w:val="000000"/>
        </w:rPr>
        <w:fldChar w:fldCharType="begin"/>
      </w:r>
      <w:r>
        <w:rPr>
          <w:rFonts w:ascii="宋体" w:hAnsi="宋体"/>
        </w:rPr>
        <w:instrText xml:space="preserve"> HYPERLINK \l _Toc12443 </w:instrText>
      </w:r>
      <w:r>
        <w:rPr>
          <w:rFonts w:ascii="宋体" w:hAnsi="宋体"/>
        </w:rPr>
        <w:fldChar w:fldCharType="separate"/>
      </w:r>
      <w:r>
        <w:rPr>
          <w:rFonts w:hint="eastAsia"/>
          <w:szCs w:val="28"/>
        </w:rPr>
        <w:t>附件1：封面</w:t>
      </w:r>
      <w:r>
        <w:tab/>
      </w:r>
      <w:r>
        <w:fldChar w:fldCharType="begin"/>
      </w:r>
      <w:r>
        <w:instrText xml:space="preserve"> PAGEREF _Toc12443 \h </w:instrText>
      </w:r>
      <w:r>
        <w:fldChar w:fldCharType="separate"/>
      </w:r>
      <w:r>
        <w:t>18</w:t>
      </w:r>
      <w:r>
        <w:fldChar w:fldCharType="end"/>
      </w:r>
      <w:r>
        <w:rPr>
          <w:rFonts w:ascii="宋体" w:hAnsi="宋体"/>
          <w:color w:val="000000"/>
        </w:rPr>
        <w:fldChar w:fldCharType="end"/>
      </w:r>
    </w:p>
    <w:p w14:paraId="3F9AC6E0">
      <w:pPr>
        <w:pStyle w:val="19"/>
        <w:tabs>
          <w:tab w:val="right" w:leader="dot" w:pos="9542"/>
        </w:tabs>
      </w:pPr>
      <w:r>
        <w:rPr>
          <w:rFonts w:ascii="宋体" w:hAnsi="宋体"/>
          <w:color w:val="000000"/>
        </w:rPr>
        <w:fldChar w:fldCharType="begin"/>
      </w:r>
      <w:r>
        <w:rPr>
          <w:rFonts w:ascii="宋体" w:hAnsi="宋体"/>
        </w:rPr>
        <w:instrText xml:space="preserve"> HYPERLINK \l _Toc5359 </w:instrText>
      </w:r>
      <w:r>
        <w:rPr>
          <w:rFonts w:ascii="宋体" w:hAnsi="宋体"/>
        </w:rPr>
        <w:fldChar w:fldCharType="separate"/>
      </w:r>
      <w:r>
        <w:rPr>
          <w:rFonts w:hint="eastAsia"/>
          <w:szCs w:val="28"/>
        </w:rPr>
        <w:t>附件2：法定代表人证明书</w:t>
      </w:r>
      <w:r>
        <w:tab/>
      </w:r>
      <w:r>
        <w:fldChar w:fldCharType="begin"/>
      </w:r>
      <w:r>
        <w:instrText xml:space="preserve"> PAGEREF _Toc5359 \h </w:instrText>
      </w:r>
      <w:r>
        <w:fldChar w:fldCharType="separate"/>
      </w:r>
      <w:r>
        <w:t>19</w:t>
      </w:r>
      <w:r>
        <w:fldChar w:fldCharType="end"/>
      </w:r>
      <w:r>
        <w:rPr>
          <w:rFonts w:ascii="宋体" w:hAnsi="宋体"/>
          <w:color w:val="000000"/>
        </w:rPr>
        <w:fldChar w:fldCharType="end"/>
      </w:r>
    </w:p>
    <w:p w14:paraId="0C7FEA5B">
      <w:pPr>
        <w:pStyle w:val="19"/>
        <w:tabs>
          <w:tab w:val="right" w:leader="dot" w:pos="9542"/>
        </w:tabs>
      </w:pPr>
      <w:r>
        <w:rPr>
          <w:rFonts w:ascii="宋体" w:hAnsi="宋体"/>
          <w:color w:val="000000"/>
        </w:rPr>
        <w:fldChar w:fldCharType="begin"/>
      </w:r>
      <w:r>
        <w:rPr>
          <w:rFonts w:ascii="宋体" w:hAnsi="宋体"/>
        </w:rPr>
        <w:instrText xml:space="preserve"> HYPERLINK \l _Toc4784 </w:instrText>
      </w:r>
      <w:r>
        <w:rPr>
          <w:rFonts w:ascii="宋体" w:hAnsi="宋体"/>
        </w:rPr>
        <w:fldChar w:fldCharType="separate"/>
      </w:r>
      <w:r>
        <w:rPr>
          <w:rFonts w:hint="eastAsia"/>
          <w:szCs w:val="28"/>
        </w:rPr>
        <w:t>附件3：法定代表人的授权委托书</w:t>
      </w:r>
      <w:r>
        <w:tab/>
      </w:r>
      <w:r>
        <w:fldChar w:fldCharType="begin"/>
      </w:r>
      <w:r>
        <w:instrText xml:space="preserve"> PAGEREF _Toc4784 \h </w:instrText>
      </w:r>
      <w:r>
        <w:fldChar w:fldCharType="separate"/>
      </w:r>
      <w:r>
        <w:t>20</w:t>
      </w:r>
      <w:r>
        <w:fldChar w:fldCharType="end"/>
      </w:r>
      <w:r>
        <w:rPr>
          <w:rFonts w:ascii="宋体" w:hAnsi="宋体"/>
          <w:color w:val="000000"/>
        </w:rPr>
        <w:fldChar w:fldCharType="end"/>
      </w:r>
    </w:p>
    <w:p w14:paraId="1C0E2F15">
      <w:pPr>
        <w:pStyle w:val="19"/>
        <w:tabs>
          <w:tab w:val="right" w:leader="dot" w:pos="9542"/>
        </w:tabs>
      </w:pPr>
      <w:r>
        <w:rPr>
          <w:rFonts w:ascii="宋体" w:hAnsi="宋体"/>
          <w:color w:val="000000"/>
        </w:rPr>
        <w:fldChar w:fldCharType="begin"/>
      </w:r>
      <w:r>
        <w:rPr>
          <w:rFonts w:ascii="宋体" w:hAnsi="宋体"/>
        </w:rPr>
        <w:instrText xml:space="preserve"> HYPERLINK \l _Toc10405 </w:instrText>
      </w:r>
      <w:r>
        <w:rPr>
          <w:rFonts w:ascii="宋体" w:hAnsi="宋体"/>
        </w:rPr>
        <w:fldChar w:fldCharType="separate"/>
      </w:r>
      <w:r>
        <w:rPr>
          <w:rFonts w:hint="eastAsia"/>
          <w:szCs w:val="28"/>
        </w:rPr>
        <w:t>附件4：产品报价明细表</w:t>
      </w:r>
      <w:r>
        <w:tab/>
      </w:r>
      <w:r>
        <w:fldChar w:fldCharType="begin"/>
      </w:r>
      <w:r>
        <w:instrText xml:space="preserve"> PAGEREF _Toc10405 \h </w:instrText>
      </w:r>
      <w:r>
        <w:fldChar w:fldCharType="separate"/>
      </w:r>
      <w:r>
        <w:t>21</w:t>
      </w:r>
      <w:r>
        <w:fldChar w:fldCharType="end"/>
      </w:r>
      <w:r>
        <w:rPr>
          <w:rFonts w:ascii="宋体" w:hAnsi="宋体"/>
          <w:color w:val="000000"/>
        </w:rPr>
        <w:fldChar w:fldCharType="end"/>
      </w:r>
    </w:p>
    <w:p w14:paraId="05765999">
      <w:pPr>
        <w:pStyle w:val="19"/>
        <w:tabs>
          <w:tab w:val="right" w:leader="dot" w:pos="9542"/>
        </w:tabs>
      </w:pPr>
      <w:r>
        <w:rPr>
          <w:rFonts w:ascii="宋体" w:hAnsi="宋体"/>
          <w:color w:val="000000"/>
        </w:rPr>
        <w:fldChar w:fldCharType="begin"/>
      </w:r>
      <w:r>
        <w:rPr>
          <w:rFonts w:ascii="宋体" w:hAnsi="宋体"/>
        </w:rPr>
        <w:instrText xml:space="preserve"> HYPERLINK \l _Toc19148 </w:instrText>
      </w:r>
      <w:r>
        <w:rPr>
          <w:rFonts w:ascii="宋体" w:hAnsi="宋体"/>
        </w:rPr>
        <w:fldChar w:fldCharType="separate"/>
      </w:r>
      <w:r>
        <w:rPr>
          <w:rFonts w:hint="eastAsia" w:ascii="宋体" w:hAnsi="宋体"/>
          <w:bCs w:val="0"/>
          <w:szCs w:val="28"/>
        </w:rPr>
        <w:t>附件5：产品技术偏离表</w:t>
      </w:r>
      <w:r>
        <w:tab/>
      </w:r>
      <w:r>
        <w:fldChar w:fldCharType="begin"/>
      </w:r>
      <w:r>
        <w:instrText xml:space="preserve"> PAGEREF _Toc19148 \h </w:instrText>
      </w:r>
      <w:r>
        <w:fldChar w:fldCharType="separate"/>
      </w:r>
      <w:r>
        <w:t>22</w:t>
      </w:r>
      <w:r>
        <w:fldChar w:fldCharType="end"/>
      </w:r>
      <w:r>
        <w:rPr>
          <w:rFonts w:ascii="宋体" w:hAnsi="宋体"/>
          <w:color w:val="000000"/>
        </w:rPr>
        <w:fldChar w:fldCharType="end"/>
      </w:r>
    </w:p>
    <w:p w14:paraId="5B56CE52">
      <w:pPr>
        <w:pStyle w:val="19"/>
        <w:tabs>
          <w:tab w:val="right" w:leader="dot" w:pos="9542"/>
        </w:tabs>
      </w:pPr>
      <w:r>
        <w:rPr>
          <w:rFonts w:ascii="宋体" w:hAnsi="宋体"/>
          <w:color w:val="000000"/>
        </w:rPr>
        <w:fldChar w:fldCharType="begin"/>
      </w:r>
      <w:r>
        <w:rPr>
          <w:rFonts w:ascii="宋体" w:hAnsi="宋体"/>
        </w:rPr>
        <w:instrText xml:space="preserve"> HYPERLINK \l _Toc17205 </w:instrText>
      </w:r>
      <w:r>
        <w:rPr>
          <w:rFonts w:ascii="宋体" w:hAnsi="宋体"/>
        </w:rPr>
        <w:fldChar w:fldCharType="separate"/>
      </w:r>
      <w:r>
        <w:rPr>
          <w:rFonts w:hint="eastAsia" w:ascii="宋体" w:hAnsi="宋体"/>
          <w:bCs w:val="0"/>
          <w:szCs w:val="28"/>
        </w:rPr>
        <w:t>附件6： 中小企业声明函</w:t>
      </w:r>
      <w:r>
        <w:tab/>
      </w:r>
      <w:r>
        <w:fldChar w:fldCharType="begin"/>
      </w:r>
      <w:r>
        <w:instrText xml:space="preserve"> PAGEREF _Toc17205 \h </w:instrText>
      </w:r>
      <w:r>
        <w:fldChar w:fldCharType="separate"/>
      </w:r>
      <w:r>
        <w:t>23</w:t>
      </w:r>
      <w:r>
        <w:fldChar w:fldCharType="end"/>
      </w:r>
      <w:r>
        <w:rPr>
          <w:rFonts w:ascii="宋体" w:hAnsi="宋体"/>
          <w:color w:val="000000"/>
        </w:rPr>
        <w:fldChar w:fldCharType="end"/>
      </w:r>
    </w:p>
    <w:p w14:paraId="52EB1879">
      <w:pPr>
        <w:pStyle w:val="18"/>
        <w:tabs>
          <w:tab w:val="right" w:leader="dot" w:pos="9542"/>
        </w:tabs>
      </w:pPr>
      <w:r>
        <w:rPr>
          <w:rFonts w:ascii="宋体" w:hAnsi="宋体"/>
          <w:color w:val="000000"/>
        </w:rPr>
        <w:fldChar w:fldCharType="begin"/>
      </w:r>
      <w:r>
        <w:rPr>
          <w:rFonts w:ascii="宋体" w:hAnsi="宋体"/>
        </w:rPr>
        <w:instrText xml:space="preserve"> HYPERLINK \l _Toc23697 </w:instrText>
      </w:r>
      <w:r>
        <w:rPr>
          <w:rFonts w:ascii="宋体" w:hAnsi="宋体"/>
        </w:rPr>
        <w:fldChar w:fldCharType="separate"/>
      </w:r>
      <w:r>
        <w:rPr>
          <w:rFonts w:hint="eastAsia"/>
        </w:rPr>
        <w:t>第六部分</w:t>
      </w:r>
      <w:r>
        <w:rPr>
          <w:rFonts w:hint="eastAsia"/>
          <w:lang w:val="en-US" w:eastAsia="zh-CN"/>
        </w:rPr>
        <w:t xml:space="preserve"> 拟签订的合同文本</w:t>
      </w:r>
      <w:r>
        <w:tab/>
      </w:r>
      <w:r>
        <w:fldChar w:fldCharType="begin"/>
      </w:r>
      <w:r>
        <w:instrText xml:space="preserve"> PAGEREF _Toc23697 \h </w:instrText>
      </w:r>
      <w:r>
        <w:fldChar w:fldCharType="separate"/>
      </w:r>
      <w:r>
        <w:t>25</w:t>
      </w:r>
      <w:r>
        <w:fldChar w:fldCharType="end"/>
      </w:r>
      <w:r>
        <w:rPr>
          <w:rFonts w:ascii="宋体" w:hAnsi="宋体"/>
          <w:color w:val="000000"/>
        </w:rPr>
        <w:fldChar w:fldCharType="end"/>
      </w:r>
    </w:p>
    <w:p w14:paraId="74C45197">
      <w:pPr>
        <w:tabs>
          <w:tab w:val="left" w:pos="1365"/>
        </w:tabs>
        <w:spacing w:line="500" w:lineRule="exact"/>
        <w:rPr>
          <w:rFonts w:ascii="宋体" w:hAnsi="宋体"/>
          <w:color w:val="000000"/>
          <w:sz w:val="24"/>
        </w:rPr>
      </w:pPr>
      <w:r>
        <w:rPr>
          <w:rFonts w:ascii="宋体" w:hAnsi="宋体"/>
          <w:color w:val="000000"/>
        </w:rPr>
        <w:fldChar w:fldCharType="end"/>
      </w:r>
    </w:p>
    <w:p w14:paraId="0198C913">
      <w:pPr>
        <w:pStyle w:val="21"/>
        <w:jc w:val="center"/>
      </w:pPr>
      <w:r>
        <w:rPr>
          <w:rFonts w:ascii="宋体" w:hAnsi="宋体"/>
          <w:sz w:val="24"/>
          <w:szCs w:val="21"/>
        </w:rPr>
        <w:br w:type="page"/>
      </w:r>
      <w:bookmarkStart w:id="0" w:name="_Toc115756014"/>
      <w:bookmarkStart w:id="1" w:name="_Toc22696"/>
      <w:r>
        <w:rPr>
          <w:rFonts w:hint="eastAsia"/>
        </w:rPr>
        <w:t>第一部分</w:t>
      </w:r>
      <w:r>
        <w:rPr>
          <w:rFonts w:hint="eastAsia"/>
          <w:lang w:val="en-US" w:eastAsia="zh-CN"/>
        </w:rPr>
        <w:t xml:space="preserve"> </w:t>
      </w:r>
      <w:r>
        <w:rPr>
          <w:rFonts w:hint="eastAsia"/>
        </w:rPr>
        <w:t>采购公告</w:t>
      </w:r>
      <w:bookmarkEnd w:id="0"/>
      <w:bookmarkEnd w:id="1"/>
    </w:p>
    <w:p w14:paraId="59337A78">
      <w:pPr>
        <w:pStyle w:val="37"/>
      </w:pPr>
      <w:bookmarkStart w:id="2" w:name="_Toc115756015"/>
      <w:bookmarkStart w:id="3" w:name="_Toc18417"/>
      <w:r>
        <w:rPr>
          <w:rFonts w:hint="eastAsia"/>
        </w:rPr>
        <w:t>一、项目名称及项目编号</w:t>
      </w:r>
      <w:bookmarkEnd w:id="2"/>
      <w:bookmarkEnd w:id="3"/>
    </w:p>
    <w:p w14:paraId="57C3E174">
      <w:pPr>
        <w:ind w:firstLine="480" w:firstLineChars="200"/>
        <w:rPr>
          <w:rFonts w:ascii="宋体" w:hAnsi="宋体"/>
          <w:bCs/>
          <w:color w:val="000000"/>
          <w:sz w:val="24"/>
        </w:rPr>
      </w:pPr>
      <w:r>
        <w:rPr>
          <w:rFonts w:hint="eastAsia" w:ascii="宋体" w:hAnsi="宋体"/>
          <w:bCs/>
          <w:color w:val="000000"/>
          <w:sz w:val="24"/>
        </w:rPr>
        <w:t>项目名称：</w:t>
      </w:r>
      <w:r>
        <w:rPr>
          <w:rFonts w:hint="eastAsia" w:ascii="宋体" w:hAnsi="宋体"/>
          <w:bCs/>
          <w:color w:val="000000"/>
          <w:sz w:val="24"/>
          <w:lang w:eastAsia="zh-CN"/>
        </w:rPr>
        <w:t>国家体育总局秦皇岛训练基地（中国足球学校）</w:t>
      </w:r>
      <w:r>
        <w:rPr>
          <w:rFonts w:hint="eastAsia" w:ascii="宋体" w:hAnsi="宋体"/>
          <w:bCs/>
          <w:color w:val="000000"/>
          <w:sz w:val="24"/>
          <w:lang w:val="en-US" w:eastAsia="zh-CN"/>
        </w:rPr>
        <w:t>国产排球鹰眼系统</w:t>
      </w:r>
      <w:r>
        <w:rPr>
          <w:rFonts w:hint="eastAsia" w:ascii="宋体" w:hAnsi="宋体"/>
          <w:bCs/>
          <w:color w:val="000000"/>
          <w:sz w:val="24"/>
        </w:rPr>
        <w:t>采购</w:t>
      </w:r>
    </w:p>
    <w:p w14:paraId="21948B83">
      <w:pPr>
        <w:spacing w:line="500" w:lineRule="exact"/>
        <w:ind w:firstLine="480" w:firstLineChars="200"/>
        <w:rPr>
          <w:rFonts w:ascii="宋体" w:hAnsi="宋体"/>
          <w:bCs/>
          <w:color w:val="000000"/>
          <w:sz w:val="24"/>
        </w:rPr>
      </w:pPr>
      <w:r>
        <w:rPr>
          <w:rFonts w:hint="eastAsia" w:ascii="宋体" w:hAnsi="宋体"/>
          <w:bCs/>
          <w:color w:val="000000"/>
          <w:sz w:val="24"/>
        </w:rPr>
        <w:t>采购方式：竞争性谈判</w:t>
      </w:r>
    </w:p>
    <w:p w14:paraId="2C19DA6D">
      <w:pPr>
        <w:spacing w:line="500" w:lineRule="exact"/>
        <w:ind w:firstLine="480" w:firstLineChars="200"/>
        <w:rPr>
          <w:rFonts w:hint="eastAsia" w:ascii="宋体" w:hAnsi="宋体" w:eastAsia="宋体"/>
          <w:bCs/>
          <w:color w:val="000000"/>
          <w:sz w:val="24"/>
          <w:lang w:val="en-US" w:eastAsia="zh-CN"/>
        </w:rPr>
      </w:pPr>
      <w:r>
        <w:rPr>
          <w:rFonts w:hint="eastAsia" w:ascii="宋体" w:hAnsi="宋体"/>
          <w:bCs/>
          <w:color w:val="000000"/>
          <w:sz w:val="24"/>
        </w:rPr>
        <w:t>项目编号：</w:t>
      </w:r>
      <w:bookmarkStart w:id="4" w:name="_Toc115756016"/>
      <w:r>
        <w:rPr>
          <w:rFonts w:hint="eastAsia" w:ascii="宋体" w:hAnsi="宋体"/>
          <w:bCs/>
          <w:color w:val="000000"/>
          <w:sz w:val="24"/>
        </w:rPr>
        <w:t>TPZJ2</w:t>
      </w:r>
      <w:r>
        <w:rPr>
          <w:rFonts w:hint="eastAsia" w:ascii="宋体" w:hAnsi="宋体"/>
          <w:bCs/>
          <w:color w:val="000000"/>
          <w:sz w:val="24"/>
          <w:lang w:val="en-US" w:eastAsia="zh-CN"/>
        </w:rPr>
        <w:t>5</w:t>
      </w:r>
      <w:r>
        <w:rPr>
          <w:rFonts w:hint="eastAsia" w:ascii="宋体" w:hAnsi="宋体"/>
          <w:bCs/>
          <w:color w:val="000000"/>
          <w:sz w:val="24"/>
        </w:rPr>
        <w:t>-0</w:t>
      </w:r>
      <w:r>
        <w:rPr>
          <w:rFonts w:hint="eastAsia" w:ascii="宋体" w:hAnsi="宋体"/>
          <w:bCs/>
          <w:color w:val="000000"/>
          <w:sz w:val="24"/>
          <w:lang w:val="en-US" w:eastAsia="zh-CN"/>
        </w:rPr>
        <w:t>1</w:t>
      </w:r>
    </w:p>
    <w:p w14:paraId="23F653F2">
      <w:pPr>
        <w:pStyle w:val="37"/>
      </w:pPr>
      <w:bookmarkStart w:id="5" w:name="_Toc26298"/>
      <w:r>
        <w:rPr>
          <w:rFonts w:hint="eastAsia"/>
        </w:rPr>
        <w:t>二、采购内容</w:t>
      </w:r>
      <w:bookmarkEnd w:id="4"/>
      <w:bookmarkEnd w:id="5"/>
    </w:p>
    <w:p w14:paraId="61A4C7F7">
      <w:pPr>
        <w:spacing w:line="500" w:lineRule="exact"/>
        <w:ind w:firstLine="480" w:firstLineChars="200"/>
        <w:rPr>
          <w:rFonts w:ascii="宋体"/>
          <w:bCs/>
          <w:sz w:val="24"/>
        </w:rPr>
      </w:pPr>
      <w:r>
        <w:rPr>
          <w:rFonts w:hint="eastAsia" w:ascii="宋体"/>
          <w:bCs/>
          <w:sz w:val="24"/>
        </w:rPr>
        <w:t>本项目采购预算共计</w:t>
      </w:r>
      <w:r>
        <w:rPr>
          <w:rFonts w:hint="eastAsia" w:ascii="宋体"/>
          <w:bCs/>
          <w:sz w:val="24"/>
          <w:lang w:val="en-US" w:eastAsia="zh-CN"/>
        </w:rPr>
        <w:t>112</w:t>
      </w:r>
      <w:r>
        <w:rPr>
          <w:rFonts w:hint="eastAsia" w:ascii="宋体"/>
          <w:bCs/>
          <w:sz w:val="24"/>
        </w:rPr>
        <w:t>万元，具体产品采购需求详见第三部分采购清单。</w:t>
      </w:r>
    </w:p>
    <w:p w14:paraId="41EDAFEC">
      <w:pPr>
        <w:pStyle w:val="37"/>
      </w:pPr>
      <w:bookmarkStart w:id="6" w:name="_Toc115756017"/>
      <w:bookmarkStart w:id="7" w:name="_Toc22948"/>
      <w:r>
        <w:rPr>
          <w:rFonts w:hint="eastAsia"/>
        </w:rPr>
        <w:t>三、合格的报价人</w:t>
      </w:r>
      <w:bookmarkEnd w:id="6"/>
      <w:bookmarkEnd w:id="7"/>
    </w:p>
    <w:p w14:paraId="3D5DC31E">
      <w:pPr>
        <w:pStyle w:val="12"/>
        <w:numPr>
          <w:ilvl w:val="0"/>
          <w:numId w:val="2"/>
        </w:numPr>
        <w:tabs>
          <w:tab w:val="clear" w:pos="1155"/>
        </w:tabs>
        <w:ind w:firstLine="0"/>
      </w:pPr>
      <w:r>
        <w:rPr>
          <w:rFonts w:hint="eastAsia"/>
        </w:rPr>
        <w:t>具有独立承担民事责任的能力；</w:t>
      </w:r>
    </w:p>
    <w:p w14:paraId="2D3DA310">
      <w:pPr>
        <w:pStyle w:val="12"/>
        <w:numPr>
          <w:ilvl w:val="0"/>
          <w:numId w:val="2"/>
        </w:numPr>
        <w:tabs>
          <w:tab w:val="clear" w:pos="1155"/>
        </w:tabs>
        <w:ind w:firstLine="0"/>
      </w:pPr>
      <w:r>
        <w:rPr>
          <w:rFonts w:hint="eastAsia"/>
        </w:rPr>
        <w:t>具有良好的商业信誉和健全的财务会计制度；</w:t>
      </w:r>
    </w:p>
    <w:p w14:paraId="69FE976E">
      <w:pPr>
        <w:pStyle w:val="12"/>
        <w:numPr>
          <w:ilvl w:val="0"/>
          <w:numId w:val="2"/>
        </w:numPr>
        <w:tabs>
          <w:tab w:val="clear" w:pos="1155"/>
        </w:tabs>
        <w:ind w:firstLine="0"/>
      </w:pPr>
      <w:r>
        <w:rPr>
          <w:rFonts w:hint="eastAsia"/>
        </w:rPr>
        <w:t>具有履行合同所必需的设备和专业技术能力；</w:t>
      </w:r>
    </w:p>
    <w:p w14:paraId="0571E904">
      <w:pPr>
        <w:pStyle w:val="12"/>
        <w:numPr>
          <w:ilvl w:val="0"/>
          <w:numId w:val="2"/>
        </w:numPr>
        <w:tabs>
          <w:tab w:val="clear" w:pos="1155"/>
        </w:tabs>
        <w:ind w:firstLine="0"/>
      </w:pPr>
      <w:r>
        <w:rPr>
          <w:rFonts w:hint="eastAsia"/>
        </w:rPr>
        <w:t>具有依法缴纳税收和社会保障资金的良好记录；</w:t>
      </w:r>
    </w:p>
    <w:p w14:paraId="206348A3">
      <w:pPr>
        <w:pStyle w:val="12"/>
        <w:numPr>
          <w:ilvl w:val="0"/>
          <w:numId w:val="2"/>
        </w:numPr>
        <w:tabs>
          <w:tab w:val="clear" w:pos="1155"/>
        </w:tabs>
        <w:ind w:firstLine="0"/>
      </w:pPr>
      <w:r>
        <w:rPr>
          <w:rFonts w:hint="eastAsia"/>
        </w:rPr>
        <w:t>参加此项采购活动前三年内，在经营活动中没有重大违法记录；</w:t>
      </w:r>
    </w:p>
    <w:p w14:paraId="3AAF96D8">
      <w:pPr>
        <w:pStyle w:val="12"/>
        <w:numPr>
          <w:ilvl w:val="0"/>
          <w:numId w:val="2"/>
        </w:numPr>
        <w:tabs>
          <w:tab w:val="clear" w:pos="1155"/>
        </w:tabs>
        <w:ind w:firstLine="0"/>
        <w:rPr>
          <w:u w:val="single"/>
        </w:rPr>
      </w:pPr>
      <w:r>
        <w:rPr>
          <w:rFonts w:hint="eastAsia"/>
        </w:rPr>
        <w:t>本次采购不接受联合体报价；</w:t>
      </w:r>
    </w:p>
    <w:p w14:paraId="0BF171DC">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36E6136F">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14:paraId="57A64E82">
      <w:pPr>
        <w:pStyle w:val="37"/>
        <w:spacing w:before="360"/>
        <w:rPr>
          <w:rFonts w:ascii="宋体" w:hAnsi="宋体"/>
        </w:rPr>
      </w:pPr>
      <w:bookmarkStart w:id="8" w:name="_Toc4997"/>
      <w:bookmarkStart w:id="9" w:name="_Toc148289432"/>
      <w:r>
        <w:rPr>
          <w:rFonts w:hint="eastAsia"/>
        </w:rPr>
        <w:t>四、报名</w:t>
      </w:r>
      <w:bookmarkEnd w:id="8"/>
      <w:bookmarkEnd w:id="9"/>
      <w:bookmarkStart w:id="10" w:name="_Toc102983073"/>
    </w:p>
    <w:bookmarkEnd w:id="10"/>
    <w:p w14:paraId="21AB1D74">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1.获取采购文件时间：自发布采购公告起至202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日1</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：0</w:t>
      </w:r>
      <w:r>
        <w:rPr>
          <w:rFonts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（法定节假日除外）。</w:t>
      </w:r>
    </w:p>
    <w:p w14:paraId="2D28701A">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2.报名方式：本项目需通过政采云平台网上报名。</w:t>
      </w:r>
    </w:p>
    <w:p w14:paraId="208A1201">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政采云平台供应商注册链接：</w:t>
      </w:r>
    </w:p>
    <w:p w14:paraId="18D00E8B">
      <w:pPr>
        <w:snapToGrid w:val="0"/>
        <w:spacing w:line="440" w:lineRule="exact"/>
        <w:ind w:firstLine="420" w:firstLineChars="200"/>
        <w:jc w:val="left"/>
        <w:rPr>
          <w:rFonts w:ascii="宋体" w:hAnsi="宋体" w:cs="宋体"/>
          <w:color w:val="000000" w:themeColor="text1"/>
          <w:kern w:val="0"/>
          <w:sz w:val="24"/>
          <w14:textFill>
            <w14:solidFill>
              <w14:schemeClr w14:val="tx1"/>
            </w14:solidFill>
          </w14:textFill>
        </w:rPr>
      </w:pPr>
      <w:r>
        <w:fldChar w:fldCharType="begin"/>
      </w:r>
      <w:r>
        <w:instrText xml:space="preserve"> HYPERLINK "https://middle.zcygov.cn/v-settle-front/enter/account?entranceType=1&amp;settleCategory=1&amp;isLoginAdd=true" </w:instrText>
      </w:r>
      <w:r>
        <w:fldChar w:fldCharType="separate"/>
      </w:r>
      <w:r>
        <w:rPr>
          <w:rStyle w:val="28"/>
          <w:rFonts w:hint="eastAsia" w:ascii="宋体" w:hAnsi="宋体" w:cs="宋体"/>
          <w:kern w:val="0"/>
          <w:sz w:val="24"/>
        </w:rPr>
        <w:t>https://middle.zcygov.cn/v-settle-front/enter/account?entranceType=1&amp;settleCategory=1&amp;isLoginAdd=true</w:t>
      </w:r>
      <w:r>
        <w:rPr>
          <w:rStyle w:val="28"/>
          <w:rFonts w:hint="eastAsia" w:ascii="宋体" w:hAnsi="宋体" w:cs="宋体"/>
          <w:kern w:val="0"/>
          <w:sz w:val="24"/>
        </w:rPr>
        <w:fldChar w:fldCharType="end"/>
      </w:r>
      <w:r>
        <w:rPr>
          <w:rFonts w:hint="eastAsia" w:ascii="宋体" w:hAnsi="宋体" w:cs="宋体"/>
          <w:color w:val="000000" w:themeColor="text1"/>
          <w:kern w:val="0"/>
          <w:sz w:val="24"/>
          <w14:textFill>
            <w14:solidFill>
              <w14:schemeClr w14:val="tx1"/>
            </w14:solidFill>
          </w14:textFill>
        </w:rPr>
        <w:t>注册成功后，用账号密码登录后台界面；</w:t>
      </w:r>
    </w:p>
    <w:p w14:paraId="4EB28A54">
      <w:pPr>
        <w:snapToGrid w:val="0"/>
        <w:spacing w:line="440" w:lineRule="exact"/>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供应商报名路径：</w:t>
      </w:r>
      <w:r>
        <w:rPr>
          <w:rFonts w:hint="eastAsia" w:ascii="宋体" w:hAnsi="宋体" w:cs="宋体"/>
          <w:color w:val="000000" w:themeColor="text1"/>
          <w:kern w:val="0"/>
          <w:sz w:val="24"/>
          <w14:textFill>
            <w14:solidFill>
              <w14:schemeClr w14:val="tx1"/>
            </w14:solidFill>
          </w14:textFill>
        </w:rPr>
        <w:t>应用中心-项目采购-获取采购文件管理，找到本项目的项目名称申请获取采购文件，按照系统界面要求填写供应商相关信息，同时将以下文件扫描件作为附件上传。</w:t>
      </w:r>
    </w:p>
    <w:p w14:paraId="64AE5CFF">
      <w:pPr>
        <w:snapToGrid w:val="0"/>
        <w:spacing w:line="440" w:lineRule="exact"/>
        <w:ind w:left="630" w:leftChars="3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（1）法定代表人授权委托书扫描件（法定代表人手写签字或盖章，并加盖单位公章）；</w:t>
      </w:r>
    </w:p>
    <w:p w14:paraId="5959763A">
      <w:pPr>
        <w:snapToGrid w:val="0"/>
        <w:spacing w:line="440" w:lineRule="exact"/>
        <w:ind w:firstLine="6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（2）授权代表身份证扫描件</w:t>
      </w:r>
    </w:p>
    <w:p w14:paraId="12ECA9AB">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p>
    <w:p w14:paraId="040157E2">
      <w:pPr>
        <w:snapToGrid w:val="0"/>
        <w:spacing w:line="440" w:lineRule="exact"/>
        <w:ind w:firstLine="482" w:firstLineChars="200"/>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法定代表人的授权委托书</w:t>
      </w:r>
    </w:p>
    <w:p w14:paraId="483585F3">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国家体育总局体育器材装备中心：</w:t>
      </w:r>
    </w:p>
    <w:p w14:paraId="239A2BB5">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14:paraId="40662FD0">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本授权书于 年 月 日 签字生效，特此声明。</w:t>
      </w:r>
    </w:p>
    <w:p w14:paraId="53524B23">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p>
    <w:p w14:paraId="43456EF5">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法定代表人印刷体姓名： 签字： 电话：</w:t>
      </w:r>
    </w:p>
    <w:p w14:paraId="5E375F90">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授权代表印刷体姓名： 签字： 职务： 电话：</w:t>
      </w:r>
    </w:p>
    <w:p w14:paraId="60730F53">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授权代表身份证号： （身份证扫描件附后）</w:t>
      </w:r>
    </w:p>
    <w:p w14:paraId="642DADDF">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公司全称（公章）：</w:t>
      </w:r>
    </w:p>
    <w:p w14:paraId="0054D9B5">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未在规定时间内按要求提交以上文件进行报名登记，而直接编制报价文件参与报价的企业，其报价将被拒绝。</w:t>
      </w:r>
    </w:p>
    <w:p w14:paraId="29B79EA7">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采购文件售价：0元，采购文件请至公告附件处下载。</w:t>
      </w:r>
    </w:p>
    <w:p w14:paraId="2F644C17">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联系方式</w:t>
      </w:r>
    </w:p>
    <w:p w14:paraId="40C5D534">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联系人：张老师 </w:t>
      </w:r>
    </w:p>
    <w:p w14:paraId="19259B52">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联系电话：010-8718</w:t>
      </w:r>
      <w:r>
        <w:rPr>
          <w:rFonts w:ascii="宋体" w:hAnsi="宋体" w:cs="宋体"/>
          <w:color w:val="000000" w:themeColor="text1"/>
          <w:kern w:val="0"/>
          <w:sz w:val="24"/>
          <w14:textFill>
            <w14:solidFill>
              <w14:schemeClr w14:val="tx1"/>
            </w14:solidFill>
          </w14:textFill>
        </w:rPr>
        <w:t>2686</w:t>
      </w:r>
    </w:p>
    <w:p w14:paraId="12C03424">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电子邮箱：t</w:t>
      </w:r>
      <w:r>
        <w:rPr>
          <w:rFonts w:ascii="宋体" w:hAnsi="宋体" w:cs="宋体"/>
          <w:color w:val="000000" w:themeColor="text1"/>
          <w:kern w:val="0"/>
          <w:sz w:val="24"/>
          <w14:textFill>
            <w14:solidFill>
              <w14:schemeClr w14:val="tx1"/>
            </w14:solidFill>
          </w14:textFill>
        </w:rPr>
        <w:t>87182686</w:t>
      </w: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63</w:t>
      </w:r>
      <w:r>
        <w:rPr>
          <w:rFonts w:hint="eastAsia" w:ascii="宋体" w:hAnsi="宋体" w:cs="宋体"/>
          <w:color w:val="000000" w:themeColor="text1"/>
          <w:kern w:val="0"/>
          <w:sz w:val="24"/>
          <w14:textFill>
            <w14:solidFill>
              <w14:schemeClr w14:val="tx1"/>
            </w14:solidFill>
          </w14:textFill>
        </w:rPr>
        <w:t>.com</w:t>
      </w:r>
    </w:p>
    <w:p w14:paraId="38D91078">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p>
    <w:p w14:paraId="6EE08889">
      <w:pPr>
        <w:pStyle w:val="37"/>
      </w:pPr>
      <w:bookmarkStart w:id="11" w:name="_Toc27827"/>
      <w:r>
        <w:rPr>
          <w:rFonts w:hint="eastAsia" w:ascii="宋体" w:hAnsi="Times New Roman"/>
          <w:color w:val="auto"/>
          <w:kern w:val="2"/>
          <w:sz w:val="24"/>
        </w:rPr>
        <w:t>五</w:t>
      </w:r>
      <w:r>
        <w:rPr>
          <w:rFonts w:hint="eastAsia"/>
        </w:rPr>
        <w:t>、报价文件的递交</w:t>
      </w:r>
      <w:bookmarkEnd w:id="11"/>
    </w:p>
    <w:p w14:paraId="2BC1D379">
      <w:pPr>
        <w:tabs>
          <w:tab w:val="left" w:pos="1155"/>
        </w:tabs>
        <w:spacing w:line="360" w:lineRule="auto"/>
        <w:ind w:firstLine="480" w:firstLineChars="200"/>
        <w:jc w:val="left"/>
        <w:rPr>
          <w:rFonts w:ascii="宋体"/>
          <w:sz w:val="24"/>
        </w:rPr>
      </w:pPr>
      <w:r>
        <w:rPr>
          <w:rFonts w:hint="eastAsia" w:ascii="宋体"/>
          <w:sz w:val="24"/>
        </w:rPr>
        <w:t xml:space="preserve">响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14:paraId="34F760C7">
      <w:pPr>
        <w:tabs>
          <w:tab w:val="left" w:pos="1155"/>
        </w:tabs>
        <w:spacing w:line="360" w:lineRule="auto"/>
        <w:ind w:firstLine="480" w:firstLineChars="200"/>
        <w:jc w:val="left"/>
        <w:rPr>
          <w:rFonts w:ascii="宋体"/>
          <w:sz w:val="24"/>
        </w:rPr>
      </w:pPr>
      <w:r>
        <w:rPr>
          <w:rFonts w:hint="eastAsia" w:ascii="宋体"/>
          <w:sz w:val="24"/>
        </w:rPr>
        <w:t>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14:paraId="703503DC">
      <w:pPr>
        <w:tabs>
          <w:tab w:val="left" w:pos="1155"/>
        </w:tabs>
        <w:spacing w:line="360" w:lineRule="auto"/>
        <w:ind w:firstLine="480" w:firstLineChars="200"/>
        <w:jc w:val="left"/>
        <w:rPr>
          <w:rFonts w:ascii="宋体"/>
          <w:sz w:val="24"/>
        </w:rPr>
      </w:pPr>
      <w:r>
        <w:rPr>
          <w:rFonts w:hint="eastAsia" w:ascii="宋体"/>
          <w:sz w:val="24"/>
        </w:rPr>
        <w:t>未进行网上注册并办理数字证书（CA认证）的供应商还可登录政采云平台，通过CA管理，申领CA，包括Ukey介质与云CA证书（二选一）。</w:t>
      </w:r>
    </w:p>
    <w:p w14:paraId="6D35D7FE">
      <w:pPr>
        <w:tabs>
          <w:tab w:val="left" w:pos="1155"/>
        </w:tabs>
        <w:spacing w:line="360" w:lineRule="auto"/>
        <w:ind w:firstLine="480" w:firstLineChars="200"/>
        <w:jc w:val="left"/>
        <w:rPr>
          <w:rFonts w:ascii="宋体"/>
          <w:sz w:val="24"/>
        </w:rPr>
      </w:pPr>
      <w:r>
        <w:rPr>
          <w:rFonts w:hint="eastAsia" w:ascii="宋体"/>
          <w:sz w:val="24"/>
        </w:rPr>
        <w:t xml:space="preserve">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0360C399">
      <w:pPr>
        <w:tabs>
          <w:tab w:val="left" w:pos="1155"/>
        </w:tabs>
        <w:spacing w:line="360" w:lineRule="auto"/>
        <w:ind w:firstLine="480" w:firstLineChars="200"/>
        <w:jc w:val="left"/>
        <w:rPr>
          <w:rFonts w:ascii="宋体"/>
          <w:sz w:val="24"/>
        </w:rPr>
      </w:pPr>
      <w:r>
        <w:rPr>
          <w:rFonts w:hint="eastAsia" w:ascii="宋体"/>
          <w:sz w:val="24"/>
        </w:rPr>
        <w:t>CA证书在线解密：</w:t>
      </w:r>
    </w:p>
    <w:p w14:paraId="1DC7638F">
      <w:pPr>
        <w:tabs>
          <w:tab w:val="left" w:pos="1155"/>
        </w:tabs>
        <w:spacing w:line="360" w:lineRule="auto"/>
        <w:ind w:firstLine="480" w:firstLineChars="200"/>
        <w:jc w:val="left"/>
        <w:rPr>
          <w:rFonts w:ascii="宋体"/>
          <w:sz w:val="24"/>
        </w:rPr>
      </w:pPr>
      <w:r>
        <w:rPr>
          <w:rFonts w:hint="eastAsia" w:ascii="宋体"/>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11E55BED">
      <w:pPr>
        <w:tabs>
          <w:tab w:val="left" w:pos="1155"/>
        </w:tabs>
        <w:spacing w:line="360" w:lineRule="auto"/>
        <w:ind w:firstLine="480" w:firstLineChars="200"/>
        <w:jc w:val="left"/>
        <w:rPr>
          <w:rFonts w:ascii="宋体"/>
          <w:sz w:val="24"/>
        </w:rPr>
      </w:pPr>
      <w:r>
        <w:rPr>
          <w:rFonts w:hint="eastAsia" w:ascii="宋体"/>
          <w:sz w:val="24"/>
        </w:rPr>
        <w:t xml:space="preserve">供应商需要在具备有摄像头及语音功能且互联网网络状况良好的电脑登录“政采云”平台远程开标大厅参与本次谈判，否则后果自负。 </w:t>
      </w:r>
    </w:p>
    <w:p w14:paraId="0B359204">
      <w:pPr>
        <w:pStyle w:val="37"/>
      </w:pPr>
      <w:bookmarkStart w:id="12" w:name="_Toc20647"/>
      <w:r>
        <w:rPr>
          <w:rFonts w:hint="eastAsia"/>
        </w:rPr>
        <w:t>六、谈判时间、地点</w:t>
      </w:r>
      <w:bookmarkEnd w:id="12"/>
    </w:p>
    <w:p w14:paraId="6017213D">
      <w:pPr>
        <w:tabs>
          <w:tab w:val="left" w:pos="851"/>
        </w:tabs>
        <w:spacing w:line="360" w:lineRule="auto"/>
        <w:ind w:firstLine="480" w:firstLineChars="200"/>
        <w:jc w:val="left"/>
        <w:rPr>
          <w:rFonts w:ascii="宋体"/>
          <w:sz w:val="24"/>
        </w:rPr>
      </w:pPr>
      <w:bookmarkStart w:id="13" w:name="_Toc115756021"/>
      <w:r>
        <w:rPr>
          <w:rFonts w:hint="eastAsia" w:ascii="宋体"/>
          <w:sz w:val="24"/>
        </w:rPr>
        <w:t>响应文件递交截止及谈判开始时间：202</w:t>
      </w:r>
      <w:r>
        <w:rPr>
          <w:rFonts w:hint="eastAsia" w:ascii="宋体"/>
          <w:sz w:val="24"/>
          <w:lang w:val="en-US" w:eastAsia="zh-CN"/>
        </w:rPr>
        <w:t>5</w:t>
      </w:r>
      <w:r>
        <w:rPr>
          <w:rFonts w:hint="eastAsia" w:ascii="宋体"/>
          <w:sz w:val="24"/>
        </w:rPr>
        <w:t>年</w:t>
      </w:r>
      <w:r>
        <w:rPr>
          <w:rFonts w:hint="eastAsia" w:ascii="宋体"/>
          <w:sz w:val="24"/>
          <w:lang w:val="en-US" w:eastAsia="zh-CN"/>
        </w:rPr>
        <w:t>6</w:t>
      </w:r>
      <w:r>
        <w:rPr>
          <w:rFonts w:hint="eastAsia" w:ascii="宋体"/>
          <w:sz w:val="24"/>
        </w:rPr>
        <w:t>月</w:t>
      </w:r>
      <w:r>
        <w:rPr>
          <w:rFonts w:hint="eastAsia" w:ascii="宋体"/>
          <w:sz w:val="24"/>
          <w:lang w:val="en-US" w:eastAsia="zh-CN"/>
        </w:rPr>
        <w:t>11</w:t>
      </w:r>
      <w:r>
        <w:rPr>
          <w:rFonts w:hint="eastAsia" w:ascii="宋体"/>
          <w:sz w:val="24"/>
        </w:rPr>
        <w:t>日9：30，逾期系统中将无法递交采购文件，且响应文件不符合采购规定，则被拒绝。</w:t>
      </w:r>
    </w:p>
    <w:p w14:paraId="0F096A14">
      <w:pPr>
        <w:tabs>
          <w:tab w:val="left" w:pos="851"/>
        </w:tabs>
        <w:spacing w:line="360" w:lineRule="auto"/>
        <w:ind w:firstLine="480" w:firstLineChars="200"/>
        <w:jc w:val="left"/>
        <w:rPr>
          <w:rFonts w:ascii="宋体"/>
          <w:sz w:val="24"/>
        </w:rPr>
      </w:pPr>
      <w:r>
        <w:rPr>
          <w:rFonts w:hint="eastAsia" w:ascii="宋体"/>
          <w:sz w:val="24"/>
        </w:rPr>
        <w:t xml:space="preserve">谈判地点：政府采购云平台（http：//www.zcygov.cn）开标大厅供应商需要在具备有摄像头及语音功能且互联网网络状况良好的电脑登录“政采云”平台远程开标大厅参与本次谈判，否则后果自负。 </w:t>
      </w:r>
    </w:p>
    <w:p w14:paraId="7B930D60">
      <w:pPr>
        <w:pStyle w:val="39"/>
        <w:tabs>
          <w:tab w:val="left" w:pos="1155"/>
        </w:tabs>
        <w:spacing w:line="360" w:lineRule="auto"/>
        <w:ind w:firstLine="480"/>
        <w:jc w:val="left"/>
        <w:rPr>
          <w:rFonts w:ascii="宋体"/>
          <w:sz w:val="24"/>
        </w:rPr>
      </w:pPr>
      <w:r>
        <w:rPr>
          <w:rFonts w:hint="eastAsia" w:ascii="宋体"/>
          <w:sz w:val="24"/>
        </w:rPr>
        <w:t>开标大厅菜单路径：应用中心—项目采购—开标评标</w:t>
      </w:r>
    </w:p>
    <w:p w14:paraId="1F64DFDA">
      <w:pPr>
        <w:rPr>
          <w:rFonts w:ascii="宋体"/>
          <w:sz w:val="24"/>
        </w:rPr>
      </w:pPr>
      <w:r>
        <w:rPr>
          <w:rFonts w:hint="eastAsia" w:ascii="宋体"/>
          <w:sz w:val="24"/>
        </w:rPr>
        <w:br w:type="page"/>
      </w:r>
    </w:p>
    <w:p w14:paraId="316ADBF4">
      <w:pPr>
        <w:pStyle w:val="39"/>
        <w:tabs>
          <w:tab w:val="left" w:pos="1155"/>
        </w:tabs>
        <w:spacing w:line="360" w:lineRule="auto"/>
        <w:ind w:firstLine="480"/>
        <w:jc w:val="left"/>
        <w:rPr>
          <w:rFonts w:ascii="宋体"/>
          <w:sz w:val="24"/>
        </w:rPr>
      </w:pPr>
    </w:p>
    <w:p w14:paraId="7B7AC370">
      <w:pPr>
        <w:pStyle w:val="21"/>
        <w:rPr>
          <w:rFonts w:ascii="宋体" w:hAnsi="宋体"/>
          <w:b w:val="0"/>
          <w:sz w:val="28"/>
        </w:rPr>
      </w:pPr>
      <w:bookmarkStart w:id="14" w:name="_Toc2685"/>
      <w:r>
        <w:rPr>
          <w:rFonts w:hint="eastAsia"/>
        </w:rPr>
        <w:t>第二部分报价须知</w:t>
      </w:r>
      <w:bookmarkEnd w:id="13"/>
      <w:bookmarkEnd w:id="14"/>
    </w:p>
    <w:p w14:paraId="7903531C">
      <w:pPr>
        <w:pStyle w:val="42"/>
      </w:pPr>
      <w:bookmarkStart w:id="15" w:name="_Toc20310"/>
      <w:bookmarkStart w:id="16" w:name="_Toc115756022"/>
      <w:r>
        <w:rPr>
          <w:rFonts w:hint="eastAsia"/>
        </w:rPr>
        <w:t>一、总则</w:t>
      </w:r>
      <w:bookmarkEnd w:id="15"/>
      <w:bookmarkEnd w:id="16"/>
    </w:p>
    <w:p w14:paraId="6E19D7E0">
      <w:pPr>
        <w:pStyle w:val="47"/>
      </w:pPr>
      <w:r>
        <w:rPr>
          <w:rFonts w:hint="eastAsia"/>
        </w:rPr>
        <w:t>1.适用范围</w:t>
      </w:r>
    </w:p>
    <w:p w14:paraId="18DF52DC">
      <w:pPr>
        <w:pStyle w:val="49"/>
        <w:ind w:firstLine="480"/>
      </w:pPr>
      <w:r>
        <w:rPr>
          <w:rFonts w:hint="eastAsia"/>
        </w:rPr>
        <w:t>本文件适用于本次所有产品的采购。</w:t>
      </w:r>
    </w:p>
    <w:p w14:paraId="06544E08">
      <w:pPr>
        <w:pStyle w:val="47"/>
      </w:pPr>
      <w:r>
        <w:rPr>
          <w:rFonts w:hint="eastAsia"/>
        </w:rPr>
        <w:t>2.定义</w:t>
      </w:r>
    </w:p>
    <w:p w14:paraId="242EBD78">
      <w:pPr>
        <w:pStyle w:val="48"/>
        <w:ind w:firstLine="480"/>
      </w:pPr>
      <w:r>
        <w:rPr>
          <w:rFonts w:hint="eastAsia"/>
        </w:rPr>
        <w:t>2.1“采购单位”指组织本次采购的国家体育总局体育器材装备中心。</w:t>
      </w:r>
    </w:p>
    <w:p w14:paraId="1EEA8A08">
      <w:pPr>
        <w:pStyle w:val="48"/>
        <w:ind w:firstLine="480"/>
      </w:pPr>
      <w:r>
        <w:rPr>
          <w:rFonts w:hint="eastAsia"/>
        </w:rPr>
        <w:t>2.2“采购人”指</w:t>
      </w:r>
      <w:r>
        <w:rPr>
          <w:rFonts w:hint="eastAsia" w:ascii="宋体" w:hAnsi="宋体"/>
          <w:bCs/>
          <w:color w:val="000000"/>
          <w:u w:val="single"/>
          <w:lang w:eastAsia="zh-CN"/>
        </w:rPr>
        <w:t>国家体育总局秦皇岛训练基地（中国足球学校）</w:t>
      </w:r>
      <w:r>
        <w:rPr>
          <w:rFonts w:hint="eastAsia"/>
        </w:rPr>
        <w:t>。</w:t>
      </w:r>
    </w:p>
    <w:p w14:paraId="31D08E13">
      <w:pPr>
        <w:pStyle w:val="48"/>
        <w:ind w:firstLine="480"/>
      </w:pPr>
      <w:r>
        <w:rPr>
          <w:rFonts w:hint="eastAsia"/>
        </w:rPr>
        <w:t>2.3“采购货物”指本采购文件第三部分所述所有货物。</w:t>
      </w:r>
    </w:p>
    <w:p w14:paraId="13082A29">
      <w:pPr>
        <w:pStyle w:val="48"/>
        <w:ind w:firstLine="480"/>
      </w:pPr>
      <w:r>
        <w:rPr>
          <w:rFonts w:hint="eastAsia"/>
        </w:rPr>
        <w:t>2.4“服务”指本采购文件第三部分所有货物相关的运输、安装、培训及售后服务和其它类似的义务。</w:t>
      </w:r>
    </w:p>
    <w:p w14:paraId="769A1E9F">
      <w:pPr>
        <w:pStyle w:val="48"/>
        <w:ind w:firstLine="480"/>
      </w:pPr>
      <w:r>
        <w:rPr>
          <w:rFonts w:hint="eastAsia"/>
        </w:rPr>
        <w:t>2.5“潜在报价人”指已报名登记的供应商。</w:t>
      </w:r>
    </w:p>
    <w:p w14:paraId="7CC22D99">
      <w:pPr>
        <w:pStyle w:val="48"/>
        <w:ind w:firstLine="480"/>
      </w:pPr>
      <w:r>
        <w:rPr>
          <w:rFonts w:hint="eastAsia"/>
        </w:rPr>
        <w:t>2.6“报价人”指已报名登记并参加报价的供应商。</w:t>
      </w:r>
    </w:p>
    <w:p w14:paraId="239A4BB7">
      <w:pPr>
        <w:pStyle w:val="47"/>
      </w:pPr>
      <w:r>
        <w:rPr>
          <w:rFonts w:hint="eastAsia"/>
          <w:sz w:val="28"/>
          <w:szCs w:val="28"/>
        </w:rPr>
        <w:t>3.</w:t>
      </w:r>
      <w:r>
        <w:rPr>
          <w:rFonts w:hint="eastAsia"/>
        </w:rPr>
        <w:t>采购方式</w:t>
      </w:r>
    </w:p>
    <w:p w14:paraId="2C2BB8C3">
      <w:pPr>
        <w:pStyle w:val="49"/>
        <w:ind w:firstLine="480"/>
      </w:pPr>
      <w:r>
        <w:rPr>
          <w:rFonts w:hint="eastAsia"/>
        </w:rPr>
        <w:t>本次采购按照公开、公正、公平的竞争原则，采用竞争性谈判方式进行国内采购。</w:t>
      </w:r>
    </w:p>
    <w:p w14:paraId="3C9FACE0">
      <w:pPr>
        <w:pStyle w:val="47"/>
      </w:pPr>
      <w:r>
        <w:rPr>
          <w:rFonts w:hint="eastAsia"/>
          <w:sz w:val="28"/>
          <w:szCs w:val="28"/>
        </w:rPr>
        <w:t>4.</w:t>
      </w:r>
      <w:r>
        <w:rPr>
          <w:rFonts w:hint="eastAsia"/>
        </w:rPr>
        <w:t>语言</w:t>
      </w:r>
    </w:p>
    <w:p w14:paraId="31B7CDDC">
      <w:pPr>
        <w:pStyle w:val="49"/>
        <w:ind w:firstLine="480"/>
      </w:pPr>
      <w:r>
        <w:rPr>
          <w:rFonts w:hint="eastAsia"/>
        </w:rPr>
        <w:t>报价文件及报价人与采购单位之间的与报价文件有关的往来函电和文件均须使用中文。</w:t>
      </w:r>
    </w:p>
    <w:p w14:paraId="2581C338">
      <w:pPr>
        <w:pStyle w:val="47"/>
      </w:pPr>
      <w:r>
        <w:rPr>
          <w:rFonts w:hint="eastAsia"/>
          <w:sz w:val="28"/>
          <w:szCs w:val="28"/>
        </w:rPr>
        <w:t>5.</w:t>
      </w:r>
      <w:r>
        <w:rPr>
          <w:rFonts w:hint="eastAsia"/>
        </w:rPr>
        <w:t>供货时间和地点要求</w:t>
      </w:r>
    </w:p>
    <w:p w14:paraId="207B675B">
      <w:pPr>
        <w:pStyle w:val="48"/>
        <w:ind w:firstLine="480"/>
        <w:rPr>
          <w:u w:val="thick"/>
        </w:rPr>
      </w:pPr>
      <w:r>
        <w:rPr>
          <w:rFonts w:hint="eastAsia"/>
        </w:rPr>
        <w:t>5.1 计划供货时间：</w:t>
      </w:r>
      <w:r>
        <w:rPr>
          <w:rFonts w:hint="eastAsia"/>
          <w:b/>
          <w:color w:val="FF0000"/>
          <w:u w:val="single"/>
        </w:rPr>
        <w:t>详见第三部分采购清单</w:t>
      </w:r>
      <w:r>
        <w:rPr>
          <w:rFonts w:hint="eastAsia"/>
          <w:color w:val="FF0000"/>
        </w:rPr>
        <w:t>。</w:t>
      </w:r>
    </w:p>
    <w:p w14:paraId="3A8F754E">
      <w:pPr>
        <w:pStyle w:val="48"/>
        <w:ind w:firstLine="480"/>
      </w:pPr>
      <w:r>
        <w:rPr>
          <w:rFonts w:hint="eastAsia"/>
        </w:rPr>
        <w:t>5.2报价人可在坚持其报价的前提下，在其报价文件中对前款规定的计划供货时间予以提前。</w:t>
      </w:r>
    </w:p>
    <w:p w14:paraId="3C260FB3">
      <w:pPr>
        <w:pStyle w:val="48"/>
        <w:ind w:firstLine="480"/>
      </w:pPr>
      <w:r>
        <w:rPr>
          <w:rFonts w:hint="eastAsia"/>
        </w:rPr>
        <w:t>5.3供货地点：</w:t>
      </w:r>
      <w:r>
        <w:rPr>
          <w:rFonts w:hint="eastAsia"/>
          <w:b/>
          <w:color w:val="FF0000"/>
          <w:u w:val="single"/>
        </w:rPr>
        <w:t>详见第三部分采购清单</w:t>
      </w:r>
      <w:r>
        <w:rPr>
          <w:rFonts w:hint="eastAsia"/>
          <w:color w:val="FF0000"/>
        </w:rPr>
        <w:t>。</w:t>
      </w:r>
    </w:p>
    <w:p w14:paraId="1B0AA6BE">
      <w:pPr>
        <w:pStyle w:val="42"/>
      </w:pPr>
      <w:bookmarkStart w:id="17" w:name="_Toc32622"/>
      <w:bookmarkStart w:id="18" w:name="_Toc115756023"/>
      <w:r>
        <w:rPr>
          <w:rFonts w:hint="eastAsia"/>
        </w:rPr>
        <w:t>二、采购信息说明</w:t>
      </w:r>
      <w:bookmarkEnd w:id="17"/>
      <w:bookmarkEnd w:id="18"/>
    </w:p>
    <w:p w14:paraId="42A75E06">
      <w:pPr>
        <w:pStyle w:val="47"/>
      </w:pPr>
      <w:r>
        <w:rPr>
          <w:rFonts w:hint="eastAsia"/>
        </w:rPr>
        <w:t xml:space="preserve"> 6.采购信息的内容</w:t>
      </w:r>
    </w:p>
    <w:p w14:paraId="28343D29">
      <w:pPr>
        <w:pStyle w:val="48"/>
        <w:ind w:firstLine="480"/>
      </w:pPr>
      <w:r>
        <w:rPr>
          <w:rFonts w:hint="eastAsia"/>
        </w:rPr>
        <w:t>6.1本项目的竞争性谈判文件包括下列文件：</w:t>
      </w:r>
    </w:p>
    <w:p w14:paraId="7C8F671A">
      <w:pPr>
        <w:pStyle w:val="49"/>
        <w:ind w:firstLine="480"/>
      </w:pPr>
      <w:r>
        <w:rPr>
          <w:rFonts w:hint="eastAsia"/>
        </w:rPr>
        <w:t>第一部分采购公告</w:t>
      </w:r>
    </w:p>
    <w:p w14:paraId="0F51A994">
      <w:pPr>
        <w:pStyle w:val="49"/>
        <w:ind w:firstLine="480"/>
      </w:pPr>
      <w:r>
        <w:rPr>
          <w:rFonts w:hint="eastAsia"/>
        </w:rPr>
        <w:t>第二部分报价须知</w:t>
      </w:r>
    </w:p>
    <w:p w14:paraId="078FE8FA">
      <w:pPr>
        <w:pStyle w:val="49"/>
        <w:ind w:firstLine="480"/>
      </w:pPr>
      <w:r>
        <w:rPr>
          <w:rFonts w:hint="eastAsia"/>
        </w:rPr>
        <w:t>第三部分采购清单</w:t>
      </w:r>
    </w:p>
    <w:p w14:paraId="02DCF0BB">
      <w:pPr>
        <w:pStyle w:val="49"/>
        <w:ind w:firstLine="480"/>
      </w:pPr>
      <w:r>
        <w:rPr>
          <w:rFonts w:hint="eastAsia"/>
        </w:rPr>
        <w:t>第四部分评审标准</w:t>
      </w:r>
    </w:p>
    <w:p w14:paraId="14BBC811">
      <w:pPr>
        <w:pStyle w:val="49"/>
        <w:ind w:firstLine="480"/>
      </w:pPr>
      <w:r>
        <w:rPr>
          <w:rFonts w:hint="eastAsia"/>
        </w:rPr>
        <w:t>第五部分报价文件格式</w:t>
      </w:r>
    </w:p>
    <w:p w14:paraId="3A1476FC">
      <w:pPr>
        <w:pStyle w:val="48"/>
        <w:ind w:firstLine="480"/>
      </w:pPr>
      <w:r>
        <w:rPr>
          <w:rFonts w:hint="eastAsia"/>
        </w:rPr>
        <w:t>6.2 报价人应认真审阅竞争性谈判文件中所有的须知、条件、格式、项目、技术要求等。</w:t>
      </w:r>
    </w:p>
    <w:p w14:paraId="7C2C2725">
      <w:pPr>
        <w:pStyle w:val="48"/>
        <w:ind w:firstLine="480"/>
      </w:pPr>
      <w:r>
        <w:rPr>
          <w:rFonts w:hint="eastAsia"/>
        </w:rPr>
        <w:t xml:space="preserve">6.3 </w:t>
      </w:r>
      <w:bookmarkStart w:id="19" w:name="_Toc115756024"/>
      <w:r>
        <w:rPr>
          <w:rFonts w:hint="eastAsia"/>
        </w:rPr>
        <w:t>报价人应认真检查竞争性谈判文件是否完整，若发现缺页或附件不全时，应及时向采购单位提出，以便补齐。</w:t>
      </w:r>
    </w:p>
    <w:p w14:paraId="284D4E92">
      <w:pPr>
        <w:pStyle w:val="47"/>
      </w:pPr>
      <w:r>
        <w:rPr>
          <w:rFonts w:hint="eastAsia"/>
        </w:rPr>
        <w:t>7.竞争性谈判文件的澄清、修改</w:t>
      </w:r>
    </w:p>
    <w:p w14:paraId="515BA503">
      <w:pPr>
        <w:pStyle w:val="48"/>
        <w:ind w:firstLine="480"/>
      </w:pPr>
      <w:r>
        <w:rPr>
          <w:rFonts w:hint="eastAsia"/>
        </w:rPr>
        <w:t>7.1 任何要求对竞争性谈判文件进行澄清的潜在报价人，均应在递交报价文件截止时间前，以书面形式通知采购单位，或在谈判过程中向谈判小组提出。</w:t>
      </w:r>
    </w:p>
    <w:p w14:paraId="6DDBAC3F">
      <w:pPr>
        <w:pStyle w:val="48"/>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14:paraId="4482B214">
      <w:pPr>
        <w:pStyle w:val="48"/>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14:paraId="67023D10">
      <w:pPr>
        <w:pStyle w:val="48"/>
        <w:ind w:firstLine="480"/>
      </w:pPr>
      <w:r>
        <w:rPr>
          <w:rFonts w:hint="eastAsia"/>
        </w:rPr>
        <w:t>7</w:t>
      </w:r>
      <w:r>
        <w:t>.</w:t>
      </w:r>
      <w:r>
        <w:rPr>
          <w:rFonts w:hint="eastAsia"/>
        </w:rPr>
        <w:t>4 澄清或者修改的内容为竞争性谈判文件的组成部分。</w:t>
      </w:r>
    </w:p>
    <w:p w14:paraId="61AAE588">
      <w:pPr>
        <w:pStyle w:val="48"/>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14:paraId="1DA4CA05">
      <w:pPr>
        <w:pStyle w:val="42"/>
      </w:pPr>
      <w:bookmarkStart w:id="20" w:name="_Toc12845"/>
      <w:r>
        <w:rPr>
          <w:rFonts w:hint="eastAsia"/>
        </w:rPr>
        <w:t>三、报价文件的编写</w:t>
      </w:r>
      <w:bookmarkEnd w:id="19"/>
      <w:bookmarkEnd w:id="20"/>
    </w:p>
    <w:p w14:paraId="296F5BC7">
      <w:pPr>
        <w:pStyle w:val="47"/>
      </w:pPr>
      <w:r>
        <w:rPr>
          <w:rFonts w:hint="eastAsia"/>
        </w:rPr>
        <w:t>8.要求</w:t>
      </w:r>
    </w:p>
    <w:p w14:paraId="2D4F373A">
      <w:pPr>
        <w:pStyle w:val="49"/>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7501389E">
      <w:pPr>
        <w:pStyle w:val="47"/>
      </w:pPr>
      <w:r>
        <w:rPr>
          <w:rFonts w:hint="eastAsia"/>
        </w:rPr>
        <w:t>9.报价文件的组成</w:t>
      </w:r>
    </w:p>
    <w:p w14:paraId="79D3FA6A">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7CAEF067">
      <w:pPr>
        <w:pStyle w:val="49"/>
        <w:ind w:firstLine="0" w:firstLineChars="0"/>
      </w:pPr>
      <w:r>
        <w:rPr>
          <w:rFonts w:hint="eastAsia"/>
          <w:u w:val="single"/>
        </w:rPr>
        <w:t>资格审查文件部分</w:t>
      </w:r>
      <w:r>
        <w:rPr>
          <w:rFonts w:hint="eastAsia" w:ascii="宋体" w:hAnsi="宋体"/>
          <w:u w:val="single"/>
        </w:rPr>
        <w:t>（若有缺失或无效，将导致响应文件无效）</w:t>
      </w:r>
      <w:r>
        <w:rPr>
          <w:rFonts w:hint="eastAsia"/>
        </w:rPr>
        <w:t>：</w:t>
      </w:r>
    </w:p>
    <w:p w14:paraId="60ACAA72">
      <w:pPr>
        <w:pStyle w:val="57"/>
        <w:numPr>
          <w:ilvl w:val="0"/>
          <w:numId w:val="3"/>
        </w:numPr>
        <w:spacing w:line="360" w:lineRule="auto"/>
        <w:ind w:left="0" w:firstLine="480"/>
        <w:rPr>
          <w:sz w:val="24"/>
        </w:rPr>
      </w:pPr>
      <w:r>
        <w:rPr>
          <w:rFonts w:hint="eastAsia"/>
          <w:sz w:val="24"/>
        </w:rPr>
        <w:t>报价人的有效营业执照复印件并加盖公司公章；事业单位的，则提供有效的《事业单位法人证书》副本复印件并加盖单位公章；自然人的，则提供有效的身份证复印件并签字；</w:t>
      </w:r>
    </w:p>
    <w:p w14:paraId="5C81BAE8">
      <w:pPr>
        <w:pStyle w:val="57"/>
        <w:numPr>
          <w:ilvl w:val="0"/>
          <w:numId w:val="3"/>
        </w:numPr>
        <w:spacing w:line="360" w:lineRule="auto"/>
        <w:ind w:left="0" w:firstLine="480"/>
        <w:rPr>
          <w:bCs/>
          <w:sz w:val="24"/>
        </w:rPr>
      </w:pPr>
      <w:r>
        <w:rPr>
          <w:rFonts w:hint="eastAsia"/>
          <w:bCs/>
          <w:sz w:val="24"/>
        </w:rPr>
        <w:t>报价人</w:t>
      </w:r>
      <w:r>
        <w:rPr>
          <w:rFonts w:hint="eastAsia"/>
          <w:sz w:val="24"/>
        </w:rPr>
        <w:t>基本开户银行出具的资信证明，或参与本采购项目的两年内任一年度经审计的财务报告复印件，须包括“四表一注”：资产负债表、利润表、现金流量表、所有者权益变动表及其附注；</w:t>
      </w:r>
      <w:r>
        <w:rPr>
          <w:rFonts w:hint="eastAsia"/>
          <w:bCs/>
          <w:sz w:val="24"/>
        </w:rPr>
        <w:t>供应商为自然人或非法人组织的，如果没有经审计的财务报告，可提供基本开户银行出具的资信证明</w:t>
      </w:r>
    </w:p>
    <w:p w14:paraId="4EBE529D">
      <w:pPr>
        <w:pStyle w:val="57"/>
        <w:numPr>
          <w:ilvl w:val="0"/>
          <w:numId w:val="3"/>
        </w:numPr>
        <w:spacing w:line="360" w:lineRule="auto"/>
        <w:ind w:left="0" w:firstLine="480"/>
        <w:rPr>
          <w:sz w:val="24"/>
        </w:rPr>
      </w:pPr>
      <w:r>
        <w:rPr>
          <w:rFonts w:hint="eastAsia"/>
          <w:bCs/>
          <w:sz w:val="24"/>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14:paraId="0AE74F91">
      <w:pPr>
        <w:pStyle w:val="57"/>
        <w:numPr>
          <w:ilvl w:val="0"/>
          <w:numId w:val="3"/>
        </w:numPr>
        <w:spacing w:line="360" w:lineRule="auto"/>
        <w:ind w:left="0" w:firstLine="480"/>
        <w:rPr>
          <w:sz w:val="24"/>
        </w:rPr>
      </w:pPr>
      <w:r>
        <w:rPr>
          <w:rFonts w:hint="eastAsia"/>
          <w:sz w:val="24"/>
        </w:rPr>
        <w:t>报价人简介（规模、实力、生产销售能力等）</w:t>
      </w:r>
      <w:r>
        <w:rPr>
          <w:rFonts w:hint="eastAsia"/>
          <w:sz w:val="24"/>
          <w:lang w:val="en-US" w:eastAsia="zh-CN"/>
        </w:rPr>
        <w:t>(格式自拟)</w:t>
      </w:r>
    </w:p>
    <w:p w14:paraId="64EA3E5D">
      <w:pPr>
        <w:pStyle w:val="57"/>
        <w:numPr>
          <w:ilvl w:val="0"/>
          <w:numId w:val="3"/>
        </w:numPr>
        <w:spacing w:line="360" w:lineRule="auto"/>
        <w:ind w:left="0" w:firstLine="480"/>
        <w:rPr>
          <w:bCs/>
          <w:color w:val="000000"/>
          <w:sz w:val="24"/>
        </w:rPr>
      </w:pPr>
      <w:r>
        <w:rPr>
          <w:sz w:val="24"/>
        </w:rPr>
        <w:t>报价人参加此项政府采购活动前3年内在经营活动中没有重大违法记录的书面声明</w:t>
      </w:r>
      <w:r>
        <w:rPr>
          <w:rFonts w:hint="eastAsia"/>
          <w:sz w:val="24"/>
          <w:lang w:val="en-US" w:eastAsia="zh-CN"/>
        </w:rPr>
        <w:t>(格式自拟)</w:t>
      </w:r>
      <w:r>
        <w:rPr>
          <w:sz w:val="24"/>
        </w:rPr>
        <w:t>；</w:t>
      </w:r>
    </w:p>
    <w:p w14:paraId="767E7221">
      <w:pPr>
        <w:pStyle w:val="57"/>
        <w:numPr>
          <w:ilvl w:val="0"/>
          <w:numId w:val="3"/>
        </w:numPr>
        <w:spacing w:line="360" w:lineRule="auto"/>
        <w:ind w:left="0" w:firstLine="480"/>
        <w:rPr>
          <w:bCs/>
          <w:color w:val="C00000"/>
        </w:rPr>
      </w:pPr>
      <w:r>
        <w:rPr>
          <w:rFonts w:hint="eastAsia"/>
          <w:sz w:val="24"/>
        </w:rPr>
        <w:t>信用记录： 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 投标截止时间以后，资格审查阶段，经认定的被列入失信被执行人、重大税收违法案件当事人名单、政府采购严重违法失信行为记录名单的报价人，其报价无效。</w:t>
      </w:r>
    </w:p>
    <w:p w14:paraId="363E8C57">
      <w:pPr>
        <w:pStyle w:val="49"/>
        <w:ind w:firstLine="0" w:firstLineChars="0"/>
        <w:rPr>
          <w:rFonts w:ascii="宋体" w:hAnsi="宋体"/>
        </w:rPr>
      </w:pPr>
    </w:p>
    <w:p w14:paraId="5636DA1A">
      <w:pPr>
        <w:pStyle w:val="49"/>
        <w:ind w:firstLine="0" w:firstLineChars="0"/>
        <w:rPr>
          <w:rFonts w:hint="eastAsia" w:ascii="宋体" w:hAnsi="宋体"/>
          <w:u w:val="single"/>
        </w:rPr>
      </w:pPr>
      <w:r>
        <w:rPr>
          <w:rFonts w:hint="eastAsia" w:ascii="宋体" w:hAnsi="宋体"/>
          <w:u w:val="single"/>
        </w:rPr>
        <w:t>商务技术和报价文件部分：</w:t>
      </w:r>
    </w:p>
    <w:p w14:paraId="63D4F21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如果报价人的法定代表人参加投标，则提供法定代表人证明书（格式见附件）；如果</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eastAsia="zh-CN"/>
        </w:rPr>
        <w:t>的法定代表人授权代理人参加投标，提供法定代表人授权委托书（格式见附件），无需提供法定代表人证明书（实质性响应审查项，此项若有缺失或无效，将导致响应文件无效）；</w:t>
      </w:r>
    </w:p>
    <w:p w14:paraId="0F7EEC0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提供与</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eastAsia="zh-CN"/>
        </w:rPr>
        <w:t>的单位负责人为同一人，或者与</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eastAsia="zh-CN"/>
        </w:rPr>
        <w:t>存在直接控股、管理关系的不同单位（主体）的清单；如</w:t>
      </w:r>
      <w:r>
        <w:rPr>
          <w:rFonts w:hint="eastAsia" w:ascii="宋体" w:hAnsi="宋体" w:eastAsia="宋体" w:cs="宋体"/>
          <w:sz w:val="24"/>
          <w:szCs w:val="24"/>
          <w:lang w:val="en-US" w:eastAsia="zh-CN"/>
        </w:rPr>
        <w:t>报价人</w:t>
      </w:r>
      <w:r>
        <w:rPr>
          <w:rFonts w:hint="eastAsia" w:ascii="宋体" w:hAnsi="宋体" w:eastAsia="宋体" w:cs="宋体"/>
          <w:sz w:val="24"/>
          <w:szCs w:val="24"/>
          <w:lang w:val="en-US" w:eastAsia="zh-CN"/>
        </w:rPr>
        <w:t>无此类关联单位（主体），则需做出声明承诺（格式自拟）（实质性响应审查项，此项若有缺失或无效，将导致响应文件无效）；</w:t>
      </w:r>
    </w:p>
    <w:p w14:paraId="3D12674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报价明细表，须分项目详细列出（实</w:t>
      </w:r>
      <w:bookmarkStart w:id="51" w:name="_GoBack"/>
      <w:bookmarkEnd w:id="51"/>
      <w:r>
        <w:rPr>
          <w:rFonts w:hint="eastAsia" w:ascii="宋体" w:hAnsi="宋体" w:eastAsia="宋体" w:cs="宋体"/>
          <w:sz w:val="24"/>
          <w:szCs w:val="24"/>
          <w:lang w:val="en-US" w:eastAsia="zh-CN"/>
        </w:rPr>
        <w:t>质性响应审查项，若有缺失或无效，将导致响应文件无效）；</w:t>
      </w:r>
    </w:p>
    <w:p w14:paraId="33B53C8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产品技术偏离表(报价人应该按照所报产品实际情况填写报价产品技术偏离表，如果不按实际情况而是照抄本文件参数要求，则被认为是企业诚信问题，将会按照政府采购相关法律法规处理)（实质性响应审查项，若有缺失或无效，将导致响应文件无效）；</w:t>
      </w:r>
    </w:p>
    <w:p w14:paraId="3449569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产品为国产产品的，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w:t>
      </w:r>
    </w:p>
    <w:p w14:paraId="2DFBF64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报价产品符合相关认证标准的证明文件复印件；</w:t>
      </w:r>
    </w:p>
    <w:p w14:paraId="189D962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报价产品技术情况详细介绍及产品彩图；</w:t>
      </w:r>
    </w:p>
    <w:p w14:paraId="51F6F31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报价人2022年1月至今同类型产品销售业绩（请提供合同关键页复印件及有效联系人方式）；</w:t>
      </w:r>
    </w:p>
    <w:p w14:paraId="21D3CCE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交货时间承诺；</w:t>
      </w:r>
    </w:p>
    <w:p w14:paraId="37A3166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售后服务承诺或产品制造商售后服务声明；</w:t>
      </w:r>
    </w:p>
    <w:p w14:paraId="3C0776B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报价人认为需要提供的其它说明和资料。</w:t>
      </w:r>
    </w:p>
    <w:p w14:paraId="49617CDA">
      <w:pPr>
        <w:spacing w:line="360" w:lineRule="auto"/>
        <w:jc w:val="left"/>
        <w:rPr>
          <w:sz w:val="24"/>
        </w:rPr>
      </w:pPr>
    </w:p>
    <w:p w14:paraId="7BD041DC">
      <w:pPr>
        <w:pStyle w:val="47"/>
      </w:pPr>
      <w:r>
        <w:rPr>
          <w:rFonts w:hint="eastAsia"/>
        </w:rPr>
        <w:t>10.报价文件格式</w:t>
      </w:r>
    </w:p>
    <w:p w14:paraId="1A950DA2">
      <w:pPr>
        <w:pStyle w:val="48"/>
        <w:ind w:firstLine="480"/>
        <w:rPr>
          <w:b/>
        </w:rPr>
      </w:pPr>
      <w:r>
        <w:rPr>
          <w:rFonts w:hint="eastAsia"/>
        </w:rPr>
        <w:t>10.1竞争性谈判文件中凡提供报价文件格式的内容，报价人应按提供的格式填写，其余未提供格式的内容由报价人自行设计编写。</w:t>
      </w:r>
    </w:p>
    <w:p w14:paraId="13ED498E">
      <w:pPr>
        <w:pStyle w:val="48"/>
        <w:ind w:firstLine="480"/>
      </w:pPr>
      <w:r>
        <w:rPr>
          <w:rFonts w:hint="eastAsia"/>
        </w:rPr>
        <w:t>10.2 报价人应在报价文件中详细说明所报产品的技术指标、规格等。</w:t>
      </w:r>
    </w:p>
    <w:p w14:paraId="7DB8E019">
      <w:pPr>
        <w:pStyle w:val="47"/>
      </w:pPr>
      <w:r>
        <w:rPr>
          <w:rFonts w:hint="eastAsia"/>
        </w:rPr>
        <w:t>11.报价</w:t>
      </w:r>
    </w:p>
    <w:p w14:paraId="0C3540D2">
      <w:pPr>
        <w:pStyle w:val="48"/>
        <w:ind w:firstLine="480"/>
        <w:rPr>
          <w:rFonts w:ascii="宋体" w:hAnsi="宋体"/>
          <w:color w:val="000000"/>
        </w:rPr>
      </w:pPr>
      <w:r>
        <w:rPr>
          <w:rFonts w:hint="eastAsia" w:ascii="宋体" w:hAnsi="宋体"/>
          <w:color w:val="000000"/>
        </w:rPr>
        <w:t>11.1报价方应提供以人民币为结算单位的报价。</w:t>
      </w:r>
    </w:p>
    <w:p w14:paraId="0B096D2D">
      <w:pPr>
        <w:pStyle w:val="48"/>
        <w:ind w:firstLine="480"/>
        <w:rPr>
          <w:rFonts w:ascii="宋体" w:hAnsi="宋体"/>
          <w:color w:val="000000"/>
        </w:rPr>
      </w:pPr>
      <w:r>
        <w:rPr>
          <w:rFonts w:hint="eastAsia" w:ascii="宋体" w:hAnsi="宋体"/>
          <w:color w:val="000000"/>
        </w:rPr>
        <w:t>11.2报价企业的报价应为完成本项目所需的全部费用，包括但不限于以下费用：</w:t>
      </w:r>
    </w:p>
    <w:p w14:paraId="06E40D5E">
      <w:pPr>
        <w:pStyle w:val="48"/>
        <w:ind w:firstLine="480"/>
        <w:rPr>
          <w:rFonts w:ascii="宋体" w:hAnsi="宋体"/>
          <w:color w:val="000000"/>
        </w:rPr>
      </w:pPr>
      <w:r>
        <w:rPr>
          <w:rFonts w:hint="eastAsia" w:ascii="宋体" w:hAnsi="宋体"/>
          <w:color w:val="000000"/>
        </w:rPr>
        <w:t>货物费用、运费、安装费、维护费、保险费、税金、利润等。</w:t>
      </w:r>
    </w:p>
    <w:p w14:paraId="260CE138">
      <w:pPr>
        <w:pStyle w:val="48"/>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0E7E4405">
      <w:pPr>
        <w:pStyle w:val="48"/>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14:paraId="63B0F739">
      <w:pPr>
        <w:spacing w:line="360" w:lineRule="auto"/>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fldChar w:fldCharType="begin"/>
      </w:r>
      <w:r>
        <w:rPr>
          <w:rFonts w:hint="eastAsia" w:ascii="宋体" w:hAnsi="宋体" w:eastAsia="宋体" w:cs="Times New Roman"/>
          <w:color w:val="000000"/>
          <w:kern w:val="2"/>
          <w:sz w:val="24"/>
          <w:szCs w:val="24"/>
          <w:lang w:val="en-US" w:eastAsia="zh-CN" w:bidi="ar-SA"/>
        </w:rPr>
        <w:instrText xml:space="preserve"> HYPERLINK "mailto:11.5本次采购收取代理服务费，请中标人（成交供应商）在发布项目结果公告后，依据采购文件内所留账号于每月5日-25日1次性支付服务费（附言中注明项目编号）。中标人（成交供应商）缴纳服务费后，请将发票开票信息WORD文件格式发送至邮箱t87182686@163.com，邮件标题注明\“项目编号+供应商名称+发票信息\”，发票默认开具普通发票并发送至供应商邮箱，如需开具增值税专用发票，请在邮件中注明。" </w:instrText>
      </w:r>
      <w:r>
        <w:rPr>
          <w:rFonts w:hint="eastAsia" w:ascii="宋体" w:hAnsi="宋体" w:eastAsia="宋体" w:cs="Times New Roman"/>
          <w:color w:val="000000"/>
          <w:kern w:val="2"/>
          <w:sz w:val="24"/>
          <w:szCs w:val="24"/>
          <w:lang w:val="en-US" w:eastAsia="zh-CN" w:bidi="ar-SA"/>
        </w:rPr>
        <w:fldChar w:fldCharType="separate"/>
      </w:r>
      <w:r>
        <w:rPr>
          <w:rFonts w:hint="eastAsia" w:ascii="宋体" w:hAnsi="宋体" w:eastAsia="宋体" w:cs="Times New Roman"/>
          <w:color w:val="000000"/>
          <w:kern w:val="2"/>
          <w:sz w:val="24"/>
          <w:szCs w:val="24"/>
          <w:lang w:val="en-US" w:eastAsia="zh-CN" w:bidi="ar-SA"/>
        </w:rPr>
        <w:t>11.5本次采购收取代理服务费，请中标人（成交供应商）在发布项目结果公告后，依据采购文件内所留账号于每月5日-25日1次性支付服务费（附言中注明项目编号）。中标人（成交供应商）缴纳服务费后，请将发票开票信息WORD文件格式发送至邮箱t87182686@163.com，邮件标题注明“项目编号+供应商名称+发票信息”，发票默认开具普通发票并发送至供应商邮箱，如需开具增值税专用发票，请在邮件中注明。</w:t>
      </w:r>
      <w:r>
        <w:rPr>
          <w:rFonts w:hint="eastAsia" w:ascii="宋体" w:hAnsi="宋体" w:eastAsia="宋体" w:cs="Times New Roman"/>
          <w:color w:val="000000"/>
          <w:kern w:val="2"/>
          <w:sz w:val="24"/>
          <w:szCs w:val="24"/>
          <w:lang w:val="en-US" w:eastAsia="zh-CN" w:bidi="ar-SA"/>
        </w:rPr>
        <w:fldChar w:fldCharType="end"/>
      </w:r>
    </w:p>
    <w:p w14:paraId="7B27F62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宋体" w:hAnsi="宋体"/>
          <w:b/>
          <w:color w:val="000000"/>
          <w:szCs w:val="21"/>
        </w:rPr>
      </w:pPr>
      <w:r>
        <w:rPr>
          <w:rFonts w:hint="eastAsia" w:ascii="宋体" w:hAnsi="宋体" w:eastAsia="宋体"/>
          <w:color w:val="000000"/>
          <w:sz w:val="24"/>
          <w:lang w:eastAsia="zh-CN"/>
        </w:rPr>
        <w:drawing>
          <wp:anchor distT="0" distB="0" distL="114300" distR="114300" simplePos="0" relativeHeight="251661312" behindDoc="0" locked="0" layoutInCell="1" allowOverlap="1">
            <wp:simplePos x="0" y="0"/>
            <wp:positionH relativeFrom="column">
              <wp:posOffset>33020</wp:posOffset>
            </wp:positionH>
            <wp:positionV relativeFrom="paragraph">
              <wp:posOffset>25400</wp:posOffset>
            </wp:positionV>
            <wp:extent cx="5953760" cy="3482340"/>
            <wp:effectExtent l="0" t="0" r="5080" b="7620"/>
            <wp:wrapSquare wrapText="bothSides"/>
            <wp:docPr id="5" name="图片 5" descr="服务费表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服务费表格"/>
                    <pic:cNvPicPr>
                      <a:picLocks noChangeAspect="1"/>
                    </pic:cNvPicPr>
                  </pic:nvPicPr>
                  <pic:blipFill>
                    <a:blip r:embed="rId7"/>
                    <a:stretch>
                      <a:fillRect/>
                    </a:stretch>
                  </pic:blipFill>
                  <pic:spPr>
                    <a:xfrm>
                      <a:off x="0" y="0"/>
                      <a:ext cx="5953760" cy="3482340"/>
                    </a:xfrm>
                    <a:prstGeom prst="rect">
                      <a:avLst/>
                    </a:prstGeom>
                  </pic:spPr>
                </pic:pic>
              </a:graphicData>
            </a:graphic>
          </wp:anchor>
        </w:drawing>
      </w:r>
      <w:r>
        <w:rPr>
          <w:rFonts w:hint="eastAsia" w:ascii="宋体" w:hAnsi="宋体"/>
          <w:b/>
          <w:color w:val="000000"/>
          <w:szCs w:val="21"/>
        </w:rPr>
        <w:t>收款单位：国家体育总局体育器材装备中心</w:t>
      </w:r>
    </w:p>
    <w:p w14:paraId="2993B7AE">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rPr>
          <w:rFonts w:ascii="宋体" w:hAnsi="宋体"/>
          <w:b/>
          <w:color w:val="000000"/>
          <w:szCs w:val="21"/>
        </w:rPr>
      </w:pPr>
      <w:r>
        <w:rPr>
          <w:rFonts w:hint="eastAsia" w:ascii="宋体" w:hAnsi="宋体"/>
          <w:b/>
          <w:color w:val="000000"/>
          <w:szCs w:val="21"/>
        </w:rPr>
        <w:t>开 户 行：</w:t>
      </w:r>
      <w:r>
        <w:rPr>
          <w:rFonts w:hint="eastAsia" w:ascii="宋体" w:hAnsi="宋体"/>
          <w:b/>
          <w:color w:val="000000"/>
        </w:rPr>
        <w:t>工行北京体育馆路支行</w:t>
      </w:r>
    </w:p>
    <w:p w14:paraId="34F65517">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rPr>
          <w:b/>
          <w:sz w:val="24"/>
        </w:rPr>
      </w:pPr>
      <w:r>
        <w:rPr>
          <w:rFonts w:hint="eastAsia" w:ascii="宋体" w:hAnsi="宋体"/>
          <w:b/>
          <w:color w:val="000000"/>
          <w:szCs w:val="21"/>
        </w:rPr>
        <w:t>银行账号：</w:t>
      </w:r>
      <w:r>
        <w:rPr>
          <w:rFonts w:hint="eastAsia" w:ascii="宋体" w:hAnsi="宋体"/>
          <w:b/>
          <w:color w:val="000000"/>
        </w:rPr>
        <w:t>0200008109089053553</w:t>
      </w:r>
    </w:p>
    <w:p w14:paraId="64EF5177">
      <w:pPr>
        <w:pStyle w:val="47"/>
      </w:pPr>
      <w:r>
        <w:rPr>
          <w:rFonts w:hint="eastAsia"/>
        </w:rPr>
        <w:t>12.报价文件的形式</w:t>
      </w:r>
    </w:p>
    <w:p w14:paraId="314D2E23">
      <w:pPr>
        <w:pStyle w:val="48"/>
        <w:ind w:firstLine="480"/>
        <w:rPr>
          <w:color w:val="000000"/>
        </w:rPr>
      </w:pPr>
      <w:bookmarkStart w:id="21" w:name="_Toc115756027"/>
      <w:r>
        <w:rPr>
          <w:rFonts w:hint="eastAsia"/>
          <w:color w:val="000000"/>
        </w:rPr>
        <w:t>12.1报价人应按照竞争性谈判文件要求，在报价文件适当的位置填写报价人全称并加盖公章，同时由法定代表人或正式授权的代表签字。</w:t>
      </w:r>
    </w:p>
    <w:p w14:paraId="0A64CDA3">
      <w:pPr>
        <w:pStyle w:val="42"/>
      </w:pPr>
      <w:bookmarkStart w:id="22" w:name="_Toc21516"/>
      <w:r>
        <w:rPr>
          <w:rFonts w:hint="eastAsia"/>
        </w:rPr>
        <w:t>四、合同的授予</w:t>
      </w:r>
      <w:bookmarkEnd w:id="21"/>
      <w:bookmarkEnd w:id="22"/>
    </w:p>
    <w:p w14:paraId="6291E5CE">
      <w:pPr>
        <w:pStyle w:val="47"/>
      </w:pPr>
      <w:r>
        <w:rPr>
          <w:rFonts w:hint="eastAsia"/>
        </w:rPr>
        <w:t>13.合同授予的条件</w:t>
      </w:r>
    </w:p>
    <w:p w14:paraId="280F6D3D">
      <w:pPr>
        <w:pStyle w:val="1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14:paraId="4132F8CD">
      <w:pPr>
        <w:pStyle w:val="47"/>
      </w:pPr>
      <w:r>
        <w:rPr>
          <w:rFonts w:hint="eastAsia"/>
        </w:rPr>
        <w:t>14.成交结果通知方式</w:t>
      </w:r>
    </w:p>
    <w:p w14:paraId="15A6FAA7">
      <w:pPr>
        <w:pStyle w:val="48"/>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14:paraId="327621FA">
      <w:pPr>
        <w:pStyle w:val="48"/>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14:paraId="1234CA6A">
      <w:pPr>
        <w:pStyle w:val="47"/>
      </w:pPr>
      <w:r>
        <w:rPr>
          <w:rFonts w:hint="eastAsia"/>
        </w:rPr>
        <w:t>15.合同的签订</w:t>
      </w:r>
    </w:p>
    <w:p w14:paraId="652B9880">
      <w:pPr>
        <w:pStyle w:val="48"/>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14:paraId="6D339B3A">
      <w:pPr>
        <w:pStyle w:val="48"/>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14:paraId="037635BB">
      <w:pPr>
        <w:pStyle w:val="48"/>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14:paraId="371093F2">
      <w:pPr>
        <w:pStyle w:val="42"/>
      </w:pPr>
      <w:bookmarkStart w:id="23" w:name="_Toc30351"/>
      <w:r>
        <w:rPr>
          <w:rFonts w:hint="eastAsia"/>
        </w:rPr>
        <w:t>五、质疑和投诉</w:t>
      </w:r>
      <w:bookmarkEnd w:id="23"/>
    </w:p>
    <w:p w14:paraId="603E5545">
      <w:pPr>
        <w:pStyle w:val="47"/>
      </w:pPr>
      <w:r>
        <w:rPr>
          <w:rFonts w:hint="eastAsia"/>
        </w:rPr>
        <w:t>16.质疑和投诉</w:t>
      </w:r>
    </w:p>
    <w:p w14:paraId="3F74AFDA">
      <w:pPr>
        <w:pStyle w:val="48"/>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报价人对采购事项有疑问的，可以向采购单位提出询问。采购单位将依法做出答复，但答复的内容不涉及商业秘密。</w:t>
      </w:r>
    </w:p>
    <w:p w14:paraId="53A1A6F6">
      <w:pPr>
        <w:pStyle w:val="48"/>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14:paraId="211FEBF7">
      <w:pPr>
        <w:pStyle w:val="48"/>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0B08019D">
      <w:pPr>
        <w:pStyle w:val="48"/>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查质疑事项，做出答复或相关处理决定，并以书面形式通知质疑报价人和其他有关报价人，但答复的内容不涉及商业秘密。</w:t>
      </w:r>
    </w:p>
    <w:p w14:paraId="52E16120">
      <w:pPr>
        <w:pStyle w:val="48"/>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质疑报价人对采购单位的答复不满意以及采购单位未在规定的时间内做出答复的，可以在答复期满后15个工作日内向财政部投诉。</w:t>
      </w:r>
    </w:p>
    <w:p w14:paraId="4A7CBA01">
      <w:pPr>
        <w:pStyle w:val="42"/>
      </w:pPr>
      <w:bookmarkStart w:id="24" w:name="_Toc4951"/>
      <w:r>
        <w:rPr>
          <w:rFonts w:hint="eastAsia"/>
        </w:rPr>
        <w:t>六、其它须知</w:t>
      </w:r>
      <w:bookmarkEnd w:id="24"/>
    </w:p>
    <w:p w14:paraId="245382C8">
      <w:pPr>
        <w:pStyle w:val="47"/>
        <w:spacing w:line="360" w:lineRule="auto"/>
      </w:pPr>
      <w:r>
        <w:rPr>
          <w:rFonts w:hint="eastAsia"/>
        </w:rPr>
        <w:t>17.关于关联企业</w:t>
      </w:r>
    </w:p>
    <w:p w14:paraId="547C4E7A">
      <w:pPr>
        <w:pStyle w:val="49"/>
        <w:spacing w:line="360" w:lineRule="auto"/>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14:paraId="2399BE1E">
      <w:pPr>
        <w:pStyle w:val="47"/>
        <w:spacing w:line="360" w:lineRule="auto"/>
      </w:pPr>
      <w:r>
        <w:rPr>
          <w:rFonts w:hint="eastAsia"/>
        </w:rPr>
        <w:t>18.同品牌同型号报价产品</w:t>
      </w:r>
    </w:p>
    <w:p w14:paraId="0B3821A0">
      <w:pPr>
        <w:pStyle w:val="49"/>
        <w:spacing w:line="360" w:lineRule="auto"/>
        <w:ind w:firstLine="480"/>
      </w:pPr>
      <w:r>
        <w:rPr>
          <w:rFonts w:hint="eastAsia"/>
        </w:rPr>
        <w:t>整包所报价核心产品为同品牌、同型号的不同报价人按一家报价人计算报价人数量。</w:t>
      </w:r>
    </w:p>
    <w:p w14:paraId="7737F7A5">
      <w:pPr>
        <w:pStyle w:val="49"/>
        <w:spacing w:line="360" w:lineRule="auto"/>
        <w:ind w:firstLine="0" w:firstLineChars="0"/>
        <w:rPr>
          <w:rFonts w:ascii="宋体" w:hAnsi="宋体"/>
          <w:b/>
          <w:bCs/>
          <w:color w:val="000000"/>
        </w:rPr>
      </w:pPr>
      <w:r>
        <w:rPr>
          <w:rFonts w:hint="eastAsia" w:ascii="宋体" w:hAnsi="宋体"/>
          <w:b/>
          <w:bCs/>
          <w:color w:val="000000"/>
        </w:rPr>
        <w:t>19.关于信用信息查询和使用</w:t>
      </w:r>
    </w:p>
    <w:p w14:paraId="30919986">
      <w:pPr>
        <w:pStyle w:val="49"/>
        <w:spacing w:line="360" w:lineRule="auto"/>
        <w:ind w:firstLine="480"/>
        <w:rPr>
          <w:bCs/>
        </w:rPr>
      </w:pPr>
      <w:r>
        <w:rPr>
          <w:rFonts w:hint="eastAsia"/>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14:paraId="6BAC839F">
      <w:pPr>
        <w:pStyle w:val="49"/>
        <w:spacing w:line="360" w:lineRule="auto"/>
        <w:ind w:firstLine="0" w:firstLineChars="0"/>
        <w:rPr>
          <w:rFonts w:ascii="宋体" w:hAnsi="宋体"/>
          <w:b/>
          <w:bCs/>
          <w:color w:val="000000"/>
        </w:rPr>
      </w:pPr>
      <w:r>
        <w:rPr>
          <w:rFonts w:hint="eastAsia" w:ascii="宋体" w:hAnsi="宋体"/>
          <w:b/>
          <w:bCs/>
          <w:color w:val="000000"/>
        </w:rPr>
        <w:t>20.中小微型企业规定</w:t>
      </w:r>
    </w:p>
    <w:p w14:paraId="496B2EBF">
      <w:pPr>
        <w:pStyle w:val="49"/>
        <w:spacing w:line="360" w:lineRule="auto"/>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1EF4A1E1">
      <w:pPr>
        <w:pStyle w:val="49"/>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号规定，《关于进一步加大政府采购支持中小企业力度的通知》财库〔2022〕19号，对于非专门面向此类企业的项目，对小型和微型企业产品的价格给予</w:t>
      </w:r>
      <w:r>
        <w:rPr>
          <w:bCs/>
          <w:u w:val="single"/>
        </w:rPr>
        <w:t>20%</w:t>
      </w:r>
      <w:r>
        <w:rPr>
          <w:rFonts w:hint="eastAsia"/>
          <w:bCs/>
        </w:rPr>
        <w:t>的扣除，用扣除后的价格参与评审。</w:t>
      </w:r>
    </w:p>
    <w:p w14:paraId="2C74154B">
      <w:pPr>
        <w:pStyle w:val="49"/>
        <w:ind w:firstLine="480"/>
        <w:rPr>
          <w:bCs/>
        </w:rPr>
      </w:pPr>
      <w:r>
        <w:rPr>
          <w:bCs/>
        </w:rPr>
        <w:t>20.3 根据财库</w:t>
      </w:r>
      <w:r>
        <w:rPr>
          <w:rFonts w:hint="eastAsia"/>
          <w:bCs/>
        </w:rPr>
        <w:t>〔</w:t>
      </w:r>
      <w:r>
        <w:rPr>
          <w:bCs/>
        </w:rPr>
        <w:t>2014</w:t>
      </w:r>
      <w:r>
        <w:rPr>
          <w:rFonts w:hint="eastAsia"/>
          <w:bCs/>
        </w:rPr>
        <w:t>〕</w:t>
      </w:r>
      <w:r>
        <w:rPr>
          <w:bCs/>
        </w:rPr>
        <w:t>68号的相关规定，在政府采购活动中，监狱企业视同小型、微型企业，享受评审中价格扣除政策，并在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14:paraId="502823B7">
      <w:pPr>
        <w:pStyle w:val="49"/>
        <w:ind w:firstLine="0" w:firstLineChars="0"/>
        <w:rPr>
          <w:bCs/>
        </w:rPr>
      </w:pPr>
      <w:r>
        <w:rPr>
          <w:rFonts w:hint="eastAsia" w:ascii="宋体" w:hAnsi="宋体"/>
          <w:b/>
          <w:bCs/>
          <w:color w:val="000000"/>
        </w:rPr>
        <w:t>21.节能环保要求</w:t>
      </w:r>
    </w:p>
    <w:p w14:paraId="680DD9FF">
      <w:pPr>
        <w:pStyle w:val="49"/>
        <w:ind w:firstLine="480"/>
        <w:rPr>
          <w:bCs/>
        </w:rPr>
      </w:pPr>
      <w:r>
        <w:rPr>
          <w:rFonts w:hint="eastAsia"/>
          <w:bCs/>
        </w:rPr>
        <w:t>21.1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519101B2">
      <w:pPr>
        <w:spacing w:line="360" w:lineRule="auto"/>
        <w:rPr>
          <w:rFonts w:ascii="宋体" w:hAnsi="宋体"/>
          <w:b/>
          <w:bCs/>
          <w:color w:val="000000"/>
          <w:sz w:val="24"/>
        </w:rPr>
      </w:pPr>
      <w:r>
        <w:rPr>
          <w:rFonts w:hint="eastAsia" w:ascii="宋体" w:hAnsi="宋体"/>
          <w:b/>
          <w:bCs/>
          <w:color w:val="000000"/>
          <w:sz w:val="24"/>
        </w:rPr>
        <w:t>22.残疾人福利性单位规定</w:t>
      </w:r>
    </w:p>
    <w:p w14:paraId="627BF6D8">
      <w:pPr>
        <w:pStyle w:val="49"/>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w:t>
      </w:r>
      <w:r>
        <w:rPr>
          <w:rFonts w:hint="eastAsia" w:ascii="微软雅黑" w:hAnsi="微软雅黑" w:eastAsia="微软雅黑" w:cs="微软雅黑"/>
          <w:bCs/>
          <w:lang w:eastAsia="zh-CN"/>
        </w:rPr>
        <w:t>〔</w:t>
      </w:r>
      <w:r>
        <w:rPr>
          <w:rFonts w:hint="eastAsia"/>
          <w:bCs/>
        </w:rPr>
        <w:t>2017</w:t>
      </w:r>
      <w:r>
        <w:rPr>
          <w:rFonts w:hint="eastAsia" w:ascii="微软雅黑" w:hAnsi="微软雅黑" w:eastAsia="微软雅黑" w:cs="微软雅黑"/>
          <w:bCs/>
          <w:lang w:eastAsia="zh-CN"/>
        </w:rPr>
        <w:t>〕</w:t>
      </w:r>
      <w:r>
        <w:rPr>
          <w:rFonts w:hint="eastAsia"/>
          <w:bCs/>
        </w:rPr>
        <w:t>141号），符合相关条件的享受政府采购支持政策的残疾人福利性单位应根据采购文件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0D41B3A6">
      <w:pPr>
        <w:pStyle w:val="49"/>
        <w:ind w:firstLine="480"/>
        <w:rPr>
          <w:bCs/>
        </w:rPr>
      </w:pPr>
      <w:r>
        <w:rPr>
          <w:rFonts w:hint="eastAsia"/>
          <w:bCs/>
        </w:rPr>
        <w:t>22.2 根据《财政部民政部中国残疾人联合会关于促进残疾人就业政府采购政策的通知》（财库</w:t>
      </w:r>
      <w:r>
        <w:rPr>
          <w:rFonts w:hint="eastAsia" w:ascii="微软雅黑" w:hAnsi="微软雅黑" w:eastAsia="微软雅黑" w:cs="微软雅黑"/>
          <w:bCs/>
          <w:lang w:eastAsia="zh-CN"/>
        </w:rPr>
        <w:t>〔</w:t>
      </w:r>
      <w:r>
        <w:rPr>
          <w:rFonts w:hint="eastAsia"/>
          <w:bCs/>
        </w:rPr>
        <w:t>2017</w:t>
      </w:r>
      <w:r>
        <w:rPr>
          <w:rFonts w:hint="eastAsia" w:ascii="微软雅黑" w:hAnsi="微软雅黑" w:eastAsia="微软雅黑" w:cs="微软雅黑"/>
          <w:bCs/>
          <w:lang w:eastAsia="zh-CN"/>
        </w:rPr>
        <w:t>〕</w:t>
      </w:r>
      <w:r>
        <w:rPr>
          <w:rFonts w:hint="eastAsia"/>
          <w:bCs/>
        </w:rPr>
        <w:t>141号），对于非专门面向此类企业的项目，对残疾人福利性单位产品的价格给予</w:t>
      </w:r>
      <w:r>
        <w:rPr>
          <w:bCs/>
        </w:rPr>
        <w:t>20</w:t>
      </w:r>
      <w:r>
        <w:rPr>
          <w:rFonts w:hint="eastAsia"/>
          <w:bCs/>
        </w:rPr>
        <w:t>%的扣除，用扣除后的价格参与评审。残疾人福利性单位属于小微企业的，不重复享受政策。</w:t>
      </w:r>
      <w:r>
        <w:rPr>
          <w:bCs/>
        </w:rPr>
        <w:br w:type="page"/>
      </w:r>
    </w:p>
    <w:p w14:paraId="274FEA49">
      <w:pPr>
        <w:pStyle w:val="21"/>
        <w:tabs>
          <w:tab w:val="center" w:pos="4771"/>
          <w:tab w:val="left" w:pos="7624"/>
        </w:tabs>
        <w:jc w:val="left"/>
        <w:rPr>
          <w:color w:val="000000"/>
        </w:rPr>
      </w:pPr>
      <w:bookmarkStart w:id="25" w:name="_Toc147024753"/>
      <w:r>
        <w:rPr>
          <w:color w:val="000000"/>
        </w:rPr>
        <w:tab/>
      </w:r>
      <w:bookmarkStart w:id="26" w:name="_Toc6648"/>
      <w:r>
        <w:rPr>
          <w:rFonts w:hint="eastAsia"/>
          <w:color w:val="000000"/>
        </w:rPr>
        <w:t>第三部分 采购清单</w:t>
      </w:r>
      <w:bookmarkEnd w:id="26"/>
      <w:bookmarkStart w:id="27" w:name="PO_TDCUS_ITEM_P_REQ_TITLE_1"/>
      <w:r>
        <w:rPr>
          <w:color w:val="000000"/>
        </w:rPr>
        <w:tab/>
      </w:r>
    </w:p>
    <w:p w14:paraId="798CB349">
      <w:pPr>
        <w:pStyle w:val="39"/>
        <w:ind w:firstLine="0" w:firstLineChars="0"/>
        <w:jc w:val="left"/>
        <w:rPr>
          <w:sz w:val="24"/>
        </w:rPr>
      </w:pPr>
    </w:p>
    <w:p w14:paraId="4A9F8163">
      <w:pPr>
        <w:pStyle w:val="39"/>
        <w:ind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国产排球鹰眼系统</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2套，</w:t>
      </w:r>
      <w:r>
        <w:rPr>
          <w:rFonts w:hint="eastAsia" w:asciiTheme="minorEastAsia" w:hAnsiTheme="minorEastAsia" w:eastAsiaTheme="minorEastAsia"/>
          <w:sz w:val="24"/>
        </w:rPr>
        <w:t>预算1</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万元。</w:t>
      </w:r>
    </w:p>
    <w:p w14:paraId="27CC7A57">
      <w:pPr>
        <w:pStyle w:val="39"/>
        <w:ind w:firstLine="0" w:firstLineChars="0"/>
        <w:jc w:val="left"/>
        <w:rPr>
          <w:rFonts w:hint="eastAsia" w:asciiTheme="minorEastAsia" w:hAnsiTheme="minorEastAsia" w:eastAsiaTheme="minorEastAsia"/>
          <w:sz w:val="24"/>
        </w:rPr>
      </w:pPr>
    </w:p>
    <w:p w14:paraId="030714A3">
      <w:pPr>
        <w:pStyle w:val="39"/>
        <w:ind w:left="0"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color w:val="000000"/>
          <w:sz w:val="24"/>
        </w:rPr>
        <w:t>采购范围：货物的供应、运输、安装、培训及其他相关服</w:t>
      </w:r>
      <w:r>
        <w:rPr>
          <w:rFonts w:hint="eastAsia" w:asciiTheme="minorEastAsia" w:hAnsiTheme="minorEastAsia" w:eastAsiaTheme="minorEastAsia"/>
          <w:sz w:val="24"/>
        </w:rPr>
        <w:t>务。</w:t>
      </w:r>
    </w:p>
    <w:p w14:paraId="1E1CC667">
      <w:pPr>
        <w:pStyle w:val="39"/>
        <w:ind w:left="1920" w:leftChars="0" w:hanging="1920" w:hangingChars="800"/>
        <w:jc w:val="left"/>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交货日期及地点：签订合同后</w:t>
      </w:r>
      <w:r>
        <w:rPr>
          <w:rFonts w:hint="eastAsia" w:cs="Times New Roman" w:asciiTheme="minorEastAsia" w:hAnsiTheme="minorEastAsia" w:eastAsiaTheme="minorEastAsia"/>
          <w:color w:val="000000"/>
          <w:sz w:val="24"/>
          <w:lang w:val="en-US" w:eastAsia="zh-CN"/>
        </w:rPr>
        <w:t>30日</w:t>
      </w:r>
      <w:r>
        <w:rPr>
          <w:rFonts w:hint="eastAsia" w:cs="Times New Roman" w:asciiTheme="minorEastAsia" w:hAnsiTheme="minorEastAsia" w:eastAsiaTheme="minorEastAsia"/>
          <w:color w:val="000000"/>
          <w:sz w:val="24"/>
        </w:rPr>
        <w:t>内</w:t>
      </w: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rPr>
        <w:t>送至河北省秦皇岛市海港区文体路5号国家体育总局秦皇岛训练基地院内指定地点。</w:t>
      </w:r>
    </w:p>
    <w:p w14:paraId="014C214A">
      <w:pPr>
        <w:keepNext w:val="0"/>
        <w:keepLines w:val="0"/>
        <w:widowControl/>
        <w:suppressLineNumbers w:val="0"/>
        <w:ind w:firstLine="640"/>
        <w:jc w:val="left"/>
        <w:rPr>
          <w:rFonts w:hint="eastAsia" w:ascii="仿宋" w:hAnsi="仿宋" w:eastAsia="仿宋" w:cs="仿宋"/>
          <w:color w:val="auto"/>
          <w:kern w:val="0"/>
          <w:sz w:val="32"/>
          <w:szCs w:val="32"/>
          <w:lang w:val="en-US" w:eastAsia="zh-CN" w:bidi="ar"/>
        </w:rPr>
      </w:pPr>
    </w:p>
    <w:p w14:paraId="5FA1AB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在排球正式比赛过程中，实现将比赛挑战画面提供给裁判，协助裁判对有争议的得分球进行判罚。可挑战的判断内容包括但不限于界内球/界外球、拦网触手、触网、触及标志杆、地板球、踏线违例等。</w:t>
      </w:r>
    </w:p>
    <w:p w14:paraId="0ED3CDD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功能要求：</w:t>
      </w:r>
    </w:p>
    <w:p w14:paraId="3B4B845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慢动作实时回放可以将20路相机所采集的画面进行同步播放、暂停、快速、慢速、逐帧的播放与放大、缩小等操作；支持四分屏同步输出播放。为比赛中以下犯规挑战提供判罚依据：一.拦网触手；二.触网；三.触及标志杆；四.踏线违例：（1）队员发球时踏及端线；（2）队员后排戟时踏及进攻线；（3）队员单脚或双脚完全过中线违例。</w:t>
      </w:r>
    </w:p>
    <w:p w14:paraId="17B0CEB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在规则中，当挑战项为“球的界内/界外”时，通过3D模拟模块在一个模拟球场中，设置一个球的落地点与落地方向，通过落地点与设置好的落地方向模拟出球飞落地的轨迹，以便向运动员、教练员以及全场观众播放展示。</w:t>
      </w:r>
    </w:p>
    <w:p w14:paraId="5E30805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3.比赛队伍提出的挑战，对挑战图像内容进行播放时，系统支持将这段视频记录下来以作备份。 </w:t>
      </w:r>
    </w:p>
    <w:p w14:paraId="1EE0F1C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4.提供多路输出接口，可以输出回放画面及挑战回放画面。一路为第一裁判监视器提供回放画面，另一路为现场大屏幕或转播车提供信号输出接口输出挑战回放画面。</w:t>
      </w:r>
      <w:commentRangeStart w:id="0"/>
      <w:r>
        <w:rPr>
          <w:rFonts w:hint="eastAsia" w:ascii="宋体" w:hAnsi="宋体" w:eastAsia="宋体" w:cs="宋体"/>
          <w:kern w:val="0"/>
          <w:sz w:val="24"/>
          <w:szCs w:val="24"/>
        </w:rPr>
        <w:t>可将≤4个相机秒级拼接后</w:t>
      </w:r>
      <w:commentRangeEnd w:id="0"/>
      <w:r>
        <w:commentReference w:id="0"/>
      </w:r>
      <w:r>
        <w:rPr>
          <w:rFonts w:hint="eastAsia" w:ascii="宋体" w:hAnsi="宋体" w:eastAsia="宋体" w:cs="宋体"/>
          <w:kern w:val="0"/>
          <w:sz w:val="24"/>
          <w:szCs w:val="24"/>
        </w:rPr>
        <w:t>，作为一个信号投放给现场大屏幕或转播单位且相机完全同步。</w:t>
      </w:r>
    </w:p>
    <w:p w14:paraId="46FCC7A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5.状态检测与管理模块可以检测到系统在运行中的状态是否正常，CPU、硬盘、内存等实时状态。 </w:t>
      </w:r>
    </w:p>
    <w:p w14:paraId="41A6F9E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6.控制输出挑战提示信息，如挑战成功或失败等信息。 </w:t>
      </w:r>
    </w:p>
    <w:p w14:paraId="3A61157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kern w:val="0"/>
          <w:sz w:val="24"/>
          <w:szCs w:val="24"/>
        </w:rPr>
        <w:t>7.对系统进行配置管理，增加、删除相机，可定制的挑战项目，字幕背景等。</w:t>
      </w:r>
    </w:p>
    <w:p w14:paraId="35FC5E3E">
      <w:pPr>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br w:type="page"/>
      </w:r>
    </w:p>
    <w:p w14:paraId="02E9521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每套系统硬件、软件应至少包含以下内容： </w:t>
      </w:r>
    </w:p>
    <w:p w14:paraId="554D169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一、硬件清单</w:t>
      </w:r>
    </w:p>
    <w:tbl>
      <w:tblPr>
        <w:tblStyle w:val="2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091"/>
        <w:gridCol w:w="2511"/>
        <w:gridCol w:w="1982"/>
      </w:tblGrid>
      <w:tr w14:paraId="461B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14:paraId="09B6CB81">
            <w:pPr>
              <w:bidi w:val="0"/>
              <w:rPr>
                <w:rFonts w:hint="eastAsia" w:ascii="宋体" w:hAnsi="宋体" w:eastAsia="宋体" w:cs="宋体"/>
                <w:sz w:val="24"/>
                <w:szCs w:val="24"/>
                <w:lang w:val="en-US" w:eastAsia="zh-CN"/>
              </w:rPr>
            </w:pPr>
          </w:p>
        </w:tc>
        <w:tc>
          <w:tcPr>
            <w:tcW w:w="2091" w:type="dxa"/>
          </w:tcPr>
          <w:p w14:paraId="55C10AB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设备名称</w:t>
            </w:r>
          </w:p>
        </w:tc>
        <w:tc>
          <w:tcPr>
            <w:tcW w:w="2511" w:type="dxa"/>
          </w:tcPr>
          <w:p w14:paraId="0133EF6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tc>
        <w:tc>
          <w:tcPr>
            <w:tcW w:w="1982" w:type="dxa"/>
          </w:tcPr>
          <w:p w14:paraId="063B4BC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r>
      <w:tr w14:paraId="66F1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restart"/>
          </w:tcPr>
          <w:p w14:paraId="144277D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视频采集单元</w:t>
            </w:r>
          </w:p>
        </w:tc>
        <w:tc>
          <w:tcPr>
            <w:tcW w:w="2091" w:type="dxa"/>
          </w:tcPr>
          <w:p w14:paraId="25C5F6A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采集相机 </w:t>
            </w:r>
          </w:p>
        </w:tc>
        <w:tc>
          <w:tcPr>
            <w:tcW w:w="2511" w:type="dxa"/>
            <w:vMerge w:val="restart"/>
          </w:tcPr>
          <w:p w14:paraId="6CD47C81">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应用分辨率≥1792*1008，可支持1080P高清分辨率；绝对同步，所有相机逐帧级同步。 </w:t>
            </w:r>
          </w:p>
        </w:tc>
        <w:tc>
          <w:tcPr>
            <w:tcW w:w="1982" w:type="dxa"/>
          </w:tcPr>
          <w:p w14:paraId="5689EF7A">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20台</w:t>
            </w:r>
          </w:p>
        </w:tc>
      </w:tr>
      <w:tr w14:paraId="1589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5B50EAA8">
            <w:pPr>
              <w:bidi w:val="0"/>
              <w:rPr>
                <w:rFonts w:hint="eastAsia" w:ascii="宋体" w:hAnsi="宋体" w:eastAsia="宋体" w:cs="宋体"/>
                <w:sz w:val="24"/>
                <w:szCs w:val="24"/>
                <w:lang w:val="en-US" w:eastAsia="zh-CN"/>
              </w:rPr>
            </w:pPr>
          </w:p>
        </w:tc>
        <w:tc>
          <w:tcPr>
            <w:tcW w:w="2091" w:type="dxa"/>
          </w:tcPr>
          <w:p w14:paraId="45A9E0E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相机镜头</w:t>
            </w:r>
          </w:p>
        </w:tc>
        <w:tc>
          <w:tcPr>
            <w:tcW w:w="2511" w:type="dxa"/>
            <w:vMerge w:val="continue"/>
          </w:tcPr>
          <w:p w14:paraId="6D75A1B1">
            <w:pPr>
              <w:bidi w:val="0"/>
              <w:rPr>
                <w:rFonts w:hint="eastAsia" w:ascii="宋体" w:hAnsi="宋体" w:eastAsia="宋体" w:cs="宋体"/>
                <w:sz w:val="24"/>
                <w:szCs w:val="24"/>
                <w:lang w:val="en-US" w:eastAsia="zh-CN"/>
              </w:rPr>
            </w:pPr>
          </w:p>
        </w:tc>
        <w:tc>
          <w:tcPr>
            <w:tcW w:w="1982" w:type="dxa"/>
          </w:tcPr>
          <w:p w14:paraId="6DE5DC5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w:t>
            </w:r>
          </w:p>
        </w:tc>
      </w:tr>
      <w:tr w14:paraId="7104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5E1D64E1">
            <w:pPr>
              <w:bidi w:val="0"/>
              <w:rPr>
                <w:rFonts w:hint="eastAsia" w:ascii="宋体" w:hAnsi="宋体" w:eastAsia="宋体" w:cs="宋体"/>
                <w:sz w:val="24"/>
                <w:szCs w:val="24"/>
                <w:lang w:val="en-US" w:eastAsia="zh-CN"/>
              </w:rPr>
            </w:pPr>
          </w:p>
        </w:tc>
        <w:tc>
          <w:tcPr>
            <w:tcW w:w="2091" w:type="dxa"/>
          </w:tcPr>
          <w:p w14:paraId="396185A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相机护罩</w:t>
            </w:r>
          </w:p>
        </w:tc>
        <w:tc>
          <w:tcPr>
            <w:tcW w:w="2511" w:type="dxa"/>
          </w:tcPr>
          <w:p w14:paraId="3A9361B5">
            <w:pPr>
              <w:bidi w:val="0"/>
              <w:rPr>
                <w:rFonts w:hint="default" w:ascii="宋体" w:hAnsi="宋体" w:eastAsia="宋体" w:cs="宋体"/>
                <w:sz w:val="24"/>
                <w:szCs w:val="24"/>
                <w:lang w:val="en-US" w:eastAsia="zh-CN"/>
              </w:rPr>
            </w:pPr>
          </w:p>
        </w:tc>
        <w:tc>
          <w:tcPr>
            <w:tcW w:w="1982" w:type="dxa"/>
          </w:tcPr>
          <w:p w14:paraId="7E50F44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16个</w:t>
            </w:r>
          </w:p>
        </w:tc>
      </w:tr>
      <w:tr w14:paraId="29C1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5A8288DB">
            <w:pPr>
              <w:bidi w:val="0"/>
              <w:rPr>
                <w:rFonts w:hint="eastAsia" w:ascii="宋体" w:hAnsi="宋体" w:eastAsia="宋体" w:cs="宋体"/>
                <w:sz w:val="24"/>
                <w:szCs w:val="24"/>
                <w:lang w:val="en-US" w:eastAsia="zh-CN"/>
              </w:rPr>
            </w:pPr>
          </w:p>
        </w:tc>
        <w:tc>
          <w:tcPr>
            <w:tcW w:w="2091" w:type="dxa"/>
          </w:tcPr>
          <w:p w14:paraId="68070EC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三脚架云台</w:t>
            </w:r>
          </w:p>
        </w:tc>
        <w:tc>
          <w:tcPr>
            <w:tcW w:w="2511" w:type="dxa"/>
          </w:tcPr>
          <w:p w14:paraId="488581C2">
            <w:pPr>
              <w:bidi w:val="0"/>
              <w:rPr>
                <w:rFonts w:hint="eastAsia" w:ascii="宋体" w:hAnsi="宋体" w:eastAsia="宋体" w:cs="宋体"/>
                <w:sz w:val="24"/>
                <w:szCs w:val="24"/>
                <w:lang w:val="en-US" w:eastAsia="zh-CN"/>
              </w:rPr>
            </w:pPr>
          </w:p>
        </w:tc>
        <w:tc>
          <w:tcPr>
            <w:tcW w:w="1982" w:type="dxa"/>
          </w:tcPr>
          <w:p w14:paraId="01AC461A">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16个</w:t>
            </w:r>
          </w:p>
        </w:tc>
      </w:tr>
      <w:tr w14:paraId="78D4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4D139405">
            <w:pPr>
              <w:bidi w:val="0"/>
              <w:rPr>
                <w:rFonts w:hint="eastAsia" w:ascii="宋体" w:hAnsi="宋体" w:eastAsia="宋体" w:cs="宋体"/>
                <w:sz w:val="24"/>
                <w:szCs w:val="24"/>
                <w:lang w:val="en-US" w:eastAsia="zh-CN"/>
              </w:rPr>
            </w:pPr>
          </w:p>
        </w:tc>
        <w:tc>
          <w:tcPr>
            <w:tcW w:w="2091" w:type="dxa"/>
          </w:tcPr>
          <w:p w14:paraId="670E867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独脚架云台</w:t>
            </w:r>
          </w:p>
        </w:tc>
        <w:tc>
          <w:tcPr>
            <w:tcW w:w="2511" w:type="dxa"/>
          </w:tcPr>
          <w:p w14:paraId="54363533">
            <w:pPr>
              <w:bidi w:val="0"/>
              <w:rPr>
                <w:rFonts w:hint="eastAsia" w:ascii="宋体" w:hAnsi="宋体" w:eastAsia="宋体" w:cs="宋体"/>
                <w:sz w:val="24"/>
                <w:szCs w:val="24"/>
                <w:lang w:val="en-US" w:eastAsia="zh-CN"/>
              </w:rPr>
            </w:pPr>
          </w:p>
        </w:tc>
        <w:tc>
          <w:tcPr>
            <w:tcW w:w="1982" w:type="dxa"/>
          </w:tcPr>
          <w:p w14:paraId="01922D36">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4个</w:t>
            </w:r>
          </w:p>
        </w:tc>
      </w:tr>
      <w:tr w14:paraId="226F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restart"/>
          </w:tcPr>
          <w:p w14:paraId="0F2C2C9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服务器分析单元</w:t>
            </w:r>
          </w:p>
        </w:tc>
        <w:tc>
          <w:tcPr>
            <w:tcW w:w="2091" w:type="dxa"/>
          </w:tcPr>
          <w:p w14:paraId="0A0B87E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主控服务器</w:t>
            </w:r>
          </w:p>
        </w:tc>
        <w:tc>
          <w:tcPr>
            <w:tcW w:w="2511" w:type="dxa"/>
          </w:tcPr>
          <w:p w14:paraId="3CF8E048">
            <w:pPr>
              <w:bidi w:val="0"/>
              <w:rPr>
                <w:rFonts w:hint="eastAsia" w:ascii="宋体" w:hAnsi="宋体" w:eastAsia="宋体" w:cs="宋体"/>
                <w:sz w:val="24"/>
                <w:szCs w:val="24"/>
                <w:lang w:val="en-US" w:eastAsia="zh-CN"/>
              </w:rPr>
            </w:pPr>
          </w:p>
        </w:tc>
        <w:tc>
          <w:tcPr>
            <w:tcW w:w="1982" w:type="dxa"/>
          </w:tcPr>
          <w:p w14:paraId="61E4D98A">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r>
      <w:tr w14:paraId="3855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132E357E">
            <w:pPr>
              <w:bidi w:val="0"/>
              <w:rPr>
                <w:rFonts w:hint="eastAsia" w:ascii="宋体" w:hAnsi="宋体" w:eastAsia="宋体" w:cs="宋体"/>
                <w:sz w:val="24"/>
                <w:szCs w:val="24"/>
                <w:lang w:val="en-US" w:eastAsia="zh-CN"/>
              </w:rPr>
            </w:pPr>
          </w:p>
        </w:tc>
        <w:tc>
          <w:tcPr>
            <w:tcW w:w="2091" w:type="dxa"/>
          </w:tcPr>
          <w:p w14:paraId="1933E8F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采集服务器</w:t>
            </w:r>
          </w:p>
        </w:tc>
        <w:tc>
          <w:tcPr>
            <w:tcW w:w="2511" w:type="dxa"/>
          </w:tcPr>
          <w:p w14:paraId="3F22F1D3">
            <w:pPr>
              <w:bidi w:val="0"/>
              <w:rPr>
                <w:rFonts w:hint="eastAsia" w:ascii="宋体" w:hAnsi="宋体" w:eastAsia="宋体" w:cs="宋体"/>
                <w:sz w:val="24"/>
                <w:szCs w:val="24"/>
                <w:lang w:val="en-US" w:eastAsia="zh-CN"/>
              </w:rPr>
            </w:pPr>
          </w:p>
        </w:tc>
        <w:tc>
          <w:tcPr>
            <w:tcW w:w="1982" w:type="dxa"/>
          </w:tcPr>
          <w:p w14:paraId="05AE44EE">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w:t>
            </w:r>
          </w:p>
        </w:tc>
      </w:tr>
      <w:tr w14:paraId="7C23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45069800">
            <w:pPr>
              <w:bidi w:val="0"/>
              <w:rPr>
                <w:rFonts w:hint="eastAsia" w:ascii="宋体" w:hAnsi="宋体" w:eastAsia="宋体" w:cs="宋体"/>
                <w:sz w:val="24"/>
                <w:szCs w:val="24"/>
                <w:lang w:val="en-US" w:eastAsia="zh-CN"/>
              </w:rPr>
            </w:pPr>
          </w:p>
        </w:tc>
        <w:tc>
          <w:tcPr>
            <w:tcW w:w="2091" w:type="dxa"/>
          </w:tcPr>
          <w:p w14:paraId="1B5275A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显示器</w:t>
            </w:r>
          </w:p>
        </w:tc>
        <w:tc>
          <w:tcPr>
            <w:tcW w:w="2511" w:type="dxa"/>
          </w:tcPr>
          <w:p w14:paraId="7AA54D5A">
            <w:pPr>
              <w:bidi w:val="0"/>
              <w:rPr>
                <w:rFonts w:hint="eastAsia" w:ascii="宋体" w:hAnsi="宋体" w:eastAsia="宋体" w:cs="宋体"/>
                <w:sz w:val="24"/>
                <w:szCs w:val="24"/>
                <w:lang w:val="en-US" w:eastAsia="zh-CN"/>
              </w:rPr>
            </w:pPr>
          </w:p>
        </w:tc>
        <w:tc>
          <w:tcPr>
            <w:tcW w:w="1982" w:type="dxa"/>
          </w:tcPr>
          <w:p w14:paraId="530DA000">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w:t>
            </w:r>
          </w:p>
        </w:tc>
      </w:tr>
      <w:tr w14:paraId="1EF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3C8601E9">
            <w:pPr>
              <w:bidi w:val="0"/>
              <w:rPr>
                <w:rFonts w:hint="eastAsia" w:ascii="宋体" w:hAnsi="宋体" w:eastAsia="宋体" w:cs="宋体"/>
                <w:sz w:val="24"/>
                <w:szCs w:val="24"/>
                <w:lang w:val="en-US" w:eastAsia="zh-CN"/>
              </w:rPr>
            </w:pPr>
          </w:p>
        </w:tc>
        <w:tc>
          <w:tcPr>
            <w:tcW w:w="2091" w:type="dxa"/>
          </w:tcPr>
          <w:p w14:paraId="36FFF80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POE交换机</w:t>
            </w:r>
          </w:p>
        </w:tc>
        <w:tc>
          <w:tcPr>
            <w:tcW w:w="2511" w:type="dxa"/>
          </w:tcPr>
          <w:p w14:paraId="7E36FB23">
            <w:pPr>
              <w:bidi w:val="0"/>
              <w:rPr>
                <w:rFonts w:hint="eastAsia" w:ascii="宋体" w:hAnsi="宋体" w:eastAsia="宋体" w:cs="宋体"/>
                <w:sz w:val="24"/>
                <w:szCs w:val="24"/>
                <w:lang w:val="en-US" w:eastAsia="zh-CN"/>
              </w:rPr>
            </w:pPr>
          </w:p>
        </w:tc>
        <w:tc>
          <w:tcPr>
            <w:tcW w:w="1982" w:type="dxa"/>
          </w:tcPr>
          <w:p w14:paraId="72E4E6AE">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r>
      <w:tr w14:paraId="1656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78E2FB58">
            <w:pPr>
              <w:bidi w:val="0"/>
              <w:rPr>
                <w:rFonts w:hint="eastAsia" w:ascii="宋体" w:hAnsi="宋体" w:eastAsia="宋体" w:cs="宋体"/>
                <w:sz w:val="24"/>
                <w:szCs w:val="24"/>
                <w:lang w:val="en-US" w:eastAsia="zh-CN"/>
              </w:rPr>
            </w:pPr>
          </w:p>
        </w:tc>
        <w:tc>
          <w:tcPr>
            <w:tcW w:w="2091" w:type="dxa"/>
          </w:tcPr>
          <w:p w14:paraId="63AD0B8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服务器飞行箱</w:t>
            </w:r>
          </w:p>
        </w:tc>
        <w:tc>
          <w:tcPr>
            <w:tcW w:w="2511" w:type="dxa"/>
          </w:tcPr>
          <w:p w14:paraId="18C6205C">
            <w:pPr>
              <w:bidi w:val="0"/>
              <w:rPr>
                <w:rFonts w:hint="eastAsia" w:ascii="宋体" w:hAnsi="宋体" w:eastAsia="宋体" w:cs="宋体"/>
                <w:sz w:val="24"/>
                <w:szCs w:val="24"/>
                <w:lang w:val="en-US" w:eastAsia="zh-CN"/>
              </w:rPr>
            </w:pPr>
          </w:p>
        </w:tc>
        <w:tc>
          <w:tcPr>
            <w:tcW w:w="1982" w:type="dxa"/>
          </w:tcPr>
          <w:p w14:paraId="57A4AAD1">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r w14:paraId="6FA0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189C1B7C">
            <w:pPr>
              <w:bidi w:val="0"/>
              <w:rPr>
                <w:rFonts w:hint="eastAsia" w:ascii="宋体" w:hAnsi="宋体" w:eastAsia="宋体" w:cs="宋体"/>
                <w:sz w:val="24"/>
                <w:szCs w:val="24"/>
                <w:lang w:val="en-US" w:eastAsia="zh-CN"/>
              </w:rPr>
            </w:pPr>
          </w:p>
        </w:tc>
        <w:tc>
          <w:tcPr>
            <w:tcW w:w="2091" w:type="dxa"/>
          </w:tcPr>
          <w:p w14:paraId="1B76771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交换机飞行箱</w:t>
            </w:r>
          </w:p>
        </w:tc>
        <w:tc>
          <w:tcPr>
            <w:tcW w:w="2511" w:type="dxa"/>
          </w:tcPr>
          <w:p w14:paraId="19572E82">
            <w:pPr>
              <w:bidi w:val="0"/>
              <w:rPr>
                <w:rFonts w:hint="eastAsia" w:ascii="宋体" w:hAnsi="宋体" w:eastAsia="宋体" w:cs="宋体"/>
                <w:sz w:val="24"/>
                <w:szCs w:val="24"/>
                <w:lang w:val="en-US" w:eastAsia="zh-CN"/>
              </w:rPr>
            </w:pPr>
          </w:p>
        </w:tc>
        <w:tc>
          <w:tcPr>
            <w:tcW w:w="1982" w:type="dxa"/>
          </w:tcPr>
          <w:p w14:paraId="045B0D6D">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r w14:paraId="3A16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restart"/>
          </w:tcPr>
          <w:p w14:paraId="459F879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信号传输设备</w:t>
            </w:r>
          </w:p>
        </w:tc>
        <w:tc>
          <w:tcPr>
            <w:tcW w:w="2091" w:type="dxa"/>
          </w:tcPr>
          <w:p w14:paraId="5D6AEEC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网线线缆</w:t>
            </w:r>
          </w:p>
        </w:tc>
        <w:tc>
          <w:tcPr>
            <w:tcW w:w="2511" w:type="dxa"/>
          </w:tcPr>
          <w:p w14:paraId="2C69F9A0">
            <w:pPr>
              <w:bidi w:val="0"/>
              <w:rPr>
                <w:rFonts w:hint="eastAsia" w:ascii="宋体" w:hAnsi="宋体" w:eastAsia="宋体" w:cs="宋体"/>
                <w:sz w:val="24"/>
                <w:szCs w:val="24"/>
                <w:lang w:val="en-US" w:eastAsia="zh-CN"/>
              </w:rPr>
            </w:pPr>
          </w:p>
        </w:tc>
        <w:tc>
          <w:tcPr>
            <w:tcW w:w="1982" w:type="dxa"/>
          </w:tcPr>
          <w:p w14:paraId="2E1AC47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6CF5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26DD8822">
            <w:pPr>
              <w:bidi w:val="0"/>
              <w:rPr>
                <w:rFonts w:hint="eastAsia" w:ascii="宋体" w:hAnsi="宋体" w:eastAsia="宋体" w:cs="宋体"/>
                <w:sz w:val="24"/>
                <w:szCs w:val="24"/>
                <w:lang w:val="en-US" w:eastAsia="zh-CN"/>
              </w:rPr>
            </w:pPr>
          </w:p>
        </w:tc>
        <w:tc>
          <w:tcPr>
            <w:tcW w:w="2091" w:type="dxa"/>
          </w:tcPr>
          <w:p w14:paraId="242DD12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相机电源线</w:t>
            </w:r>
          </w:p>
        </w:tc>
        <w:tc>
          <w:tcPr>
            <w:tcW w:w="2511" w:type="dxa"/>
          </w:tcPr>
          <w:p w14:paraId="5BF157BB">
            <w:pPr>
              <w:bidi w:val="0"/>
              <w:rPr>
                <w:rFonts w:hint="eastAsia" w:ascii="宋体" w:hAnsi="宋体" w:eastAsia="宋体" w:cs="宋体"/>
                <w:sz w:val="24"/>
                <w:szCs w:val="24"/>
                <w:lang w:val="en-US" w:eastAsia="zh-CN"/>
              </w:rPr>
            </w:pPr>
          </w:p>
        </w:tc>
        <w:tc>
          <w:tcPr>
            <w:tcW w:w="1982" w:type="dxa"/>
          </w:tcPr>
          <w:p w14:paraId="221222B6">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5BB9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6F2C5083">
            <w:pPr>
              <w:bidi w:val="0"/>
              <w:rPr>
                <w:rFonts w:hint="eastAsia" w:ascii="宋体" w:hAnsi="宋体" w:eastAsia="宋体" w:cs="宋体"/>
                <w:sz w:val="24"/>
                <w:szCs w:val="24"/>
                <w:lang w:val="en-US" w:eastAsia="zh-CN"/>
              </w:rPr>
            </w:pPr>
          </w:p>
        </w:tc>
        <w:tc>
          <w:tcPr>
            <w:tcW w:w="2091" w:type="dxa"/>
          </w:tcPr>
          <w:p w14:paraId="673AA86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信号线</w:t>
            </w:r>
          </w:p>
        </w:tc>
        <w:tc>
          <w:tcPr>
            <w:tcW w:w="2511" w:type="dxa"/>
          </w:tcPr>
          <w:p w14:paraId="25C37A89">
            <w:pPr>
              <w:bidi w:val="0"/>
              <w:rPr>
                <w:rFonts w:hint="eastAsia" w:ascii="宋体" w:hAnsi="宋体" w:eastAsia="宋体" w:cs="宋体"/>
                <w:sz w:val="24"/>
                <w:szCs w:val="24"/>
                <w:lang w:val="en-US" w:eastAsia="zh-CN"/>
              </w:rPr>
            </w:pPr>
          </w:p>
        </w:tc>
        <w:tc>
          <w:tcPr>
            <w:tcW w:w="1982" w:type="dxa"/>
          </w:tcPr>
          <w:p w14:paraId="55A3199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531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restart"/>
          </w:tcPr>
          <w:p w14:paraId="34BBB84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通信设备</w:t>
            </w:r>
          </w:p>
        </w:tc>
        <w:tc>
          <w:tcPr>
            <w:tcW w:w="2091" w:type="dxa"/>
          </w:tcPr>
          <w:p w14:paraId="23141E3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对讲机</w:t>
            </w:r>
          </w:p>
        </w:tc>
        <w:tc>
          <w:tcPr>
            <w:tcW w:w="2511" w:type="dxa"/>
          </w:tcPr>
          <w:p w14:paraId="181E8F1A">
            <w:pPr>
              <w:bidi w:val="0"/>
              <w:rPr>
                <w:rFonts w:hint="eastAsia" w:ascii="宋体" w:hAnsi="宋体" w:eastAsia="宋体" w:cs="宋体"/>
                <w:sz w:val="24"/>
                <w:szCs w:val="24"/>
                <w:lang w:val="en-US" w:eastAsia="zh-CN"/>
              </w:rPr>
            </w:pPr>
          </w:p>
        </w:tc>
        <w:tc>
          <w:tcPr>
            <w:tcW w:w="1982" w:type="dxa"/>
          </w:tcPr>
          <w:p w14:paraId="5A82FC6D">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4F13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tcPr>
          <w:p w14:paraId="292F6630">
            <w:pPr>
              <w:bidi w:val="0"/>
              <w:rPr>
                <w:rFonts w:hint="eastAsia" w:ascii="宋体" w:hAnsi="宋体" w:eastAsia="宋体" w:cs="宋体"/>
                <w:sz w:val="24"/>
                <w:szCs w:val="24"/>
                <w:lang w:val="en-US" w:eastAsia="zh-CN"/>
              </w:rPr>
            </w:pPr>
          </w:p>
        </w:tc>
        <w:tc>
          <w:tcPr>
            <w:tcW w:w="2091" w:type="dxa"/>
          </w:tcPr>
          <w:p w14:paraId="6553CDA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监视器</w:t>
            </w:r>
          </w:p>
        </w:tc>
        <w:tc>
          <w:tcPr>
            <w:tcW w:w="2511" w:type="dxa"/>
          </w:tcPr>
          <w:p w14:paraId="6ADBF029">
            <w:pPr>
              <w:bidi w:val="0"/>
              <w:rPr>
                <w:rFonts w:hint="eastAsia" w:ascii="宋体" w:hAnsi="宋体" w:eastAsia="宋体" w:cs="宋体"/>
                <w:sz w:val="24"/>
                <w:szCs w:val="24"/>
                <w:lang w:val="en-US" w:eastAsia="zh-CN"/>
              </w:rPr>
            </w:pPr>
          </w:p>
        </w:tc>
        <w:tc>
          <w:tcPr>
            <w:tcW w:w="1982" w:type="dxa"/>
          </w:tcPr>
          <w:p w14:paraId="27A1024E">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r>
      <w:tr w14:paraId="7078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935" w:type="dxa"/>
          </w:tcPr>
          <w:p w14:paraId="4A32B6F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外包装箱 </w:t>
            </w:r>
          </w:p>
        </w:tc>
        <w:tc>
          <w:tcPr>
            <w:tcW w:w="2091" w:type="dxa"/>
          </w:tcPr>
          <w:p w14:paraId="484D71A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航空箱</w:t>
            </w:r>
          </w:p>
        </w:tc>
        <w:tc>
          <w:tcPr>
            <w:tcW w:w="2511" w:type="dxa"/>
          </w:tcPr>
          <w:p w14:paraId="36DA11F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配套存储所有设备，尺寸无要求</w:t>
            </w:r>
          </w:p>
        </w:tc>
        <w:tc>
          <w:tcPr>
            <w:tcW w:w="1982" w:type="dxa"/>
          </w:tcPr>
          <w:p w14:paraId="7DE2BAE9">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适用数量</w:t>
            </w:r>
          </w:p>
        </w:tc>
      </w:tr>
    </w:tbl>
    <w:p w14:paraId="6CAE2FE1">
      <w:pPr>
        <w:bidi w:val="0"/>
        <w:rPr>
          <w:rFonts w:hint="eastAsia" w:ascii="宋体" w:hAnsi="宋体" w:eastAsia="宋体" w:cs="宋体"/>
          <w:sz w:val="24"/>
          <w:szCs w:val="24"/>
          <w:lang w:val="en-US" w:eastAsia="zh-CN"/>
        </w:rPr>
      </w:pPr>
    </w:p>
    <w:p w14:paraId="7055B00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二、软件清单</w:t>
      </w:r>
    </w:p>
    <w:tbl>
      <w:tblPr>
        <w:tblStyle w:val="24"/>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4998"/>
        <w:gridCol w:w="1222"/>
      </w:tblGrid>
      <w:tr w14:paraId="5CAC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66D9FA9A">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4998" w:type="dxa"/>
          </w:tcPr>
          <w:p w14:paraId="45884270">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功能描述</w:t>
            </w:r>
          </w:p>
        </w:tc>
        <w:tc>
          <w:tcPr>
            <w:tcW w:w="1222" w:type="dxa"/>
          </w:tcPr>
          <w:p w14:paraId="584BC7D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r>
      <w:tr w14:paraId="51C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2EBB04E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慢动作实时回放</w:t>
            </w:r>
          </w:p>
        </w:tc>
        <w:tc>
          <w:tcPr>
            <w:tcW w:w="4998" w:type="dxa"/>
          </w:tcPr>
          <w:p w14:paraId="3D77D64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可以将20路相机所采集的画面进行同步播放、暂停、快速、慢速、逐帧的播放与放大、缩小等操作。</w:t>
            </w:r>
          </w:p>
        </w:tc>
        <w:tc>
          <w:tcPr>
            <w:tcW w:w="1222" w:type="dxa"/>
          </w:tcPr>
          <w:p w14:paraId="50BD8E4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4AB4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53DC680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3D虚拟展示</w:t>
            </w:r>
          </w:p>
        </w:tc>
        <w:tc>
          <w:tcPr>
            <w:tcW w:w="4998" w:type="dxa"/>
          </w:tcPr>
          <w:p w14:paraId="642407E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规则中，当挑战项为“球的界内/界外”时，通过3D模拟模块在一个模拟球场中，设置一个球的落地点与落地方向，通过落地点与设置好的落地方向模拟出球飞落地的轨迹，以便向运动员、教练员以及全场观众播放展示。</w:t>
            </w:r>
          </w:p>
        </w:tc>
        <w:tc>
          <w:tcPr>
            <w:tcW w:w="1222" w:type="dxa"/>
          </w:tcPr>
          <w:p w14:paraId="4423E7A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6C07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44305DB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视频记录</w:t>
            </w:r>
          </w:p>
        </w:tc>
        <w:tc>
          <w:tcPr>
            <w:tcW w:w="4998" w:type="dxa"/>
          </w:tcPr>
          <w:p w14:paraId="099D572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比赛队伍提出的挑战，对挑战图像内容进行播放时，系统支持将这段视频记录下来以作备份。</w:t>
            </w:r>
          </w:p>
        </w:tc>
        <w:tc>
          <w:tcPr>
            <w:tcW w:w="1222" w:type="dxa"/>
          </w:tcPr>
          <w:p w14:paraId="6D18456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0326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6BC79A5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拓展端输出</w:t>
            </w:r>
          </w:p>
        </w:tc>
        <w:tc>
          <w:tcPr>
            <w:tcW w:w="4998" w:type="dxa"/>
          </w:tcPr>
          <w:p w14:paraId="2336F96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多路输出接口，可以输出回放画面及挑战回放画面。一路为第一裁判监视器提供回放画面，另一路为现场大屏幕或转播车提供信号输出接口输出挑战回放画面。可将≤4个相机秒级拼接后，作为一个信号投放给现场大屏幕或转播单位且相机完全同步。</w:t>
            </w:r>
          </w:p>
        </w:tc>
        <w:tc>
          <w:tcPr>
            <w:tcW w:w="1222" w:type="dxa"/>
          </w:tcPr>
          <w:p w14:paraId="572D0A79">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3D35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75" w:type="dxa"/>
          </w:tcPr>
          <w:p w14:paraId="62E47F0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状态检测与管理</w:t>
            </w:r>
          </w:p>
        </w:tc>
        <w:tc>
          <w:tcPr>
            <w:tcW w:w="4998" w:type="dxa"/>
          </w:tcPr>
          <w:p w14:paraId="11637C9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状态检测与管理模块可以检测到系统在运行中的状态是否正常，CPU、硬盘、内存等实时状态。</w:t>
            </w:r>
          </w:p>
        </w:tc>
        <w:tc>
          <w:tcPr>
            <w:tcW w:w="1222" w:type="dxa"/>
          </w:tcPr>
          <w:p w14:paraId="3358702E">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41D1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75" w:type="dxa"/>
          </w:tcPr>
          <w:p w14:paraId="105C7F6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大屏幕输出控制</w:t>
            </w:r>
          </w:p>
        </w:tc>
        <w:tc>
          <w:tcPr>
            <w:tcW w:w="4998" w:type="dxa"/>
          </w:tcPr>
          <w:p w14:paraId="3EA3988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控制输出挑战提示信息，如挑战成功或失败等信息。</w:t>
            </w:r>
          </w:p>
        </w:tc>
        <w:tc>
          <w:tcPr>
            <w:tcW w:w="1222" w:type="dxa"/>
          </w:tcPr>
          <w:p w14:paraId="55D84D2B">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bl>
    <w:p w14:paraId="7F8ADF79">
      <w:pPr>
        <w:pStyle w:val="39"/>
        <w:ind w:left="1920" w:leftChars="0" w:hanging="1920" w:hangingChars="800"/>
        <w:jc w:val="left"/>
        <w:rPr>
          <w:rFonts w:hint="eastAsia" w:cs="Times New Roman" w:asciiTheme="minorEastAsia" w:hAnsiTheme="minorEastAsia" w:eastAsiaTheme="minorEastAsia"/>
          <w:color w:val="000000"/>
          <w:sz w:val="24"/>
        </w:rPr>
      </w:pPr>
    </w:p>
    <w:bookmarkEnd w:id="27"/>
    <w:p w14:paraId="606BE007">
      <w:pPr>
        <w:rPr>
          <w:color w:val="000000"/>
        </w:rPr>
      </w:pPr>
      <w:r>
        <w:rPr>
          <w:color w:val="000000"/>
        </w:rPr>
        <w:br w:type="page"/>
      </w:r>
    </w:p>
    <w:p w14:paraId="694213F2">
      <w:pPr>
        <w:pStyle w:val="21"/>
        <w:rPr>
          <w:color w:val="000000"/>
        </w:rPr>
      </w:pPr>
      <w:bookmarkStart w:id="28" w:name="_Toc29012"/>
      <w:r>
        <w:rPr>
          <w:rFonts w:hint="eastAsia"/>
          <w:color w:val="000000"/>
        </w:rPr>
        <w:t>第四部分 评定标准</w:t>
      </w:r>
      <w:bookmarkEnd w:id="25"/>
      <w:bookmarkEnd w:id="28"/>
    </w:p>
    <w:p w14:paraId="7503B0BB">
      <w:pPr>
        <w:pStyle w:val="42"/>
        <w:numPr>
          <w:ilvl w:val="5"/>
          <w:numId w:val="5"/>
        </w:numPr>
      </w:pPr>
      <w:bookmarkStart w:id="29" w:name="_Toc25330"/>
      <w:r>
        <w:rPr>
          <w:rFonts w:hint="eastAsia"/>
        </w:rPr>
        <w:t>一、总则</w:t>
      </w:r>
      <w:bookmarkEnd w:id="29"/>
    </w:p>
    <w:p w14:paraId="55CDE0D4">
      <w:pPr>
        <w:pStyle w:val="48"/>
        <w:ind w:firstLine="480"/>
      </w:pPr>
      <w:r>
        <w:rPr>
          <w:rFonts w:hint="eastAsia"/>
        </w:rPr>
        <w:t>第一条本项目评定标准是依据《中华人民共和国政府采购法》及相应法规、文件制定本评定标准。</w:t>
      </w:r>
    </w:p>
    <w:p w14:paraId="100C8357">
      <w:pPr>
        <w:pStyle w:val="48"/>
        <w:ind w:firstLine="480"/>
      </w:pPr>
      <w:r>
        <w:rPr>
          <w:rFonts w:hint="eastAsia"/>
        </w:rPr>
        <w:t>第二条评定原则：</w:t>
      </w:r>
    </w:p>
    <w:p w14:paraId="145FC8B6">
      <w:pPr>
        <w:pStyle w:val="48"/>
        <w:numPr>
          <w:ilvl w:val="0"/>
          <w:numId w:val="6"/>
        </w:numPr>
        <w:ind w:firstLineChars="0"/>
      </w:pPr>
      <w:r>
        <w:rPr>
          <w:rFonts w:hint="eastAsia"/>
        </w:rPr>
        <w:t>公开、公正、公平。</w:t>
      </w:r>
    </w:p>
    <w:p w14:paraId="1457EE63">
      <w:pPr>
        <w:pStyle w:val="48"/>
        <w:numPr>
          <w:ilvl w:val="0"/>
          <w:numId w:val="6"/>
        </w:numPr>
        <w:ind w:firstLineChars="0"/>
      </w:pPr>
      <w:r>
        <w:rPr>
          <w:rFonts w:hint="eastAsia"/>
        </w:rPr>
        <w:t>科学、合理。</w:t>
      </w:r>
    </w:p>
    <w:p w14:paraId="2513966C">
      <w:pPr>
        <w:pStyle w:val="48"/>
        <w:numPr>
          <w:ilvl w:val="0"/>
          <w:numId w:val="6"/>
        </w:numPr>
        <w:ind w:firstLineChars="0"/>
      </w:pPr>
      <w:r>
        <w:rPr>
          <w:rFonts w:hint="eastAsia"/>
        </w:rPr>
        <w:t>反不正当竞争。</w:t>
      </w:r>
    </w:p>
    <w:p w14:paraId="686B9A4A">
      <w:pPr>
        <w:pStyle w:val="48"/>
        <w:numPr>
          <w:ilvl w:val="0"/>
          <w:numId w:val="6"/>
        </w:numPr>
        <w:ind w:firstLineChars="0"/>
      </w:pPr>
      <w:r>
        <w:rPr>
          <w:rFonts w:hint="eastAsia"/>
        </w:rPr>
        <w:t>贯彻采购单位对本项目的各项要求和原则。</w:t>
      </w:r>
    </w:p>
    <w:p w14:paraId="4415F50C">
      <w:pPr>
        <w:pStyle w:val="48"/>
        <w:ind w:firstLine="480"/>
      </w:pPr>
      <w:r>
        <w:rPr>
          <w:rFonts w:hint="eastAsia"/>
        </w:rPr>
        <w:t>第三条评定工作由专家和采购人代表组成的谈判小组承担。谈判小组由采购人的代表和有关专家共三人以上的单数组成，其中，专家的人数不少于成员总数的三分之二，采购单位工作人员不参加评定。</w:t>
      </w:r>
    </w:p>
    <w:p w14:paraId="4B49BDE8">
      <w:pPr>
        <w:pStyle w:val="42"/>
        <w:numPr>
          <w:ilvl w:val="5"/>
          <w:numId w:val="5"/>
        </w:numPr>
      </w:pPr>
      <w:bookmarkStart w:id="30" w:name="_Toc15031"/>
      <w:r>
        <w:rPr>
          <w:rFonts w:hint="eastAsia"/>
        </w:rPr>
        <w:t>二、谈判程序及说明</w:t>
      </w:r>
      <w:bookmarkEnd w:id="30"/>
    </w:p>
    <w:p w14:paraId="2A2FCC16">
      <w:pPr>
        <w:pStyle w:val="49"/>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49527711">
      <w:pPr>
        <w:pStyle w:val="49"/>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08F0FF2B">
      <w:pPr>
        <w:pStyle w:val="49"/>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14:paraId="77F180E4">
      <w:pPr>
        <w:pStyle w:val="42"/>
        <w:numPr>
          <w:ilvl w:val="5"/>
          <w:numId w:val="5"/>
        </w:numPr>
      </w:pPr>
      <w:bookmarkStart w:id="31" w:name="_Toc12930"/>
      <w:r>
        <w:rPr>
          <w:rFonts w:hint="eastAsia"/>
        </w:rPr>
        <w:t>三、评定标准</w:t>
      </w:r>
      <w:bookmarkEnd w:id="31"/>
    </w:p>
    <w:p w14:paraId="11154A1E">
      <w:pPr>
        <w:pStyle w:val="49"/>
        <w:ind w:firstLine="480"/>
      </w:pPr>
      <w:r>
        <w:rPr>
          <w:rFonts w:hint="eastAsia"/>
        </w:rPr>
        <w:t>谈判小组将从以下几个方面对报价人进行综合评定：企业纳税及社保资金缴纳情况、产品报价与交货</w:t>
      </w:r>
      <w:bookmarkStart w:id="32" w:name="_Toc115756053"/>
      <w:r>
        <w:rPr>
          <w:rFonts w:hint="eastAsia"/>
        </w:rPr>
        <w:t>期、产品质量、同类型项目业绩、售后服务承诺等。</w:t>
      </w:r>
    </w:p>
    <w:p w14:paraId="43E3A899">
      <w:pPr>
        <w:pStyle w:val="49"/>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2020</w:t>
      </w:r>
      <w:r>
        <w:rPr>
          <w:rFonts w:ascii="Times New Roman" w:hAnsi="Times New Roman" w:eastAsia="宋体" w:cs="Times New Roman"/>
          <w:color w:val="000000" w:themeColor="text1"/>
          <w14:textFill>
            <w14:solidFill>
              <w14:schemeClr w14:val="tx1"/>
            </w14:solidFill>
          </w14:textFill>
        </w:rPr>
        <w:t>〕46号</w:t>
      </w:r>
      <w:r>
        <w:rPr>
          <w:rFonts w:hint="eastAsia" w:ascii="Times New Roman" w:hAnsi="Times New Roman" w:eastAsia="宋体" w:cs="Times New Roman"/>
          <w:color w:val="000000" w:themeColor="text1"/>
          <w14:textFill>
            <w14:solidFill>
              <w14:schemeClr w14:val="tx1"/>
            </w14:solidFill>
          </w14:textFill>
        </w:rPr>
        <w:t>和《关于进一步加大政府采购支持中小企业力度的通知》</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财库〔</w:t>
      </w:r>
      <w:r>
        <w:rPr>
          <w:rFonts w:hint="eastAsia" w:ascii="Times New Roman" w:hAnsi="Times New Roman" w:eastAsia="宋体" w:cs="Times New Roman"/>
          <w:color w:val="000000" w:themeColor="text1"/>
          <w:lang w:val="en-US" w:eastAsia="zh-CN"/>
          <w14:textFill>
            <w14:solidFill>
              <w14:schemeClr w14:val="tx1"/>
            </w14:solidFill>
          </w14:textFill>
        </w:rPr>
        <w:t>2022</w:t>
      </w:r>
      <w:r>
        <w:rPr>
          <w:rFonts w:hint="eastAsia" w:ascii="Times New Roman" w:hAnsi="Times New Roman" w:eastAsia="宋体" w:cs="Times New Roman"/>
          <w:color w:val="000000" w:themeColor="text1"/>
          <w14:textFill>
            <w14:solidFill>
              <w14:schemeClr w14:val="tx1"/>
            </w14:solidFill>
          </w14:textFill>
        </w:rPr>
        <w:t>〕19号</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hint="eastAsia" w:ascii="宋体" w:hAnsi="宋体"/>
          <w:bCs/>
        </w:rPr>
        <w:t xml:space="preserve">对于非专门面向此类企业的项目，对小型和微型企业产品的价格给予 </w:t>
      </w:r>
      <w:r>
        <w:rPr>
          <w:rFonts w:ascii="宋体" w:hAnsi="宋体"/>
          <w:bCs/>
          <w:u w:val="single"/>
        </w:rPr>
        <w:t>20</w:t>
      </w:r>
      <w:r>
        <w:rPr>
          <w:rFonts w:hint="eastAsia" w:ascii="宋体" w:hAnsi="宋体"/>
          <w:bCs/>
        </w:rPr>
        <w:t>% 的扣除，用扣除后的价格参与评审。</w:t>
      </w:r>
    </w:p>
    <w:p w14:paraId="0C46B0E8">
      <w:pPr>
        <w:pStyle w:val="49"/>
        <w:ind w:firstLine="480"/>
        <w:rPr>
          <w:rFonts w:ascii="宋体" w:hAnsi="宋体"/>
          <w:bCs/>
        </w:rPr>
      </w:pPr>
      <w:r>
        <w:rPr>
          <w:rFonts w:hint="eastAsia" w:ascii="宋体" w:hAnsi="宋体"/>
          <w:bCs/>
        </w:rPr>
        <w:t>根据《财政部 民政部 中国残疾人联合会关于促进残疾人就业政府采购政策的通知》（财库</w:t>
      </w:r>
      <w:r>
        <w:rPr>
          <w:rFonts w:hint="eastAsia" w:ascii="微软雅黑" w:hAnsi="微软雅黑" w:eastAsia="微软雅黑" w:cs="微软雅黑"/>
          <w:bCs/>
          <w:lang w:eastAsia="zh-CN"/>
        </w:rPr>
        <w:t>〔</w:t>
      </w:r>
      <w:r>
        <w:rPr>
          <w:rFonts w:hint="eastAsia" w:ascii="宋体" w:hAnsi="宋体"/>
          <w:bCs/>
        </w:rPr>
        <w:t>2017</w:t>
      </w:r>
      <w:r>
        <w:rPr>
          <w:rFonts w:hint="eastAsia" w:ascii="微软雅黑" w:hAnsi="微软雅黑" w:eastAsia="微软雅黑" w:cs="微软雅黑"/>
          <w:b w:val="0"/>
          <w:bCs/>
          <w:lang w:eastAsia="zh-CN"/>
        </w:rPr>
        <w:t>〕</w:t>
      </w:r>
      <w:r>
        <w:rPr>
          <w:rFonts w:hint="eastAsia" w:ascii="宋体" w:hAnsi="宋体"/>
          <w:bCs/>
        </w:rPr>
        <w:t>141号），对于非专门面向此类企业的项目，对残疾人福利性单位产品的价格给予</w:t>
      </w:r>
      <w:r>
        <w:rPr>
          <w:rFonts w:ascii="宋体" w:hAnsi="宋体"/>
          <w:bCs/>
        </w:rPr>
        <w:t>20</w:t>
      </w:r>
      <w:r>
        <w:rPr>
          <w:rFonts w:hint="eastAsia" w:ascii="宋体" w:hAnsi="宋体"/>
          <w:bCs/>
        </w:rPr>
        <w:t>%的扣除，用扣除后的价格参与评审。</w:t>
      </w:r>
    </w:p>
    <w:p w14:paraId="736E4E7D">
      <w:pPr>
        <w:pStyle w:val="49"/>
        <w:ind w:firstLine="480"/>
        <w:rPr>
          <w:rFonts w:ascii="宋体" w:hAnsi="宋体"/>
          <w:bCs/>
        </w:rPr>
      </w:pPr>
      <w:r>
        <w:rPr>
          <w:rFonts w:hint="eastAsia" w:ascii="宋体" w:hAnsi="宋体"/>
          <w:bCs/>
        </w:rPr>
        <w:t>既符合小微型企业标准，同时也符合残疾人福利性单位的企业，价格也仅扣除一次。</w:t>
      </w:r>
    </w:p>
    <w:p w14:paraId="7D7A6278">
      <w:pPr>
        <w:pStyle w:val="49"/>
        <w:ind w:firstLine="480"/>
        <w:rPr>
          <w:rFonts w:ascii="宋体" w:hAnsi="宋体"/>
        </w:rPr>
      </w:pPr>
    </w:p>
    <w:p w14:paraId="73BA9208">
      <w:pPr>
        <w:pStyle w:val="21"/>
        <w:rPr>
          <w:color w:val="000000"/>
        </w:rPr>
      </w:pPr>
      <w:bookmarkStart w:id="33" w:name="_Toc32512"/>
      <w:r>
        <w:rPr>
          <w:rFonts w:hint="eastAsia"/>
          <w:color w:val="000000"/>
        </w:rPr>
        <w:t>第五部分报价文件格式</w:t>
      </w:r>
      <w:bookmarkEnd w:id="32"/>
      <w:bookmarkEnd w:id="33"/>
    </w:p>
    <w:p w14:paraId="2FE44ED3">
      <w:pPr>
        <w:pStyle w:val="42"/>
        <w:numPr>
          <w:ilvl w:val="5"/>
          <w:numId w:val="5"/>
        </w:numPr>
        <w:outlineLvl w:val="9"/>
        <w:rPr>
          <w:sz w:val="30"/>
        </w:rPr>
      </w:pPr>
      <w:bookmarkStart w:id="34" w:name="_Toc10837"/>
      <w:bookmarkStart w:id="35" w:name="_Toc29904228"/>
      <w:r>
        <w:rPr>
          <w:rFonts w:hint="eastAsia"/>
        </w:rPr>
        <w:t>报价人提交文件须知</w:t>
      </w:r>
      <w:bookmarkEnd w:id="34"/>
      <w:bookmarkEnd w:id="35"/>
    </w:p>
    <w:p w14:paraId="6DF7EBF0">
      <w:pPr>
        <w:pStyle w:val="48"/>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14:paraId="51C5B1CB">
      <w:pPr>
        <w:pStyle w:val="48"/>
        <w:ind w:firstLine="480"/>
        <w:rPr>
          <w:rFonts w:ascii="宋体" w:hAnsi="宋体"/>
          <w:color w:val="000000"/>
        </w:rPr>
      </w:pPr>
      <w:r>
        <w:rPr>
          <w:rFonts w:hint="eastAsia" w:ascii="宋体" w:hAnsi="宋体"/>
          <w:color w:val="000000"/>
        </w:rPr>
        <w:t>2.所附表格中要求回答的全部问题和信息都必须正面回答。</w:t>
      </w:r>
    </w:p>
    <w:p w14:paraId="6C048A2B">
      <w:pPr>
        <w:pStyle w:val="48"/>
        <w:ind w:firstLine="480"/>
        <w:rPr>
          <w:rFonts w:ascii="宋体" w:hAnsi="宋体"/>
          <w:color w:val="000000"/>
        </w:rPr>
      </w:pPr>
      <w:r>
        <w:rPr>
          <w:rFonts w:hint="eastAsia" w:ascii="宋体" w:hAnsi="宋体"/>
          <w:color w:val="000000"/>
        </w:rPr>
        <w:t>3.本资格声明的签字人应保证全部声明和问题的回答是真实的和准确的。</w:t>
      </w:r>
    </w:p>
    <w:p w14:paraId="591C5220">
      <w:pPr>
        <w:pStyle w:val="48"/>
        <w:ind w:firstLine="480"/>
        <w:rPr>
          <w:rFonts w:ascii="宋体" w:hAnsi="宋体"/>
          <w:b/>
          <w:color w:val="000000"/>
        </w:rPr>
      </w:pPr>
      <w:r>
        <w:rPr>
          <w:rFonts w:hint="eastAsia" w:ascii="宋体" w:hAnsi="宋体"/>
          <w:color w:val="000000"/>
        </w:rPr>
        <w:t>4．报价人提交的材料将被保密保存，但不退还。</w:t>
      </w:r>
    </w:p>
    <w:p w14:paraId="6F032354">
      <w:pPr>
        <w:pStyle w:val="48"/>
        <w:ind w:firstLine="480"/>
        <w:rPr>
          <w:rFonts w:ascii="宋体" w:hAnsi="宋体"/>
        </w:rPr>
      </w:pPr>
      <w:r>
        <w:rPr>
          <w:rFonts w:hint="eastAsia" w:ascii="宋体" w:hAnsi="宋体"/>
        </w:rPr>
        <w:t>5.全部文件应按报价须知中规定的语言和份数提交。</w:t>
      </w:r>
    </w:p>
    <w:p w14:paraId="004719C9">
      <w:pPr>
        <w:pStyle w:val="7"/>
        <w:numPr>
          <w:ilvl w:val="5"/>
          <w:numId w:val="5"/>
        </w:numPr>
        <w:rPr>
          <w:color w:val="000000"/>
          <w:sz w:val="28"/>
          <w:szCs w:val="28"/>
        </w:rPr>
      </w:pPr>
      <w:r>
        <w:rPr>
          <w:rFonts w:ascii="仿宋_GB2312" w:eastAsia="仿宋_GB2312"/>
          <w:color w:val="000000"/>
          <w:sz w:val="28"/>
          <w:szCs w:val="28"/>
        </w:rPr>
        <w:br w:type="page"/>
      </w:r>
      <w:bookmarkStart w:id="36" w:name="_Toc12443"/>
      <w:bookmarkStart w:id="37" w:name="_Toc115756054"/>
      <w:r>
        <w:rPr>
          <w:rFonts w:hint="eastAsia"/>
          <w:color w:val="000000"/>
          <w:sz w:val="28"/>
          <w:szCs w:val="28"/>
        </w:rPr>
        <w:t>附件1：封面</w:t>
      </w:r>
      <w:bookmarkEnd w:id="36"/>
      <w:bookmarkEnd w:id="37"/>
    </w:p>
    <w:p w14:paraId="73AF1694">
      <w:pPr>
        <w:pStyle w:val="52"/>
        <w:spacing w:line="500" w:lineRule="exact"/>
        <w:jc w:val="both"/>
        <w:rPr>
          <w:rFonts w:ascii="宋体" w:hAnsi="宋体"/>
          <w:b/>
          <w:color w:val="000000"/>
          <w:sz w:val="24"/>
        </w:rPr>
      </w:pPr>
    </w:p>
    <w:p w14:paraId="43936ABC">
      <w:pPr>
        <w:pStyle w:val="52"/>
        <w:spacing w:line="500" w:lineRule="exact"/>
        <w:rPr>
          <w:rFonts w:ascii="宋体" w:hAnsi="宋体"/>
          <w:b/>
          <w:color w:val="000000"/>
          <w:sz w:val="24"/>
        </w:rPr>
      </w:pPr>
    </w:p>
    <w:p w14:paraId="63366FA5">
      <w:pPr>
        <w:pStyle w:val="52"/>
        <w:rPr>
          <w:rFonts w:ascii="宋体" w:hAnsi="宋体"/>
          <w:b/>
          <w:color w:val="000000"/>
          <w:sz w:val="24"/>
        </w:rPr>
      </w:pPr>
    </w:p>
    <w:p w14:paraId="06CCC689">
      <w:pPr>
        <w:pStyle w:val="52"/>
        <w:rPr>
          <w:rFonts w:ascii="宋体" w:hAnsi="宋体"/>
          <w:b/>
          <w:color w:val="000000"/>
          <w:sz w:val="72"/>
        </w:rPr>
      </w:pPr>
      <w:r>
        <w:rPr>
          <w:rFonts w:hint="eastAsia" w:ascii="宋体" w:hAnsi="宋体"/>
          <w:b/>
          <w:color w:val="000000"/>
          <w:sz w:val="72"/>
        </w:rPr>
        <w:t>报价文件</w:t>
      </w:r>
    </w:p>
    <w:p w14:paraId="38F5A2CD">
      <w:pPr>
        <w:pStyle w:val="52"/>
        <w:spacing w:line="500" w:lineRule="exact"/>
        <w:jc w:val="both"/>
        <w:rPr>
          <w:rFonts w:ascii="宋体" w:hAnsi="宋体"/>
          <w:b/>
          <w:color w:val="000000"/>
          <w:sz w:val="24"/>
        </w:rPr>
      </w:pPr>
    </w:p>
    <w:p w14:paraId="0B8C6443">
      <w:pPr>
        <w:pStyle w:val="52"/>
        <w:spacing w:line="500" w:lineRule="exact"/>
        <w:jc w:val="both"/>
        <w:rPr>
          <w:rFonts w:ascii="宋体" w:hAnsi="宋体"/>
          <w:b/>
          <w:color w:val="000000"/>
          <w:sz w:val="24"/>
        </w:rPr>
      </w:pPr>
    </w:p>
    <w:p w14:paraId="048E0443">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14:paraId="4FCB8579">
      <w:pPr>
        <w:pStyle w:val="52"/>
        <w:spacing w:after="0" w:line="360" w:lineRule="auto"/>
        <w:ind w:firstLine="1687" w:firstLineChars="600"/>
        <w:jc w:val="both"/>
        <w:rPr>
          <w:rFonts w:hint="eastAsia" w:ascii="宋体" w:hAnsi="宋体"/>
          <w:b/>
          <w:color w:val="000000"/>
          <w:sz w:val="28"/>
          <w:szCs w:val="28"/>
        </w:rPr>
      </w:pPr>
      <w:r>
        <w:rPr>
          <w:rFonts w:hint="eastAsia" w:ascii="宋体" w:hAnsi="宋体"/>
          <w:b/>
          <w:color w:val="000000"/>
          <w:sz w:val="28"/>
          <w:szCs w:val="28"/>
        </w:rPr>
        <w:t>项目编号：</w:t>
      </w:r>
    </w:p>
    <w:p w14:paraId="545B4F4A">
      <w:pPr>
        <w:pStyle w:val="50"/>
        <w:spacing w:line="500" w:lineRule="exact"/>
        <w:rPr>
          <w:rFonts w:ascii="宋体" w:hAnsi="宋体"/>
          <w:b/>
          <w:color w:val="000000"/>
        </w:rPr>
      </w:pPr>
    </w:p>
    <w:p w14:paraId="7ABE8B3F">
      <w:pPr>
        <w:pStyle w:val="50"/>
        <w:spacing w:line="360" w:lineRule="auto"/>
        <w:rPr>
          <w:rFonts w:ascii="宋体" w:hAnsi="宋体"/>
          <w:color w:val="000000"/>
          <w:sz w:val="28"/>
          <w:u w:val="single"/>
        </w:rPr>
      </w:pPr>
      <w:r>
        <w:rPr>
          <w:rFonts w:hint="eastAsia" w:ascii="宋体" w:hAnsi="宋体"/>
          <w:color w:val="000000"/>
          <w:sz w:val="28"/>
        </w:rPr>
        <w:t>报价人全称：</w:t>
      </w:r>
    </w:p>
    <w:p w14:paraId="685D6FEA">
      <w:pPr>
        <w:pStyle w:val="50"/>
        <w:spacing w:line="360" w:lineRule="auto"/>
        <w:rPr>
          <w:rFonts w:ascii="宋体" w:hAnsi="宋体"/>
          <w:color w:val="000000"/>
          <w:sz w:val="28"/>
        </w:rPr>
      </w:pPr>
      <w:r>
        <w:rPr>
          <w:rFonts w:hint="eastAsia" w:ascii="宋体" w:hAnsi="宋体"/>
          <w:color w:val="000000"/>
          <w:sz w:val="28"/>
        </w:rPr>
        <w:t>（盖章）</w:t>
      </w:r>
    </w:p>
    <w:p w14:paraId="72F108AD">
      <w:pPr>
        <w:pStyle w:val="50"/>
        <w:spacing w:line="360" w:lineRule="auto"/>
        <w:rPr>
          <w:rFonts w:ascii="宋体" w:hAnsi="宋体"/>
          <w:color w:val="000000"/>
          <w:sz w:val="28"/>
          <w:u w:val="single"/>
        </w:rPr>
      </w:pPr>
      <w:r>
        <w:rPr>
          <w:rFonts w:hint="eastAsia" w:ascii="宋体" w:hAnsi="宋体"/>
          <w:color w:val="000000"/>
          <w:sz w:val="28"/>
        </w:rPr>
        <w:t>法人代表：</w:t>
      </w:r>
    </w:p>
    <w:p w14:paraId="441FB4AA">
      <w:pPr>
        <w:pStyle w:val="50"/>
        <w:spacing w:line="360" w:lineRule="auto"/>
        <w:rPr>
          <w:rFonts w:ascii="宋体" w:hAnsi="宋体"/>
          <w:color w:val="000000"/>
          <w:sz w:val="28"/>
        </w:rPr>
      </w:pPr>
      <w:r>
        <w:rPr>
          <w:rFonts w:hint="eastAsia" w:ascii="宋体" w:hAnsi="宋体"/>
          <w:color w:val="000000"/>
          <w:sz w:val="28"/>
        </w:rPr>
        <w:t>（签 字）</w:t>
      </w:r>
    </w:p>
    <w:p w14:paraId="3EFC8802">
      <w:pPr>
        <w:pStyle w:val="50"/>
        <w:spacing w:line="360" w:lineRule="auto"/>
        <w:rPr>
          <w:rFonts w:ascii="宋体" w:hAnsi="宋体"/>
          <w:color w:val="000000"/>
          <w:sz w:val="28"/>
          <w:u w:val="single"/>
        </w:rPr>
      </w:pPr>
      <w:r>
        <w:rPr>
          <w:rFonts w:hint="eastAsia" w:ascii="宋体" w:hAnsi="宋体"/>
          <w:color w:val="000000"/>
          <w:sz w:val="28"/>
        </w:rPr>
        <w:t>授权代表：</w:t>
      </w:r>
    </w:p>
    <w:p w14:paraId="1B1180BA">
      <w:pPr>
        <w:pStyle w:val="50"/>
        <w:spacing w:line="360" w:lineRule="auto"/>
        <w:rPr>
          <w:rFonts w:ascii="宋体" w:hAnsi="宋体"/>
          <w:color w:val="000000"/>
          <w:sz w:val="28"/>
        </w:rPr>
      </w:pPr>
      <w:r>
        <w:rPr>
          <w:rFonts w:hint="eastAsia" w:ascii="宋体" w:hAnsi="宋体"/>
          <w:color w:val="000000"/>
          <w:sz w:val="28"/>
        </w:rPr>
        <w:t>（签 字）</w:t>
      </w:r>
    </w:p>
    <w:p w14:paraId="6CB23062">
      <w:pPr>
        <w:pStyle w:val="50"/>
        <w:spacing w:line="360" w:lineRule="auto"/>
        <w:rPr>
          <w:rFonts w:ascii="宋体" w:hAnsi="宋体"/>
          <w:color w:val="000000"/>
          <w:sz w:val="28"/>
        </w:rPr>
      </w:pPr>
      <w:r>
        <w:rPr>
          <w:rFonts w:hint="eastAsia" w:ascii="宋体" w:hAnsi="宋体"/>
          <w:color w:val="000000"/>
          <w:sz w:val="28"/>
        </w:rPr>
        <w:t>报价时间：</w:t>
      </w:r>
    </w:p>
    <w:p w14:paraId="4C363C12">
      <w:pPr>
        <w:pStyle w:val="50"/>
        <w:spacing w:line="360" w:lineRule="auto"/>
        <w:rPr>
          <w:rFonts w:ascii="宋体" w:hAnsi="宋体"/>
          <w:color w:val="000000"/>
          <w:sz w:val="28"/>
          <w:u w:val="single"/>
        </w:rPr>
      </w:pPr>
      <w:r>
        <w:rPr>
          <w:rFonts w:hint="eastAsia" w:ascii="宋体" w:hAnsi="宋体"/>
          <w:color w:val="000000"/>
          <w:sz w:val="28"/>
        </w:rPr>
        <w:t>报价人地址：</w:t>
      </w:r>
    </w:p>
    <w:p w14:paraId="2CFA06C5">
      <w:pPr>
        <w:spacing w:line="360" w:lineRule="auto"/>
        <w:rPr>
          <w:rFonts w:hint="eastAsia" w:ascii="宋体" w:hAnsi="宋体"/>
          <w:color w:val="000000"/>
          <w:sz w:val="28"/>
        </w:rPr>
      </w:pPr>
      <w:r>
        <w:rPr>
          <w:rFonts w:hint="eastAsia" w:ascii="宋体" w:hAnsi="宋体"/>
          <w:color w:val="000000"/>
          <w:sz w:val="28"/>
        </w:rPr>
        <w:t>联系电话：</w:t>
      </w:r>
      <w:bookmarkStart w:id="38" w:name="_Toc132786437"/>
    </w:p>
    <w:p w14:paraId="608C2A7C">
      <w:pPr>
        <w:rPr>
          <w:rFonts w:hint="eastAsia" w:ascii="宋体" w:hAnsi="宋体"/>
          <w:color w:val="000000"/>
          <w:sz w:val="28"/>
        </w:rPr>
      </w:pPr>
      <w:r>
        <w:rPr>
          <w:rFonts w:hint="eastAsia" w:ascii="宋体" w:hAnsi="宋体"/>
          <w:color w:val="000000"/>
          <w:sz w:val="28"/>
        </w:rPr>
        <w:br w:type="page"/>
      </w:r>
    </w:p>
    <w:p w14:paraId="618949A1">
      <w:pPr>
        <w:pStyle w:val="7"/>
        <w:numPr>
          <w:ilvl w:val="5"/>
          <w:numId w:val="5"/>
        </w:numPr>
        <w:jc w:val="both"/>
        <w:rPr>
          <w:color w:val="000000"/>
          <w:sz w:val="28"/>
          <w:szCs w:val="28"/>
        </w:rPr>
      </w:pPr>
      <w:bookmarkStart w:id="39" w:name="_Toc5359"/>
      <w:r>
        <w:rPr>
          <w:rFonts w:hint="eastAsia"/>
          <w:color w:val="000000"/>
          <w:sz w:val="28"/>
          <w:szCs w:val="28"/>
        </w:rPr>
        <w:t>附件2：法定代表人证明书</w:t>
      </w:r>
      <w:bookmarkEnd w:id="38"/>
      <w:bookmarkEnd w:id="39"/>
    </w:p>
    <w:p w14:paraId="33AAFBFA">
      <w:pPr>
        <w:spacing w:line="360" w:lineRule="auto"/>
        <w:rPr>
          <w:rFonts w:ascii="宋体" w:hAnsi="宋体"/>
          <w:color w:val="000000"/>
          <w:sz w:val="24"/>
        </w:rPr>
      </w:pPr>
      <w:r>
        <w:rPr>
          <w:rFonts w:hint="eastAsia" w:ascii="宋体" w:hAnsi="宋体"/>
          <w:color w:val="000000"/>
          <w:sz w:val="24"/>
        </w:rPr>
        <w:t>国家体育总局体育器材装备中心：</w:t>
      </w:r>
    </w:p>
    <w:p w14:paraId="2EA47CF2">
      <w:pPr>
        <w:spacing w:line="500" w:lineRule="exact"/>
        <w:ind w:firstLine="2652" w:firstLineChars="1105"/>
        <w:rPr>
          <w:color w:val="000000"/>
          <w:sz w:val="24"/>
        </w:rPr>
      </w:pPr>
      <w:r>
        <w:rPr>
          <w:color w:val="000000"/>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235585</wp:posOffset>
                </wp:positionV>
                <wp:extent cx="1028700" cy="0"/>
                <wp:effectExtent l="0" t="0" r="0" b="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55pt;height:0pt;width:81pt;z-index:251659264;mso-width-relative:page;mso-height-relative:page;" filled="f" stroked="t" coordsize="21600,21600" o:gfxdata="UEsDBAoAAAAAAIdO4kAAAAAAAAAAAAAAAAAEAAAAZHJzL1BLAwQUAAAACACHTuJAzpFHS9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R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pFHS9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6871ABC9">
      <w:pPr>
        <w:spacing w:line="500" w:lineRule="exact"/>
        <w:rPr>
          <w:color w:val="000000"/>
          <w:sz w:val="24"/>
        </w:rPr>
      </w:pPr>
      <w:r>
        <w:rPr>
          <w:color w:val="000000"/>
          <w:sz w:val="24"/>
        </w:rPr>
        <w:t>特此证明。</w:t>
      </w:r>
    </w:p>
    <w:p w14:paraId="08952498">
      <w:pPr>
        <w:spacing w:line="500" w:lineRule="exact"/>
        <w:ind w:firstLine="720" w:firstLineChars="300"/>
        <w:rPr>
          <w:color w:val="000000"/>
          <w:sz w:val="24"/>
        </w:rPr>
      </w:pPr>
    </w:p>
    <w:p w14:paraId="04C35F53">
      <w:pPr>
        <w:spacing w:line="500" w:lineRule="exact"/>
        <w:rPr>
          <w:color w:val="000000"/>
          <w:sz w:val="24"/>
        </w:rPr>
      </w:pPr>
      <w:r>
        <w:rPr>
          <w:rFonts w:hint="eastAsia"/>
          <w:color w:val="000000"/>
          <w:sz w:val="24"/>
        </w:rPr>
        <w:t>法定代表人住址：法定代表人身份证号：（身份证复印件附后）</w:t>
      </w:r>
    </w:p>
    <w:p w14:paraId="123827A5">
      <w:pPr>
        <w:spacing w:line="500" w:lineRule="exact"/>
        <w:rPr>
          <w:color w:val="000000"/>
          <w:sz w:val="24"/>
        </w:rPr>
      </w:pPr>
      <w:r>
        <w:rPr>
          <w:rFonts w:hint="eastAsia"/>
          <w:color w:val="000000"/>
          <w:sz w:val="24"/>
        </w:rPr>
        <w:t>法定代表人电话：</w:t>
      </w:r>
    </w:p>
    <w:p w14:paraId="3580CD7E">
      <w:pPr>
        <w:spacing w:line="500" w:lineRule="exact"/>
        <w:rPr>
          <w:rFonts w:ascii="宋体" w:hAnsi="宋体"/>
          <w:color w:val="000000"/>
          <w:sz w:val="24"/>
          <w:u w:val="single"/>
        </w:rPr>
      </w:pPr>
      <w:r>
        <w:rPr>
          <w:rFonts w:hint="eastAsia" w:ascii="宋体" w:hAnsi="宋体"/>
          <w:color w:val="000000"/>
          <w:sz w:val="24"/>
        </w:rPr>
        <w:t>报价人全称（公章）：</w:t>
      </w:r>
    </w:p>
    <w:p w14:paraId="754982DE">
      <w:pPr>
        <w:spacing w:line="500" w:lineRule="exact"/>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lang w:val="en-US" w:eastAsia="zh-CN"/>
        </w:rPr>
        <w:t xml:space="preserve">  </w:t>
      </w:r>
      <w:r>
        <w:rPr>
          <w:rFonts w:hint="eastAsia" w:ascii="宋体" w:hAnsi="宋体"/>
          <w:color w:val="000000"/>
          <w:sz w:val="24"/>
        </w:rPr>
        <w:t xml:space="preserve">  年  </w:t>
      </w:r>
      <w:r>
        <w:rPr>
          <w:rFonts w:hint="eastAsia" w:ascii="宋体" w:hAnsi="宋体"/>
          <w:color w:val="000000"/>
          <w:sz w:val="24"/>
          <w:lang w:val="en-US" w:eastAsia="zh-CN"/>
        </w:rPr>
        <w:t xml:space="preserve"> </w:t>
      </w:r>
      <w:r>
        <w:rPr>
          <w:rFonts w:hint="eastAsia" w:ascii="宋体" w:hAnsi="宋体"/>
          <w:color w:val="000000"/>
          <w:sz w:val="24"/>
        </w:rPr>
        <w:t xml:space="preserve"> 月 </w:t>
      </w:r>
      <w:r>
        <w:rPr>
          <w:rFonts w:hint="eastAsia" w:ascii="宋体" w:hAnsi="宋体"/>
          <w:color w:val="000000"/>
          <w:sz w:val="24"/>
          <w:lang w:val="en-US" w:eastAsia="zh-CN"/>
        </w:rPr>
        <w:t xml:space="preserve">  </w:t>
      </w:r>
      <w:r>
        <w:rPr>
          <w:rFonts w:hint="eastAsia" w:ascii="宋体" w:hAnsi="宋体"/>
          <w:color w:val="000000"/>
          <w:sz w:val="24"/>
        </w:rPr>
        <w:t xml:space="preserve"> 日</w:t>
      </w:r>
    </w:p>
    <w:p w14:paraId="7D8E4F14">
      <w:pPr>
        <w:rPr>
          <w:rFonts w:hint="eastAsia" w:ascii="宋体" w:hAnsi="宋体"/>
          <w:color w:val="000000"/>
          <w:sz w:val="24"/>
        </w:rPr>
      </w:pPr>
      <w:r>
        <w:rPr>
          <w:rFonts w:hint="eastAsia" w:ascii="宋体" w:hAnsi="宋体"/>
          <w:color w:val="000000"/>
          <w:sz w:val="24"/>
        </w:rPr>
        <w:br w:type="page"/>
      </w:r>
    </w:p>
    <w:p w14:paraId="2490685A">
      <w:pPr>
        <w:pStyle w:val="7"/>
        <w:numPr>
          <w:ilvl w:val="5"/>
          <w:numId w:val="5"/>
        </w:numPr>
        <w:jc w:val="both"/>
        <w:rPr>
          <w:rFonts w:ascii="宋体" w:hAnsi="宋体"/>
          <w:color w:val="000000"/>
          <w:sz w:val="24"/>
        </w:rPr>
      </w:pPr>
      <w:bookmarkStart w:id="40" w:name="_Toc132786438"/>
      <w:bookmarkStart w:id="41" w:name="_Toc4784"/>
      <w:r>
        <w:rPr>
          <w:rFonts w:hint="eastAsia"/>
          <w:color w:val="000000"/>
          <w:sz w:val="28"/>
          <w:szCs w:val="28"/>
        </w:rPr>
        <w:t>附件3：法定代表人的授权委托书</w:t>
      </w:r>
      <w:bookmarkEnd w:id="40"/>
      <w:bookmarkStart w:id="42" w:name="_Toc29904232"/>
      <w:r>
        <w:rPr>
          <w:rFonts w:hint="eastAsia" w:ascii="宋体" w:hAnsi="宋体"/>
          <w:color w:val="000000"/>
          <w:sz w:val="28"/>
          <w:szCs w:val="28"/>
        </w:rPr>
        <w:t>（如非法定代表人亲自参与谈判时提供，加盖单位公章）</w:t>
      </w:r>
      <w:bookmarkEnd w:id="41"/>
      <w:bookmarkEnd w:id="42"/>
    </w:p>
    <w:p w14:paraId="3D8220A4">
      <w:pPr>
        <w:spacing w:line="500" w:lineRule="exact"/>
        <w:rPr>
          <w:rFonts w:hint="eastAsia" w:ascii="宋体" w:hAnsi="宋体"/>
          <w:color w:val="000000"/>
          <w:sz w:val="24"/>
        </w:rPr>
      </w:pPr>
    </w:p>
    <w:p w14:paraId="7FC3B76E">
      <w:pPr>
        <w:spacing w:line="500" w:lineRule="exact"/>
        <w:rPr>
          <w:rFonts w:ascii="宋体" w:hAnsi="宋体"/>
          <w:color w:val="000000"/>
          <w:sz w:val="24"/>
        </w:rPr>
      </w:pPr>
      <w:r>
        <w:rPr>
          <w:rFonts w:hint="eastAsia" w:ascii="宋体" w:hAnsi="宋体"/>
          <w:color w:val="000000"/>
          <w:sz w:val="24"/>
        </w:rPr>
        <w:t>国家体育总局体育器材装备中心：</w:t>
      </w:r>
    </w:p>
    <w:p w14:paraId="19954790">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14:paraId="549991E0">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项目，采购编号：，以本公司名义参加竞争性谈判。谈判代表在报价、谈判过程中签署的一切文件及成交后签定的采购合同，以及处理与之有关的一切事务，我公司均予以承认。授权代表无转委托权。</w:t>
      </w:r>
    </w:p>
    <w:p w14:paraId="1F5BAAA0">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w:t>
      </w:r>
      <w:r>
        <w:rPr>
          <w:rFonts w:hint="eastAsia" w:ascii="宋体" w:hAnsi="宋体"/>
          <w:color w:val="000000"/>
          <w:sz w:val="24"/>
          <w:lang w:val="en-US" w:eastAsia="zh-CN"/>
        </w:rPr>
        <w:t xml:space="preserve">  </w:t>
      </w:r>
      <w:r>
        <w:rPr>
          <w:rFonts w:hint="eastAsia" w:ascii="宋体" w:hAnsi="宋体"/>
          <w:color w:val="000000"/>
          <w:sz w:val="24"/>
        </w:rPr>
        <w:t xml:space="preserve"> 月  </w:t>
      </w:r>
      <w:r>
        <w:rPr>
          <w:rFonts w:hint="eastAsia" w:ascii="宋体" w:hAnsi="宋体"/>
          <w:color w:val="000000"/>
          <w:sz w:val="24"/>
          <w:lang w:val="en-US" w:eastAsia="zh-CN"/>
        </w:rPr>
        <w:t xml:space="preserve">  </w:t>
      </w:r>
      <w:r>
        <w:rPr>
          <w:rFonts w:hint="eastAsia" w:ascii="宋体" w:hAnsi="宋体"/>
          <w:color w:val="000000"/>
          <w:sz w:val="24"/>
        </w:rPr>
        <w:t>日签字生效，特此声明。</w:t>
      </w:r>
    </w:p>
    <w:p w14:paraId="50FD7567">
      <w:pPr>
        <w:spacing w:line="500" w:lineRule="exact"/>
        <w:rPr>
          <w:rFonts w:ascii="宋体" w:hAnsi="宋体"/>
          <w:color w:val="000000"/>
          <w:sz w:val="24"/>
        </w:rPr>
      </w:pPr>
    </w:p>
    <w:p w14:paraId="0AABFF2F">
      <w:pPr>
        <w:spacing w:line="500" w:lineRule="exact"/>
        <w:rPr>
          <w:rFonts w:ascii="宋体" w:hAnsi="宋体"/>
          <w:color w:val="000000"/>
          <w:sz w:val="24"/>
        </w:rPr>
      </w:pPr>
    </w:p>
    <w:p w14:paraId="7B01D627">
      <w:pPr>
        <w:spacing w:line="500" w:lineRule="exact"/>
        <w:rPr>
          <w:rFonts w:ascii="宋体" w:hAnsi="宋体"/>
          <w:color w:val="000000"/>
          <w:sz w:val="24"/>
          <w:u w:val="single"/>
        </w:rPr>
      </w:pPr>
      <w:r>
        <w:rPr>
          <w:rFonts w:hint="eastAsia" w:ascii="宋体" w:hAnsi="宋体"/>
          <w:color w:val="000000"/>
          <w:sz w:val="24"/>
        </w:rPr>
        <w:t>法定代表人印刷体姓名：  签字：</w:t>
      </w:r>
    </w:p>
    <w:p w14:paraId="5046E29B">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14:paraId="7FC3DF33">
      <w:pPr>
        <w:spacing w:line="500" w:lineRule="exact"/>
        <w:rPr>
          <w:rFonts w:ascii="宋体" w:hAnsi="宋体"/>
          <w:color w:val="000000"/>
          <w:sz w:val="24"/>
        </w:rPr>
      </w:pPr>
      <w:r>
        <w:rPr>
          <w:rFonts w:hint="eastAsia" w:ascii="宋体" w:hAnsi="宋体"/>
          <w:color w:val="000000"/>
          <w:sz w:val="24"/>
        </w:rPr>
        <w:t>报价人代表身份证号：（身份证复印件附后）</w:t>
      </w:r>
    </w:p>
    <w:p w14:paraId="15991361">
      <w:pPr>
        <w:spacing w:line="500" w:lineRule="exact"/>
        <w:rPr>
          <w:rFonts w:hint="eastAsia" w:ascii="宋体" w:hAnsi="宋体"/>
          <w:color w:val="000000"/>
          <w:sz w:val="24"/>
        </w:rPr>
      </w:pPr>
      <w:r>
        <w:rPr>
          <w:rFonts w:hint="eastAsia" w:ascii="宋体" w:hAnsi="宋体"/>
          <w:color w:val="000000"/>
          <w:sz w:val="24"/>
        </w:rPr>
        <w:t>报价人全称（公章）：</w:t>
      </w:r>
    </w:p>
    <w:p w14:paraId="2E62387E">
      <w:pPr>
        <w:rPr>
          <w:rFonts w:hint="eastAsia" w:ascii="宋体" w:hAnsi="宋体"/>
          <w:color w:val="000000"/>
          <w:sz w:val="24"/>
        </w:rPr>
      </w:pPr>
      <w:r>
        <w:rPr>
          <w:rFonts w:hint="eastAsia" w:ascii="宋体" w:hAnsi="宋体"/>
          <w:color w:val="000000"/>
          <w:sz w:val="24"/>
        </w:rPr>
        <w:br w:type="page"/>
      </w:r>
    </w:p>
    <w:p w14:paraId="4EF0A3EC">
      <w:pPr>
        <w:pStyle w:val="7"/>
        <w:numPr>
          <w:ilvl w:val="5"/>
          <w:numId w:val="5"/>
        </w:numPr>
        <w:jc w:val="both"/>
        <w:rPr>
          <w:color w:val="000000"/>
          <w:sz w:val="28"/>
          <w:szCs w:val="28"/>
        </w:rPr>
      </w:pPr>
      <w:bookmarkStart w:id="43" w:name="_Toc132786448"/>
      <w:bookmarkStart w:id="44" w:name="_Toc10405"/>
      <w:r>
        <w:rPr>
          <w:rFonts w:hint="eastAsia"/>
          <w:color w:val="000000"/>
          <w:sz w:val="28"/>
          <w:szCs w:val="28"/>
        </w:rPr>
        <w:t>附件4：产品报价明细表</w:t>
      </w:r>
      <w:bookmarkEnd w:id="43"/>
      <w:bookmarkEnd w:id="44"/>
    </w:p>
    <w:p w14:paraId="7A747A36">
      <w:pPr>
        <w:rPr>
          <w:color w:val="000000"/>
          <w:sz w:val="24"/>
        </w:rPr>
      </w:pPr>
      <w:r>
        <w:rPr>
          <w:rFonts w:hint="eastAsia"/>
          <w:color w:val="000000"/>
          <w:sz w:val="24"/>
        </w:rPr>
        <w:t>项目名称：</w:t>
      </w:r>
    </w:p>
    <w:p w14:paraId="691C3F2B">
      <w:pPr>
        <w:rPr>
          <w:color w:val="000000"/>
          <w:sz w:val="24"/>
        </w:rPr>
      </w:pPr>
      <w:r>
        <w:rPr>
          <w:rFonts w:hint="eastAsia"/>
          <w:color w:val="000000"/>
          <w:sz w:val="24"/>
        </w:rPr>
        <w:t>采购编号：</w:t>
      </w:r>
    </w:p>
    <w:p w14:paraId="585CFE20">
      <w:pPr>
        <w:rPr>
          <w:color w:val="000000"/>
          <w:sz w:val="24"/>
        </w:rPr>
      </w:pPr>
      <w:r>
        <w:rPr>
          <w:rFonts w:hint="eastAsia"/>
          <w:color w:val="000000"/>
          <w:sz w:val="24"/>
        </w:rPr>
        <w:t>包号：</w:t>
      </w:r>
    </w:p>
    <w:p w14:paraId="316BAF8C">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14:paraId="5D8FF9DA">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29E3CC6D">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14:paraId="46A43B21">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14:paraId="2029B994">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14:paraId="78C2CDB5">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14:paraId="221C2BC0">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14:paraId="08EC2855">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14:paraId="252A4DB0">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14:paraId="1DDF22C6">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14:paraId="094D9C6F">
            <w:pPr>
              <w:autoSpaceDE w:val="0"/>
              <w:autoSpaceDN w:val="0"/>
              <w:jc w:val="center"/>
              <w:rPr>
                <w:rFonts w:ascii="宋体" w:hAnsi="宋体"/>
                <w:color w:val="000000"/>
                <w:sz w:val="24"/>
              </w:rPr>
            </w:pPr>
            <w:r>
              <w:rPr>
                <w:rFonts w:hint="eastAsia" w:ascii="宋体" w:hAnsi="宋体"/>
                <w:color w:val="000000"/>
                <w:sz w:val="24"/>
              </w:rPr>
              <w:t>备注</w:t>
            </w:r>
          </w:p>
        </w:tc>
      </w:tr>
      <w:tr w14:paraId="42B1FECA">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6D4EE474">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2E907A64">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0C4F8FE2">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1F292EE0">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10E2A354">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8EF89A3">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B7C90BB">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0A658B64">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5998A0F2">
            <w:pPr>
              <w:autoSpaceDE w:val="0"/>
              <w:autoSpaceDN w:val="0"/>
              <w:jc w:val="center"/>
              <w:rPr>
                <w:rFonts w:ascii="宋体" w:hAnsi="宋体"/>
                <w:color w:val="000000"/>
                <w:sz w:val="24"/>
              </w:rPr>
            </w:pPr>
          </w:p>
        </w:tc>
      </w:tr>
      <w:tr w14:paraId="4E2D20AC">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11AD410E">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5FE1303B">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0F8F2B20">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6F355813">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1E8C54F9">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656C527">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5B326BC">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4B50017">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6BDD8EBF">
            <w:pPr>
              <w:autoSpaceDE w:val="0"/>
              <w:autoSpaceDN w:val="0"/>
              <w:jc w:val="center"/>
              <w:rPr>
                <w:rFonts w:ascii="宋体" w:hAnsi="宋体"/>
                <w:color w:val="000000"/>
                <w:sz w:val="24"/>
              </w:rPr>
            </w:pPr>
          </w:p>
        </w:tc>
      </w:tr>
      <w:tr w14:paraId="7B708928">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5BE20826">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492583FB">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317B43D1">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5CE0EA9F">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6C622248">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2C1B42E">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DFE3D4A">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02567C41">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79A025B">
            <w:pPr>
              <w:autoSpaceDE w:val="0"/>
              <w:autoSpaceDN w:val="0"/>
              <w:jc w:val="center"/>
              <w:rPr>
                <w:rFonts w:ascii="宋体" w:hAnsi="宋体"/>
                <w:color w:val="000000"/>
                <w:sz w:val="24"/>
              </w:rPr>
            </w:pPr>
          </w:p>
        </w:tc>
      </w:tr>
      <w:tr w14:paraId="56A27CBD">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63C5066B">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2CEDC03B">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574F4EFF">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29F7909A">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1DB5CFD3">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14558FF">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351EC4BD">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9C78599">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336390DB">
            <w:pPr>
              <w:autoSpaceDE w:val="0"/>
              <w:autoSpaceDN w:val="0"/>
              <w:jc w:val="center"/>
              <w:rPr>
                <w:rFonts w:ascii="宋体" w:hAnsi="宋体"/>
                <w:color w:val="000000"/>
                <w:sz w:val="24"/>
              </w:rPr>
            </w:pPr>
          </w:p>
        </w:tc>
      </w:tr>
    </w:tbl>
    <w:p w14:paraId="5261ACF2">
      <w:pPr>
        <w:spacing w:line="360" w:lineRule="auto"/>
        <w:ind w:firstLine="240" w:firstLineChars="100"/>
        <w:rPr>
          <w:rFonts w:hint="eastAsia" w:ascii="宋体" w:hAnsi="宋体"/>
          <w:color w:val="000000"/>
          <w:sz w:val="24"/>
        </w:rPr>
      </w:pPr>
    </w:p>
    <w:p w14:paraId="038A14D2">
      <w:pPr>
        <w:spacing w:line="360" w:lineRule="auto"/>
        <w:ind w:firstLine="240" w:firstLineChars="100"/>
        <w:rPr>
          <w:color w:val="000000"/>
          <w:sz w:val="24"/>
          <w:u w:val="single"/>
        </w:rPr>
      </w:pPr>
      <w:r>
        <w:rPr>
          <w:rFonts w:hint="eastAsia" w:ascii="宋体" w:hAnsi="宋体"/>
          <w:color w:val="000000"/>
          <w:sz w:val="24"/>
        </w:rPr>
        <w:t>总计：人民币</w:t>
      </w:r>
    </w:p>
    <w:p w14:paraId="61FE9915">
      <w:pPr>
        <w:spacing w:line="360" w:lineRule="auto"/>
        <w:ind w:firstLine="240" w:firstLineChars="100"/>
        <w:rPr>
          <w:rFonts w:hint="eastAsia" w:ascii="宋体" w:hAnsi="宋体"/>
          <w:color w:val="000000"/>
          <w:sz w:val="24"/>
        </w:rPr>
      </w:pPr>
      <w:r>
        <w:rPr>
          <w:rFonts w:hint="eastAsia" w:ascii="宋体" w:hAnsi="宋体"/>
          <w:color w:val="000000"/>
          <w:sz w:val="24"/>
        </w:rPr>
        <w:t>报价人全称（公章）：</w:t>
      </w:r>
    </w:p>
    <w:p w14:paraId="7ADE6E3C">
      <w:pPr>
        <w:spacing w:line="360" w:lineRule="auto"/>
        <w:ind w:firstLine="240" w:firstLineChars="100"/>
        <w:rPr>
          <w:rFonts w:ascii="宋体" w:hAnsi="宋体"/>
          <w:color w:val="000000"/>
          <w:sz w:val="24"/>
        </w:rPr>
      </w:pPr>
      <w:r>
        <w:rPr>
          <w:rFonts w:hint="eastAsia"/>
          <w:color w:val="000000"/>
          <w:sz w:val="24"/>
        </w:rPr>
        <w:t>法定代表人或授权</w:t>
      </w:r>
      <w:r>
        <w:rPr>
          <w:rFonts w:hint="eastAsia" w:ascii="宋体" w:hAnsi="宋体"/>
          <w:color w:val="000000"/>
          <w:sz w:val="24"/>
        </w:rPr>
        <w:t xml:space="preserve">代表签字： </w:t>
      </w:r>
    </w:p>
    <w:p w14:paraId="17B6A6F8">
      <w:pPr>
        <w:spacing w:line="360" w:lineRule="auto"/>
        <w:ind w:firstLine="240" w:firstLineChars="100"/>
        <w:rPr>
          <w:color w:val="000000"/>
          <w:sz w:val="24"/>
        </w:rPr>
      </w:pPr>
      <w:r>
        <w:rPr>
          <w:rFonts w:hint="eastAsia" w:ascii="宋体" w:hAnsi="宋体"/>
          <w:color w:val="000000"/>
          <w:sz w:val="24"/>
        </w:rPr>
        <w:t>日期：</w:t>
      </w:r>
    </w:p>
    <w:p w14:paraId="6ADDB58C">
      <w:pPr>
        <w:rPr>
          <w:rFonts w:ascii="宋体" w:hAnsi="宋体"/>
          <w:b/>
          <w:color w:val="000000"/>
          <w:sz w:val="24"/>
        </w:rPr>
      </w:pPr>
      <w:r>
        <w:rPr>
          <w:rFonts w:ascii="宋体" w:hAnsi="宋体"/>
          <w:b/>
          <w:color w:val="000000"/>
          <w:sz w:val="24"/>
        </w:rPr>
        <w:br w:type="page"/>
      </w:r>
    </w:p>
    <w:p w14:paraId="5E28471F">
      <w:pPr>
        <w:pStyle w:val="7"/>
        <w:numPr>
          <w:ilvl w:val="5"/>
          <w:numId w:val="5"/>
        </w:numPr>
        <w:jc w:val="both"/>
        <w:rPr>
          <w:rFonts w:ascii="宋体" w:hAnsi="宋体"/>
          <w:bCs w:val="0"/>
          <w:color w:val="000000"/>
          <w:sz w:val="28"/>
          <w:szCs w:val="28"/>
        </w:rPr>
      </w:pPr>
      <w:bookmarkStart w:id="45" w:name="_Toc19148"/>
      <w:r>
        <w:rPr>
          <w:rFonts w:hint="eastAsia" w:ascii="宋体" w:hAnsi="宋体"/>
          <w:bCs w:val="0"/>
          <w:color w:val="000000"/>
          <w:sz w:val="28"/>
          <w:szCs w:val="28"/>
        </w:rPr>
        <w:t>附件5：产品技术偏离表</w:t>
      </w:r>
      <w:bookmarkEnd w:id="45"/>
    </w:p>
    <w:p w14:paraId="56FFDDB0">
      <w:pPr>
        <w:spacing w:line="500" w:lineRule="exact"/>
        <w:jc w:val="center"/>
        <w:rPr>
          <w:rFonts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14:paraId="0DD9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14:paraId="429F5415">
            <w:pPr>
              <w:jc w:val="center"/>
              <w:rPr>
                <w:rFonts w:ascii="Tahoma" w:hAnsi="Tahoma"/>
                <w:color w:val="000000"/>
              </w:rPr>
            </w:pPr>
            <w:r>
              <w:rPr>
                <w:rFonts w:hint="eastAsia" w:ascii="Tahoma" w:hAnsi="Tahoma"/>
                <w:color w:val="000000"/>
              </w:rPr>
              <w:t>序号</w:t>
            </w:r>
          </w:p>
        </w:tc>
        <w:tc>
          <w:tcPr>
            <w:tcW w:w="1954" w:type="dxa"/>
            <w:vAlign w:val="center"/>
          </w:tcPr>
          <w:p w14:paraId="2C36EAD5">
            <w:pPr>
              <w:jc w:val="center"/>
              <w:rPr>
                <w:rFonts w:ascii="Tahoma" w:hAnsi="Tahoma"/>
                <w:color w:val="000000"/>
              </w:rPr>
            </w:pPr>
            <w:r>
              <w:rPr>
                <w:rFonts w:hint="eastAsia" w:ascii="Tahoma" w:hAnsi="Tahoma"/>
                <w:color w:val="000000"/>
              </w:rPr>
              <w:t>品名</w:t>
            </w:r>
          </w:p>
        </w:tc>
        <w:tc>
          <w:tcPr>
            <w:tcW w:w="1106" w:type="dxa"/>
            <w:vAlign w:val="center"/>
          </w:tcPr>
          <w:p w14:paraId="595D5A34">
            <w:pPr>
              <w:jc w:val="center"/>
              <w:rPr>
                <w:rFonts w:ascii="Tahoma" w:hAnsi="Tahoma"/>
                <w:color w:val="000000"/>
              </w:rPr>
            </w:pPr>
            <w:r>
              <w:rPr>
                <w:rFonts w:hint="eastAsia" w:ascii="Tahoma" w:hAnsi="Tahoma"/>
                <w:color w:val="000000"/>
              </w:rPr>
              <w:t>数量</w:t>
            </w:r>
          </w:p>
        </w:tc>
        <w:tc>
          <w:tcPr>
            <w:tcW w:w="1800" w:type="dxa"/>
            <w:vAlign w:val="center"/>
          </w:tcPr>
          <w:p w14:paraId="243DFA0F">
            <w:pPr>
              <w:jc w:val="center"/>
              <w:rPr>
                <w:rFonts w:ascii="Tahoma" w:hAnsi="Tahoma"/>
                <w:color w:val="000000"/>
              </w:rPr>
            </w:pPr>
            <w:r>
              <w:rPr>
                <w:rFonts w:hint="eastAsia" w:ascii="Tahoma" w:hAnsi="Tahoma"/>
                <w:color w:val="000000"/>
              </w:rPr>
              <w:t>采购文件</w:t>
            </w:r>
          </w:p>
          <w:p w14:paraId="5321C648">
            <w:pPr>
              <w:jc w:val="center"/>
              <w:rPr>
                <w:rFonts w:ascii="Tahoma" w:hAnsi="Tahoma"/>
                <w:color w:val="000000"/>
              </w:rPr>
            </w:pPr>
            <w:r>
              <w:rPr>
                <w:rFonts w:hint="eastAsia" w:ascii="Tahoma" w:hAnsi="Tahoma"/>
                <w:color w:val="000000"/>
              </w:rPr>
              <w:t>技术要求</w:t>
            </w:r>
          </w:p>
        </w:tc>
        <w:tc>
          <w:tcPr>
            <w:tcW w:w="1980" w:type="dxa"/>
            <w:vAlign w:val="center"/>
          </w:tcPr>
          <w:p w14:paraId="5206CA01">
            <w:pPr>
              <w:jc w:val="center"/>
              <w:rPr>
                <w:rFonts w:ascii="Tahoma" w:hAnsi="Tahoma"/>
                <w:color w:val="000000"/>
              </w:rPr>
            </w:pPr>
            <w:r>
              <w:rPr>
                <w:rFonts w:hint="eastAsia" w:ascii="Tahoma" w:hAnsi="Tahoma"/>
                <w:color w:val="000000"/>
              </w:rPr>
              <w:t>报价文件</w:t>
            </w:r>
          </w:p>
          <w:p w14:paraId="3C695D34">
            <w:pPr>
              <w:jc w:val="center"/>
              <w:rPr>
                <w:rFonts w:ascii="Tahoma" w:hAnsi="Tahoma"/>
                <w:color w:val="000000"/>
              </w:rPr>
            </w:pPr>
            <w:r>
              <w:rPr>
                <w:rFonts w:hint="eastAsia" w:ascii="Tahoma" w:hAnsi="Tahoma"/>
                <w:color w:val="000000"/>
              </w:rPr>
              <w:t>对应技术指标</w:t>
            </w:r>
          </w:p>
        </w:tc>
        <w:tc>
          <w:tcPr>
            <w:tcW w:w="1260" w:type="dxa"/>
            <w:vAlign w:val="center"/>
          </w:tcPr>
          <w:p w14:paraId="130F8EF4">
            <w:pPr>
              <w:jc w:val="center"/>
              <w:rPr>
                <w:rFonts w:ascii="Tahoma" w:hAnsi="Tahoma"/>
                <w:color w:val="000000"/>
              </w:rPr>
            </w:pPr>
            <w:r>
              <w:rPr>
                <w:rFonts w:hint="eastAsia" w:ascii="Tahoma" w:hAnsi="Tahoma"/>
                <w:color w:val="000000"/>
              </w:rPr>
              <w:t>偏差</w:t>
            </w:r>
          </w:p>
        </w:tc>
        <w:tc>
          <w:tcPr>
            <w:tcW w:w="716" w:type="dxa"/>
            <w:vAlign w:val="center"/>
          </w:tcPr>
          <w:p w14:paraId="4310F63B">
            <w:pPr>
              <w:jc w:val="center"/>
              <w:rPr>
                <w:rFonts w:ascii="Tahoma" w:hAnsi="Tahoma"/>
                <w:color w:val="000000"/>
              </w:rPr>
            </w:pPr>
            <w:r>
              <w:rPr>
                <w:rFonts w:hint="eastAsia" w:ascii="Tahoma" w:hAnsi="Tahoma"/>
                <w:color w:val="000000"/>
              </w:rPr>
              <w:t>备注</w:t>
            </w:r>
          </w:p>
        </w:tc>
      </w:tr>
      <w:tr w14:paraId="6D74D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71409372">
            <w:pPr>
              <w:rPr>
                <w:rFonts w:ascii="Tahoma" w:hAnsi="Tahoma"/>
                <w:color w:val="000000"/>
              </w:rPr>
            </w:pPr>
          </w:p>
        </w:tc>
        <w:tc>
          <w:tcPr>
            <w:tcW w:w="1954" w:type="dxa"/>
            <w:vAlign w:val="center"/>
          </w:tcPr>
          <w:p w14:paraId="49228478">
            <w:pPr>
              <w:rPr>
                <w:rFonts w:ascii="Tahoma" w:hAnsi="Tahoma"/>
                <w:color w:val="000000"/>
              </w:rPr>
            </w:pPr>
          </w:p>
        </w:tc>
        <w:tc>
          <w:tcPr>
            <w:tcW w:w="1106" w:type="dxa"/>
            <w:vAlign w:val="center"/>
          </w:tcPr>
          <w:p w14:paraId="31CB4D9C">
            <w:pPr>
              <w:rPr>
                <w:rFonts w:ascii="Tahoma" w:hAnsi="Tahoma"/>
                <w:color w:val="000000"/>
              </w:rPr>
            </w:pPr>
          </w:p>
        </w:tc>
        <w:tc>
          <w:tcPr>
            <w:tcW w:w="1800" w:type="dxa"/>
            <w:vAlign w:val="center"/>
          </w:tcPr>
          <w:p w14:paraId="6BBC7FA6">
            <w:pPr>
              <w:rPr>
                <w:rFonts w:ascii="Tahoma" w:hAnsi="Tahoma"/>
                <w:color w:val="000000"/>
              </w:rPr>
            </w:pPr>
          </w:p>
        </w:tc>
        <w:tc>
          <w:tcPr>
            <w:tcW w:w="1980" w:type="dxa"/>
            <w:vAlign w:val="center"/>
          </w:tcPr>
          <w:p w14:paraId="0B99614E">
            <w:pPr>
              <w:rPr>
                <w:rFonts w:ascii="Tahoma" w:hAnsi="Tahoma"/>
                <w:color w:val="000000"/>
              </w:rPr>
            </w:pPr>
          </w:p>
        </w:tc>
        <w:tc>
          <w:tcPr>
            <w:tcW w:w="1260" w:type="dxa"/>
            <w:vAlign w:val="center"/>
          </w:tcPr>
          <w:p w14:paraId="51A864E6">
            <w:pPr>
              <w:rPr>
                <w:rFonts w:ascii="Tahoma" w:hAnsi="Tahoma"/>
                <w:color w:val="000000"/>
              </w:rPr>
            </w:pPr>
          </w:p>
        </w:tc>
        <w:tc>
          <w:tcPr>
            <w:tcW w:w="716" w:type="dxa"/>
            <w:vAlign w:val="center"/>
          </w:tcPr>
          <w:p w14:paraId="18EAED90">
            <w:pPr>
              <w:rPr>
                <w:rFonts w:ascii="Tahoma" w:hAnsi="Tahoma"/>
                <w:color w:val="000000"/>
              </w:rPr>
            </w:pPr>
          </w:p>
        </w:tc>
      </w:tr>
      <w:tr w14:paraId="1343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35BFEA1F">
            <w:pPr>
              <w:rPr>
                <w:rFonts w:ascii="Tahoma" w:hAnsi="Tahoma"/>
                <w:color w:val="000000"/>
              </w:rPr>
            </w:pPr>
          </w:p>
        </w:tc>
        <w:tc>
          <w:tcPr>
            <w:tcW w:w="1954" w:type="dxa"/>
            <w:vAlign w:val="center"/>
          </w:tcPr>
          <w:p w14:paraId="2AECE576">
            <w:pPr>
              <w:rPr>
                <w:rFonts w:ascii="Tahoma" w:hAnsi="Tahoma"/>
                <w:color w:val="000000"/>
              </w:rPr>
            </w:pPr>
          </w:p>
        </w:tc>
        <w:tc>
          <w:tcPr>
            <w:tcW w:w="1106" w:type="dxa"/>
            <w:vAlign w:val="center"/>
          </w:tcPr>
          <w:p w14:paraId="733FD055">
            <w:pPr>
              <w:rPr>
                <w:rFonts w:ascii="Tahoma" w:hAnsi="Tahoma"/>
                <w:color w:val="000000"/>
              </w:rPr>
            </w:pPr>
          </w:p>
        </w:tc>
        <w:tc>
          <w:tcPr>
            <w:tcW w:w="1800" w:type="dxa"/>
            <w:vAlign w:val="center"/>
          </w:tcPr>
          <w:p w14:paraId="55A36691">
            <w:pPr>
              <w:rPr>
                <w:rFonts w:ascii="Tahoma" w:hAnsi="Tahoma"/>
                <w:color w:val="000000"/>
              </w:rPr>
            </w:pPr>
          </w:p>
        </w:tc>
        <w:tc>
          <w:tcPr>
            <w:tcW w:w="1980" w:type="dxa"/>
            <w:vAlign w:val="center"/>
          </w:tcPr>
          <w:p w14:paraId="69D6EB7B">
            <w:pPr>
              <w:rPr>
                <w:rFonts w:ascii="Tahoma" w:hAnsi="Tahoma"/>
                <w:color w:val="000000"/>
              </w:rPr>
            </w:pPr>
          </w:p>
        </w:tc>
        <w:tc>
          <w:tcPr>
            <w:tcW w:w="1260" w:type="dxa"/>
            <w:vAlign w:val="center"/>
          </w:tcPr>
          <w:p w14:paraId="5EF6AD50">
            <w:pPr>
              <w:rPr>
                <w:rFonts w:ascii="Tahoma" w:hAnsi="Tahoma"/>
                <w:color w:val="000000"/>
              </w:rPr>
            </w:pPr>
          </w:p>
        </w:tc>
        <w:tc>
          <w:tcPr>
            <w:tcW w:w="716" w:type="dxa"/>
            <w:vAlign w:val="center"/>
          </w:tcPr>
          <w:p w14:paraId="20B29D5B">
            <w:pPr>
              <w:rPr>
                <w:rFonts w:ascii="Tahoma" w:hAnsi="Tahoma"/>
                <w:color w:val="000000"/>
              </w:rPr>
            </w:pPr>
          </w:p>
        </w:tc>
      </w:tr>
      <w:tr w14:paraId="62F6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B8B9784">
            <w:pPr>
              <w:rPr>
                <w:rFonts w:ascii="Tahoma" w:hAnsi="Tahoma"/>
                <w:color w:val="000000"/>
              </w:rPr>
            </w:pPr>
          </w:p>
        </w:tc>
        <w:tc>
          <w:tcPr>
            <w:tcW w:w="1954" w:type="dxa"/>
            <w:vAlign w:val="center"/>
          </w:tcPr>
          <w:p w14:paraId="60D51F2C">
            <w:pPr>
              <w:rPr>
                <w:rFonts w:ascii="Tahoma" w:hAnsi="Tahoma"/>
                <w:color w:val="000000"/>
              </w:rPr>
            </w:pPr>
          </w:p>
        </w:tc>
        <w:tc>
          <w:tcPr>
            <w:tcW w:w="1106" w:type="dxa"/>
            <w:vAlign w:val="center"/>
          </w:tcPr>
          <w:p w14:paraId="354A89D7">
            <w:pPr>
              <w:rPr>
                <w:rFonts w:ascii="Tahoma" w:hAnsi="Tahoma"/>
                <w:color w:val="000000"/>
              </w:rPr>
            </w:pPr>
          </w:p>
        </w:tc>
        <w:tc>
          <w:tcPr>
            <w:tcW w:w="1800" w:type="dxa"/>
            <w:vAlign w:val="center"/>
          </w:tcPr>
          <w:p w14:paraId="6977A31E">
            <w:pPr>
              <w:rPr>
                <w:rFonts w:ascii="Tahoma" w:hAnsi="Tahoma"/>
                <w:color w:val="000000"/>
              </w:rPr>
            </w:pPr>
          </w:p>
        </w:tc>
        <w:tc>
          <w:tcPr>
            <w:tcW w:w="1980" w:type="dxa"/>
            <w:vAlign w:val="center"/>
          </w:tcPr>
          <w:p w14:paraId="24F5EE67">
            <w:pPr>
              <w:rPr>
                <w:rFonts w:ascii="Tahoma" w:hAnsi="Tahoma"/>
                <w:color w:val="000000"/>
              </w:rPr>
            </w:pPr>
          </w:p>
        </w:tc>
        <w:tc>
          <w:tcPr>
            <w:tcW w:w="1260" w:type="dxa"/>
            <w:vAlign w:val="center"/>
          </w:tcPr>
          <w:p w14:paraId="6BA752D5">
            <w:pPr>
              <w:rPr>
                <w:rFonts w:ascii="Tahoma" w:hAnsi="Tahoma"/>
                <w:color w:val="000000"/>
              </w:rPr>
            </w:pPr>
          </w:p>
        </w:tc>
        <w:tc>
          <w:tcPr>
            <w:tcW w:w="716" w:type="dxa"/>
            <w:vAlign w:val="center"/>
          </w:tcPr>
          <w:p w14:paraId="196AD0A9">
            <w:pPr>
              <w:rPr>
                <w:rFonts w:ascii="Tahoma" w:hAnsi="Tahoma"/>
                <w:color w:val="000000"/>
              </w:rPr>
            </w:pPr>
          </w:p>
        </w:tc>
      </w:tr>
      <w:tr w14:paraId="182A9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3F056E5">
            <w:pPr>
              <w:rPr>
                <w:rFonts w:ascii="Tahoma" w:hAnsi="Tahoma"/>
                <w:color w:val="000000"/>
              </w:rPr>
            </w:pPr>
          </w:p>
        </w:tc>
        <w:tc>
          <w:tcPr>
            <w:tcW w:w="1954" w:type="dxa"/>
            <w:vAlign w:val="center"/>
          </w:tcPr>
          <w:p w14:paraId="4639491E">
            <w:pPr>
              <w:rPr>
                <w:rFonts w:ascii="Tahoma" w:hAnsi="Tahoma"/>
                <w:color w:val="000000"/>
              </w:rPr>
            </w:pPr>
          </w:p>
        </w:tc>
        <w:tc>
          <w:tcPr>
            <w:tcW w:w="1106" w:type="dxa"/>
            <w:vAlign w:val="center"/>
          </w:tcPr>
          <w:p w14:paraId="2F67C90E">
            <w:pPr>
              <w:rPr>
                <w:rFonts w:ascii="Tahoma" w:hAnsi="Tahoma"/>
                <w:color w:val="000000"/>
              </w:rPr>
            </w:pPr>
          </w:p>
        </w:tc>
        <w:tc>
          <w:tcPr>
            <w:tcW w:w="1800" w:type="dxa"/>
            <w:vAlign w:val="center"/>
          </w:tcPr>
          <w:p w14:paraId="522EAF8A">
            <w:pPr>
              <w:rPr>
                <w:rFonts w:ascii="Tahoma" w:hAnsi="Tahoma"/>
                <w:color w:val="000000"/>
              </w:rPr>
            </w:pPr>
          </w:p>
        </w:tc>
        <w:tc>
          <w:tcPr>
            <w:tcW w:w="1980" w:type="dxa"/>
            <w:vAlign w:val="center"/>
          </w:tcPr>
          <w:p w14:paraId="792A3AF9">
            <w:pPr>
              <w:rPr>
                <w:rFonts w:ascii="Tahoma" w:hAnsi="Tahoma"/>
                <w:color w:val="000000"/>
              </w:rPr>
            </w:pPr>
          </w:p>
        </w:tc>
        <w:tc>
          <w:tcPr>
            <w:tcW w:w="1260" w:type="dxa"/>
            <w:vAlign w:val="center"/>
          </w:tcPr>
          <w:p w14:paraId="433FD925">
            <w:pPr>
              <w:rPr>
                <w:rFonts w:ascii="Tahoma" w:hAnsi="Tahoma"/>
                <w:color w:val="000000"/>
              </w:rPr>
            </w:pPr>
          </w:p>
        </w:tc>
        <w:tc>
          <w:tcPr>
            <w:tcW w:w="716" w:type="dxa"/>
            <w:vAlign w:val="center"/>
          </w:tcPr>
          <w:p w14:paraId="5125F6D8">
            <w:pPr>
              <w:rPr>
                <w:rFonts w:ascii="Tahoma" w:hAnsi="Tahoma"/>
                <w:color w:val="000000"/>
              </w:rPr>
            </w:pPr>
          </w:p>
        </w:tc>
      </w:tr>
      <w:tr w14:paraId="49A3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1E87AB2">
            <w:pPr>
              <w:rPr>
                <w:rFonts w:ascii="Tahoma" w:hAnsi="Tahoma"/>
                <w:color w:val="000000"/>
              </w:rPr>
            </w:pPr>
          </w:p>
        </w:tc>
        <w:tc>
          <w:tcPr>
            <w:tcW w:w="1954" w:type="dxa"/>
            <w:vAlign w:val="center"/>
          </w:tcPr>
          <w:p w14:paraId="39293655">
            <w:pPr>
              <w:rPr>
                <w:rFonts w:ascii="Tahoma" w:hAnsi="Tahoma"/>
                <w:color w:val="000000"/>
              </w:rPr>
            </w:pPr>
          </w:p>
        </w:tc>
        <w:tc>
          <w:tcPr>
            <w:tcW w:w="1106" w:type="dxa"/>
            <w:vAlign w:val="center"/>
          </w:tcPr>
          <w:p w14:paraId="21BAF8B6">
            <w:pPr>
              <w:rPr>
                <w:rFonts w:ascii="Tahoma" w:hAnsi="Tahoma"/>
                <w:color w:val="000000"/>
              </w:rPr>
            </w:pPr>
          </w:p>
        </w:tc>
        <w:tc>
          <w:tcPr>
            <w:tcW w:w="1800" w:type="dxa"/>
            <w:vAlign w:val="center"/>
          </w:tcPr>
          <w:p w14:paraId="2297BACB">
            <w:pPr>
              <w:rPr>
                <w:rFonts w:ascii="Tahoma" w:hAnsi="Tahoma"/>
                <w:color w:val="000000"/>
              </w:rPr>
            </w:pPr>
          </w:p>
        </w:tc>
        <w:tc>
          <w:tcPr>
            <w:tcW w:w="1980" w:type="dxa"/>
            <w:vAlign w:val="center"/>
          </w:tcPr>
          <w:p w14:paraId="0CEE91B5">
            <w:pPr>
              <w:rPr>
                <w:rFonts w:ascii="Tahoma" w:hAnsi="Tahoma"/>
                <w:color w:val="000000"/>
              </w:rPr>
            </w:pPr>
          </w:p>
        </w:tc>
        <w:tc>
          <w:tcPr>
            <w:tcW w:w="1260" w:type="dxa"/>
            <w:vAlign w:val="center"/>
          </w:tcPr>
          <w:p w14:paraId="6846066F">
            <w:pPr>
              <w:rPr>
                <w:rFonts w:ascii="Tahoma" w:hAnsi="Tahoma"/>
                <w:color w:val="000000"/>
              </w:rPr>
            </w:pPr>
          </w:p>
        </w:tc>
        <w:tc>
          <w:tcPr>
            <w:tcW w:w="716" w:type="dxa"/>
            <w:vAlign w:val="center"/>
          </w:tcPr>
          <w:p w14:paraId="3FF4D638">
            <w:pPr>
              <w:rPr>
                <w:rFonts w:ascii="Tahoma" w:hAnsi="Tahoma"/>
                <w:color w:val="000000"/>
              </w:rPr>
            </w:pPr>
          </w:p>
        </w:tc>
      </w:tr>
      <w:tr w14:paraId="31E1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357A8DEF">
            <w:pPr>
              <w:rPr>
                <w:rFonts w:ascii="Tahoma" w:hAnsi="Tahoma"/>
                <w:color w:val="000000"/>
              </w:rPr>
            </w:pPr>
          </w:p>
        </w:tc>
        <w:tc>
          <w:tcPr>
            <w:tcW w:w="1954" w:type="dxa"/>
            <w:vAlign w:val="center"/>
          </w:tcPr>
          <w:p w14:paraId="115D2111">
            <w:pPr>
              <w:rPr>
                <w:rFonts w:ascii="Tahoma" w:hAnsi="Tahoma"/>
                <w:color w:val="000000"/>
              </w:rPr>
            </w:pPr>
          </w:p>
        </w:tc>
        <w:tc>
          <w:tcPr>
            <w:tcW w:w="1106" w:type="dxa"/>
            <w:vAlign w:val="center"/>
          </w:tcPr>
          <w:p w14:paraId="56A873B5">
            <w:pPr>
              <w:rPr>
                <w:rFonts w:ascii="Tahoma" w:hAnsi="Tahoma"/>
                <w:color w:val="000000"/>
              </w:rPr>
            </w:pPr>
          </w:p>
        </w:tc>
        <w:tc>
          <w:tcPr>
            <w:tcW w:w="1800" w:type="dxa"/>
            <w:vAlign w:val="center"/>
          </w:tcPr>
          <w:p w14:paraId="1D738AD5">
            <w:pPr>
              <w:rPr>
                <w:rFonts w:ascii="Tahoma" w:hAnsi="Tahoma"/>
                <w:color w:val="000000"/>
              </w:rPr>
            </w:pPr>
          </w:p>
        </w:tc>
        <w:tc>
          <w:tcPr>
            <w:tcW w:w="1980" w:type="dxa"/>
            <w:vAlign w:val="center"/>
          </w:tcPr>
          <w:p w14:paraId="67AFF970">
            <w:pPr>
              <w:rPr>
                <w:rFonts w:ascii="Tahoma" w:hAnsi="Tahoma"/>
                <w:color w:val="000000"/>
              </w:rPr>
            </w:pPr>
          </w:p>
        </w:tc>
        <w:tc>
          <w:tcPr>
            <w:tcW w:w="1260" w:type="dxa"/>
            <w:vAlign w:val="center"/>
          </w:tcPr>
          <w:p w14:paraId="684397E5">
            <w:pPr>
              <w:rPr>
                <w:rFonts w:ascii="Tahoma" w:hAnsi="Tahoma"/>
                <w:color w:val="000000"/>
              </w:rPr>
            </w:pPr>
          </w:p>
        </w:tc>
        <w:tc>
          <w:tcPr>
            <w:tcW w:w="716" w:type="dxa"/>
            <w:vAlign w:val="center"/>
          </w:tcPr>
          <w:p w14:paraId="3476AC24">
            <w:pPr>
              <w:rPr>
                <w:rFonts w:ascii="Tahoma" w:hAnsi="Tahoma"/>
                <w:color w:val="000000"/>
              </w:rPr>
            </w:pPr>
          </w:p>
        </w:tc>
      </w:tr>
    </w:tbl>
    <w:p w14:paraId="383437DF"/>
    <w:p w14:paraId="48E42DDB"/>
    <w:p w14:paraId="6345CDAA">
      <w:pPr>
        <w:pStyle w:val="7"/>
        <w:numPr>
          <w:ilvl w:val="5"/>
          <w:numId w:val="5"/>
        </w:numPr>
        <w:jc w:val="both"/>
        <w:rPr>
          <w:rFonts w:ascii="宋体" w:hAnsi="宋体"/>
          <w:bCs w:val="0"/>
          <w:color w:val="000000"/>
          <w:sz w:val="28"/>
          <w:szCs w:val="28"/>
        </w:rPr>
      </w:pPr>
      <w:bookmarkStart w:id="46" w:name="_Toc17205"/>
      <w:r>
        <w:rPr>
          <w:rFonts w:hint="eastAsia" w:ascii="宋体" w:hAnsi="宋体"/>
          <w:bCs w:val="0"/>
          <w:color w:val="000000"/>
          <w:sz w:val="28"/>
          <w:szCs w:val="28"/>
        </w:rPr>
        <w:t>附件6： 中小企业声明函</w:t>
      </w:r>
      <w:bookmarkEnd w:id="46"/>
    </w:p>
    <w:p w14:paraId="0B97BEE5">
      <w:pPr>
        <w:rPr>
          <w:rFonts w:ascii="宋体" w:hAnsi="宋体"/>
          <w:b/>
          <w:color w:val="000000"/>
          <w:kern w:val="0"/>
          <w:sz w:val="28"/>
          <w:szCs w:val="28"/>
        </w:rPr>
      </w:pPr>
      <w:r>
        <w:rPr>
          <w:rFonts w:hint="eastAsia" w:ascii="宋体" w:hAnsi="宋体"/>
          <w:b/>
          <w:color w:val="000000"/>
          <w:kern w:val="0"/>
          <w:sz w:val="28"/>
          <w:szCs w:val="28"/>
        </w:rPr>
        <w:drawing>
          <wp:inline distT="0" distB="0" distL="0" distR="0">
            <wp:extent cx="5882005" cy="762063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889705" cy="7630616"/>
                    </a:xfrm>
                    <a:prstGeom prst="rect">
                      <a:avLst/>
                    </a:prstGeom>
                  </pic:spPr>
                </pic:pic>
              </a:graphicData>
            </a:graphic>
          </wp:inline>
        </w:drawing>
      </w:r>
    </w:p>
    <w:p w14:paraId="540019AF">
      <w:pPr>
        <w:rPr>
          <w:rFonts w:hint="eastAsia" w:ascii="宋体" w:hAnsi="宋体"/>
          <w:b/>
          <w:color w:val="000000"/>
          <w:kern w:val="0"/>
          <w:sz w:val="28"/>
          <w:szCs w:val="28"/>
        </w:rPr>
      </w:pPr>
      <w:r>
        <w:rPr>
          <w:rFonts w:hint="eastAsia" w:ascii="宋体" w:hAnsi="宋体"/>
          <w:b/>
          <w:color w:val="000000"/>
          <w:kern w:val="0"/>
          <w:sz w:val="28"/>
          <w:szCs w:val="28"/>
        </w:rPr>
        <w:br w:type="page"/>
      </w:r>
    </w:p>
    <w:p w14:paraId="4FC1BB98">
      <w:pPr>
        <w:jc w:val="left"/>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14:paraId="55BB5725">
      <w:pPr>
        <w:rPr>
          <w:rFonts w:ascii="宋体" w:hAnsi="宋体"/>
          <w:b/>
          <w:color w:val="000000"/>
          <w:kern w:val="0"/>
          <w:sz w:val="28"/>
          <w:szCs w:val="28"/>
        </w:rPr>
      </w:pPr>
    </w:p>
    <w:p w14:paraId="4A5CED37">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1885B0">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14:paraId="153558D0">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14:paraId="5FF380E6">
      <w:pPr>
        <w:spacing w:line="588" w:lineRule="exact"/>
        <w:ind w:firstLine="480" w:firstLineChars="200"/>
        <w:rPr>
          <w:rFonts w:hint="eastAsia" w:ascii="宋体" w:hAnsi="宋体"/>
          <w:color w:val="000000"/>
          <w:sz w:val="24"/>
        </w:rPr>
      </w:pPr>
      <w:r>
        <w:rPr>
          <w:rFonts w:hint="eastAsia" w:ascii="宋体" w:hAnsi="宋体"/>
          <w:color w:val="000000"/>
          <w:sz w:val="24"/>
        </w:rPr>
        <w:t xml:space="preserve">               日  期：</w:t>
      </w:r>
      <w:bookmarkStart w:id="47" w:name="_Toc201641339"/>
      <w:bookmarkStart w:id="48" w:name="_Toc150737675"/>
      <w:bookmarkStart w:id="49" w:name="_Toc145215446"/>
    </w:p>
    <w:p w14:paraId="2CDD5BD8">
      <w:pPr>
        <w:rPr>
          <w:rFonts w:hint="eastAsia" w:ascii="宋体" w:hAnsi="宋体"/>
          <w:color w:val="000000"/>
          <w:sz w:val="24"/>
        </w:rPr>
      </w:pPr>
      <w:r>
        <w:rPr>
          <w:rFonts w:hint="eastAsia" w:ascii="宋体" w:hAnsi="宋体"/>
          <w:color w:val="000000"/>
          <w:sz w:val="24"/>
        </w:rPr>
        <w:br w:type="page"/>
      </w:r>
    </w:p>
    <w:p w14:paraId="6450C2A5">
      <w:pPr>
        <w:pStyle w:val="21"/>
        <w:rPr>
          <w:rFonts w:hint="default"/>
          <w:color w:val="000000"/>
          <w:sz w:val="32"/>
          <w:szCs w:val="32"/>
          <w:lang w:val="en-US" w:eastAsia="zh-CN"/>
        </w:rPr>
      </w:pPr>
      <w:bookmarkStart w:id="50" w:name="_Toc23697"/>
      <w:r>
        <w:rPr>
          <w:rFonts w:hint="eastAsia"/>
          <w:color w:val="000000"/>
          <w:sz w:val="32"/>
          <w:szCs w:val="32"/>
        </w:rPr>
        <w:t>第六部分</w:t>
      </w:r>
      <w:r>
        <w:rPr>
          <w:rFonts w:hint="eastAsia"/>
          <w:color w:val="000000"/>
          <w:sz w:val="32"/>
          <w:szCs w:val="32"/>
          <w:lang w:val="en-US" w:eastAsia="zh-CN"/>
        </w:rPr>
        <w:t xml:space="preserve"> </w:t>
      </w:r>
      <w:bookmarkEnd w:id="47"/>
      <w:bookmarkEnd w:id="48"/>
      <w:bookmarkEnd w:id="49"/>
      <w:r>
        <w:rPr>
          <w:rFonts w:hint="eastAsia"/>
          <w:color w:val="000000"/>
          <w:sz w:val="32"/>
          <w:szCs w:val="32"/>
          <w:lang w:val="en-US" w:eastAsia="zh-CN"/>
        </w:rPr>
        <w:t>拟签订的合同文本</w:t>
      </w:r>
      <w:bookmarkEnd w:id="50"/>
    </w:p>
    <w:p w14:paraId="3DCD0FE1">
      <w:pPr>
        <w:snapToGrid w:val="0"/>
        <w:spacing w:line="360" w:lineRule="auto"/>
        <w:jc w:val="center"/>
        <w:rPr>
          <w:rFonts w:ascii="宋体" w:hAnsi="宋体"/>
          <w:color w:val="000000"/>
          <w:sz w:val="24"/>
          <w:u w:val="single"/>
        </w:rPr>
      </w:pPr>
    </w:p>
    <w:p w14:paraId="4DFE3CC7">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14:paraId="17984947">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 xml:space="preserve">甲方： </w:t>
      </w:r>
    </w:p>
    <w:p w14:paraId="41CD85A7">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hint="eastAsia" w:ascii="宋体" w:hAnsi="宋体"/>
          <w:b/>
          <w:color w:val="000000"/>
          <w:sz w:val="24"/>
        </w:rPr>
        <w:t xml:space="preserve">： </w:t>
      </w:r>
    </w:p>
    <w:p w14:paraId="75CB91BC">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 xml:space="preserve">地址： </w:t>
      </w:r>
    </w:p>
    <w:p w14:paraId="7F1096D9">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电话：</w:t>
      </w:r>
    </w:p>
    <w:p w14:paraId="3FCF1EEC">
      <w:pPr>
        <w:widowControl/>
        <w:adjustRightInd w:val="0"/>
        <w:snapToGrid w:val="0"/>
        <w:spacing w:line="360" w:lineRule="auto"/>
        <w:jc w:val="left"/>
        <w:rPr>
          <w:rFonts w:ascii="宋体" w:hAnsi="宋体"/>
          <w:b/>
          <w:color w:val="000000"/>
          <w:sz w:val="24"/>
        </w:rPr>
      </w:pPr>
    </w:p>
    <w:p w14:paraId="06EA6F99">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乙方：</w:t>
      </w:r>
    </w:p>
    <w:p w14:paraId="40780233">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hint="eastAsia" w:ascii="宋体" w:hAnsi="宋体"/>
          <w:b/>
          <w:color w:val="000000"/>
          <w:sz w:val="24"/>
        </w:rPr>
        <w:t>/法定代表人：</w:t>
      </w:r>
    </w:p>
    <w:p w14:paraId="33FB576C">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地址：</w:t>
      </w:r>
    </w:p>
    <w:p w14:paraId="763AD771">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电话：</w:t>
      </w:r>
    </w:p>
    <w:p w14:paraId="6918144F">
      <w:pPr>
        <w:widowControl/>
        <w:adjustRightInd w:val="0"/>
        <w:snapToGrid w:val="0"/>
        <w:spacing w:line="360" w:lineRule="auto"/>
        <w:jc w:val="left"/>
        <w:rPr>
          <w:rFonts w:ascii="宋体" w:hAnsi="宋体"/>
          <w:b/>
          <w:color w:val="000000"/>
          <w:sz w:val="24"/>
        </w:rPr>
      </w:pPr>
    </w:p>
    <w:p w14:paraId="04C6DB5E">
      <w:pPr>
        <w:snapToGrid w:val="0"/>
        <w:spacing w:line="360" w:lineRule="auto"/>
        <w:ind w:left="38" w:firstLine="480" w:firstLineChars="200"/>
        <w:rPr>
          <w:rFonts w:ascii="宋体" w:hAnsi="宋体"/>
          <w:color w:val="000000"/>
          <w:sz w:val="24"/>
        </w:rPr>
      </w:pPr>
      <w:r>
        <w:rPr>
          <w:rFonts w:hint="eastAsia" w:ascii="宋体" w:hAnsi="宋体"/>
          <w:color w:val="000000"/>
          <w:sz w:val="24"/>
        </w:rPr>
        <w:t>根</w:t>
      </w:r>
      <w:r>
        <w:rPr>
          <w:rFonts w:ascii="宋体" w:hAnsi="宋体"/>
          <w:color w:val="000000"/>
          <w:sz w:val="24"/>
        </w:rPr>
        <w:t>据《中华人民共和国政府采购法》《中华人民共和国合</w:t>
      </w:r>
      <w:r>
        <w:rPr>
          <w:rFonts w:hint="eastAsia" w:ascii="宋体" w:hAnsi="宋体"/>
          <w:color w:val="000000"/>
          <w:sz w:val="24"/>
        </w:rPr>
        <w:t>民法典</w:t>
      </w:r>
      <w:r>
        <w:rPr>
          <w:rFonts w:ascii="宋体" w:hAnsi="宋体"/>
          <w:color w:val="000000"/>
          <w:sz w:val="24"/>
        </w:rPr>
        <w:t>》等相关法律法规</w:t>
      </w:r>
      <w:r>
        <w:rPr>
          <w:rFonts w:hint="eastAsia" w:ascii="宋体" w:hAnsi="宋体"/>
          <w:color w:val="000000"/>
          <w:sz w:val="24"/>
        </w:rPr>
        <w:t>，就甲方向乙方采购【】事宜，双方</w:t>
      </w:r>
      <w:r>
        <w:rPr>
          <w:rFonts w:ascii="宋体" w:hAnsi="宋体"/>
          <w:color w:val="000000"/>
          <w:sz w:val="24"/>
        </w:rPr>
        <w:t>经平等协商达成合同如下：</w:t>
      </w:r>
    </w:p>
    <w:p w14:paraId="0C842B07">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一</w:t>
      </w:r>
      <w:r>
        <w:rPr>
          <w:rFonts w:ascii="宋体" w:hAnsi="宋体"/>
          <w:b/>
          <w:bCs/>
          <w:color w:val="000000"/>
          <w:sz w:val="24"/>
        </w:rPr>
        <w:t>、</w:t>
      </w:r>
      <w:r>
        <w:rPr>
          <w:rFonts w:hint="eastAsia" w:ascii="宋体" w:hAnsi="宋体"/>
          <w:b/>
          <w:bCs/>
          <w:color w:val="000000"/>
          <w:sz w:val="24"/>
        </w:rPr>
        <w:t>采购产品及价格</w:t>
      </w:r>
    </w:p>
    <w:p w14:paraId="5EECC4E8">
      <w:pPr>
        <w:snapToGrid w:val="0"/>
        <w:spacing w:line="360" w:lineRule="auto"/>
        <w:ind w:right="-292" w:rightChars="-139" w:firstLine="465"/>
        <w:rPr>
          <w:rFonts w:ascii="宋体" w:hAnsi="宋体"/>
          <w:color w:val="000000"/>
          <w:sz w:val="24"/>
        </w:rPr>
      </w:pPr>
      <w:r>
        <w:rPr>
          <w:rFonts w:ascii="宋体" w:hAnsi="宋体"/>
          <w:color w:val="000000"/>
          <w:sz w:val="24"/>
        </w:rPr>
        <mc:AlternateContent>
          <mc:Choice Requires="wps">
            <w:drawing>
              <wp:anchor distT="0" distB="0" distL="113665" distR="113665" simplePos="0" relativeHeight="251660288" behindDoc="0" locked="0" layoutInCell="1" allowOverlap="1">
                <wp:simplePos x="0" y="0"/>
                <wp:positionH relativeFrom="column">
                  <wp:posOffset>-533400</wp:posOffset>
                </wp:positionH>
                <wp:positionV relativeFrom="paragraph">
                  <wp:posOffset>224790</wp:posOffset>
                </wp:positionV>
                <wp:extent cx="0"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pt;height:0pt;width:0pt;z-index:251660288;mso-width-relative:page;mso-height-relative:page;" filled="f" stroked="t" coordsize="21600,21600" o:gfxdata="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dt1O&#10;1QAAAAkBAAAPAAAAAAAAAAEAIAAAACIAAABkcnMvZG93bnJldi54bWxQSwECFAAUAAAACACHTuJA&#10;mnDZO7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sz w:val="24"/>
        </w:rPr>
        <w:t>1.甲方</w:t>
      </w:r>
      <w:r>
        <w:rPr>
          <w:rFonts w:hint="eastAsia" w:ascii="宋体" w:hAnsi="宋体"/>
          <w:color w:val="000000"/>
          <w:sz w:val="24"/>
        </w:rPr>
        <w:t>此</w:t>
      </w:r>
      <w:r>
        <w:rPr>
          <w:rFonts w:ascii="宋体" w:hAnsi="宋体"/>
          <w:color w:val="000000"/>
          <w:sz w:val="24"/>
        </w:rPr>
        <w:t>次采购产品明细详见附件</w:t>
      </w:r>
      <w:r>
        <w:rPr>
          <w:rFonts w:hint="eastAsia" w:ascii="宋体" w:hAnsi="宋体"/>
          <w:color w:val="000000"/>
          <w:sz w:val="24"/>
        </w:rPr>
        <w:t>产品信息表（根据采购产品情况应包括</w:t>
      </w:r>
      <w:r>
        <w:rPr>
          <w:rFonts w:ascii="宋体" w:hAnsi="宋体"/>
          <w:color w:val="000000"/>
          <w:sz w:val="24"/>
        </w:rPr>
        <w:t>产品的</w:t>
      </w:r>
      <w:r>
        <w:rPr>
          <w:rFonts w:hint="eastAsia" w:ascii="宋体" w:hAnsi="宋体"/>
          <w:color w:val="000000"/>
          <w:sz w:val="24"/>
        </w:rPr>
        <w:t>型号/规格</w:t>
      </w:r>
      <w:r>
        <w:rPr>
          <w:rFonts w:ascii="宋体" w:hAnsi="宋体"/>
          <w:color w:val="000000"/>
          <w:sz w:val="24"/>
        </w:rPr>
        <w:t>、名称、</w:t>
      </w:r>
      <w:r>
        <w:rPr>
          <w:rFonts w:hint="eastAsia" w:ascii="宋体" w:hAnsi="宋体"/>
          <w:color w:val="000000"/>
          <w:sz w:val="24"/>
        </w:rPr>
        <w:t>单价、数量</w:t>
      </w:r>
      <w:r>
        <w:rPr>
          <w:rFonts w:ascii="宋体" w:hAnsi="宋体"/>
          <w:color w:val="000000"/>
          <w:sz w:val="24"/>
        </w:rPr>
        <w:t>、外包装彩图</w:t>
      </w:r>
      <w:r>
        <w:rPr>
          <w:rFonts w:hint="eastAsia" w:ascii="宋体" w:hAnsi="宋体"/>
          <w:color w:val="000000"/>
          <w:sz w:val="24"/>
        </w:rPr>
        <w:t>）</w:t>
      </w:r>
      <w:r>
        <w:rPr>
          <w:rFonts w:ascii="宋体" w:hAnsi="宋体"/>
          <w:color w:val="000000"/>
          <w:sz w:val="24"/>
        </w:rPr>
        <w:t>。</w:t>
      </w:r>
    </w:p>
    <w:p w14:paraId="79373A6A">
      <w:pPr>
        <w:snapToGrid w:val="0"/>
        <w:spacing w:line="360" w:lineRule="auto"/>
        <w:ind w:right="-292" w:rightChars="-139" w:firstLine="465"/>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乙方应在本合同签订后【】日内向甲方提交样品，样品经甲方确认后，由甲方封存，作为乙方交货产品质量验收依据。</w:t>
      </w:r>
    </w:p>
    <w:p w14:paraId="63D7546A">
      <w:pPr>
        <w:snapToGrid w:val="0"/>
        <w:spacing w:line="360" w:lineRule="auto"/>
        <w:ind w:right="-292" w:rightChars="-139" w:firstLine="465"/>
        <w:rPr>
          <w:rFonts w:ascii="宋体" w:hAnsi="宋体"/>
          <w:b/>
          <w:bCs/>
          <w:color w:val="000000"/>
          <w:sz w:val="24"/>
        </w:rPr>
      </w:pPr>
      <w:r>
        <w:rPr>
          <w:rFonts w:hint="eastAsia" w:ascii="宋体" w:hAnsi="宋体"/>
          <w:b/>
          <w:bCs/>
          <w:color w:val="000000"/>
          <w:sz w:val="24"/>
        </w:rPr>
        <w:t>二、采购价款支付</w:t>
      </w:r>
    </w:p>
    <w:p w14:paraId="04FF2AB4">
      <w:pPr>
        <w:snapToGrid w:val="0"/>
        <w:spacing w:line="360" w:lineRule="auto"/>
        <w:ind w:right="-292" w:rightChars="-139" w:firstLine="465"/>
        <w:rPr>
          <w:rFonts w:ascii="宋体" w:hAnsi="宋体"/>
          <w:color w:val="000000"/>
          <w:sz w:val="24"/>
          <w:szCs w:val="21"/>
        </w:rPr>
      </w:pPr>
      <w:r>
        <w:rPr>
          <w:rFonts w:ascii="宋体" w:hAnsi="宋体"/>
          <w:color w:val="000000"/>
          <w:sz w:val="24"/>
        </w:rPr>
        <w:t>1.本合同订购产品总金额（含税）为人民币</w:t>
      </w:r>
      <w:r>
        <w:rPr>
          <w:rFonts w:hint="eastAsia" w:ascii="宋体" w:hAnsi="宋体"/>
          <w:color w:val="000000"/>
          <w:sz w:val="24"/>
          <w:u w:val="single"/>
        </w:rPr>
        <w:t>【】</w:t>
      </w:r>
      <w:r>
        <w:rPr>
          <w:rFonts w:ascii="宋体" w:hAnsi="宋体"/>
          <w:color w:val="000000"/>
          <w:sz w:val="24"/>
          <w:u w:val="single"/>
        </w:rPr>
        <w:t>（元）大写：</w:t>
      </w:r>
      <w:r>
        <w:rPr>
          <w:rFonts w:hint="eastAsia" w:ascii="宋体" w:hAnsi="宋体"/>
          <w:color w:val="000000"/>
          <w:sz w:val="24"/>
          <w:szCs w:val="21"/>
          <w:u w:val="single"/>
        </w:rPr>
        <w:t>【】</w:t>
      </w:r>
      <w:r>
        <w:rPr>
          <w:rFonts w:ascii="宋体" w:hAnsi="宋体"/>
          <w:color w:val="000000"/>
          <w:sz w:val="24"/>
          <w:szCs w:val="21"/>
        </w:rPr>
        <w:t>。</w:t>
      </w:r>
    </w:p>
    <w:p w14:paraId="38DE0864">
      <w:pPr>
        <w:snapToGrid w:val="0"/>
        <w:spacing w:line="360" w:lineRule="auto"/>
        <w:ind w:right="-292" w:rightChars="-139" w:firstLine="465"/>
        <w:rPr>
          <w:rFonts w:ascii="宋体" w:hAnsi="宋体"/>
          <w:color w:val="000000"/>
          <w:szCs w:val="21"/>
          <w:u w:val="single"/>
        </w:rPr>
      </w:pPr>
      <w:r>
        <w:rPr>
          <w:rFonts w:hint="eastAsia" w:ascii="宋体" w:hAnsi="宋体"/>
          <w:color w:val="000000"/>
          <w:sz w:val="24"/>
          <w:szCs w:val="21"/>
        </w:rPr>
        <w:t>2</w:t>
      </w:r>
      <w:r>
        <w:rPr>
          <w:rFonts w:ascii="宋体" w:hAnsi="宋体"/>
          <w:color w:val="000000"/>
          <w:sz w:val="24"/>
          <w:szCs w:val="21"/>
        </w:rPr>
        <w:t>.</w:t>
      </w:r>
      <w:r>
        <w:rPr>
          <w:rFonts w:hint="eastAsia" w:ascii="宋体" w:hAnsi="宋体"/>
          <w:color w:val="000000"/>
          <w:sz w:val="24"/>
          <w:szCs w:val="21"/>
        </w:rPr>
        <w:t>以上价格包含甲方采购产品所需支付的全部费用，包含产品价格、税金、包装、运输、装卸、保险、质保期内维修保养及配件更换等，除此之外甲方不再向乙方另行支付任何费用。</w:t>
      </w:r>
    </w:p>
    <w:p w14:paraId="329A9036">
      <w:pPr>
        <w:snapToGrid w:val="0"/>
        <w:spacing w:line="360" w:lineRule="auto"/>
        <w:ind w:left="482"/>
        <w:rPr>
          <w:rFonts w:ascii="宋体" w:hAnsi="宋体"/>
          <w:bCs/>
          <w:color w:val="000000"/>
          <w:sz w:val="24"/>
        </w:rPr>
      </w:pPr>
      <w:r>
        <w:rPr>
          <w:rFonts w:ascii="宋体" w:hAnsi="宋体"/>
          <w:color w:val="000000"/>
          <w:sz w:val="24"/>
        </w:rPr>
        <w:t>3.</w:t>
      </w:r>
      <w:r>
        <w:rPr>
          <w:rFonts w:hint="eastAsia" w:ascii="宋体" w:hAnsi="宋体"/>
          <w:bCs/>
          <w:color w:val="000000"/>
          <w:sz w:val="24"/>
        </w:rPr>
        <w:t>甲方按以下第【】种方式向乙方支付采购价款：</w:t>
      </w:r>
    </w:p>
    <w:p w14:paraId="24BE9EC9">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（1）本合同签订之日起【】日内，</w:t>
      </w:r>
      <w:r>
        <w:rPr>
          <w:rFonts w:hint="eastAsia" w:ascii="宋体" w:hAnsi="宋体"/>
          <w:color w:val="000000"/>
          <w:sz w:val="24"/>
        </w:rPr>
        <w:t>甲方向乙方支付产品总金额的【】</w:t>
      </w:r>
      <w:r>
        <w:rPr>
          <w:rFonts w:ascii="宋体" w:hAnsi="宋体"/>
          <w:color w:val="000000"/>
          <w:sz w:val="24"/>
        </w:rPr>
        <w:t>%</w:t>
      </w:r>
      <w:r>
        <w:rPr>
          <w:rFonts w:hint="eastAsia" w:ascii="宋体" w:hAnsi="宋体"/>
          <w:color w:val="000000"/>
          <w:sz w:val="24"/>
        </w:rPr>
        <w:t>，</w:t>
      </w:r>
      <w:r>
        <w:rPr>
          <w:rFonts w:hint="eastAsia" w:ascii="宋体" w:hAnsi="宋体"/>
          <w:bCs/>
          <w:color w:val="000000"/>
          <w:sz w:val="24"/>
        </w:rPr>
        <w:t>即人民币【】元整。</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14:paraId="45BE6B5B">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（2）本合同签订之日起【】日内，甲方支付项目产品总金额的【  %】，即人民币【】元整；</w:t>
      </w:r>
      <w:r>
        <w:rPr>
          <w:rFonts w:hint="eastAsia" w:ascii="宋体" w:hAnsi="宋体"/>
          <w:color w:val="000000"/>
          <w:sz w:val="24"/>
        </w:rPr>
        <w:t>乙方完成产品交付，甲方签署验收单之日起1</w:t>
      </w:r>
      <w:r>
        <w:rPr>
          <w:rFonts w:ascii="宋体" w:hAnsi="宋体"/>
          <w:color w:val="000000"/>
          <w:sz w:val="24"/>
        </w:rPr>
        <w:t>5</w:t>
      </w:r>
      <w:r>
        <w:rPr>
          <w:rFonts w:hint="eastAsia" w:ascii="宋体" w:hAnsi="宋体"/>
          <w:color w:val="000000"/>
          <w:sz w:val="24"/>
        </w:rPr>
        <w:t>个工作日内，甲方向乙方支付产品总金额的【】</w:t>
      </w:r>
      <w:r>
        <w:rPr>
          <w:rFonts w:ascii="宋体" w:hAnsi="宋体"/>
          <w:color w:val="000000"/>
          <w:sz w:val="24"/>
        </w:rPr>
        <w:t>%</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14:paraId="44714150">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（3）</w:t>
      </w:r>
      <w:r>
        <w:rPr>
          <w:rFonts w:hint="eastAsia" w:ascii="宋体" w:hAnsi="宋体"/>
          <w:color w:val="000000"/>
          <w:sz w:val="24"/>
        </w:rPr>
        <w:t>乙方完成产品交付，甲方签署验收单之日起1</w:t>
      </w:r>
      <w:r>
        <w:rPr>
          <w:rFonts w:ascii="宋体" w:hAnsi="宋体"/>
          <w:color w:val="000000"/>
          <w:sz w:val="24"/>
        </w:rPr>
        <w:t>5</w:t>
      </w:r>
      <w:r>
        <w:rPr>
          <w:rFonts w:hint="eastAsia" w:ascii="宋体" w:hAnsi="宋体"/>
          <w:color w:val="000000"/>
          <w:sz w:val="24"/>
        </w:rPr>
        <w:t>个工作日内，甲方向乙方支付产品总金额的【】</w:t>
      </w:r>
      <w:r>
        <w:rPr>
          <w:rFonts w:ascii="宋体" w:hAnsi="宋体"/>
          <w:color w:val="000000"/>
          <w:sz w:val="24"/>
        </w:rPr>
        <w:t>%</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14:paraId="63BD678E">
      <w:pPr>
        <w:snapToGrid w:val="0"/>
        <w:spacing w:line="360" w:lineRule="auto"/>
        <w:ind w:firstLine="480" w:firstLineChars="200"/>
        <w:rPr>
          <w:rFonts w:ascii="宋体" w:hAnsi="宋体"/>
          <w:color w:val="000000"/>
          <w:sz w:val="24"/>
        </w:rPr>
      </w:pPr>
      <w:r>
        <w:rPr>
          <w:rFonts w:hint="eastAsia" w:ascii="宋体" w:hAnsi="宋体"/>
          <w:sz w:val="24"/>
        </w:rPr>
        <w:t>4.</w:t>
      </w:r>
      <w:r>
        <w:rPr>
          <w:rFonts w:hint="eastAsia" w:ascii="宋体" w:hAnsi="宋体"/>
          <w:color w:val="000000"/>
          <w:sz w:val="24"/>
        </w:rPr>
        <w:t>乙方应在甲方付款前向甲方开具正式发票，否则甲方有权暂停付款且不承担逾期付款的违约责任。</w:t>
      </w:r>
    </w:p>
    <w:p w14:paraId="203E448F">
      <w:pPr>
        <w:widowControl/>
        <w:snapToGrid w:val="0"/>
        <w:spacing w:line="360" w:lineRule="auto"/>
        <w:ind w:left="482"/>
        <w:jc w:val="left"/>
        <w:rPr>
          <w:rFonts w:ascii="宋体" w:hAnsi="宋体"/>
          <w:color w:val="000000"/>
          <w:sz w:val="24"/>
        </w:rPr>
      </w:pPr>
      <w:r>
        <w:rPr>
          <w:rFonts w:hint="eastAsia" w:ascii="宋体" w:hAnsi="宋体"/>
          <w:color w:val="000000"/>
          <w:sz w:val="24"/>
        </w:rPr>
        <w:t>甲方开票信息：</w:t>
      </w:r>
    </w:p>
    <w:p w14:paraId="39E99C82">
      <w:pPr>
        <w:widowControl/>
        <w:snapToGrid w:val="0"/>
        <w:spacing w:line="360" w:lineRule="auto"/>
        <w:ind w:left="482"/>
        <w:jc w:val="left"/>
        <w:rPr>
          <w:rFonts w:ascii="宋体" w:hAnsi="宋体"/>
          <w:color w:val="000000"/>
          <w:sz w:val="24"/>
        </w:rPr>
      </w:pPr>
      <w:r>
        <w:rPr>
          <w:rFonts w:hint="eastAsia" w:ascii="宋体" w:hAnsi="宋体"/>
          <w:color w:val="000000"/>
          <w:sz w:val="24"/>
        </w:rPr>
        <w:t>发票抬头：</w:t>
      </w:r>
    </w:p>
    <w:p w14:paraId="3D47CDFA">
      <w:pPr>
        <w:widowControl/>
        <w:snapToGrid w:val="0"/>
        <w:spacing w:line="360" w:lineRule="auto"/>
        <w:ind w:left="482"/>
        <w:jc w:val="left"/>
        <w:rPr>
          <w:rFonts w:ascii="宋体" w:hAnsi="宋体"/>
          <w:color w:val="000000"/>
          <w:sz w:val="24"/>
        </w:rPr>
      </w:pPr>
      <w:r>
        <w:rPr>
          <w:rFonts w:hint="eastAsia" w:ascii="宋体" w:hAnsi="宋体"/>
          <w:color w:val="000000"/>
          <w:sz w:val="24"/>
        </w:rPr>
        <w:t>纳税人识别号：</w:t>
      </w:r>
    </w:p>
    <w:p w14:paraId="5A94E118">
      <w:pPr>
        <w:snapToGrid w:val="0"/>
        <w:spacing w:line="360" w:lineRule="auto"/>
        <w:ind w:left="482"/>
        <w:rPr>
          <w:rFonts w:ascii="宋体" w:hAnsi="宋体"/>
          <w:color w:val="000000"/>
          <w:sz w:val="24"/>
        </w:rPr>
      </w:pPr>
      <w:r>
        <w:rPr>
          <w:rFonts w:hint="eastAsia" w:ascii="宋体" w:hAnsi="宋体"/>
          <w:color w:val="000000"/>
          <w:sz w:val="24"/>
        </w:rPr>
        <w:t>5.乙方指定银行账户信息：</w:t>
      </w:r>
    </w:p>
    <w:p w14:paraId="4E7D7DD9">
      <w:pPr>
        <w:widowControl/>
        <w:snapToGrid w:val="0"/>
        <w:spacing w:line="360" w:lineRule="auto"/>
        <w:ind w:left="482"/>
        <w:jc w:val="left"/>
        <w:rPr>
          <w:rFonts w:ascii="宋体" w:hAnsi="宋体"/>
          <w:color w:val="000000"/>
          <w:sz w:val="24"/>
        </w:rPr>
      </w:pPr>
      <w:r>
        <w:rPr>
          <w:rFonts w:hint="eastAsia" w:ascii="宋体" w:hAnsi="宋体"/>
          <w:color w:val="000000"/>
          <w:sz w:val="24"/>
        </w:rPr>
        <w:t>开户银行：</w:t>
      </w:r>
    </w:p>
    <w:p w14:paraId="3981DB12">
      <w:pPr>
        <w:widowControl/>
        <w:snapToGrid w:val="0"/>
        <w:spacing w:line="360" w:lineRule="auto"/>
        <w:ind w:left="482"/>
        <w:jc w:val="left"/>
        <w:rPr>
          <w:rFonts w:ascii="宋体" w:hAnsi="宋体"/>
          <w:color w:val="000000"/>
          <w:sz w:val="24"/>
        </w:rPr>
      </w:pPr>
      <w:r>
        <w:rPr>
          <w:rFonts w:hint="eastAsia" w:ascii="宋体" w:hAnsi="宋体"/>
          <w:color w:val="000000"/>
          <w:sz w:val="24"/>
        </w:rPr>
        <w:t>开户名称：</w:t>
      </w:r>
    </w:p>
    <w:p w14:paraId="525B754F">
      <w:pPr>
        <w:widowControl/>
        <w:snapToGrid w:val="0"/>
        <w:spacing w:line="360" w:lineRule="auto"/>
        <w:ind w:left="482"/>
        <w:jc w:val="left"/>
        <w:rPr>
          <w:rFonts w:ascii="宋体" w:hAnsi="宋体"/>
          <w:color w:val="000000"/>
          <w:sz w:val="24"/>
        </w:rPr>
      </w:pPr>
      <w:r>
        <w:rPr>
          <w:rFonts w:hint="eastAsia" w:ascii="宋体" w:hAnsi="宋体"/>
          <w:color w:val="000000"/>
          <w:sz w:val="24"/>
        </w:rPr>
        <w:t>银行账号：</w:t>
      </w:r>
    </w:p>
    <w:p w14:paraId="23077769">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三</w:t>
      </w:r>
      <w:r>
        <w:rPr>
          <w:rFonts w:ascii="宋体" w:hAnsi="宋体"/>
          <w:b/>
          <w:bCs/>
          <w:color w:val="000000"/>
          <w:sz w:val="24"/>
        </w:rPr>
        <w:t>、</w:t>
      </w:r>
      <w:r>
        <w:rPr>
          <w:rFonts w:hint="eastAsia" w:ascii="宋体" w:hAnsi="宋体"/>
          <w:b/>
          <w:bCs/>
          <w:color w:val="000000"/>
          <w:sz w:val="24"/>
        </w:rPr>
        <w:t>产品</w:t>
      </w:r>
      <w:r>
        <w:rPr>
          <w:rFonts w:ascii="宋体" w:hAnsi="宋体"/>
          <w:b/>
          <w:bCs/>
          <w:color w:val="000000"/>
          <w:sz w:val="24"/>
        </w:rPr>
        <w:t>包装</w:t>
      </w:r>
    </w:p>
    <w:p w14:paraId="17D4235F">
      <w:pPr>
        <w:snapToGrid w:val="0"/>
        <w:spacing w:line="360" w:lineRule="auto"/>
        <w:ind w:left="38" w:firstLine="480" w:firstLineChars="200"/>
        <w:rPr>
          <w:rFonts w:ascii="宋体" w:hAnsi="宋体"/>
          <w:color w:val="000000"/>
          <w:sz w:val="24"/>
        </w:rPr>
      </w:pPr>
      <w:r>
        <w:rPr>
          <w:rFonts w:ascii="宋体" w:hAnsi="宋体"/>
          <w:color w:val="000000"/>
          <w:sz w:val="24"/>
        </w:rPr>
        <w:t>1.乙方交付的所有合同产品应具有适于运输的坚固包装，并且乙方应根据合同产品</w:t>
      </w:r>
      <w:r>
        <w:rPr>
          <w:rFonts w:hint="eastAsia" w:ascii="宋体" w:hAnsi="宋体"/>
          <w:color w:val="000000"/>
          <w:sz w:val="24"/>
        </w:rPr>
        <w:t>特性</w:t>
      </w:r>
      <w:r>
        <w:rPr>
          <w:rFonts w:ascii="宋体" w:hAnsi="宋体"/>
          <w:color w:val="000000"/>
          <w:sz w:val="24"/>
        </w:rPr>
        <w:t>采取防潮、防雨、防震、防腐等保护措施，以确保合同产品安全无损地送达交货地点。</w:t>
      </w:r>
    </w:p>
    <w:p w14:paraId="1EC4F69B">
      <w:pPr>
        <w:snapToGrid w:val="0"/>
        <w:spacing w:line="360" w:lineRule="auto"/>
        <w:ind w:left="38" w:firstLine="480" w:firstLineChars="200"/>
        <w:rPr>
          <w:rFonts w:ascii="宋体" w:hAnsi="宋体"/>
          <w:color w:val="000000"/>
          <w:sz w:val="24"/>
        </w:rPr>
      </w:pPr>
      <w:r>
        <w:rPr>
          <w:rFonts w:ascii="宋体" w:hAnsi="宋体"/>
          <w:color w:val="000000"/>
          <w:sz w:val="24"/>
        </w:rPr>
        <w:t>2.乙方在合同产品验收时提供装箱单和合同产品的最小外包装彩图。</w:t>
      </w:r>
    </w:p>
    <w:p w14:paraId="3ED7665D">
      <w:pPr>
        <w:snapToGrid w:val="0"/>
        <w:spacing w:line="360" w:lineRule="auto"/>
        <w:ind w:left="38" w:firstLine="480" w:firstLineChars="200"/>
        <w:rPr>
          <w:rFonts w:ascii="宋体" w:hAnsi="宋体"/>
          <w:color w:val="000000"/>
          <w:sz w:val="24"/>
        </w:rPr>
      </w:pPr>
      <w:r>
        <w:rPr>
          <w:rFonts w:ascii="宋体" w:hAnsi="宋体"/>
          <w:color w:val="000000"/>
          <w:sz w:val="24"/>
        </w:rPr>
        <w:t>3.合同产品</w:t>
      </w:r>
      <w:r>
        <w:rPr>
          <w:rFonts w:hint="eastAsia" w:ascii="宋体" w:hAnsi="宋体"/>
          <w:color w:val="000000"/>
          <w:sz w:val="24"/>
        </w:rPr>
        <w:t>因</w:t>
      </w:r>
      <w:r>
        <w:rPr>
          <w:rFonts w:ascii="宋体" w:hAnsi="宋体"/>
          <w:color w:val="000000"/>
          <w:sz w:val="24"/>
        </w:rPr>
        <w:t>包装不善、标记不明、防护措施不当或在合同产品装箱前保管不良，致使合同产品遭到损坏或丢失，乙方应负责更换，并承担由此给甲方造成的一切损失。</w:t>
      </w:r>
    </w:p>
    <w:p w14:paraId="30E594A8">
      <w:pPr>
        <w:snapToGrid w:val="0"/>
        <w:spacing w:line="360" w:lineRule="auto"/>
        <w:ind w:left="34" w:leftChars="16" w:firstLine="472" w:firstLineChars="196"/>
        <w:rPr>
          <w:rFonts w:ascii="宋体" w:hAnsi="宋体"/>
          <w:b/>
          <w:bCs/>
          <w:color w:val="000000"/>
          <w:sz w:val="24"/>
        </w:rPr>
      </w:pPr>
      <w:r>
        <w:rPr>
          <w:rFonts w:hint="eastAsia" w:ascii="宋体" w:hAnsi="宋体"/>
          <w:b/>
          <w:bCs/>
          <w:color w:val="000000"/>
          <w:sz w:val="24"/>
        </w:rPr>
        <w:t>四</w:t>
      </w:r>
      <w:r>
        <w:rPr>
          <w:rFonts w:ascii="宋体" w:hAnsi="宋体"/>
          <w:b/>
          <w:bCs/>
          <w:color w:val="000000"/>
          <w:sz w:val="24"/>
        </w:rPr>
        <w:t>、</w:t>
      </w:r>
      <w:r>
        <w:rPr>
          <w:rFonts w:hint="eastAsia" w:ascii="宋体" w:hAnsi="宋体"/>
          <w:b/>
          <w:bCs/>
          <w:color w:val="000000"/>
          <w:sz w:val="24"/>
        </w:rPr>
        <w:t>产品运输</w:t>
      </w:r>
    </w:p>
    <w:p w14:paraId="50A32F68">
      <w:pPr>
        <w:snapToGrid w:val="0"/>
        <w:spacing w:line="360" w:lineRule="auto"/>
        <w:ind w:left="38" w:firstLine="480" w:firstLineChars="200"/>
        <w:rPr>
          <w:rFonts w:ascii="宋体" w:hAnsi="宋体"/>
          <w:color w:val="000000"/>
          <w:sz w:val="24"/>
        </w:rPr>
      </w:pPr>
      <w:r>
        <w:rPr>
          <w:rFonts w:ascii="宋体" w:hAnsi="宋体"/>
          <w:color w:val="000000"/>
          <w:sz w:val="24"/>
        </w:rPr>
        <w:t>乙方负责办理运输和保险，将产品运抵</w:t>
      </w:r>
      <w:r>
        <w:rPr>
          <w:rFonts w:hint="eastAsia" w:ascii="宋体" w:hAnsi="宋体"/>
          <w:color w:val="000000"/>
          <w:sz w:val="24"/>
        </w:rPr>
        <w:t>甲方指定</w:t>
      </w:r>
      <w:r>
        <w:rPr>
          <w:rFonts w:ascii="宋体" w:hAnsi="宋体"/>
          <w:color w:val="000000"/>
          <w:sz w:val="24"/>
        </w:rPr>
        <w:t>交货地点，并负责提供验收所需要的相关资料。</w:t>
      </w:r>
      <w:r>
        <w:rPr>
          <w:rFonts w:hint="eastAsia" w:ascii="宋体" w:hAnsi="宋体"/>
          <w:color w:val="000000"/>
          <w:sz w:val="24"/>
        </w:rPr>
        <w:t>到达甲方指定交货地点前的</w:t>
      </w:r>
      <w:r>
        <w:rPr>
          <w:rFonts w:ascii="宋体" w:hAnsi="宋体"/>
          <w:color w:val="000000"/>
          <w:sz w:val="24"/>
        </w:rPr>
        <w:t>运输、保险和装卸等一切相关的费用由乙方承担。</w:t>
      </w:r>
    </w:p>
    <w:p w14:paraId="5B6345E6">
      <w:pPr>
        <w:snapToGrid w:val="0"/>
        <w:spacing w:line="360" w:lineRule="auto"/>
        <w:ind w:left="34" w:leftChars="16" w:firstLine="472" w:firstLineChars="196"/>
        <w:rPr>
          <w:rFonts w:ascii="宋体" w:hAnsi="宋体"/>
          <w:b/>
          <w:bCs/>
          <w:color w:val="000000"/>
          <w:sz w:val="24"/>
        </w:rPr>
      </w:pPr>
      <w:r>
        <w:rPr>
          <w:rFonts w:hint="eastAsia" w:ascii="宋体" w:hAnsi="宋体"/>
          <w:b/>
          <w:bCs/>
          <w:color w:val="000000"/>
          <w:sz w:val="24"/>
        </w:rPr>
        <w:t>五、产品交付</w:t>
      </w:r>
    </w:p>
    <w:p w14:paraId="576C3791">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交付时间：本合同签订后【】日内</w:t>
      </w:r>
    </w:p>
    <w:p w14:paraId="1098DC80">
      <w:pPr>
        <w:snapToGrid w:val="0"/>
        <w:spacing w:line="360" w:lineRule="auto"/>
        <w:ind w:left="38"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交付地点：甲方指定地点/具体地址，如</w:t>
      </w:r>
      <w:r>
        <w:rPr>
          <w:rFonts w:ascii="宋体" w:hAnsi="宋体"/>
          <w:color w:val="000000"/>
          <w:sz w:val="24"/>
        </w:rPr>
        <w:t>同一合同产品</w:t>
      </w:r>
      <w:r>
        <w:rPr>
          <w:rFonts w:hint="eastAsia" w:ascii="宋体" w:hAnsi="宋体"/>
          <w:color w:val="000000"/>
          <w:sz w:val="24"/>
        </w:rPr>
        <w:t>需到</w:t>
      </w:r>
      <w:r>
        <w:rPr>
          <w:rFonts w:ascii="宋体" w:hAnsi="宋体"/>
          <w:color w:val="000000"/>
          <w:sz w:val="24"/>
        </w:rPr>
        <w:t>不同地点</w:t>
      </w:r>
      <w:r>
        <w:rPr>
          <w:rFonts w:hint="eastAsia" w:ascii="宋体" w:hAnsi="宋体"/>
          <w:color w:val="000000"/>
          <w:sz w:val="24"/>
        </w:rPr>
        <w:t>交货，乙方应按甲方提供的交货地点及数量分别交货。</w:t>
      </w:r>
    </w:p>
    <w:p w14:paraId="44144A25">
      <w:pPr>
        <w:snapToGrid w:val="0"/>
        <w:spacing w:line="360" w:lineRule="auto"/>
        <w:ind w:left="38"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乙方按甲方指定日期将产品运送至甲方指定地点，在现场完成交付。</w:t>
      </w:r>
    </w:p>
    <w:p w14:paraId="1CF97850">
      <w:pPr>
        <w:snapToGrid w:val="0"/>
        <w:spacing w:line="360" w:lineRule="auto"/>
        <w:ind w:left="38" w:firstLine="480" w:firstLineChars="200"/>
        <w:rPr>
          <w:rFonts w:ascii="宋体" w:hAnsi="宋体"/>
          <w:color w:val="000000"/>
          <w:sz w:val="24"/>
        </w:rPr>
      </w:pPr>
      <w:r>
        <w:rPr>
          <w:rFonts w:ascii="宋体" w:hAnsi="宋体"/>
          <w:color w:val="000000"/>
          <w:sz w:val="24"/>
        </w:rPr>
        <w:t>4.乙方应在</w:t>
      </w:r>
      <w:r>
        <w:rPr>
          <w:rFonts w:hint="eastAsia" w:ascii="宋体" w:hAnsi="宋体"/>
          <w:color w:val="000000"/>
          <w:sz w:val="24"/>
        </w:rPr>
        <w:t>合同约定的</w:t>
      </w:r>
      <w:r>
        <w:rPr>
          <w:rFonts w:ascii="宋体" w:hAnsi="宋体"/>
          <w:color w:val="000000"/>
          <w:sz w:val="24"/>
        </w:rPr>
        <w:t>交货</w:t>
      </w:r>
      <w:r>
        <w:rPr>
          <w:rFonts w:hint="eastAsia" w:ascii="宋体" w:hAnsi="宋体"/>
          <w:color w:val="000000"/>
          <w:sz w:val="24"/>
        </w:rPr>
        <w:t>日期前【5】日</w:t>
      </w:r>
      <w:r>
        <w:rPr>
          <w:rFonts w:ascii="宋体" w:hAnsi="宋体"/>
          <w:color w:val="000000"/>
          <w:sz w:val="24"/>
        </w:rPr>
        <w:t>，向甲方提供交货计划（内容包括：合同编号、产品名称、数量、价格、箱数、规格、重量和体积、拟发运的时间及其他必要的说明），并于发运的同时通知甲方。</w:t>
      </w:r>
    </w:p>
    <w:p w14:paraId="268ECAE5">
      <w:pPr>
        <w:snapToGrid w:val="0"/>
        <w:spacing w:line="360" w:lineRule="auto"/>
        <w:ind w:left="38"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乙方应在产品到达交付地点前2</w:t>
      </w:r>
      <w:r>
        <w:rPr>
          <w:rFonts w:ascii="宋体" w:hAnsi="宋体"/>
          <w:color w:val="000000"/>
          <w:sz w:val="24"/>
        </w:rPr>
        <w:t>4</w:t>
      </w:r>
      <w:r>
        <w:rPr>
          <w:rFonts w:hint="eastAsia" w:ascii="宋体" w:hAnsi="宋体"/>
          <w:color w:val="000000"/>
          <w:sz w:val="24"/>
        </w:rPr>
        <w:t>小时，与甲方指定人员联系确认产品到达及装卸、搬运的具体事宜。</w:t>
      </w:r>
    </w:p>
    <w:p w14:paraId="50C8E220">
      <w:pPr>
        <w:snapToGrid w:val="0"/>
        <w:spacing w:line="360" w:lineRule="auto"/>
        <w:ind w:left="38"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产</w:t>
      </w:r>
      <w:r>
        <w:rPr>
          <w:rFonts w:ascii="宋体" w:hAnsi="宋体"/>
          <w:color w:val="000000"/>
          <w:sz w:val="24"/>
        </w:rPr>
        <w:t>品</w:t>
      </w:r>
      <w:r>
        <w:rPr>
          <w:rFonts w:hint="eastAsia" w:ascii="宋体" w:hAnsi="宋体"/>
          <w:color w:val="000000"/>
          <w:sz w:val="24"/>
        </w:rPr>
        <w:t>运送</w:t>
      </w:r>
      <w:r>
        <w:rPr>
          <w:rFonts w:ascii="宋体" w:hAnsi="宋体"/>
          <w:color w:val="000000"/>
          <w:sz w:val="24"/>
        </w:rPr>
        <w:t>至甲方指定位置，经甲方核对无误，甲、乙双方签署</w:t>
      </w:r>
      <w:r>
        <w:rPr>
          <w:rFonts w:hint="eastAsia" w:ascii="宋体" w:hAnsi="宋体"/>
          <w:color w:val="000000"/>
          <w:sz w:val="24"/>
        </w:rPr>
        <w:t>收货单，乙方指定人员【】必须在产品交付当日到达现场。收货单</w:t>
      </w:r>
      <w:r>
        <w:rPr>
          <w:rFonts w:ascii="宋体" w:hAnsi="宋体"/>
          <w:color w:val="000000"/>
          <w:sz w:val="24"/>
        </w:rPr>
        <w:t>一式</w:t>
      </w:r>
      <w:r>
        <w:rPr>
          <w:rFonts w:hint="eastAsia" w:ascii="宋体" w:hAnsi="宋体"/>
          <w:color w:val="000000"/>
          <w:sz w:val="24"/>
        </w:rPr>
        <w:t>贰</w:t>
      </w:r>
      <w:r>
        <w:rPr>
          <w:rFonts w:ascii="宋体" w:hAnsi="宋体"/>
          <w:color w:val="000000"/>
          <w:sz w:val="24"/>
        </w:rPr>
        <w:t>份，甲方执一份、乙方执</w:t>
      </w:r>
      <w:r>
        <w:rPr>
          <w:rFonts w:hint="eastAsia" w:ascii="宋体" w:hAnsi="宋体"/>
          <w:color w:val="000000"/>
          <w:sz w:val="24"/>
        </w:rPr>
        <w:t>一份</w:t>
      </w:r>
      <w:r>
        <w:rPr>
          <w:rFonts w:ascii="宋体" w:hAnsi="宋体"/>
          <w:color w:val="000000"/>
          <w:sz w:val="24"/>
        </w:rPr>
        <w:t>。交货完成后，产品所有权、风险发生转移，在此之前产品的一切风险由乙方承担。</w:t>
      </w:r>
    </w:p>
    <w:p w14:paraId="09F8CCA7">
      <w:pPr>
        <w:snapToGrid w:val="0"/>
        <w:spacing w:line="360" w:lineRule="auto"/>
        <w:ind w:left="38" w:firstLine="480" w:firstLineChars="200"/>
        <w:rPr>
          <w:rFonts w:ascii="宋体" w:hAnsi="宋体"/>
          <w:color w:val="000000"/>
          <w:sz w:val="24"/>
        </w:rPr>
      </w:pPr>
      <w:r>
        <w:rPr>
          <w:rFonts w:hint="eastAsia" w:ascii="宋体" w:hAnsi="宋体"/>
          <w:color w:val="000000"/>
          <w:sz w:val="24"/>
        </w:rPr>
        <w:t>7</w:t>
      </w:r>
      <w:r>
        <w:rPr>
          <w:rFonts w:ascii="宋体" w:hAnsi="宋体"/>
          <w:color w:val="000000"/>
          <w:sz w:val="24"/>
        </w:rPr>
        <w:t>.其他约定事项</w:t>
      </w:r>
      <w:r>
        <w:rPr>
          <w:rFonts w:hint="eastAsia" w:ascii="宋体" w:hAnsi="宋体"/>
          <w:color w:val="000000"/>
          <w:sz w:val="24"/>
        </w:rPr>
        <w:t>：</w:t>
      </w:r>
      <w:r>
        <w:rPr>
          <w:rFonts w:ascii="宋体" w:hAnsi="宋体"/>
          <w:color w:val="000000"/>
          <w:sz w:val="24"/>
        </w:rPr>
        <w:t>。</w:t>
      </w:r>
    </w:p>
    <w:p w14:paraId="428ABF2C">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六</w:t>
      </w:r>
      <w:r>
        <w:rPr>
          <w:rFonts w:ascii="宋体" w:hAnsi="宋体"/>
          <w:b/>
          <w:bCs/>
          <w:color w:val="000000"/>
          <w:sz w:val="24"/>
        </w:rPr>
        <w:t>、质量标准和检验</w:t>
      </w:r>
    </w:p>
    <w:p w14:paraId="2E7BAB99">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乙方应保证提供给甲方的合同产品是产品生产厂商原</w:t>
      </w:r>
      <w:r>
        <w:rPr>
          <w:rFonts w:hint="eastAsia" w:ascii="宋体" w:hAnsi="宋体"/>
          <w:color w:val="000000"/>
          <w:sz w:val="24"/>
        </w:rPr>
        <w:t>产</w:t>
      </w:r>
      <w:r>
        <w:rPr>
          <w:rFonts w:ascii="宋体" w:hAnsi="宋体"/>
          <w:color w:val="000000"/>
          <w:sz w:val="24"/>
        </w:rPr>
        <w:t>的，全新、未开封的，符合国家标准</w:t>
      </w:r>
      <w:r>
        <w:rPr>
          <w:rFonts w:hint="eastAsia" w:ascii="宋体" w:hAnsi="宋体"/>
          <w:color w:val="000000"/>
          <w:sz w:val="24"/>
        </w:rPr>
        <w:t>（包括</w:t>
      </w:r>
      <w:r>
        <w:rPr>
          <w:rFonts w:ascii="宋体" w:hAnsi="宋体"/>
          <w:color w:val="000000"/>
          <w:sz w:val="24"/>
        </w:rPr>
        <w:t>强制</w:t>
      </w:r>
      <w:r>
        <w:rPr>
          <w:rFonts w:hint="eastAsia" w:ascii="宋体" w:hAnsi="宋体"/>
          <w:color w:val="000000"/>
          <w:sz w:val="24"/>
        </w:rPr>
        <w:t>标准及</w:t>
      </w:r>
      <w:r>
        <w:rPr>
          <w:rFonts w:ascii="宋体" w:hAnsi="宋体"/>
          <w:color w:val="000000"/>
          <w:sz w:val="24"/>
        </w:rPr>
        <w:t>推荐</w:t>
      </w:r>
      <w:r>
        <w:rPr>
          <w:rFonts w:hint="eastAsia" w:ascii="宋体" w:hAnsi="宋体"/>
          <w:color w:val="000000"/>
          <w:sz w:val="24"/>
        </w:rPr>
        <w:t>标准）</w:t>
      </w:r>
      <w:r>
        <w:rPr>
          <w:rFonts w:ascii="宋体" w:hAnsi="宋体"/>
          <w:color w:val="000000"/>
          <w:sz w:val="24"/>
        </w:rPr>
        <w:t>、行业标准、企业标准及相应的技术规范要求中要求最高的标准。</w:t>
      </w:r>
    </w:p>
    <w:p w14:paraId="4F870DD5">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乙方提供给甲方的合同产品应通过产品生产厂检验，并提供质量合格证书。</w:t>
      </w:r>
    </w:p>
    <w:p w14:paraId="3D3511B0">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甲方</w:t>
      </w:r>
      <w:r>
        <w:rPr>
          <w:rFonts w:hint="eastAsia" w:ascii="宋体" w:hAnsi="宋体"/>
          <w:color w:val="000000"/>
          <w:sz w:val="24"/>
        </w:rPr>
        <w:t>在产品交付现场</w:t>
      </w:r>
      <w:r>
        <w:rPr>
          <w:rFonts w:ascii="宋体" w:hAnsi="宋体"/>
          <w:color w:val="000000"/>
          <w:sz w:val="24"/>
        </w:rPr>
        <w:t>对合同产品的数量、规格和质量的检验，</w:t>
      </w:r>
      <w:r>
        <w:rPr>
          <w:rFonts w:hint="eastAsia" w:ascii="宋体" w:hAnsi="宋体"/>
          <w:color w:val="000000"/>
          <w:sz w:val="24"/>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14:paraId="29E124BA">
      <w:pPr>
        <w:snapToGrid w:val="0"/>
        <w:spacing w:line="360" w:lineRule="auto"/>
        <w:ind w:left="136" w:leftChars="65" w:firstLine="354" w:firstLineChars="147"/>
        <w:rPr>
          <w:rFonts w:ascii="宋体" w:hAnsi="宋体"/>
          <w:color w:val="000000"/>
          <w:sz w:val="24"/>
        </w:rPr>
      </w:pPr>
      <w:r>
        <w:rPr>
          <w:rFonts w:hint="eastAsia" w:ascii="宋体" w:hAnsi="宋体"/>
          <w:b/>
          <w:bCs/>
          <w:color w:val="000000"/>
          <w:sz w:val="24"/>
        </w:rPr>
        <w:t>七</w:t>
      </w:r>
      <w:r>
        <w:rPr>
          <w:rFonts w:ascii="宋体" w:hAnsi="宋体"/>
          <w:b/>
          <w:bCs/>
          <w:color w:val="000000"/>
          <w:sz w:val="24"/>
        </w:rPr>
        <w:t>、</w:t>
      </w:r>
      <w:r>
        <w:rPr>
          <w:rFonts w:hint="eastAsia" w:ascii="宋体" w:hAnsi="宋体"/>
          <w:b/>
          <w:bCs/>
          <w:color w:val="000000"/>
          <w:sz w:val="24"/>
        </w:rPr>
        <w:t>质量保证</w:t>
      </w:r>
    </w:p>
    <w:p w14:paraId="23BF4886">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.乙方提供为期【】个月的质量保证，质保期内对于产品的非人为损坏承担保修责任，质保期自乙方所供产品全部经甲方验收合格之日起算。质保期内产生的人工、配件更换等一切费用均由乙方自行承担。</w:t>
      </w:r>
    </w:p>
    <w:p w14:paraId="59CF2CB5">
      <w:pPr>
        <w:snapToGrid w:val="0"/>
        <w:spacing w:line="360" w:lineRule="auto"/>
        <w:ind w:left="38"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乙方保证在合同产品</w:t>
      </w:r>
      <w:r>
        <w:rPr>
          <w:rFonts w:hint="eastAsia" w:ascii="宋体" w:hAnsi="宋体"/>
          <w:color w:val="000000"/>
          <w:sz w:val="24"/>
        </w:rPr>
        <w:t>出现质量问题</w:t>
      </w:r>
      <w:r>
        <w:rPr>
          <w:rFonts w:ascii="宋体" w:hAnsi="宋体"/>
          <w:color w:val="000000"/>
          <w:sz w:val="24"/>
        </w:rPr>
        <w:t>，或接到甲方提出质疑或合理服务要求后2小时内予以答复，如甲方有要求或必要时，乙方应在接到甲方通知后，8小时内派人员提供现场服务。</w:t>
      </w:r>
    </w:p>
    <w:p w14:paraId="1B1FE1FE">
      <w:pPr>
        <w:snapToGrid w:val="0"/>
        <w:spacing w:line="360" w:lineRule="auto"/>
        <w:ind w:left="38" w:firstLine="480" w:firstLineChars="200"/>
        <w:rPr>
          <w:rFonts w:ascii="宋体" w:hAnsi="宋体"/>
          <w:color w:val="000000"/>
          <w:sz w:val="24"/>
        </w:rPr>
      </w:pPr>
      <w:r>
        <w:rPr>
          <w:rFonts w:hint="eastAsia" w:ascii="宋体" w:hAnsi="宋体"/>
          <w:color w:val="000000"/>
          <w:sz w:val="24"/>
        </w:rPr>
        <w:t>3.乙方未能按合同约定履行保修义务，甲方有权另行委托第三方对产品进行维修，由此产生的费用由乙方承担，甲方有权在未付货款中扣除。</w:t>
      </w:r>
    </w:p>
    <w:p w14:paraId="290BD193">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八</w:t>
      </w:r>
      <w:r>
        <w:rPr>
          <w:rFonts w:ascii="宋体" w:hAnsi="宋体"/>
          <w:b/>
          <w:bCs/>
          <w:color w:val="000000"/>
          <w:sz w:val="24"/>
        </w:rPr>
        <w:t>、</w:t>
      </w:r>
      <w:r>
        <w:rPr>
          <w:rFonts w:hint="eastAsia" w:ascii="宋体" w:hAnsi="宋体"/>
          <w:b/>
          <w:bCs/>
          <w:color w:val="000000"/>
          <w:sz w:val="24"/>
        </w:rPr>
        <w:t>保密义务</w:t>
      </w:r>
    </w:p>
    <w:p w14:paraId="550DBB84">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14:paraId="09371987">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2.未经甲方事先书面确认，乙方不得利用本合同内容进行任何形式的宣传。</w:t>
      </w:r>
    </w:p>
    <w:p w14:paraId="4AF7C3B6">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3.保密期限为本合同签订之日起【5】年。</w:t>
      </w:r>
    </w:p>
    <w:p w14:paraId="0E9CEDB8">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九、违</w:t>
      </w:r>
      <w:r>
        <w:rPr>
          <w:rFonts w:ascii="宋体" w:hAnsi="宋体"/>
          <w:b/>
          <w:bCs/>
          <w:color w:val="000000"/>
          <w:sz w:val="24"/>
        </w:rPr>
        <w:t>约责任</w:t>
      </w:r>
    </w:p>
    <w:p w14:paraId="0B3EC04B">
      <w:pPr>
        <w:snapToGrid w:val="0"/>
        <w:spacing w:line="360" w:lineRule="auto"/>
        <w:ind w:left="38" w:firstLine="480" w:firstLineChars="200"/>
        <w:rPr>
          <w:rFonts w:ascii="宋体" w:hAnsi="宋体"/>
          <w:color w:val="000000"/>
          <w:sz w:val="24"/>
        </w:rPr>
      </w:pPr>
      <w:r>
        <w:rPr>
          <w:rFonts w:hint="eastAsia" w:ascii="宋体" w:hAnsi="宋体"/>
          <w:color w:val="000000"/>
          <w:sz w:val="24"/>
        </w:rPr>
        <w:t>1.乙方未能按约定时间完成产品交付，每逾期一日，应向甲方支付合同总金额【</w:t>
      </w:r>
      <w:r>
        <w:rPr>
          <w:rFonts w:ascii="宋体" w:hAnsi="宋体"/>
          <w:color w:val="000000"/>
          <w:sz w:val="24"/>
        </w:rPr>
        <w:t>1%</w:t>
      </w:r>
      <w:r>
        <w:rPr>
          <w:rFonts w:hint="eastAsia" w:ascii="宋体" w:hAnsi="宋体"/>
          <w:color w:val="000000"/>
          <w:sz w:val="24"/>
        </w:rPr>
        <w:t>】的违约金，逾期超过【</w:t>
      </w:r>
      <w:r>
        <w:rPr>
          <w:rFonts w:ascii="宋体" w:hAnsi="宋体"/>
          <w:color w:val="000000"/>
          <w:sz w:val="24"/>
        </w:rPr>
        <w:t>15</w:t>
      </w:r>
      <w:r>
        <w:rPr>
          <w:rFonts w:hint="eastAsia" w:ascii="宋体" w:hAnsi="宋体"/>
          <w:color w:val="000000"/>
          <w:sz w:val="24"/>
        </w:rPr>
        <w:t>】日，甲方有权单方解除合同，乙方应另行向甲方支付合同总金额的【</w:t>
      </w:r>
      <w:r>
        <w:rPr>
          <w:rFonts w:ascii="宋体" w:hAnsi="宋体"/>
          <w:color w:val="000000"/>
          <w:sz w:val="24"/>
        </w:rPr>
        <w:t>2</w:t>
      </w:r>
      <w:r>
        <w:rPr>
          <w:rFonts w:hint="eastAsia" w:ascii="宋体" w:hAnsi="宋体"/>
          <w:color w:val="000000"/>
          <w:sz w:val="24"/>
        </w:rPr>
        <w:t>0%】作为违约金，该违约金不足以弥补甲方损失的，乙方应当予以补足。</w:t>
      </w:r>
    </w:p>
    <w:p w14:paraId="3B39FE1A">
      <w:pPr>
        <w:snapToGrid w:val="0"/>
        <w:spacing w:line="360" w:lineRule="auto"/>
        <w:ind w:left="38" w:firstLine="480" w:firstLineChars="200"/>
        <w:rPr>
          <w:rFonts w:ascii="宋体" w:hAnsi="宋体"/>
          <w:color w:val="000000"/>
          <w:sz w:val="24"/>
        </w:rPr>
      </w:pPr>
      <w:r>
        <w:rPr>
          <w:rFonts w:hint="eastAsia" w:ascii="宋体" w:hAnsi="宋体"/>
          <w:color w:val="000000"/>
          <w:sz w:val="24"/>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sz w:val="24"/>
        </w:rPr>
        <w:t>20%</w:t>
      </w:r>
      <w:r>
        <w:rPr>
          <w:rFonts w:hint="eastAsia" w:ascii="宋体" w:hAnsi="宋体"/>
          <w:color w:val="000000"/>
          <w:sz w:val="24"/>
        </w:rPr>
        <w:t>】作为违约金。</w:t>
      </w:r>
    </w:p>
    <w:p w14:paraId="6F5F4748">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.乙方交货前，甲方有权单方终止采购的，但应提前1</w:t>
      </w:r>
      <w:r>
        <w:rPr>
          <w:rFonts w:ascii="宋体" w:hAnsi="宋体"/>
          <w:color w:val="000000"/>
          <w:sz w:val="24"/>
        </w:rPr>
        <w:t>0</w:t>
      </w:r>
      <w:r>
        <w:rPr>
          <w:rFonts w:hint="eastAsia" w:ascii="宋体" w:hAnsi="宋体"/>
          <w:color w:val="000000"/>
          <w:sz w:val="24"/>
        </w:rPr>
        <w:t>日书面通知乙方。</w:t>
      </w:r>
    </w:p>
    <w:p w14:paraId="7906F900">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4.乙方违反保密义务的相关约定，甲方有权单方解除合同，乙方应向甲方支付合同总金额的【30%】作为违约金，该违约金不足以弥补甲方损失的，乙方应当予以补足。</w:t>
      </w:r>
    </w:p>
    <w:p w14:paraId="699D2420">
      <w:pPr>
        <w:snapToGrid w:val="0"/>
        <w:spacing w:line="360" w:lineRule="auto"/>
        <w:ind w:left="38" w:firstLine="482" w:firstLineChars="200"/>
        <w:rPr>
          <w:rFonts w:ascii="宋体" w:hAnsi="宋体"/>
          <w:b/>
          <w:bCs/>
          <w:color w:val="000000"/>
          <w:sz w:val="24"/>
        </w:rPr>
      </w:pPr>
      <w:r>
        <w:rPr>
          <w:rFonts w:ascii="宋体" w:hAnsi="宋体"/>
          <w:b/>
          <w:bCs/>
          <w:color w:val="000000"/>
          <w:sz w:val="24"/>
        </w:rPr>
        <w:t>十、不可抗力</w:t>
      </w:r>
    </w:p>
    <w:p w14:paraId="51A5CA51">
      <w:pPr>
        <w:snapToGrid w:val="0"/>
        <w:spacing w:line="360" w:lineRule="auto"/>
        <w:ind w:left="38" w:firstLine="480" w:firstLineChars="200"/>
        <w:rPr>
          <w:rFonts w:ascii="宋体" w:hAnsi="宋体"/>
          <w:color w:val="000000"/>
          <w:sz w:val="24"/>
        </w:rPr>
      </w:pPr>
      <w:r>
        <w:rPr>
          <w:rFonts w:ascii="宋体" w:hAnsi="宋体"/>
          <w:color w:val="000000"/>
          <w:sz w:val="24"/>
        </w:rPr>
        <w:t>1.不可抗力指下列事件：战争、动乱、瘟疫、严重火灾、洪水、地震、风暴或其他自然灾害，以及本合同各方不可预见、不可防止并不能避免或克服的一切其他事件。</w:t>
      </w:r>
    </w:p>
    <w:p w14:paraId="1F01B499">
      <w:pPr>
        <w:snapToGrid w:val="0"/>
        <w:spacing w:line="360" w:lineRule="auto"/>
        <w:ind w:left="38" w:firstLine="480" w:firstLineChars="200"/>
        <w:rPr>
          <w:rFonts w:ascii="宋体" w:hAnsi="宋体"/>
          <w:color w:val="000000"/>
          <w:sz w:val="24"/>
        </w:rPr>
      </w:pPr>
      <w:r>
        <w:rPr>
          <w:rFonts w:ascii="宋体" w:hAnsi="宋体"/>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14:paraId="065417B4">
      <w:pPr>
        <w:snapToGrid w:val="0"/>
        <w:spacing w:line="360" w:lineRule="auto"/>
        <w:ind w:left="38" w:firstLine="480" w:firstLineChars="200"/>
        <w:rPr>
          <w:rFonts w:ascii="宋体" w:hAnsi="宋体"/>
          <w:color w:val="000000"/>
          <w:sz w:val="24"/>
        </w:rPr>
      </w:pPr>
      <w:r>
        <w:rPr>
          <w:rFonts w:ascii="宋体" w:hAnsi="宋体"/>
          <w:color w:val="00000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5F35811C">
      <w:pPr>
        <w:snapToGrid w:val="0"/>
        <w:spacing w:line="360" w:lineRule="auto"/>
        <w:ind w:left="38" w:firstLine="480" w:firstLineChars="200"/>
        <w:rPr>
          <w:rFonts w:ascii="宋体" w:hAnsi="宋体"/>
          <w:color w:val="000000"/>
          <w:sz w:val="24"/>
        </w:rPr>
      </w:pPr>
      <w:r>
        <w:rPr>
          <w:rFonts w:ascii="宋体" w:hAnsi="宋体"/>
          <w:color w:val="000000"/>
          <w:sz w:val="24"/>
        </w:rPr>
        <w:t>4.合同双方应根据不可抗力对本合同履行的影响程度，协商确定是否终止本合同，或是继续履行本合同。</w:t>
      </w:r>
    </w:p>
    <w:p w14:paraId="5F1F35C1">
      <w:pPr>
        <w:snapToGrid w:val="0"/>
        <w:spacing w:line="360" w:lineRule="auto"/>
        <w:ind w:firstLine="482" w:firstLineChars="200"/>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w:t>
      </w:r>
      <w:r>
        <w:rPr>
          <w:rFonts w:hint="eastAsia" w:ascii="宋体" w:hAnsi="宋体"/>
          <w:b/>
          <w:bCs/>
          <w:color w:val="000000"/>
          <w:sz w:val="24"/>
        </w:rPr>
        <w:t>通知及送达</w:t>
      </w:r>
    </w:p>
    <w:p w14:paraId="392ED888">
      <w:pPr>
        <w:tabs>
          <w:tab w:val="left" w:pos="840"/>
        </w:tabs>
        <w:snapToGrid w:val="0"/>
        <w:spacing w:line="360" w:lineRule="auto"/>
        <w:ind w:left="38" w:firstLine="480" w:firstLineChars="200"/>
        <w:rPr>
          <w:rFonts w:ascii="宋体" w:hAnsi="宋体"/>
          <w:color w:val="000000"/>
          <w:sz w:val="24"/>
        </w:rPr>
      </w:pPr>
      <w:r>
        <w:rPr>
          <w:rFonts w:ascii="宋体" w:hAnsi="宋体"/>
          <w:color w:val="000000"/>
          <w:sz w:val="24"/>
        </w:rPr>
        <w:t>1.合同双方发出与本合同有关的通知或回复，应以专人送递、传真或特快专递方式发出；如果以专人送递或特快专递发送，以</w:t>
      </w:r>
      <w:r>
        <w:rPr>
          <w:rFonts w:hint="eastAsia" w:ascii="宋体" w:hAnsi="宋体"/>
          <w:color w:val="000000"/>
          <w:sz w:val="24"/>
        </w:rPr>
        <w:t>送达</w:t>
      </w:r>
      <w:r>
        <w:rPr>
          <w:rFonts w:ascii="宋体" w:hAnsi="宋体"/>
          <w:color w:val="000000"/>
          <w:sz w:val="24"/>
        </w:rPr>
        <w:t>对方的住所地或通讯联络地为送达；如果以传真方式发送，发件人在收到传真报告后视为送达。</w:t>
      </w:r>
    </w:p>
    <w:p w14:paraId="545762DA">
      <w:pPr>
        <w:tabs>
          <w:tab w:val="left" w:pos="840"/>
        </w:tabs>
        <w:snapToGrid w:val="0"/>
        <w:spacing w:line="360" w:lineRule="auto"/>
        <w:ind w:left="38" w:firstLine="480" w:firstLineChars="200"/>
        <w:rPr>
          <w:rFonts w:ascii="宋体" w:hAnsi="宋体"/>
          <w:color w:val="000000"/>
          <w:sz w:val="24"/>
        </w:rPr>
      </w:pPr>
      <w:r>
        <w:rPr>
          <w:rFonts w:ascii="宋体" w:hAnsi="宋体"/>
          <w:color w:val="000000"/>
          <w:sz w:val="24"/>
        </w:rPr>
        <w:t>2.合同双方发出的与本合同有关的通知或回复均应</w:t>
      </w:r>
      <w:r>
        <w:rPr>
          <w:rFonts w:hint="eastAsia" w:ascii="宋体" w:hAnsi="宋体"/>
          <w:color w:val="000000"/>
          <w:sz w:val="24"/>
        </w:rPr>
        <w:t>按合同签署页所列信息发送，相关联系信息</w:t>
      </w:r>
      <w:r>
        <w:rPr>
          <w:rFonts w:ascii="宋体" w:hAnsi="宋体"/>
          <w:color w:val="000000"/>
          <w:sz w:val="24"/>
        </w:rPr>
        <w:t>变更，应自变更之日起3个工作日内，将变更后的</w:t>
      </w:r>
      <w:r>
        <w:rPr>
          <w:rFonts w:hint="eastAsia" w:ascii="宋体" w:hAnsi="宋体"/>
          <w:color w:val="000000"/>
          <w:sz w:val="24"/>
        </w:rPr>
        <w:t>联系信息</w:t>
      </w:r>
      <w:r>
        <w:rPr>
          <w:rFonts w:ascii="宋体" w:hAnsi="宋体"/>
          <w:color w:val="000000"/>
          <w:sz w:val="24"/>
        </w:rPr>
        <w:t>通知对方。变更方不履行通知义务的，应对此造成的一切后果承担法律责任。</w:t>
      </w:r>
    </w:p>
    <w:p w14:paraId="5F83A9C7">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、合同的终止</w:t>
      </w:r>
    </w:p>
    <w:p w14:paraId="3DE2D67C">
      <w:pPr>
        <w:snapToGrid w:val="0"/>
        <w:spacing w:line="360" w:lineRule="auto"/>
        <w:ind w:left="38" w:firstLine="480" w:firstLineChars="200"/>
        <w:rPr>
          <w:rFonts w:ascii="宋体" w:hAnsi="宋体"/>
          <w:color w:val="000000"/>
          <w:sz w:val="24"/>
        </w:rPr>
      </w:pPr>
      <w:r>
        <w:rPr>
          <w:rFonts w:ascii="宋体" w:hAnsi="宋体"/>
          <w:color w:val="000000"/>
          <w:sz w:val="24"/>
        </w:rPr>
        <w:t>1.本合同因下列原因而终止：</w:t>
      </w:r>
    </w:p>
    <w:p w14:paraId="21D80860">
      <w:pPr>
        <w:snapToGrid w:val="0"/>
        <w:spacing w:line="360" w:lineRule="auto"/>
        <w:ind w:left="38" w:firstLine="480" w:firstLineChars="200"/>
        <w:rPr>
          <w:rFonts w:ascii="宋体" w:hAnsi="宋体"/>
          <w:color w:val="000000"/>
          <w:sz w:val="24"/>
        </w:rPr>
      </w:pPr>
      <w:r>
        <w:rPr>
          <w:rFonts w:ascii="宋体" w:hAnsi="宋体"/>
          <w:color w:val="000000"/>
          <w:sz w:val="24"/>
        </w:rPr>
        <w:t>（1）本合同正常履行完毕；</w:t>
      </w:r>
    </w:p>
    <w:p w14:paraId="4EDF9042">
      <w:pPr>
        <w:snapToGrid w:val="0"/>
        <w:spacing w:line="360" w:lineRule="auto"/>
        <w:ind w:left="38" w:firstLine="480" w:firstLineChars="200"/>
        <w:rPr>
          <w:rFonts w:ascii="宋体" w:hAnsi="宋体"/>
          <w:color w:val="000000"/>
          <w:sz w:val="24"/>
        </w:rPr>
      </w:pPr>
      <w:r>
        <w:rPr>
          <w:rFonts w:ascii="宋体" w:hAnsi="宋体"/>
          <w:color w:val="000000"/>
          <w:sz w:val="24"/>
        </w:rPr>
        <w:t>（2）合同双方协议终止本合同的履行；</w:t>
      </w:r>
    </w:p>
    <w:p w14:paraId="1CB5887B">
      <w:pPr>
        <w:snapToGrid w:val="0"/>
        <w:spacing w:line="360" w:lineRule="auto"/>
        <w:ind w:left="38" w:firstLine="480" w:firstLineChars="200"/>
        <w:rPr>
          <w:rFonts w:ascii="宋体" w:hAnsi="宋体"/>
          <w:color w:val="000000"/>
          <w:sz w:val="24"/>
        </w:rPr>
      </w:pPr>
      <w:r>
        <w:rPr>
          <w:rFonts w:ascii="宋体" w:hAnsi="宋体"/>
          <w:color w:val="000000"/>
          <w:sz w:val="24"/>
        </w:rPr>
        <w:t>（3）不可抗力事件导致本合同无法履行；</w:t>
      </w:r>
    </w:p>
    <w:p w14:paraId="04D061E2">
      <w:pPr>
        <w:snapToGrid w:val="0"/>
        <w:spacing w:line="360" w:lineRule="auto"/>
        <w:ind w:left="38" w:firstLine="480" w:firstLineChars="200"/>
        <w:rPr>
          <w:rFonts w:ascii="宋体" w:hAnsi="宋体"/>
          <w:color w:val="000000"/>
          <w:sz w:val="24"/>
        </w:rPr>
      </w:pPr>
      <w:r>
        <w:rPr>
          <w:rFonts w:ascii="宋体" w:hAnsi="宋体"/>
          <w:color w:val="000000"/>
          <w:sz w:val="24"/>
        </w:rPr>
        <w:t>（4）任何一方</w:t>
      </w:r>
      <w:r>
        <w:rPr>
          <w:rFonts w:hint="eastAsia" w:ascii="宋体" w:hAnsi="宋体"/>
          <w:color w:val="000000"/>
          <w:sz w:val="24"/>
        </w:rPr>
        <w:t>依据法律规定或本合同约定</w:t>
      </w:r>
      <w:r>
        <w:rPr>
          <w:rFonts w:ascii="宋体" w:hAnsi="宋体"/>
          <w:color w:val="000000"/>
          <w:sz w:val="24"/>
        </w:rPr>
        <w:t>行使解除权，解除本合同。</w:t>
      </w:r>
    </w:p>
    <w:p w14:paraId="54EC010B">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本合同因任何原因终止，保密义务条款仍然有效。</w:t>
      </w:r>
    </w:p>
    <w:p w14:paraId="1F470347">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争议的解决</w:t>
      </w:r>
    </w:p>
    <w:p w14:paraId="29C2832A">
      <w:pPr>
        <w:snapToGrid w:val="0"/>
        <w:spacing w:line="360" w:lineRule="auto"/>
        <w:ind w:left="38" w:firstLine="480" w:firstLineChars="200"/>
        <w:rPr>
          <w:rFonts w:ascii="宋体" w:hAnsi="宋体"/>
          <w:color w:val="000000"/>
          <w:sz w:val="24"/>
        </w:rPr>
      </w:pPr>
      <w:r>
        <w:rPr>
          <w:rFonts w:ascii="宋体" w:hAnsi="宋体"/>
          <w:color w:val="000000"/>
          <w:sz w:val="24"/>
        </w:rPr>
        <w:t>1.合同双方应通过友好协商解决因解释﹑执行本合同所发生的和本合同有关的一切争议。如果经协商不能达成协议，则双方同意在甲方住所地有管辖权的人民法院提起诉讼。</w:t>
      </w:r>
    </w:p>
    <w:p w14:paraId="730C7A3D">
      <w:pPr>
        <w:snapToGrid w:val="0"/>
        <w:spacing w:line="360" w:lineRule="auto"/>
        <w:ind w:left="38" w:firstLine="480" w:firstLineChars="200"/>
        <w:rPr>
          <w:rFonts w:ascii="宋体" w:hAnsi="宋体"/>
          <w:color w:val="000000"/>
          <w:sz w:val="24"/>
        </w:rPr>
      </w:pPr>
      <w:r>
        <w:rPr>
          <w:rFonts w:ascii="宋体" w:hAnsi="宋体"/>
          <w:color w:val="000000"/>
          <w:sz w:val="24"/>
        </w:rPr>
        <w:t>2.在诉讼期间，除了必须在诉讼过程中进行解决的那部分问题外，合同其余部分应继续履行。</w:t>
      </w:r>
    </w:p>
    <w:p w14:paraId="0B76A835">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四</w:t>
      </w:r>
      <w:r>
        <w:rPr>
          <w:rFonts w:ascii="宋体" w:hAnsi="宋体"/>
          <w:b/>
          <w:bCs/>
          <w:color w:val="000000"/>
          <w:sz w:val="24"/>
        </w:rPr>
        <w:t>、合同的补充、修改和变更</w:t>
      </w:r>
    </w:p>
    <w:p w14:paraId="66E8A0E7">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双方协商一致，可以对本合同进行补充、修改或变更。</w:t>
      </w:r>
    </w:p>
    <w:p w14:paraId="11B9F9DF">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对本合同的任何补充、修改或变更必须以书面形式进行。</w:t>
      </w:r>
    </w:p>
    <w:p w14:paraId="47704DEC">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双方签订的补充协议以及修改或变更的条款与本合同具有同等法律效力。</w:t>
      </w:r>
    </w:p>
    <w:p w14:paraId="547F4CF4">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五</w:t>
      </w:r>
      <w:r>
        <w:rPr>
          <w:rFonts w:ascii="宋体" w:hAnsi="宋体"/>
          <w:b/>
          <w:bCs/>
          <w:color w:val="000000"/>
          <w:sz w:val="24"/>
        </w:rPr>
        <w:t>、其它约定事项</w:t>
      </w:r>
    </w:p>
    <w:p w14:paraId="0DDACBAF">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本合同经双方法定代表人（负责人）或授权代表签字并加盖单位公章后生效。</w:t>
      </w:r>
    </w:p>
    <w:p w14:paraId="3C6561A4">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一方当事人未经另外一方书面同意，不得将其在合同项下的权利和义务全部或部分转让给第三人。</w:t>
      </w:r>
    </w:p>
    <w:p w14:paraId="061C8F68">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本合同正本</w:t>
      </w:r>
      <w:r>
        <w:rPr>
          <w:rFonts w:hint="eastAsia" w:ascii="宋体" w:hAnsi="宋体"/>
          <w:color w:val="000000"/>
          <w:sz w:val="24"/>
        </w:rPr>
        <w:t>一式贰</w:t>
      </w:r>
      <w:r>
        <w:rPr>
          <w:rFonts w:ascii="宋体" w:hAnsi="宋体"/>
          <w:color w:val="000000"/>
          <w:sz w:val="24"/>
        </w:rPr>
        <w:t>份，甲乙双方各执</w:t>
      </w:r>
      <w:r>
        <w:rPr>
          <w:rFonts w:hint="eastAsia" w:ascii="宋体" w:hAnsi="宋体"/>
          <w:color w:val="000000"/>
          <w:sz w:val="24"/>
        </w:rPr>
        <w:t>壹</w:t>
      </w:r>
      <w:r>
        <w:rPr>
          <w:rFonts w:ascii="宋体" w:hAnsi="宋体"/>
          <w:color w:val="000000"/>
          <w:sz w:val="24"/>
        </w:rPr>
        <w:t>份，每份正本具有同等法律效力。</w:t>
      </w:r>
    </w:p>
    <w:p w14:paraId="79B6106C">
      <w:pPr>
        <w:snapToGrid w:val="0"/>
        <w:spacing w:line="360" w:lineRule="auto"/>
        <w:ind w:left="38"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本合同中的附件均为本合同不可分割的部分，与本合同具有相同的法律效力。</w:t>
      </w:r>
    </w:p>
    <w:p w14:paraId="16F9F35B">
      <w:pPr>
        <w:snapToGrid w:val="0"/>
        <w:spacing w:line="360" w:lineRule="auto"/>
        <w:ind w:left="38" w:firstLine="480" w:firstLineChars="200"/>
        <w:rPr>
          <w:rFonts w:ascii="宋体" w:hAnsi="宋体"/>
          <w:color w:val="000000"/>
          <w:sz w:val="24"/>
        </w:rPr>
      </w:pPr>
    </w:p>
    <w:p w14:paraId="35FE7371">
      <w:pPr>
        <w:snapToGrid w:val="0"/>
        <w:spacing w:line="360" w:lineRule="auto"/>
        <w:ind w:left="38" w:firstLine="480" w:firstLineChars="200"/>
        <w:rPr>
          <w:rFonts w:ascii="宋体" w:hAnsi="宋体"/>
          <w:color w:val="000000"/>
          <w:sz w:val="24"/>
        </w:rPr>
      </w:pPr>
      <w:r>
        <w:rPr>
          <w:rFonts w:hint="eastAsia" w:ascii="宋体" w:hAnsi="宋体"/>
          <w:color w:val="000000"/>
          <w:sz w:val="24"/>
        </w:rPr>
        <w:t>附件：产品信息表</w:t>
      </w:r>
    </w:p>
    <w:p w14:paraId="059020D3">
      <w:pPr>
        <w:snapToGrid w:val="0"/>
        <w:spacing w:line="360" w:lineRule="auto"/>
        <w:ind w:left="38" w:firstLine="480" w:firstLineChars="200"/>
        <w:rPr>
          <w:rFonts w:ascii="宋体" w:hAnsi="宋体"/>
          <w:color w:val="000000"/>
          <w:sz w:val="24"/>
        </w:rPr>
      </w:pPr>
    </w:p>
    <w:p w14:paraId="7629B975">
      <w:pPr>
        <w:snapToGrid w:val="0"/>
        <w:spacing w:line="360" w:lineRule="auto"/>
        <w:ind w:left="38" w:firstLine="480" w:firstLineChars="200"/>
        <w:rPr>
          <w:rFonts w:ascii="宋体" w:hAnsi="宋体"/>
          <w:color w:val="000000"/>
          <w:sz w:val="24"/>
        </w:rPr>
      </w:pPr>
      <w:r>
        <w:rPr>
          <w:rFonts w:hint="eastAsia" w:ascii="宋体" w:hAnsi="宋体"/>
          <w:color w:val="000000"/>
          <w:sz w:val="24"/>
        </w:rPr>
        <w:t>（以下无正文）</w:t>
      </w:r>
    </w:p>
    <w:p w14:paraId="47DE7900">
      <w:pPr>
        <w:widowControl/>
        <w:snapToGrid w:val="0"/>
        <w:spacing w:line="360" w:lineRule="auto"/>
        <w:jc w:val="left"/>
        <w:rPr>
          <w:rFonts w:ascii="宋体" w:hAnsi="宋体"/>
          <w:color w:val="000000"/>
          <w:sz w:val="24"/>
        </w:rPr>
      </w:pPr>
    </w:p>
    <w:p w14:paraId="390DA218">
      <w:pPr>
        <w:widowControl/>
        <w:snapToGrid w:val="0"/>
        <w:spacing w:line="360" w:lineRule="auto"/>
        <w:jc w:val="left"/>
        <w:rPr>
          <w:rFonts w:ascii="宋体" w:hAnsi="宋体"/>
          <w:color w:val="000000"/>
          <w:sz w:val="24"/>
        </w:rPr>
      </w:pPr>
    </w:p>
    <w:p w14:paraId="12D82180">
      <w:pPr>
        <w:widowControl/>
        <w:snapToGrid w:val="0"/>
        <w:spacing w:line="360" w:lineRule="auto"/>
        <w:jc w:val="left"/>
        <w:rPr>
          <w:rFonts w:ascii="宋体" w:hAnsi="宋体"/>
          <w:color w:val="000000"/>
          <w:sz w:val="24"/>
        </w:rPr>
      </w:pPr>
      <w:r>
        <w:rPr>
          <w:rFonts w:hint="eastAsia" w:ascii="宋体" w:hAnsi="宋体"/>
          <w:color w:val="000000"/>
          <w:sz w:val="24"/>
        </w:rPr>
        <w:t>甲方：            乙方：</w:t>
      </w:r>
    </w:p>
    <w:p w14:paraId="276DE90F">
      <w:pPr>
        <w:widowControl/>
        <w:snapToGrid w:val="0"/>
        <w:spacing w:line="360" w:lineRule="auto"/>
        <w:ind w:left="4800" w:hanging="4800" w:hangingChars="2000"/>
        <w:jc w:val="left"/>
        <w:rPr>
          <w:rFonts w:ascii="宋体" w:hAnsi="宋体"/>
          <w:color w:val="000000"/>
          <w:sz w:val="24"/>
        </w:rPr>
      </w:pPr>
    </w:p>
    <w:p w14:paraId="3B172113">
      <w:pPr>
        <w:widowControl/>
        <w:snapToGrid w:val="0"/>
        <w:spacing w:line="360" w:lineRule="auto"/>
        <w:jc w:val="left"/>
        <w:rPr>
          <w:rFonts w:ascii="宋体" w:hAnsi="宋体"/>
          <w:color w:val="000000"/>
          <w:sz w:val="24"/>
        </w:rPr>
      </w:pPr>
      <w:r>
        <w:rPr>
          <w:rFonts w:hint="eastAsia" w:ascii="宋体" w:hAnsi="宋体"/>
          <w:color w:val="000000"/>
          <w:sz w:val="24"/>
        </w:rPr>
        <w:t>（盖章）                         （盖章）</w:t>
      </w:r>
    </w:p>
    <w:p w14:paraId="4E82D410">
      <w:pPr>
        <w:widowControl/>
        <w:snapToGrid w:val="0"/>
        <w:spacing w:line="360" w:lineRule="auto"/>
        <w:jc w:val="left"/>
        <w:rPr>
          <w:rFonts w:ascii="宋体" w:hAnsi="宋体"/>
          <w:color w:val="000000"/>
          <w:sz w:val="24"/>
        </w:rPr>
      </w:pPr>
    </w:p>
    <w:p w14:paraId="37CA7923">
      <w:pPr>
        <w:widowControl/>
        <w:snapToGrid w:val="0"/>
        <w:spacing w:line="360" w:lineRule="auto"/>
        <w:jc w:val="left"/>
        <w:rPr>
          <w:rFonts w:ascii="宋体" w:hAnsi="宋体"/>
          <w:color w:val="000000"/>
          <w:sz w:val="24"/>
        </w:rPr>
      </w:pPr>
      <w:r>
        <w:rPr>
          <w:rFonts w:hint="eastAsia" w:ascii="宋体" w:hAnsi="宋体"/>
          <w:color w:val="000000"/>
          <w:sz w:val="24"/>
        </w:rPr>
        <w:t>代表签字：                      代表签字：</w:t>
      </w:r>
    </w:p>
    <w:p w14:paraId="63CB5E36">
      <w:pPr>
        <w:widowControl/>
        <w:snapToGrid w:val="0"/>
        <w:spacing w:line="360" w:lineRule="auto"/>
        <w:jc w:val="left"/>
        <w:rPr>
          <w:rFonts w:ascii="宋体" w:hAnsi="宋体"/>
          <w:color w:val="000000"/>
          <w:sz w:val="24"/>
        </w:rPr>
      </w:pPr>
    </w:p>
    <w:p w14:paraId="060FE57F">
      <w:pPr>
        <w:widowControl/>
        <w:snapToGrid w:val="0"/>
        <w:spacing w:line="360" w:lineRule="auto"/>
        <w:jc w:val="left"/>
        <w:rPr>
          <w:rFonts w:hint="eastAsia" w:ascii="宋体" w:hAnsi="宋体"/>
          <w:color w:val="000000"/>
          <w:sz w:val="24"/>
        </w:rPr>
      </w:pPr>
      <w:r>
        <w:rPr>
          <w:rFonts w:hint="eastAsia" w:ascii="宋体" w:hAnsi="宋体"/>
          <w:color w:val="000000"/>
          <w:sz w:val="24"/>
        </w:rPr>
        <w:t>日期：                           日期：</w:t>
      </w:r>
    </w:p>
    <w:p w14:paraId="6CB493C3">
      <w:pPr>
        <w:rPr>
          <w:rFonts w:hint="eastAsia" w:ascii="宋体" w:hAnsi="宋体"/>
          <w:color w:val="000000"/>
          <w:sz w:val="24"/>
        </w:rPr>
      </w:pPr>
      <w:r>
        <w:rPr>
          <w:rFonts w:hint="eastAsia" w:ascii="宋体" w:hAnsi="宋体"/>
          <w:color w:val="000000"/>
          <w:sz w:val="24"/>
        </w:rPr>
        <w:br w:type="page"/>
      </w:r>
    </w:p>
    <w:p w14:paraId="42C21CEE">
      <w:pPr>
        <w:widowControl/>
        <w:snapToGrid w:val="0"/>
        <w:spacing w:line="360" w:lineRule="auto"/>
        <w:jc w:val="left"/>
        <w:rPr>
          <w:rFonts w:ascii="黑体" w:hAnsi="黑体" w:eastAsia="黑体" w:cs="黑体"/>
          <w:sz w:val="30"/>
          <w:szCs w:val="30"/>
        </w:rPr>
      </w:pPr>
      <w:r>
        <w:rPr>
          <w:rFonts w:hint="eastAsia" w:ascii="黑体" w:hAnsi="黑体" w:eastAsia="黑体" w:cs="黑体"/>
          <w:sz w:val="30"/>
          <w:szCs w:val="30"/>
        </w:rPr>
        <w:t>附件</w:t>
      </w:r>
    </w:p>
    <w:p w14:paraId="4F227C8C">
      <w:pPr>
        <w:widowControl/>
        <w:jc w:val="center"/>
        <w:rPr>
          <w:rFonts w:ascii="仿宋" w:hAnsi="仿宋" w:eastAsia="仿宋" w:cs="仿宋"/>
          <w:b/>
          <w:bCs/>
          <w:sz w:val="36"/>
          <w:szCs w:val="36"/>
        </w:rPr>
      </w:pPr>
      <w:r>
        <w:rPr>
          <w:rFonts w:hint="eastAsia" w:ascii="仿宋" w:hAnsi="仿宋" w:eastAsia="仿宋" w:cs="仿宋"/>
          <w:b/>
          <w:bCs/>
          <w:sz w:val="36"/>
          <w:szCs w:val="36"/>
        </w:rPr>
        <w:t>产品信息表</w:t>
      </w:r>
    </w:p>
    <w:p w14:paraId="3592A0AC">
      <w:pPr>
        <w:widowControl/>
        <w:jc w:val="center"/>
        <w:rPr>
          <w:rFonts w:ascii="仿宋" w:hAnsi="仿宋" w:eastAsia="仿宋" w:cs="仿宋"/>
          <w:b/>
          <w:bCs/>
          <w:sz w:val="36"/>
          <w:szCs w:val="36"/>
        </w:rPr>
      </w:pPr>
      <w:r>
        <w:rPr>
          <w:rFonts w:hint="eastAsia" w:ascii="宋体" w:hAnsi="宋体"/>
          <w:i/>
          <w:iCs/>
          <w:color w:val="FF0000"/>
          <w:sz w:val="24"/>
        </w:rPr>
        <w:t>可根据产品实际情况调整</w:t>
      </w:r>
    </w:p>
    <w:p w14:paraId="580B29CF">
      <w:pPr>
        <w:widowControl/>
        <w:jc w:val="left"/>
        <w:rPr>
          <w:sz w:val="24"/>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2196"/>
        <w:gridCol w:w="1320"/>
        <w:gridCol w:w="796"/>
        <w:gridCol w:w="1388"/>
        <w:gridCol w:w="1946"/>
        <w:gridCol w:w="1499"/>
      </w:tblGrid>
      <w:tr w14:paraId="1349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14:paraId="7904589D">
            <w:pPr>
              <w:widowControl/>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125" w:type="pct"/>
            <w:vAlign w:val="center"/>
          </w:tcPr>
          <w:p w14:paraId="06711E0F">
            <w:pPr>
              <w:widowControl/>
              <w:jc w:val="center"/>
              <w:rPr>
                <w:rFonts w:ascii="仿宋" w:hAnsi="仿宋" w:eastAsia="仿宋" w:cs="仿宋"/>
                <w:b/>
                <w:bCs/>
                <w:sz w:val="28"/>
                <w:szCs w:val="28"/>
              </w:rPr>
            </w:pPr>
            <w:r>
              <w:rPr>
                <w:rFonts w:hint="eastAsia" w:ascii="仿宋" w:hAnsi="仿宋" w:eastAsia="仿宋" w:cs="仿宋"/>
                <w:b/>
                <w:bCs/>
                <w:sz w:val="28"/>
                <w:szCs w:val="28"/>
              </w:rPr>
              <w:t>品名</w:t>
            </w:r>
          </w:p>
        </w:tc>
        <w:tc>
          <w:tcPr>
            <w:tcW w:w="676" w:type="pct"/>
            <w:vAlign w:val="center"/>
          </w:tcPr>
          <w:p w14:paraId="27AA3DA0">
            <w:pPr>
              <w:widowControl/>
              <w:jc w:val="center"/>
              <w:rPr>
                <w:rFonts w:ascii="仿宋" w:hAnsi="仿宋" w:eastAsia="仿宋" w:cs="仿宋"/>
                <w:b/>
                <w:bCs/>
                <w:sz w:val="28"/>
                <w:szCs w:val="28"/>
              </w:rPr>
            </w:pPr>
            <w:r>
              <w:rPr>
                <w:rFonts w:hint="eastAsia" w:ascii="仿宋" w:hAnsi="仿宋" w:eastAsia="仿宋" w:cs="仿宋"/>
                <w:b/>
                <w:bCs/>
                <w:sz w:val="28"/>
                <w:szCs w:val="28"/>
              </w:rPr>
              <w:t>品牌及型号</w:t>
            </w:r>
          </w:p>
        </w:tc>
        <w:tc>
          <w:tcPr>
            <w:tcW w:w="408" w:type="pct"/>
            <w:vAlign w:val="center"/>
          </w:tcPr>
          <w:p w14:paraId="046CF55D">
            <w:pPr>
              <w:widowControl/>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711" w:type="pct"/>
            <w:vAlign w:val="center"/>
          </w:tcPr>
          <w:p w14:paraId="142C21B0">
            <w:pPr>
              <w:widowControl/>
              <w:jc w:val="center"/>
              <w:rPr>
                <w:rFonts w:ascii="仿宋" w:hAnsi="仿宋" w:eastAsia="仿宋" w:cs="仿宋"/>
                <w:b/>
                <w:bCs/>
                <w:sz w:val="28"/>
                <w:szCs w:val="28"/>
              </w:rPr>
            </w:pPr>
            <w:r>
              <w:rPr>
                <w:rFonts w:hint="eastAsia" w:ascii="仿宋" w:hAnsi="仿宋" w:eastAsia="仿宋" w:cs="仿宋"/>
                <w:b/>
                <w:bCs/>
                <w:sz w:val="28"/>
                <w:szCs w:val="28"/>
              </w:rPr>
              <w:t>单价（元）</w:t>
            </w:r>
          </w:p>
        </w:tc>
        <w:tc>
          <w:tcPr>
            <w:tcW w:w="997" w:type="pct"/>
            <w:vAlign w:val="center"/>
          </w:tcPr>
          <w:p w14:paraId="2118FACC">
            <w:pPr>
              <w:widowControl/>
              <w:jc w:val="center"/>
              <w:rPr>
                <w:rFonts w:ascii="仿宋" w:hAnsi="仿宋" w:eastAsia="仿宋" w:cs="仿宋"/>
                <w:b/>
                <w:bCs/>
                <w:sz w:val="28"/>
                <w:szCs w:val="28"/>
              </w:rPr>
            </w:pPr>
            <w:r>
              <w:rPr>
                <w:rFonts w:hint="eastAsia" w:ascii="仿宋" w:hAnsi="仿宋" w:eastAsia="仿宋" w:cs="仿宋"/>
                <w:b/>
                <w:bCs/>
                <w:sz w:val="28"/>
                <w:szCs w:val="28"/>
              </w:rPr>
              <w:t>外包装彩图（若有）</w:t>
            </w:r>
          </w:p>
        </w:tc>
        <w:tc>
          <w:tcPr>
            <w:tcW w:w="768" w:type="pct"/>
            <w:vAlign w:val="center"/>
          </w:tcPr>
          <w:p w14:paraId="7AA2F3BF">
            <w:pPr>
              <w:widowControl/>
              <w:jc w:val="center"/>
              <w:rPr>
                <w:rFonts w:ascii="仿宋" w:hAnsi="仿宋" w:eastAsia="仿宋" w:cs="仿宋"/>
                <w:b/>
                <w:bCs/>
                <w:sz w:val="28"/>
                <w:szCs w:val="28"/>
              </w:rPr>
            </w:pPr>
            <w:r>
              <w:rPr>
                <w:rFonts w:hint="eastAsia" w:ascii="仿宋" w:hAnsi="仿宋" w:eastAsia="仿宋" w:cs="仿宋"/>
                <w:b/>
                <w:bCs/>
                <w:sz w:val="28"/>
                <w:szCs w:val="28"/>
              </w:rPr>
              <w:t>是否提交样品</w:t>
            </w:r>
          </w:p>
        </w:tc>
      </w:tr>
      <w:tr w14:paraId="1CBB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12D62308">
            <w:pPr>
              <w:widowControl/>
              <w:jc w:val="center"/>
              <w:rPr>
                <w:rFonts w:ascii="仿宋" w:hAnsi="仿宋" w:eastAsia="仿宋" w:cs="仿宋"/>
                <w:sz w:val="28"/>
                <w:szCs w:val="28"/>
              </w:rPr>
            </w:pPr>
          </w:p>
        </w:tc>
        <w:tc>
          <w:tcPr>
            <w:tcW w:w="1125" w:type="pct"/>
            <w:vAlign w:val="center"/>
          </w:tcPr>
          <w:p w14:paraId="2CFFB416">
            <w:pPr>
              <w:widowControl/>
              <w:jc w:val="center"/>
              <w:rPr>
                <w:rFonts w:ascii="仿宋" w:hAnsi="仿宋" w:eastAsia="仿宋" w:cs="仿宋"/>
                <w:sz w:val="28"/>
                <w:szCs w:val="28"/>
              </w:rPr>
            </w:pPr>
          </w:p>
        </w:tc>
        <w:tc>
          <w:tcPr>
            <w:tcW w:w="676" w:type="pct"/>
            <w:vAlign w:val="center"/>
          </w:tcPr>
          <w:p w14:paraId="084BCD54">
            <w:pPr>
              <w:widowControl/>
              <w:jc w:val="center"/>
              <w:rPr>
                <w:rFonts w:ascii="仿宋" w:hAnsi="仿宋" w:eastAsia="仿宋" w:cs="仿宋"/>
                <w:sz w:val="28"/>
                <w:szCs w:val="28"/>
              </w:rPr>
            </w:pPr>
          </w:p>
        </w:tc>
        <w:tc>
          <w:tcPr>
            <w:tcW w:w="408" w:type="pct"/>
            <w:vAlign w:val="center"/>
          </w:tcPr>
          <w:p w14:paraId="5C08438C">
            <w:pPr>
              <w:widowControl/>
              <w:jc w:val="center"/>
              <w:rPr>
                <w:rFonts w:ascii="仿宋" w:hAnsi="仿宋" w:eastAsia="仿宋" w:cs="仿宋"/>
                <w:sz w:val="28"/>
                <w:szCs w:val="28"/>
              </w:rPr>
            </w:pPr>
          </w:p>
        </w:tc>
        <w:tc>
          <w:tcPr>
            <w:tcW w:w="711" w:type="pct"/>
            <w:vAlign w:val="center"/>
          </w:tcPr>
          <w:p w14:paraId="70958502">
            <w:pPr>
              <w:widowControl/>
              <w:jc w:val="center"/>
              <w:rPr>
                <w:rFonts w:ascii="仿宋" w:hAnsi="仿宋" w:eastAsia="仿宋" w:cs="仿宋"/>
                <w:sz w:val="28"/>
                <w:szCs w:val="28"/>
              </w:rPr>
            </w:pPr>
          </w:p>
        </w:tc>
        <w:tc>
          <w:tcPr>
            <w:tcW w:w="997" w:type="pct"/>
            <w:vAlign w:val="center"/>
          </w:tcPr>
          <w:p w14:paraId="30CB8F3D">
            <w:pPr>
              <w:widowControl/>
              <w:jc w:val="center"/>
              <w:rPr>
                <w:rFonts w:ascii="仿宋" w:hAnsi="仿宋" w:eastAsia="仿宋" w:cs="仿宋"/>
                <w:sz w:val="28"/>
                <w:szCs w:val="28"/>
              </w:rPr>
            </w:pPr>
          </w:p>
        </w:tc>
        <w:tc>
          <w:tcPr>
            <w:tcW w:w="768" w:type="pct"/>
            <w:vAlign w:val="center"/>
          </w:tcPr>
          <w:p w14:paraId="46B889D3">
            <w:pPr>
              <w:widowControl/>
              <w:jc w:val="center"/>
              <w:rPr>
                <w:rFonts w:ascii="仿宋" w:hAnsi="仿宋" w:eastAsia="仿宋" w:cs="仿宋"/>
                <w:sz w:val="28"/>
                <w:szCs w:val="28"/>
              </w:rPr>
            </w:pPr>
          </w:p>
        </w:tc>
      </w:tr>
      <w:tr w14:paraId="199E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6FF83BCA">
            <w:pPr>
              <w:widowControl/>
              <w:jc w:val="center"/>
              <w:rPr>
                <w:rFonts w:ascii="仿宋" w:hAnsi="仿宋" w:eastAsia="仿宋" w:cs="仿宋"/>
                <w:sz w:val="28"/>
                <w:szCs w:val="28"/>
              </w:rPr>
            </w:pPr>
          </w:p>
        </w:tc>
        <w:tc>
          <w:tcPr>
            <w:tcW w:w="1125" w:type="pct"/>
            <w:vAlign w:val="center"/>
          </w:tcPr>
          <w:p w14:paraId="29DB24C3">
            <w:pPr>
              <w:widowControl/>
              <w:jc w:val="center"/>
              <w:rPr>
                <w:rFonts w:ascii="仿宋" w:hAnsi="仿宋" w:eastAsia="仿宋" w:cs="仿宋"/>
                <w:sz w:val="28"/>
                <w:szCs w:val="28"/>
              </w:rPr>
            </w:pPr>
          </w:p>
        </w:tc>
        <w:tc>
          <w:tcPr>
            <w:tcW w:w="676" w:type="pct"/>
            <w:vAlign w:val="center"/>
          </w:tcPr>
          <w:p w14:paraId="69CFD277">
            <w:pPr>
              <w:widowControl/>
              <w:jc w:val="center"/>
              <w:rPr>
                <w:rFonts w:ascii="仿宋" w:hAnsi="仿宋" w:eastAsia="仿宋" w:cs="仿宋"/>
                <w:sz w:val="28"/>
                <w:szCs w:val="28"/>
              </w:rPr>
            </w:pPr>
          </w:p>
        </w:tc>
        <w:tc>
          <w:tcPr>
            <w:tcW w:w="408" w:type="pct"/>
            <w:vAlign w:val="center"/>
          </w:tcPr>
          <w:p w14:paraId="4B314276">
            <w:pPr>
              <w:widowControl/>
              <w:jc w:val="center"/>
              <w:rPr>
                <w:rFonts w:ascii="仿宋" w:hAnsi="仿宋" w:eastAsia="仿宋" w:cs="仿宋"/>
                <w:sz w:val="28"/>
                <w:szCs w:val="28"/>
              </w:rPr>
            </w:pPr>
          </w:p>
        </w:tc>
        <w:tc>
          <w:tcPr>
            <w:tcW w:w="711" w:type="pct"/>
            <w:vAlign w:val="center"/>
          </w:tcPr>
          <w:p w14:paraId="42A7DADD">
            <w:pPr>
              <w:widowControl/>
              <w:jc w:val="center"/>
              <w:rPr>
                <w:rFonts w:ascii="仿宋" w:hAnsi="仿宋" w:eastAsia="仿宋" w:cs="仿宋"/>
                <w:sz w:val="28"/>
                <w:szCs w:val="28"/>
              </w:rPr>
            </w:pPr>
          </w:p>
        </w:tc>
        <w:tc>
          <w:tcPr>
            <w:tcW w:w="997" w:type="pct"/>
            <w:vAlign w:val="center"/>
          </w:tcPr>
          <w:p w14:paraId="154E33D5">
            <w:pPr>
              <w:widowControl/>
              <w:jc w:val="center"/>
              <w:rPr>
                <w:rFonts w:ascii="仿宋" w:hAnsi="仿宋" w:eastAsia="仿宋" w:cs="仿宋"/>
                <w:sz w:val="28"/>
                <w:szCs w:val="28"/>
              </w:rPr>
            </w:pPr>
          </w:p>
        </w:tc>
        <w:tc>
          <w:tcPr>
            <w:tcW w:w="768" w:type="pct"/>
            <w:vAlign w:val="center"/>
          </w:tcPr>
          <w:p w14:paraId="1011F0B1">
            <w:pPr>
              <w:widowControl/>
              <w:jc w:val="center"/>
              <w:rPr>
                <w:rFonts w:ascii="仿宋" w:hAnsi="仿宋" w:eastAsia="仿宋" w:cs="仿宋"/>
                <w:sz w:val="28"/>
                <w:szCs w:val="28"/>
              </w:rPr>
            </w:pPr>
          </w:p>
        </w:tc>
      </w:tr>
      <w:tr w14:paraId="0431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23FDA12F">
            <w:pPr>
              <w:widowControl/>
              <w:jc w:val="center"/>
              <w:rPr>
                <w:rFonts w:ascii="仿宋" w:hAnsi="仿宋" w:eastAsia="仿宋" w:cs="仿宋"/>
                <w:sz w:val="28"/>
                <w:szCs w:val="28"/>
              </w:rPr>
            </w:pPr>
          </w:p>
        </w:tc>
        <w:tc>
          <w:tcPr>
            <w:tcW w:w="1125" w:type="pct"/>
            <w:vAlign w:val="center"/>
          </w:tcPr>
          <w:p w14:paraId="00E5AEF2">
            <w:pPr>
              <w:widowControl/>
              <w:jc w:val="center"/>
              <w:rPr>
                <w:rFonts w:ascii="仿宋" w:hAnsi="仿宋" w:eastAsia="仿宋" w:cs="仿宋"/>
                <w:sz w:val="28"/>
                <w:szCs w:val="28"/>
              </w:rPr>
            </w:pPr>
          </w:p>
        </w:tc>
        <w:tc>
          <w:tcPr>
            <w:tcW w:w="676" w:type="pct"/>
            <w:vAlign w:val="center"/>
          </w:tcPr>
          <w:p w14:paraId="7F8DC7F7">
            <w:pPr>
              <w:widowControl/>
              <w:jc w:val="center"/>
              <w:rPr>
                <w:rFonts w:ascii="仿宋" w:hAnsi="仿宋" w:eastAsia="仿宋" w:cs="仿宋"/>
                <w:sz w:val="28"/>
                <w:szCs w:val="28"/>
              </w:rPr>
            </w:pPr>
          </w:p>
        </w:tc>
        <w:tc>
          <w:tcPr>
            <w:tcW w:w="408" w:type="pct"/>
            <w:vAlign w:val="center"/>
          </w:tcPr>
          <w:p w14:paraId="3DB2C3CE">
            <w:pPr>
              <w:widowControl/>
              <w:jc w:val="center"/>
              <w:rPr>
                <w:rFonts w:ascii="仿宋" w:hAnsi="仿宋" w:eastAsia="仿宋" w:cs="仿宋"/>
                <w:sz w:val="28"/>
                <w:szCs w:val="28"/>
              </w:rPr>
            </w:pPr>
          </w:p>
        </w:tc>
        <w:tc>
          <w:tcPr>
            <w:tcW w:w="711" w:type="pct"/>
            <w:vAlign w:val="center"/>
          </w:tcPr>
          <w:p w14:paraId="64128DF6">
            <w:pPr>
              <w:widowControl/>
              <w:jc w:val="center"/>
              <w:rPr>
                <w:rFonts w:ascii="仿宋" w:hAnsi="仿宋" w:eastAsia="仿宋" w:cs="仿宋"/>
                <w:sz w:val="28"/>
                <w:szCs w:val="28"/>
              </w:rPr>
            </w:pPr>
          </w:p>
        </w:tc>
        <w:tc>
          <w:tcPr>
            <w:tcW w:w="997" w:type="pct"/>
            <w:vAlign w:val="center"/>
          </w:tcPr>
          <w:p w14:paraId="549DF468">
            <w:pPr>
              <w:widowControl/>
              <w:jc w:val="center"/>
              <w:rPr>
                <w:rFonts w:ascii="仿宋" w:hAnsi="仿宋" w:eastAsia="仿宋" w:cs="仿宋"/>
                <w:sz w:val="28"/>
                <w:szCs w:val="28"/>
              </w:rPr>
            </w:pPr>
          </w:p>
        </w:tc>
        <w:tc>
          <w:tcPr>
            <w:tcW w:w="768" w:type="pct"/>
            <w:vAlign w:val="center"/>
          </w:tcPr>
          <w:p w14:paraId="633BE9CB">
            <w:pPr>
              <w:widowControl/>
              <w:jc w:val="center"/>
              <w:rPr>
                <w:rFonts w:ascii="仿宋" w:hAnsi="仿宋" w:eastAsia="仿宋" w:cs="仿宋"/>
                <w:sz w:val="28"/>
                <w:szCs w:val="28"/>
              </w:rPr>
            </w:pPr>
          </w:p>
        </w:tc>
      </w:tr>
      <w:tr w14:paraId="45F2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118B9891">
            <w:pPr>
              <w:widowControl/>
              <w:jc w:val="center"/>
              <w:rPr>
                <w:rFonts w:ascii="仿宋" w:hAnsi="仿宋" w:eastAsia="仿宋" w:cs="仿宋"/>
                <w:sz w:val="28"/>
                <w:szCs w:val="28"/>
              </w:rPr>
            </w:pPr>
          </w:p>
        </w:tc>
        <w:tc>
          <w:tcPr>
            <w:tcW w:w="1125" w:type="pct"/>
            <w:vAlign w:val="center"/>
          </w:tcPr>
          <w:p w14:paraId="1EA7DE2A">
            <w:pPr>
              <w:widowControl/>
              <w:jc w:val="center"/>
              <w:rPr>
                <w:rFonts w:ascii="仿宋" w:hAnsi="仿宋" w:eastAsia="仿宋" w:cs="仿宋"/>
                <w:sz w:val="28"/>
                <w:szCs w:val="28"/>
              </w:rPr>
            </w:pPr>
          </w:p>
        </w:tc>
        <w:tc>
          <w:tcPr>
            <w:tcW w:w="676" w:type="pct"/>
            <w:vAlign w:val="center"/>
          </w:tcPr>
          <w:p w14:paraId="3A9FF1A2">
            <w:pPr>
              <w:widowControl/>
              <w:jc w:val="center"/>
              <w:rPr>
                <w:rFonts w:ascii="仿宋" w:hAnsi="仿宋" w:eastAsia="仿宋" w:cs="仿宋"/>
                <w:sz w:val="28"/>
                <w:szCs w:val="28"/>
              </w:rPr>
            </w:pPr>
          </w:p>
        </w:tc>
        <w:tc>
          <w:tcPr>
            <w:tcW w:w="408" w:type="pct"/>
            <w:vAlign w:val="center"/>
          </w:tcPr>
          <w:p w14:paraId="5E852860">
            <w:pPr>
              <w:widowControl/>
              <w:jc w:val="center"/>
              <w:rPr>
                <w:rFonts w:ascii="仿宋" w:hAnsi="仿宋" w:eastAsia="仿宋" w:cs="仿宋"/>
                <w:sz w:val="28"/>
                <w:szCs w:val="28"/>
              </w:rPr>
            </w:pPr>
          </w:p>
        </w:tc>
        <w:tc>
          <w:tcPr>
            <w:tcW w:w="711" w:type="pct"/>
            <w:vAlign w:val="center"/>
          </w:tcPr>
          <w:p w14:paraId="024AE1BA">
            <w:pPr>
              <w:widowControl/>
              <w:jc w:val="center"/>
              <w:rPr>
                <w:rFonts w:ascii="仿宋" w:hAnsi="仿宋" w:eastAsia="仿宋" w:cs="仿宋"/>
                <w:sz w:val="28"/>
                <w:szCs w:val="28"/>
              </w:rPr>
            </w:pPr>
          </w:p>
        </w:tc>
        <w:tc>
          <w:tcPr>
            <w:tcW w:w="997" w:type="pct"/>
            <w:vAlign w:val="center"/>
          </w:tcPr>
          <w:p w14:paraId="61B87EC9">
            <w:pPr>
              <w:widowControl/>
              <w:jc w:val="center"/>
              <w:rPr>
                <w:rFonts w:ascii="仿宋" w:hAnsi="仿宋" w:eastAsia="仿宋" w:cs="仿宋"/>
                <w:sz w:val="28"/>
                <w:szCs w:val="28"/>
              </w:rPr>
            </w:pPr>
          </w:p>
        </w:tc>
        <w:tc>
          <w:tcPr>
            <w:tcW w:w="768" w:type="pct"/>
            <w:vAlign w:val="center"/>
          </w:tcPr>
          <w:p w14:paraId="27B361BE">
            <w:pPr>
              <w:widowControl/>
              <w:jc w:val="center"/>
              <w:rPr>
                <w:rFonts w:ascii="仿宋" w:hAnsi="仿宋" w:eastAsia="仿宋" w:cs="仿宋"/>
                <w:sz w:val="28"/>
                <w:szCs w:val="28"/>
              </w:rPr>
            </w:pPr>
          </w:p>
        </w:tc>
      </w:tr>
      <w:tr w14:paraId="609B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14:paraId="77DBA7C1">
            <w:pPr>
              <w:widowControl/>
              <w:jc w:val="center"/>
              <w:rPr>
                <w:rFonts w:ascii="仿宋" w:hAnsi="仿宋" w:eastAsia="仿宋" w:cs="仿宋"/>
                <w:sz w:val="28"/>
                <w:szCs w:val="28"/>
              </w:rPr>
            </w:pPr>
          </w:p>
        </w:tc>
        <w:tc>
          <w:tcPr>
            <w:tcW w:w="1125" w:type="pct"/>
            <w:vAlign w:val="center"/>
          </w:tcPr>
          <w:p w14:paraId="4D8EA415">
            <w:pPr>
              <w:widowControl/>
              <w:jc w:val="center"/>
              <w:rPr>
                <w:rFonts w:ascii="仿宋" w:hAnsi="仿宋" w:eastAsia="仿宋" w:cs="仿宋"/>
                <w:sz w:val="28"/>
                <w:szCs w:val="28"/>
              </w:rPr>
            </w:pPr>
          </w:p>
        </w:tc>
        <w:tc>
          <w:tcPr>
            <w:tcW w:w="676" w:type="pct"/>
            <w:vAlign w:val="center"/>
          </w:tcPr>
          <w:p w14:paraId="368877F1">
            <w:pPr>
              <w:widowControl/>
              <w:jc w:val="center"/>
              <w:rPr>
                <w:rFonts w:ascii="仿宋" w:hAnsi="仿宋" w:eastAsia="仿宋" w:cs="仿宋"/>
                <w:sz w:val="28"/>
                <w:szCs w:val="28"/>
              </w:rPr>
            </w:pPr>
          </w:p>
        </w:tc>
        <w:tc>
          <w:tcPr>
            <w:tcW w:w="408" w:type="pct"/>
            <w:vAlign w:val="center"/>
          </w:tcPr>
          <w:p w14:paraId="5E3DB6CB">
            <w:pPr>
              <w:widowControl/>
              <w:jc w:val="center"/>
              <w:rPr>
                <w:rFonts w:ascii="仿宋" w:hAnsi="仿宋" w:eastAsia="仿宋" w:cs="仿宋"/>
                <w:sz w:val="28"/>
                <w:szCs w:val="28"/>
              </w:rPr>
            </w:pPr>
          </w:p>
        </w:tc>
        <w:tc>
          <w:tcPr>
            <w:tcW w:w="711" w:type="pct"/>
            <w:vAlign w:val="center"/>
          </w:tcPr>
          <w:p w14:paraId="4F98A406">
            <w:pPr>
              <w:widowControl/>
              <w:jc w:val="center"/>
              <w:rPr>
                <w:rFonts w:ascii="仿宋" w:hAnsi="仿宋" w:eastAsia="仿宋" w:cs="仿宋"/>
                <w:sz w:val="28"/>
                <w:szCs w:val="28"/>
              </w:rPr>
            </w:pPr>
          </w:p>
        </w:tc>
        <w:tc>
          <w:tcPr>
            <w:tcW w:w="997" w:type="pct"/>
            <w:vAlign w:val="center"/>
          </w:tcPr>
          <w:p w14:paraId="6DDE8EA4">
            <w:pPr>
              <w:widowControl/>
              <w:jc w:val="center"/>
              <w:rPr>
                <w:rFonts w:ascii="仿宋" w:hAnsi="仿宋" w:eastAsia="仿宋" w:cs="仿宋"/>
                <w:sz w:val="28"/>
                <w:szCs w:val="28"/>
              </w:rPr>
            </w:pPr>
          </w:p>
        </w:tc>
        <w:tc>
          <w:tcPr>
            <w:tcW w:w="768" w:type="pct"/>
            <w:vAlign w:val="center"/>
          </w:tcPr>
          <w:p w14:paraId="2E8B8EFA">
            <w:pPr>
              <w:widowControl/>
              <w:jc w:val="center"/>
              <w:rPr>
                <w:rFonts w:ascii="仿宋" w:hAnsi="仿宋" w:eastAsia="仿宋" w:cs="仿宋"/>
                <w:sz w:val="28"/>
                <w:szCs w:val="28"/>
              </w:rPr>
            </w:pPr>
          </w:p>
        </w:tc>
      </w:tr>
    </w:tbl>
    <w:p w14:paraId="76218E00">
      <w:pPr>
        <w:widowControl/>
        <w:snapToGrid w:val="0"/>
        <w:spacing w:line="360" w:lineRule="auto"/>
        <w:jc w:val="left"/>
        <w:rPr>
          <w:rFonts w:ascii="宋体" w:hAnsi="宋体"/>
          <w:i/>
          <w:iCs/>
          <w:color w:val="FF0000"/>
          <w:sz w:val="24"/>
        </w:rPr>
      </w:pPr>
    </w:p>
    <w:p w14:paraId="06A14BC7">
      <w:pPr>
        <w:ind w:firstLine="420" w:firstLineChars="200"/>
        <w:rPr>
          <w:rFonts w:ascii="宋体" w:hAnsi="宋体"/>
          <w:color w:val="000000"/>
        </w:rPr>
      </w:pPr>
    </w:p>
    <w:sectPr>
      <w:footerReference r:id="rId5" w:type="default"/>
      <w:pgSz w:w="11907" w:h="16840"/>
      <w:pgMar w:top="1089" w:right="1106" w:bottom="936" w:left="1259" w:header="851" w:footer="992" w:gutter="0"/>
      <w:pgNumType w:chapStyle="2"/>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捷" w:date="2025-05-28T14:17:31Z" w:initials="">
    <w:p w14:paraId="684D621E">
      <w:pPr>
        <w:pStyle w:val="11"/>
        <w:rPr>
          <w:rFonts w:hint="default" w:eastAsia="宋体"/>
          <w:lang w:val="en-US" w:eastAsia="zh-CN"/>
        </w:rPr>
      </w:pPr>
      <w:r>
        <w:rPr>
          <w:rFonts w:hint="eastAsia"/>
          <w:lang w:val="en-US" w:eastAsia="zh-CN"/>
        </w:rPr>
        <w:t>意思是可以做多拼接4个相机的画面吧？有最低限制么？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4D62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3E11">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7A0F8">
                          <w:pPr>
                            <w:pStyle w:val="16"/>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867A0F8">
                    <w:pPr>
                      <w:pStyle w:val="16"/>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9C4BF"/>
    <w:multiLevelType w:val="singleLevel"/>
    <w:tmpl w:val="F889C4BF"/>
    <w:lvl w:ilvl="0" w:tentative="0">
      <w:start w:val="1"/>
      <w:numFmt w:val="decimal"/>
      <w:lvlText w:val="(%1)"/>
      <w:lvlJc w:val="left"/>
      <w:pPr>
        <w:ind w:left="425" w:hanging="425"/>
      </w:pPr>
      <w:rPr>
        <w:rFonts w:hint="default"/>
        <w:sz w:val="24"/>
        <w:szCs w:val="24"/>
      </w:rPr>
    </w:lvl>
  </w:abstractNum>
  <w:abstractNum w:abstractNumId="1">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071543"/>
    <w:multiLevelType w:val="multilevel"/>
    <w:tmpl w:val="6C071543"/>
    <w:lvl w:ilvl="0" w:tentative="0">
      <w:start w:val="1"/>
      <w:numFmt w:val="decimal"/>
      <w:lvlText w:val="（%1）"/>
      <w:lvlJc w:val="left"/>
      <w:pPr>
        <w:ind w:left="1320" w:hanging="420"/>
      </w:pPr>
      <w:rPr>
        <w:rFonts w:hint="default"/>
        <w:color w:val="auto"/>
        <w:sz w:val="24"/>
        <w:szCs w:val="24"/>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71A81876"/>
    <w:multiLevelType w:val="multilevel"/>
    <w:tmpl w:val="71A818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捷">
    <w15:presenceInfo w15:providerId="WPS Office" w15:userId="1351293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5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DVjOWI3ZTc4YTcwMzJhYjJmZjBhNGQwYTIyZDQifQ=="/>
  </w:docVars>
  <w:rsids>
    <w:rsidRoot w:val="00172A27"/>
    <w:rsid w:val="0000656D"/>
    <w:rsid w:val="00014FCB"/>
    <w:rsid w:val="0002078D"/>
    <w:rsid w:val="00026682"/>
    <w:rsid w:val="000340D5"/>
    <w:rsid w:val="0003791A"/>
    <w:rsid w:val="00042149"/>
    <w:rsid w:val="00042343"/>
    <w:rsid w:val="000530C1"/>
    <w:rsid w:val="00061A0B"/>
    <w:rsid w:val="00067B44"/>
    <w:rsid w:val="000730BC"/>
    <w:rsid w:val="000760F7"/>
    <w:rsid w:val="000844C8"/>
    <w:rsid w:val="00087D9B"/>
    <w:rsid w:val="00091C26"/>
    <w:rsid w:val="000B0686"/>
    <w:rsid w:val="000C12B6"/>
    <w:rsid w:val="000E38D7"/>
    <w:rsid w:val="000F2A18"/>
    <w:rsid w:val="0010533D"/>
    <w:rsid w:val="0011678C"/>
    <w:rsid w:val="00120959"/>
    <w:rsid w:val="00121500"/>
    <w:rsid w:val="00134FF4"/>
    <w:rsid w:val="00140DC9"/>
    <w:rsid w:val="00143995"/>
    <w:rsid w:val="0014746A"/>
    <w:rsid w:val="0015365E"/>
    <w:rsid w:val="00153702"/>
    <w:rsid w:val="00156868"/>
    <w:rsid w:val="0016050D"/>
    <w:rsid w:val="00167E06"/>
    <w:rsid w:val="00172A27"/>
    <w:rsid w:val="00193596"/>
    <w:rsid w:val="001A6B61"/>
    <w:rsid w:val="001A7E4B"/>
    <w:rsid w:val="001C6A02"/>
    <w:rsid w:val="001C6FA5"/>
    <w:rsid w:val="001C73E0"/>
    <w:rsid w:val="001D3338"/>
    <w:rsid w:val="001D70F2"/>
    <w:rsid w:val="001D7326"/>
    <w:rsid w:val="001F0536"/>
    <w:rsid w:val="001F661D"/>
    <w:rsid w:val="002042C5"/>
    <w:rsid w:val="00207589"/>
    <w:rsid w:val="00214F80"/>
    <w:rsid w:val="00225D94"/>
    <w:rsid w:val="00233B9C"/>
    <w:rsid w:val="00236B59"/>
    <w:rsid w:val="00244EF9"/>
    <w:rsid w:val="00251EE3"/>
    <w:rsid w:val="00255797"/>
    <w:rsid w:val="002574AD"/>
    <w:rsid w:val="00261373"/>
    <w:rsid w:val="0026273B"/>
    <w:rsid w:val="0028591C"/>
    <w:rsid w:val="002946A3"/>
    <w:rsid w:val="002A1523"/>
    <w:rsid w:val="002A61F2"/>
    <w:rsid w:val="002C000E"/>
    <w:rsid w:val="002C1AC3"/>
    <w:rsid w:val="002E30A4"/>
    <w:rsid w:val="002F0548"/>
    <w:rsid w:val="002F22AA"/>
    <w:rsid w:val="002F794B"/>
    <w:rsid w:val="003072A3"/>
    <w:rsid w:val="00321C21"/>
    <w:rsid w:val="0032734C"/>
    <w:rsid w:val="003279D3"/>
    <w:rsid w:val="00356745"/>
    <w:rsid w:val="00366857"/>
    <w:rsid w:val="003719E4"/>
    <w:rsid w:val="0038162A"/>
    <w:rsid w:val="003822A0"/>
    <w:rsid w:val="00385B2F"/>
    <w:rsid w:val="0038736B"/>
    <w:rsid w:val="00392075"/>
    <w:rsid w:val="00392BDB"/>
    <w:rsid w:val="00397641"/>
    <w:rsid w:val="003A641E"/>
    <w:rsid w:val="003A6FB9"/>
    <w:rsid w:val="003B02E2"/>
    <w:rsid w:val="003B2D49"/>
    <w:rsid w:val="003C33F3"/>
    <w:rsid w:val="003D1DEF"/>
    <w:rsid w:val="003E1D02"/>
    <w:rsid w:val="00400307"/>
    <w:rsid w:val="0042254E"/>
    <w:rsid w:val="00431F20"/>
    <w:rsid w:val="00435A9C"/>
    <w:rsid w:val="0043651B"/>
    <w:rsid w:val="00445FAB"/>
    <w:rsid w:val="0044657A"/>
    <w:rsid w:val="00460BCE"/>
    <w:rsid w:val="004636B8"/>
    <w:rsid w:val="0046378C"/>
    <w:rsid w:val="00464772"/>
    <w:rsid w:val="0046691A"/>
    <w:rsid w:val="004711B2"/>
    <w:rsid w:val="00471BA4"/>
    <w:rsid w:val="00472207"/>
    <w:rsid w:val="00474E20"/>
    <w:rsid w:val="00474F56"/>
    <w:rsid w:val="00483D68"/>
    <w:rsid w:val="00484623"/>
    <w:rsid w:val="0048726D"/>
    <w:rsid w:val="00487E92"/>
    <w:rsid w:val="004952C5"/>
    <w:rsid w:val="004A0727"/>
    <w:rsid w:val="004A7264"/>
    <w:rsid w:val="004B3EA4"/>
    <w:rsid w:val="004C1DC5"/>
    <w:rsid w:val="004C2B36"/>
    <w:rsid w:val="004C3D72"/>
    <w:rsid w:val="00502FAC"/>
    <w:rsid w:val="00515E9D"/>
    <w:rsid w:val="00524783"/>
    <w:rsid w:val="0052758C"/>
    <w:rsid w:val="00536AF5"/>
    <w:rsid w:val="0054104F"/>
    <w:rsid w:val="00542BDA"/>
    <w:rsid w:val="00542E95"/>
    <w:rsid w:val="00543C85"/>
    <w:rsid w:val="00544F63"/>
    <w:rsid w:val="00574FD2"/>
    <w:rsid w:val="00596957"/>
    <w:rsid w:val="005B3C4F"/>
    <w:rsid w:val="005B48F3"/>
    <w:rsid w:val="005B4D71"/>
    <w:rsid w:val="005C13D5"/>
    <w:rsid w:val="005C2630"/>
    <w:rsid w:val="005C6195"/>
    <w:rsid w:val="005D55C4"/>
    <w:rsid w:val="005E3DCD"/>
    <w:rsid w:val="005F25B4"/>
    <w:rsid w:val="006118C4"/>
    <w:rsid w:val="00612B08"/>
    <w:rsid w:val="00621F1E"/>
    <w:rsid w:val="00623504"/>
    <w:rsid w:val="00627A50"/>
    <w:rsid w:val="006461B2"/>
    <w:rsid w:val="006526C8"/>
    <w:rsid w:val="00655777"/>
    <w:rsid w:val="00677044"/>
    <w:rsid w:val="006816DD"/>
    <w:rsid w:val="00684DF4"/>
    <w:rsid w:val="00685AC3"/>
    <w:rsid w:val="00685C7C"/>
    <w:rsid w:val="006A2072"/>
    <w:rsid w:val="006A7427"/>
    <w:rsid w:val="006C1535"/>
    <w:rsid w:val="006C7F00"/>
    <w:rsid w:val="006D74FA"/>
    <w:rsid w:val="006E1F07"/>
    <w:rsid w:val="006E2B76"/>
    <w:rsid w:val="006E338D"/>
    <w:rsid w:val="006E412E"/>
    <w:rsid w:val="00700481"/>
    <w:rsid w:val="0070050A"/>
    <w:rsid w:val="007023AE"/>
    <w:rsid w:val="007116AC"/>
    <w:rsid w:val="007162B3"/>
    <w:rsid w:val="00721C23"/>
    <w:rsid w:val="00733E33"/>
    <w:rsid w:val="00746080"/>
    <w:rsid w:val="00756061"/>
    <w:rsid w:val="00763F1D"/>
    <w:rsid w:val="00771521"/>
    <w:rsid w:val="00777E4F"/>
    <w:rsid w:val="00790CF2"/>
    <w:rsid w:val="00793C81"/>
    <w:rsid w:val="00794268"/>
    <w:rsid w:val="007B1BE1"/>
    <w:rsid w:val="007B2F77"/>
    <w:rsid w:val="007D0D7D"/>
    <w:rsid w:val="007D13A3"/>
    <w:rsid w:val="007D6FC8"/>
    <w:rsid w:val="0080016D"/>
    <w:rsid w:val="008207A8"/>
    <w:rsid w:val="00821131"/>
    <w:rsid w:val="00821E0B"/>
    <w:rsid w:val="00831449"/>
    <w:rsid w:val="00834DB5"/>
    <w:rsid w:val="00841278"/>
    <w:rsid w:val="0084303A"/>
    <w:rsid w:val="008432DC"/>
    <w:rsid w:val="0085187E"/>
    <w:rsid w:val="00851D45"/>
    <w:rsid w:val="008534AC"/>
    <w:rsid w:val="0085358F"/>
    <w:rsid w:val="0086071F"/>
    <w:rsid w:val="00863954"/>
    <w:rsid w:val="008654C3"/>
    <w:rsid w:val="008749EF"/>
    <w:rsid w:val="00881384"/>
    <w:rsid w:val="008863DB"/>
    <w:rsid w:val="00894674"/>
    <w:rsid w:val="008952DC"/>
    <w:rsid w:val="008A020C"/>
    <w:rsid w:val="008A0BDA"/>
    <w:rsid w:val="008A4419"/>
    <w:rsid w:val="008B0F3C"/>
    <w:rsid w:val="008D2C44"/>
    <w:rsid w:val="008E18A6"/>
    <w:rsid w:val="008E2D0A"/>
    <w:rsid w:val="008E4D70"/>
    <w:rsid w:val="00903C8D"/>
    <w:rsid w:val="0090487C"/>
    <w:rsid w:val="00904BBE"/>
    <w:rsid w:val="009272EF"/>
    <w:rsid w:val="0094624A"/>
    <w:rsid w:val="00950DBF"/>
    <w:rsid w:val="00951894"/>
    <w:rsid w:val="00952109"/>
    <w:rsid w:val="00952CBE"/>
    <w:rsid w:val="009549E3"/>
    <w:rsid w:val="009559EF"/>
    <w:rsid w:val="00960B8C"/>
    <w:rsid w:val="00981D69"/>
    <w:rsid w:val="009830CF"/>
    <w:rsid w:val="00991D4B"/>
    <w:rsid w:val="009A432F"/>
    <w:rsid w:val="009B230D"/>
    <w:rsid w:val="009B2B77"/>
    <w:rsid w:val="009C0770"/>
    <w:rsid w:val="009C07C4"/>
    <w:rsid w:val="009C0AF9"/>
    <w:rsid w:val="009C3529"/>
    <w:rsid w:val="009C56CE"/>
    <w:rsid w:val="009D4958"/>
    <w:rsid w:val="009E7DCF"/>
    <w:rsid w:val="009F04B3"/>
    <w:rsid w:val="009F097A"/>
    <w:rsid w:val="009F0D13"/>
    <w:rsid w:val="009F6CEB"/>
    <w:rsid w:val="00A07C60"/>
    <w:rsid w:val="00A1497C"/>
    <w:rsid w:val="00A1675B"/>
    <w:rsid w:val="00A54492"/>
    <w:rsid w:val="00A5518F"/>
    <w:rsid w:val="00A674E6"/>
    <w:rsid w:val="00A7233E"/>
    <w:rsid w:val="00A73164"/>
    <w:rsid w:val="00A93CDA"/>
    <w:rsid w:val="00A95ABC"/>
    <w:rsid w:val="00AB1BD3"/>
    <w:rsid w:val="00AB70B3"/>
    <w:rsid w:val="00AD16E4"/>
    <w:rsid w:val="00AF0C90"/>
    <w:rsid w:val="00AF512E"/>
    <w:rsid w:val="00B011AC"/>
    <w:rsid w:val="00B05B13"/>
    <w:rsid w:val="00B22CEF"/>
    <w:rsid w:val="00B33282"/>
    <w:rsid w:val="00B40562"/>
    <w:rsid w:val="00B62D68"/>
    <w:rsid w:val="00B65C92"/>
    <w:rsid w:val="00B773C4"/>
    <w:rsid w:val="00B8399F"/>
    <w:rsid w:val="00B84F1B"/>
    <w:rsid w:val="00B9649D"/>
    <w:rsid w:val="00BA3DB2"/>
    <w:rsid w:val="00BA6261"/>
    <w:rsid w:val="00BC0B11"/>
    <w:rsid w:val="00BC35A0"/>
    <w:rsid w:val="00BC6458"/>
    <w:rsid w:val="00BC759B"/>
    <w:rsid w:val="00BD2271"/>
    <w:rsid w:val="00BD36EF"/>
    <w:rsid w:val="00BD5F26"/>
    <w:rsid w:val="00BD631A"/>
    <w:rsid w:val="00BD6EF0"/>
    <w:rsid w:val="00BE3A25"/>
    <w:rsid w:val="00C15BF7"/>
    <w:rsid w:val="00C20118"/>
    <w:rsid w:val="00C223C9"/>
    <w:rsid w:val="00C32E2A"/>
    <w:rsid w:val="00C332BF"/>
    <w:rsid w:val="00C4245B"/>
    <w:rsid w:val="00C45220"/>
    <w:rsid w:val="00C648B9"/>
    <w:rsid w:val="00C65C63"/>
    <w:rsid w:val="00C66098"/>
    <w:rsid w:val="00C72845"/>
    <w:rsid w:val="00C734D9"/>
    <w:rsid w:val="00C806B2"/>
    <w:rsid w:val="00C85A6C"/>
    <w:rsid w:val="00C869AA"/>
    <w:rsid w:val="00C91E6B"/>
    <w:rsid w:val="00C926B2"/>
    <w:rsid w:val="00C97235"/>
    <w:rsid w:val="00CB1D91"/>
    <w:rsid w:val="00CC5CB8"/>
    <w:rsid w:val="00CE1885"/>
    <w:rsid w:val="00CE418B"/>
    <w:rsid w:val="00CF296E"/>
    <w:rsid w:val="00D07D3E"/>
    <w:rsid w:val="00D12392"/>
    <w:rsid w:val="00D16E62"/>
    <w:rsid w:val="00D17054"/>
    <w:rsid w:val="00D25523"/>
    <w:rsid w:val="00D25CE4"/>
    <w:rsid w:val="00D27DFA"/>
    <w:rsid w:val="00D35E81"/>
    <w:rsid w:val="00D57DCD"/>
    <w:rsid w:val="00D61F02"/>
    <w:rsid w:val="00D759AB"/>
    <w:rsid w:val="00D91CE8"/>
    <w:rsid w:val="00D94F79"/>
    <w:rsid w:val="00D97263"/>
    <w:rsid w:val="00DD5D14"/>
    <w:rsid w:val="00DD7B3C"/>
    <w:rsid w:val="00DF2AFA"/>
    <w:rsid w:val="00DF47F1"/>
    <w:rsid w:val="00E028CD"/>
    <w:rsid w:val="00E0473B"/>
    <w:rsid w:val="00E0507A"/>
    <w:rsid w:val="00E05A43"/>
    <w:rsid w:val="00E121C1"/>
    <w:rsid w:val="00E370F7"/>
    <w:rsid w:val="00E41568"/>
    <w:rsid w:val="00E55C4A"/>
    <w:rsid w:val="00E564D2"/>
    <w:rsid w:val="00E579FF"/>
    <w:rsid w:val="00E75DFC"/>
    <w:rsid w:val="00E94866"/>
    <w:rsid w:val="00EB5289"/>
    <w:rsid w:val="00EC0CDA"/>
    <w:rsid w:val="00EC66F0"/>
    <w:rsid w:val="00ED1790"/>
    <w:rsid w:val="00ED5DDF"/>
    <w:rsid w:val="00F0203C"/>
    <w:rsid w:val="00F028EC"/>
    <w:rsid w:val="00F11F7B"/>
    <w:rsid w:val="00F17783"/>
    <w:rsid w:val="00F1781F"/>
    <w:rsid w:val="00F26C9E"/>
    <w:rsid w:val="00F35339"/>
    <w:rsid w:val="00F42581"/>
    <w:rsid w:val="00F4410D"/>
    <w:rsid w:val="00F47D81"/>
    <w:rsid w:val="00F50BCF"/>
    <w:rsid w:val="00F5417C"/>
    <w:rsid w:val="00F61030"/>
    <w:rsid w:val="00F64387"/>
    <w:rsid w:val="00F74FF8"/>
    <w:rsid w:val="00F774FF"/>
    <w:rsid w:val="00F85DED"/>
    <w:rsid w:val="00F87916"/>
    <w:rsid w:val="00F926E3"/>
    <w:rsid w:val="00F95BFE"/>
    <w:rsid w:val="00FE7DDC"/>
    <w:rsid w:val="00FF7B5E"/>
    <w:rsid w:val="01F40F97"/>
    <w:rsid w:val="02632C53"/>
    <w:rsid w:val="028A7B4B"/>
    <w:rsid w:val="028D1B30"/>
    <w:rsid w:val="06F850B8"/>
    <w:rsid w:val="08892439"/>
    <w:rsid w:val="09502F56"/>
    <w:rsid w:val="0A245A7D"/>
    <w:rsid w:val="0BBA3CE8"/>
    <w:rsid w:val="0C566AD6"/>
    <w:rsid w:val="0D5858E9"/>
    <w:rsid w:val="0E3E277D"/>
    <w:rsid w:val="0E4B0190"/>
    <w:rsid w:val="0F2A5EB6"/>
    <w:rsid w:val="0F745BEF"/>
    <w:rsid w:val="0FCA0B6B"/>
    <w:rsid w:val="11CE5360"/>
    <w:rsid w:val="122431D2"/>
    <w:rsid w:val="12AD31C8"/>
    <w:rsid w:val="13D50C28"/>
    <w:rsid w:val="13E921CC"/>
    <w:rsid w:val="15080B89"/>
    <w:rsid w:val="17C76AD9"/>
    <w:rsid w:val="1844637C"/>
    <w:rsid w:val="185F31B6"/>
    <w:rsid w:val="187F4D4B"/>
    <w:rsid w:val="1CCE090A"/>
    <w:rsid w:val="1D6238FF"/>
    <w:rsid w:val="1E7F411C"/>
    <w:rsid w:val="1FD6020F"/>
    <w:rsid w:val="206161FE"/>
    <w:rsid w:val="21313A70"/>
    <w:rsid w:val="21AA5F60"/>
    <w:rsid w:val="22E75B32"/>
    <w:rsid w:val="22ED6FAC"/>
    <w:rsid w:val="23825B93"/>
    <w:rsid w:val="23B42AC3"/>
    <w:rsid w:val="25B556E3"/>
    <w:rsid w:val="25FE400E"/>
    <w:rsid w:val="27B55D3B"/>
    <w:rsid w:val="28925402"/>
    <w:rsid w:val="299558B3"/>
    <w:rsid w:val="2AA1156E"/>
    <w:rsid w:val="2B2F0232"/>
    <w:rsid w:val="2CF8127F"/>
    <w:rsid w:val="2D841F92"/>
    <w:rsid w:val="30181908"/>
    <w:rsid w:val="30DA5A09"/>
    <w:rsid w:val="31052B83"/>
    <w:rsid w:val="35F24ACE"/>
    <w:rsid w:val="372C0352"/>
    <w:rsid w:val="375F52A8"/>
    <w:rsid w:val="37D80702"/>
    <w:rsid w:val="3AEC4133"/>
    <w:rsid w:val="3CDA350B"/>
    <w:rsid w:val="3D474F4A"/>
    <w:rsid w:val="3F3C6367"/>
    <w:rsid w:val="3FB65898"/>
    <w:rsid w:val="40081496"/>
    <w:rsid w:val="46BE443A"/>
    <w:rsid w:val="47037815"/>
    <w:rsid w:val="4B5F5AF6"/>
    <w:rsid w:val="4BDB66A6"/>
    <w:rsid w:val="4FC35671"/>
    <w:rsid w:val="4FCF20CA"/>
    <w:rsid w:val="50A33B22"/>
    <w:rsid w:val="50AF7B2F"/>
    <w:rsid w:val="513F7105"/>
    <w:rsid w:val="52183160"/>
    <w:rsid w:val="524875CD"/>
    <w:rsid w:val="52A47AA3"/>
    <w:rsid w:val="533335DB"/>
    <w:rsid w:val="555D5BC9"/>
    <w:rsid w:val="55D9405F"/>
    <w:rsid w:val="57554948"/>
    <w:rsid w:val="591C7D2C"/>
    <w:rsid w:val="59611BE3"/>
    <w:rsid w:val="5AFD3AD5"/>
    <w:rsid w:val="5B3301EC"/>
    <w:rsid w:val="5F17346F"/>
    <w:rsid w:val="608D17E6"/>
    <w:rsid w:val="610C025B"/>
    <w:rsid w:val="61776447"/>
    <w:rsid w:val="617E483B"/>
    <w:rsid w:val="62595020"/>
    <w:rsid w:val="63D57455"/>
    <w:rsid w:val="63F0428F"/>
    <w:rsid w:val="64B27796"/>
    <w:rsid w:val="663D263D"/>
    <w:rsid w:val="66851C22"/>
    <w:rsid w:val="6760797E"/>
    <w:rsid w:val="686934AE"/>
    <w:rsid w:val="69BF098B"/>
    <w:rsid w:val="6B0F149F"/>
    <w:rsid w:val="6B34498A"/>
    <w:rsid w:val="6C210E3D"/>
    <w:rsid w:val="6C721AA9"/>
    <w:rsid w:val="6C7B0067"/>
    <w:rsid w:val="6CE216C1"/>
    <w:rsid w:val="6EAA59F5"/>
    <w:rsid w:val="70294DB1"/>
    <w:rsid w:val="745724AB"/>
    <w:rsid w:val="74934EEE"/>
    <w:rsid w:val="74D805F8"/>
    <w:rsid w:val="76500CFE"/>
    <w:rsid w:val="76D865E8"/>
    <w:rsid w:val="773A3D47"/>
    <w:rsid w:val="778154D2"/>
    <w:rsid w:val="77AA682E"/>
    <w:rsid w:val="78BE732C"/>
    <w:rsid w:val="7B05191C"/>
    <w:rsid w:val="7C016BE2"/>
    <w:rsid w:val="7CC16371"/>
    <w:rsid w:val="7DE2182A"/>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1"/>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2"/>
    <w:qFormat/>
    <w:uiPriority w:val="0"/>
    <w:pPr>
      <w:jc w:val="left"/>
    </w:pPr>
  </w:style>
  <w:style w:type="paragraph" w:styleId="12">
    <w:name w:val="Body Text"/>
    <w:basedOn w:val="1"/>
    <w:qFormat/>
    <w:uiPriority w:val="0"/>
    <w:pPr>
      <w:tabs>
        <w:tab w:val="left" w:pos="1155"/>
      </w:tabs>
      <w:spacing w:line="420" w:lineRule="exact"/>
    </w:pPr>
    <w:rPr>
      <w:rFonts w:ascii="宋体"/>
      <w:sz w:val="24"/>
    </w:rPr>
  </w:style>
  <w:style w:type="paragraph" w:styleId="13">
    <w:name w:val="Body Text Indent"/>
    <w:basedOn w:val="1"/>
    <w:qFormat/>
    <w:uiPriority w:val="0"/>
    <w:pPr>
      <w:widowControl/>
      <w:ind w:firstLine="360"/>
      <w:jc w:val="left"/>
    </w:pPr>
    <w:rPr>
      <w:kern w:val="0"/>
      <w:sz w:val="24"/>
    </w:rPr>
  </w:style>
  <w:style w:type="paragraph" w:styleId="14">
    <w:name w:val="Body Text Indent 2"/>
    <w:basedOn w:val="1"/>
    <w:qFormat/>
    <w:uiPriority w:val="0"/>
    <w:pPr>
      <w:spacing w:line="500" w:lineRule="exact"/>
      <w:ind w:left="359" w:leftChars="171" w:firstLine="540" w:firstLineChars="225"/>
    </w:pPr>
    <w:rPr>
      <w:rFonts w:ascii="宋体" w:hAnsi="宋体"/>
      <w:sz w:val="24"/>
    </w:rPr>
  </w:style>
  <w:style w:type="paragraph" w:styleId="15">
    <w:name w:val="Balloon Text"/>
    <w:basedOn w:val="1"/>
    <w:autoRedefine/>
    <w:qFormat/>
    <w:uiPriority w:val="0"/>
    <w:rPr>
      <w:sz w:val="18"/>
      <w:szCs w:val="18"/>
    </w:rPr>
  </w:style>
  <w:style w:type="paragraph" w:styleId="16">
    <w:name w:val="footer"/>
    <w:basedOn w:val="1"/>
    <w:link w:val="33"/>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39"/>
    <w:pPr>
      <w:spacing w:before="120" w:after="120"/>
      <w:jc w:val="left"/>
    </w:pPr>
    <w:rPr>
      <w:b/>
      <w:bCs/>
      <w:caps/>
    </w:rPr>
  </w:style>
  <w:style w:type="paragraph" w:styleId="19">
    <w:name w:val="toc 6"/>
    <w:basedOn w:val="1"/>
    <w:next w:val="1"/>
    <w:qFormat/>
    <w:uiPriority w:val="39"/>
    <w:pPr>
      <w:ind w:left="1050"/>
      <w:jc w:val="left"/>
    </w:pPr>
    <w:rPr>
      <w:szCs w:val="21"/>
    </w:rPr>
  </w:style>
  <w:style w:type="paragraph" w:styleId="20">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34"/>
    <w:autoRedefine/>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5"/>
    <w:autoRedefine/>
    <w:qFormat/>
    <w:uiPriority w:val="0"/>
    <w:rPr>
      <w:b/>
      <w:bCs/>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style>
  <w:style w:type="character" w:styleId="27">
    <w:name w:val="Emphasis"/>
    <w:basedOn w:val="25"/>
    <w:qFormat/>
    <w:uiPriority w:val="20"/>
    <w:rPr>
      <w:i/>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paragraph" w:customStyle="1" w:styleId="30">
    <w:name w:val="样式1"/>
    <w:basedOn w:val="21"/>
    <w:autoRedefine/>
    <w:qFormat/>
    <w:uiPriority w:val="0"/>
  </w:style>
  <w:style w:type="character" w:customStyle="1" w:styleId="31">
    <w:name w:val="标题 6 Char"/>
    <w:link w:val="7"/>
    <w:autoRedefine/>
    <w:qFormat/>
    <w:uiPriority w:val="0"/>
    <w:rPr>
      <w:rFonts w:ascii="Arial" w:hAnsi="Arial"/>
      <w:b/>
      <w:bCs/>
      <w:sz w:val="32"/>
      <w:szCs w:val="24"/>
    </w:rPr>
  </w:style>
  <w:style w:type="character" w:customStyle="1" w:styleId="32">
    <w:name w:val="批注文字 Char"/>
    <w:link w:val="11"/>
    <w:autoRedefine/>
    <w:qFormat/>
    <w:uiPriority w:val="0"/>
    <w:rPr>
      <w:kern w:val="2"/>
      <w:sz w:val="21"/>
      <w:szCs w:val="24"/>
    </w:rPr>
  </w:style>
  <w:style w:type="character" w:customStyle="1" w:styleId="33">
    <w:name w:val="页脚 Char"/>
    <w:basedOn w:val="25"/>
    <w:link w:val="16"/>
    <w:autoRedefine/>
    <w:qFormat/>
    <w:uiPriority w:val="99"/>
    <w:rPr>
      <w:kern w:val="2"/>
      <w:sz w:val="18"/>
    </w:rPr>
  </w:style>
  <w:style w:type="character" w:customStyle="1" w:styleId="34">
    <w:name w:val="标题 Char"/>
    <w:basedOn w:val="25"/>
    <w:link w:val="21"/>
    <w:autoRedefine/>
    <w:qFormat/>
    <w:uiPriority w:val="0"/>
    <w:rPr>
      <w:rFonts w:ascii="Arial" w:hAnsi="Arial" w:cs="Arial"/>
      <w:b/>
      <w:bCs/>
      <w:kern w:val="2"/>
      <w:sz w:val="32"/>
      <w:szCs w:val="32"/>
    </w:rPr>
  </w:style>
  <w:style w:type="character" w:customStyle="1" w:styleId="35">
    <w:name w:val="批注主题 Char"/>
    <w:link w:val="22"/>
    <w:autoRedefine/>
    <w:qFormat/>
    <w:uiPriority w:val="0"/>
    <w:rPr>
      <w:b/>
      <w:bCs/>
      <w:kern w:val="2"/>
      <w:sz w:val="21"/>
      <w:szCs w:val="24"/>
    </w:rPr>
  </w:style>
  <w:style w:type="character" w:customStyle="1" w:styleId="36">
    <w:name w:val="样式2 Char"/>
    <w:link w:val="37"/>
    <w:autoRedefine/>
    <w:qFormat/>
    <w:uiPriority w:val="0"/>
    <w:rPr>
      <w:rFonts w:ascii="Arial" w:hAnsi="Arial"/>
      <w:b/>
      <w:bCs/>
      <w:color w:val="000000"/>
      <w:sz w:val="28"/>
      <w:szCs w:val="24"/>
    </w:rPr>
  </w:style>
  <w:style w:type="paragraph" w:customStyle="1" w:styleId="37">
    <w:name w:val="样式2"/>
    <w:basedOn w:val="7"/>
    <w:link w:val="36"/>
    <w:qFormat/>
    <w:uiPriority w:val="0"/>
    <w:pPr>
      <w:spacing w:before="120" w:after="60" w:line="240" w:lineRule="auto"/>
    </w:pPr>
    <w:rPr>
      <w:color w:val="000000"/>
      <w:sz w:val="28"/>
    </w:rPr>
  </w:style>
  <w:style w:type="character" w:customStyle="1" w:styleId="38">
    <w:name w:val="列出段落 Char"/>
    <w:link w:val="39"/>
    <w:autoRedefine/>
    <w:qFormat/>
    <w:uiPriority w:val="34"/>
    <w:rPr>
      <w:rFonts w:ascii="Calibri" w:hAnsi="Calibri"/>
      <w:kern w:val="2"/>
      <w:sz w:val="21"/>
      <w:szCs w:val="22"/>
    </w:rPr>
  </w:style>
  <w:style w:type="paragraph" w:styleId="39">
    <w:name w:val="List Paragraph"/>
    <w:basedOn w:val="1"/>
    <w:link w:val="38"/>
    <w:autoRedefine/>
    <w:qFormat/>
    <w:uiPriority w:val="34"/>
    <w:pPr>
      <w:ind w:firstLine="420" w:firstLineChars="200"/>
    </w:pPr>
    <w:rPr>
      <w:rFonts w:ascii="Calibri" w:hAnsi="Calibri"/>
      <w:szCs w:val="22"/>
    </w:rPr>
  </w:style>
  <w:style w:type="character" w:customStyle="1" w:styleId="40">
    <w:name w:val="p141"/>
    <w:autoRedefine/>
    <w:qFormat/>
    <w:uiPriority w:val="0"/>
    <w:rPr>
      <w:sz w:val="21"/>
      <w:szCs w:val="21"/>
    </w:rPr>
  </w:style>
  <w:style w:type="paragraph" w:customStyle="1" w:styleId="41">
    <w:name w:val="Char Char Char Char Char Char Char Char Char Char Char1 Char Char Char1"/>
    <w:basedOn w:val="1"/>
    <w:autoRedefine/>
    <w:qFormat/>
    <w:uiPriority w:val="0"/>
    <w:pPr>
      <w:ind w:firstLine="200" w:firstLineChars="200"/>
      <w:jc w:val="left"/>
    </w:pPr>
    <w:rPr>
      <w:rFonts w:ascii="Tahoma" w:hAnsi="Tahoma"/>
      <w:sz w:val="24"/>
    </w:rPr>
  </w:style>
  <w:style w:type="paragraph" w:customStyle="1" w:styleId="42">
    <w:name w:val="样式 标题 6 + 黑色"/>
    <w:basedOn w:val="7"/>
    <w:autoRedefine/>
    <w:qFormat/>
    <w:uiPriority w:val="0"/>
    <w:pPr>
      <w:spacing w:before="120" w:after="60"/>
    </w:pPr>
    <w:rPr>
      <w:color w:val="000000"/>
      <w:sz w:val="28"/>
    </w:rPr>
  </w:style>
  <w:style w:type="paragraph" w:customStyle="1" w:styleId="43">
    <w:name w:val="样式 宋体 小四 加粗 黑色 行距: 固定值 25 磅"/>
    <w:basedOn w:val="1"/>
    <w:autoRedefine/>
    <w:qFormat/>
    <w:uiPriority w:val="0"/>
    <w:pPr>
      <w:spacing w:line="500" w:lineRule="exact"/>
      <w:jc w:val="left"/>
    </w:pPr>
    <w:rPr>
      <w:rFonts w:ascii="宋体" w:hAnsi="宋体"/>
      <w:b/>
      <w:bCs/>
      <w:color w:val="000000"/>
      <w:sz w:val="24"/>
    </w:rPr>
  </w:style>
  <w:style w:type="paragraph" w:customStyle="1" w:styleId="44">
    <w:name w:val="样式 宋体 黑色 左"/>
    <w:basedOn w:val="1"/>
    <w:autoRedefine/>
    <w:qFormat/>
    <w:uiPriority w:val="0"/>
    <w:pPr>
      <w:ind w:firstLine="200" w:firstLineChars="200"/>
      <w:jc w:val="left"/>
    </w:pPr>
    <w:rPr>
      <w:rFonts w:ascii="宋体" w:hAnsi="宋体"/>
      <w:color w:val="000000"/>
    </w:rPr>
  </w:style>
  <w:style w:type="paragraph" w:customStyle="1" w:styleId="45">
    <w:name w:val="样式3"/>
    <w:basedOn w:val="7"/>
    <w:autoRedefine/>
    <w:qFormat/>
    <w:uiPriority w:val="0"/>
    <w:pPr>
      <w:jc w:val="center"/>
    </w:pPr>
    <w:rPr>
      <w:color w:val="000000"/>
    </w:rPr>
  </w:style>
  <w:style w:type="paragraph" w:customStyle="1" w:styleId="46">
    <w:name w:val="Char1"/>
    <w:basedOn w:val="1"/>
    <w:qFormat/>
    <w:uiPriority w:val="0"/>
    <w:rPr>
      <w:rFonts w:ascii="Tahoma" w:hAnsi="Tahoma"/>
      <w:sz w:val="24"/>
      <w:szCs w:val="20"/>
    </w:rPr>
  </w:style>
  <w:style w:type="paragraph" w:customStyle="1" w:styleId="47">
    <w:name w:val="样式4"/>
    <w:basedOn w:val="1"/>
    <w:qFormat/>
    <w:uiPriority w:val="0"/>
    <w:pPr>
      <w:spacing w:line="500" w:lineRule="exact"/>
      <w:jc w:val="left"/>
    </w:pPr>
    <w:rPr>
      <w:rFonts w:ascii="宋体" w:hAnsi="宋体"/>
      <w:b/>
      <w:bCs/>
      <w:color w:val="000000"/>
      <w:sz w:val="24"/>
    </w:rPr>
  </w:style>
  <w:style w:type="paragraph" w:customStyle="1" w:styleId="48">
    <w:name w:val="样式5"/>
    <w:basedOn w:val="1"/>
    <w:qFormat/>
    <w:uiPriority w:val="0"/>
    <w:pPr>
      <w:spacing w:line="360" w:lineRule="auto"/>
      <w:ind w:firstLine="200" w:firstLineChars="200"/>
      <w:jc w:val="left"/>
    </w:pPr>
    <w:rPr>
      <w:sz w:val="24"/>
    </w:rPr>
  </w:style>
  <w:style w:type="paragraph" w:customStyle="1" w:styleId="49">
    <w:name w:val="样式6"/>
    <w:basedOn w:val="1"/>
    <w:autoRedefine/>
    <w:qFormat/>
    <w:uiPriority w:val="0"/>
    <w:pPr>
      <w:spacing w:line="360" w:lineRule="auto"/>
      <w:ind w:firstLine="200" w:firstLineChars="200"/>
      <w:jc w:val="left"/>
    </w:pPr>
    <w:rPr>
      <w:sz w:val="24"/>
    </w:rPr>
  </w:style>
  <w:style w:type="paragraph" w:customStyle="1" w:styleId="50">
    <w:name w:val="缺省文本"/>
    <w:basedOn w:val="1"/>
    <w:qFormat/>
    <w:uiPriority w:val="0"/>
    <w:pPr>
      <w:autoSpaceDE w:val="0"/>
      <w:autoSpaceDN w:val="0"/>
      <w:adjustRightInd w:val="0"/>
      <w:jc w:val="left"/>
    </w:pPr>
    <w:rPr>
      <w:kern w:val="0"/>
      <w:sz w:val="24"/>
      <w:szCs w:val="20"/>
    </w:rPr>
  </w:style>
  <w:style w:type="paragraph" w:customStyle="1" w:styleId="51">
    <w:name w:val="Char Char Char"/>
    <w:basedOn w:val="1"/>
    <w:qFormat/>
    <w:uiPriority w:val="0"/>
    <w:rPr>
      <w:rFonts w:ascii="Tahoma" w:hAnsi="Tahoma"/>
      <w:sz w:val="24"/>
      <w:szCs w:val="20"/>
    </w:rPr>
  </w:style>
  <w:style w:type="paragraph" w:customStyle="1" w:styleId="52">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53">
    <w:name w:val="样式 宋体 黑色 左1"/>
    <w:basedOn w:val="1"/>
    <w:qFormat/>
    <w:uiPriority w:val="0"/>
    <w:pPr>
      <w:ind w:firstLine="200" w:firstLineChars="200"/>
      <w:jc w:val="left"/>
    </w:pPr>
    <w:rPr>
      <w:rFonts w:ascii="宋体" w:hAnsi="宋体"/>
      <w:color w:val="000000"/>
    </w:rPr>
  </w:style>
  <w:style w:type="table" w:customStyle="1" w:styleId="54">
    <w:name w:val="Table Normal1"/>
    <w:qFormat/>
    <w:uiPriority w:val="0"/>
    <w:rPr>
      <w:rFonts w:eastAsia="Arial Unicode MS"/>
    </w:rPr>
    <w:tblPr>
      <w:tblCellMar>
        <w:top w:w="0" w:type="dxa"/>
        <w:left w:w="0" w:type="dxa"/>
        <w:bottom w:w="0" w:type="dxa"/>
        <w:right w:w="0" w:type="dxa"/>
      </w:tblCellMar>
    </w:tblPr>
  </w:style>
  <w:style w:type="table" w:customStyle="1" w:styleId="55">
    <w:name w:val="网格型1"/>
    <w:basedOn w:val="2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列出段落1"/>
    <w:basedOn w:val="1"/>
    <w:autoRedefine/>
    <w:qFormat/>
    <w:uiPriority w:val="34"/>
    <w:pPr>
      <w:ind w:firstLine="420" w:firstLineChars="200"/>
    </w:pPr>
    <w:rPr>
      <w:rFonts w:ascii="Calibri" w:hAnsi="Calibri"/>
      <w:szCs w:val="22"/>
    </w:rPr>
  </w:style>
  <w:style w:type="paragraph" w:customStyle="1" w:styleId="5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B30B0-F0FF-4150-92E7-D975EDDD2D3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30</Pages>
  <Words>13803</Words>
  <Characters>14496</Characters>
  <Lines>137</Lines>
  <Paragraphs>38</Paragraphs>
  <TotalTime>0</TotalTime>
  <ScaleCrop>false</ScaleCrop>
  <LinksUpToDate>false</LinksUpToDate>
  <CharactersWithSpaces>14760</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2024-06-19T01:24:00Z</dcterms:created>
  <dc:creator>zz</dc:creator>
  <cp:lastModifiedBy>张捷</cp:lastModifiedBy>
  <cp:lastPrinted>2025-05-26T06:43:00Z</cp:lastPrinted>
  <dcterms:modified xsi:type="dcterms:W3CDTF">2025-06-04T02:04:13Z</dcterms:modified>
  <dc:title>国家体育总局国家队器材采购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5D79AF00945742DC863D53501A84B3EF</vt:lpwstr>
  </property>
  <property fmtid="{D5CDD505-2E9C-101B-9397-08002B2CF9AE}" pid="4" name="commondata">
    <vt:lpwstr>eyJoZGlkIjoiNTJiNmU3YzUyZjc4MWRhMGMwNDFhZGJlNzc2NzQxNzgifQ==</vt:lpwstr>
  </property>
  <property fmtid="{D5CDD505-2E9C-101B-9397-08002B2CF9AE}" pid="5" name="KSOTemplateDocerSaveRecord">
    <vt:lpwstr>eyJoZGlkIjoiOTlhMDVjOWI3ZTc4YTcwMzJhYjJmZjBhNGQwYTIyZDQiLCJ1c2VySWQiOiIzMjIzNjMzODUifQ==</vt:lpwstr>
  </property>
</Properties>
</file>