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国家体育总局体育信息中心赛事系统服务项目采购招标文件</w:t>
      </w:r>
      <w:bookmarkEnd w:id="0"/>
    </w:p>
    <w:p>
      <w:pPr>
        <w:spacing w:before="312" w:beforeLines="100" w:line="360" w:lineRule="auto"/>
        <w:ind w:right="-108"/>
        <w:jc w:val="center"/>
        <w:rPr>
          <w:rFonts w:ascii="宋体" w:hAnsi="宋体"/>
          <w:b/>
          <w:color w:val="000000" w:themeColor="text1"/>
          <w:spacing w:val="40"/>
          <w:sz w:val="84"/>
          <w:szCs w:val="84"/>
          <w14:textFill>
            <w14:solidFill>
              <w14:schemeClr w14:val="tx1"/>
            </w14:solidFill>
          </w14:textFill>
        </w:rPr>
      </w:pP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14:textFill>
            <w14:solidFill>
              <w14:schemeClr w14:val="tx1"/>
            </w14:solidFill>
          </w14:textFill>
        </w:rPr>
        <w:t>ZB2021-03</w:t>
      </w:r>
    </w:p>
    <w:p>
      <w:pPr>
        <w:spacing w:before="312" w:beforeLines="100"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pPr>
        <w:wordWrap w:val="0"/>
        <w:spacing w:line="500" w:lineRule="exact"/>
        <w:ind w:right="-108" w:firstLine="663" w:firstLineChars="150"/>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44"/>
          <w:szCs w:val="44"/>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目    录</w:t>
      </w:r>
    </w:p>
    <w:p>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"_Toc51935127" </w:instrText>
      </w:r>
      <w:r>
        <w:fldChar w:fldCharType="separate"/>
      </w:r>
      <w:r>
        <w:rPr>
          <w:rStyle w:val="68"/>
          <w:rFonts w:hint="eastAsia" w:hAnsi="宋体"/>
          <w:b/>
          <w:color w:val="000000" w:themeColor="text1"/>
          <w14:textFill>
            <w14:solidFill>
              <w14:schemeClr w14:val="tx1"/>
            </w14:solidFill>
          </w14:textFill>
        </w:rPr>
        <w:t>第一章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"_Toc51935128" </w:instrText>
      </w:r>
      <w:r>
        <w:fldChar w:fldCharType="separate"/>
      </w:r>
      <w:r>
        <w:rPr>
          <w:rStyle w:val="68"/>
          <w:rFonts w:hint="eastAsia" w:ascii="仿宋" w:hAnsi="仿宋"/>
          <w:b/>
          <w:color w:val="000000" w:themeColor="text1"/>
          <w14:textFill>
            <w14:solidFill>
              <w14:schemeClr w14:val="tx1"/>
            </w14:solidFill>
          </w14:textFill>
        </w:rPr>
        <w:t>第二章</w:t>
      </w:r>
      <w:r>
        <w:rPr>
          <w:rStyle w:val="68"/>
          <w:rFonts w:ascii="仿宋" w:hAnsi="仿宋"/>
          <w:b/>
          <w:color w:val="000000" w:themeColor="text1"/>
          <w14:textFill>
            <w14:solidFill>
              <w14:schemeClr w14:val="tx1"/>
            </w14:solidFill>
          </w14:textFill>
        </w:rPr>
        <w:t xml:space="preserve">  </w:t>
      </w:r>
      <w:r>
        <w:rPr>
          <w:rStyle w:val="68"/>
          <w:rFonts w:hint="eastAsia" w:ascii="仿宋" w:hAnsi="仿宋"/>
          <w:b/>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"_Toc51935129" </w:instrText>
      </w:r>
      <w:r>
        <w:fldChar w:fldCharType="separate"/>
      </w:r>
      <w:r>
        <w:rPr>
          <w:rStyle w:val="68"/>
          <w:rFonts w:hint="eastAsia" w:hAnsi="宋体"/>
          <w:b/>
          <w:color w:val="000000" w:themeColor="text1"/>
          <w14:textFill>
            <w14:solidFill>
              <w14:schemeClr w14:val="tx1"/>
            </w14:solidFill>
          </w14:textFill>
        </w:rPr>
        <w:t>第三章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"_Toc51935130" </w:instrText>
      </w:r>
      <w:r>
        <w:fldChar w:fldCharType="separate"/>
      </w:r>
      <w:r>
        <w:rPr>
          <w:rStyle w:val="68"/>
          <w:rFonts w:hint="eastAsia" w:hAnsi="宋体"/>
          <w:b/>
          <w:color w:val="000000" w:themeColor="text1"/>
          <w14:textFill>
            <w14:solidFill>
              <w14:schemeClr w14:val="tx1"/>
            </w14:solidFill>
          </w14:textFill>
        </w:rPr>
        <w:t>第四章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b/>
          <w:color w:val="000000" w:themeColor="text1"/>
          <w:sz w:val="21"/>
          <w:szCs w:val="22"/>
          <w14:textFill>
            <w14:solidFill>
              <w14:schemeClr w14:val="tx1"/>
            </w14:solidFill>
          </w14:textFill>
        </w:rPr>
      </w:pPr>
      <w:r>
        <w:fldChar w:fldCharType="begin"/>
      </w:r>
      <w:r>
        <w:instrText xml:space="preserve"> HYPERLINK \l "_Toc51935132" </w:instrText>
      </w:r>
      <w:r>
        <w:fldChar w:fldCharType="separate"/>
      </w:r>
      <w:r>
        <w:rPr>
          <w:rStyle w:val="68"/>
          <w:rFonts w:hint="eastAsia" w:ascii="仿宋" w:hAnsi="仿宋"/>
          <w:b/>
          <w:color w:val="000000" w:themeColor="text1"/>
          <w14:textFill>
            <w14:solidFill>
              <w14:schemeClr w14:val="tx1"/>
            </w14:solidFill>
          </w14:textFill>
        </w:rPr>
        <w:t>第五章</w:t>
      </w:r>
      <w:r>
        <w:rPr>
          <w:rStyle w:val="68"/>
          <w:rFonts w:ascii="仿宋" w:hAnsi="仿宋"/>
          <w:b/>
          <w:color w:val="000000" w:themeColor="text1"/>
          <w14:textFill>
            <w14:solidFill>
              <w14:schemeClr w14:val="tx1"/>
            </w14:solidFill>
          </w14:textFill>
        </w:rPr>
        <w:t xml:space="preserve">  </w:t>
      </w:r>
      <w:r>
        <w:rPr>
          <w:rStyle w:val="68"/>
          <w:rFonts w:hint="eastAsia" w:ascii="宋体" w:hAnsi="宋体"/>
          <w:b/>
          <w:color w:val="000000" w:themeColor="text1"/>
          <w14:textFill>
            <w14:solidFill>
              <w14:schemeClr w14:val="tx1"/>
            </w14:solidFill>
          </w14:textFill>
        </w:rPr>
        <w:t>采购合同（模板）</w:t>
      </w:r>
      <w:r>
        <w:rPr>
          <w:b/>
          <w:color w:val="000000" w:themeColor="text1"/>
          <w14:textFill>
            <w14:solidFill>
              <w14:schemeClr w14:val="tx1"/>
            </w14:solidFill>
          </w14:textFill>
        </w:rPr>
        <w:tab/>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PAGEREF _Toc51935132 \h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73</w:t>
      </w:r>
      <w:r>
        <w:rPr>
          <w:b/>
          <w:color w:val="000000" w:themeColor="text1"/>
          <w14:textFill>
            <w14:solidFill>
              <w14:schemeClr w14:val="tx1"/>
            </w14:solidFill>
          </w14:textFill>
        </w:rPr>
        <w:fldChar w:fldCharType="end"/>
      </w:r>
      <w:r>
        <w:rPr>
          <w:b/>
          <w:color w:val="000000" w:themeColor="text1"/>
          <w14:textFill>
            <w14:solidFill>
              <w14:schemeClr w14:val="tx1"/>
            </w14:solidFill>
          </w14:textFill>
        </w:rPr>
        <w:fldChar w:fldCharType="end"/>
      </w:r>
    </w:p>
    <w:p>
      <w:pPr>
        <w:pStyle w:val="40"/>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"_Toc51935133" </w:instrText>
      </w:r>
      <w:r>
        <w:fldChar w:fldCharType="separate"/>
      </w:r>
      <w:r>
        <w:rPr>
          <w:rStyle w:val="68"/>
          <w:rFonts w:hint="eastAsia" w:hAnsi="宋体"/>
          <w:b/>
          <w:color w:val="000000" w:themeColor="text1"/>
          <w14:textFill>
            <w14:solidFill>
              <w14:schemeClr w14:val="tx1"/>
            </w14:solidFill>
          </w14:textFill>
        </w:rPr>
        <w:t>第六章</w:t>
      </w:r>
      <w:r>
        <w:rPr>
          <w:rStyle w:val="68"/>
          <w:rFonts w:hAnsi="宋体"/>
          <w:b/>
          <w:color w:val="000000" w:themeColor="text1"/>
          <w14:textFill>
            <w14:solidFill>
              <w14:schemeClr w14:val="tx1"/>
            </w14:solidFill>
          </w14:textFill>
        </w:rPr>
        <w:t xml:space="preserve">  </w:t>
      </w:r>
      <w:r>
        <w:rPr>
          <w:rStyle w:val="68"/>
          <w:rFonts w:hint="eastAsia" w:hAnsi="宋体"/>
          <w:b/>
          <w:color w:val="000000" w:themeColor="text1"/>
          <w14:textFill>
            <w14:solidFill>
              <w14:schemeClr w14:val="tx1"/>
            </w14:solidFill>
          </w14:textFill>
        </w:rPr>
        <w:t>投标文件格式附件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end"/>
      </w:r>
    </w:p>
    <w:p>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1" w:name="_Toc51935127"/>
      <w:r>
        <w:rPr>
          <w:rFonts w:hint="eastAsia" w:hAnsi="宋体"/>
          <w:b/>
          <w:color w:val="000000" w:themeColor="text1"/>
          <w:sz w:val="36"/>
          <w:szCs w:val="36"/>
          <w14:textFill>
            <w14:solidFill>
              <w14:schemeClr w14:val="tx1"/>
            </w14:solidFill>
          </w14:textFill>
        </w:rPr>
        <w:t>第一章  公开招标采购公告</w:t>
      </w:r>
      <w:bookmarkEnd w:id="1"/>
    </w:p>
    <w:p>
      <w:pPr>
        <w:pStyle w:val="397"/>
        <w:widowControl w:val="0"/>
        <w:spacing w:afterLines="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276" w:lineRule="auto"/>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一、项目编号：</w:t>
      </w:r>
      <w:r>
        <w:rPr>
          <w:rFonts w:ascii="仿宋" w:hAnsi="仿宋" w:eastAsia="仿宋" w:cs="Arial"/>
          <w:b/>
          <w:color w:val="000000" w:themeColor="text1"/>
          <w:sz w:val="30"/>
          <w:szCs w:val="30"/>
          <w14:textFill>
            <w14:solidFill>
              <w14:schemeClr w14:val="tx1"/>
            </w14:solidFill>
          </w14:textFill>
        </w:rPr>
        <w:t>ZB2021-03</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二、公告期限：5个工作日</w:t>
      </w: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p>
    <w:p>
      <w:pPr>
        <w:snapToGrid w:val="0"/>
        <w:spacing w:line="276"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三、采购项目内容、数量及预算</w:t>
      </w:r>
      <w:bookmarkStart w:id="2" w:name="PO_15528_PM004"/>
      <w:r>
        <w:rPr>
          <w:rFonts w:ascii="仿宋" w:hAnsi="仿宋" w:eastAsia="仿宋" w:cs="Arial"/>
          <w:b/>
          <w:color w:val="000000" w:themeColor="text1"/>
          <w:sz w:val="30"/>
          <w:szCs w:val="30"/>
          <w14:textFill>
            <w14:solidFill>
              <w14:schemeClr w14:val="tx1"/>
            </w14:solidFill>
          </w14:textFill>
        </w:rPr>
        <w:t xml:space="preserve"> </w:t>
      </w:r>
    </w:p>
    <w:tbl>
      <w:tblPr>
        <w:tblStyle w:val="5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70"/>
        <w:gridCol w:w="1282"/>
        <w:gridCol w:w="1701"/>
        <w:gridCol w:w="112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391"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709"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 称</w:t>
            </w:r>
          </w:p>
        </w:tc>
        <w:tc>
          <w:tcPr>
            <w:tcW w:w="777"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w:t>
            </w:r>
            <w:r>
              <w:rPr>
                <w:rFonts w:ascii="仿宋" w:hAnsi="仿宋" w:eastAsia="仿宋" w:cs="Arial"/>
                <w:b/>
                <w:color w:val="000000" w:themeColor="text1"/>
                <w:sz w:val="28"/>
                <w:szCs w:val="28"/>
                <w14:textFill>
                  <w14:solidFill>
                    <w14:schemeClr w14:val="tx1"/>
                  </w14:solidFill>
                </w14:textFill>
              </w:rPr>
              <w:t>(万元)</w:t>
            </w:r>
          </w:p>
        </w:tc>
        <w:tc>
          <w:tcPr>
            <w:tcW w:w="1031"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684"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w:t>
            </w:r>
            <w:r>
              <w:rPr>
                <w:rFonts w:ascii="仿宋" w:hAnsi="仿宋" w:eastAsia="仿宋" w:cs="Arial"/>
                <w:b/>
                <w:color w:val="000000" w:themeColor="text1"/>
                <w:sz w:val="28"/>
                <w:szCs w:val="28"/>
                <w14:textFill>
                  <w14:solidFill>
                    <w14:schemeClr w14:val="tx1"/>
                  </w14:solidFill>
                </w14:textFill>
              </w:rPr>
              <w:t>(万元)</w:t>
            </w:r>
          </w:p>
        </w:tc>
        <w:tc>
          <w:tcPr>
            <w:tcW w:w="1408" w:type="pct"/>
          </w:tcPr>
          <w:p>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39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p>
        </w:tc>
        <w:tc>
          <w:tcPr>
            <w:tcW w:w="70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电视字幕系统服务</w:t>
            </w:r>
          </w:p>
        </w:tc>
        <w:tc>
          <w:tcPr>
            <w:tcW w:w="77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312.8</w:t>
            </w:r>
          </w:p>
        </w:tc>
        <w:tc>
          <w:tcPr>
            <w:tcW w:w="103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8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140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所有项目4K</w:t>
            </w:r>
          </w:p>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包干所有费用（除差旅、住宿费用）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39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p>
        </w:tc>
        <w:tc>
          <w:tcPr>
            <w:tcW w:w="70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计时记分系统服务</w:t>
            </w:r>
          </w:p>
        </w:tc>
        <w:tc>
          <w:tcPr>
            <w:tcW w:w="77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991.5</w:t>
            </w:r>
          </w:p>
        </w:tc>
        <w:tc>
          <w:tcPr>
            <w:tcW w:w="103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8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140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包干所有费用（除差旅、住宿费用）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39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p>
        </w:tc>
        <w:tc>
          <w:tcPr>
            <w:tcW w:w="70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竞赛视频系统服务</w:t>
            </w:r>
          </w:p>
        </w:tc>
        <w:tc>
          <w:tcPr>
            <w:tcW w:w="77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390</w:t>
            </w:r>
          </w:p>
        </w:tc>
        <w:tc>
          <w:tcPr>
            <w:tcW w:w="103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8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140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包干所有费用（除差旅、住宿费用）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9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p>
        </w:tc>
        <w:tc>
          <w:tcPr>
            <w:tcW w:w="709"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综合及场馆成绩系统服务</w:t>
            </w:r>
          </w:p>
        </w:tc>
        <w:tc>
          <w:tcPr>
            <w:tcW w:w="777"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974.5</w:t>
            </w:r>
          </w:p>
        </w:tc>
        <w:tc>
          <w:tcPr>
            <w:tcW w:w="103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详见采购文件第四章招标需求</w:t>
            </w:r>
          </w:p>
        </w:tc>
        <w:tc>
          <w:tcPr>
            <w:tcW w:w="684"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1408"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包干所有费用（除差旅、住宿费用）</w:t>
            </w:r>
          </w:p>
        </w:tc>
      </w:tr>
    </w:tbl>
    <w:p>
      <w:pPr>
        <w:snapToGrid w:val="0"/>
        <w:spacing w:after="156" w:afterLines="50" w:line="460" w:lineRule="exact"/>
        <w:ind w:firstLine="56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color w:val="000000" w:themeColor="text1"/>
          <w:sz w:val="28"/>
          <w:szCs w:val="28"/>
          <w14:textFill>
            <w14:solidFill>
              <w14:schemeClr w14:val="tx1"/>
            </w14:solidFill>
          </w14:textFill>
        </w:rPr>
        <w:t xml:space="preserve"> </w:t>
      </w:r>
      <w:bookmarkEnd w:id="2"/>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符合《中华人民共和国政府采购法》第二十二条的规定；</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numPr>
          <w:ilvl w:val="0"/>
          <w:numId w:val="30"/>
        </w:numPr>
        <w:tabs>
          <w:tab w:val="clear" w:pos="786"/>
        </w:tabs>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ascii="仿宋" w:hAnsi="仿宋" w:eastAsia="仿宋" w:cs="Arial"/>
          <w:bCs/>
          <w:color w:val="000000" w:themeColor="text1"/>
          <w:sz w:val="28"/>
          <w:szCs w:val="28"/>
          <w14:textFill>
            <w14:solidFill>
              <w14:schemeClr w14:val="tx1"/>
            </w14:solidFill>
          </w14:textFill>
        </w:rPr>
        <w:t>单位负责人为同一人或者存在</w:t>
      </w:r>
      <w:r>
        <w:rPr>
          <w:rFonts w:hint="eastAsia" w:ascii="仿宋" w:hAnsi="仿宋" w:eastAsia="仿宋" w:cs="Arial"/>
          <w:bCs/>
          <w:color w:val="000000" w:themeColor="text1"/>
          <w:sz w:val="28"/>
          <w:szCs w:val="28"/>
          <w14:textFill>
            <w14:solidFill>
              <w14:schemeClr w14:val="tx1"/>
            </w14:solidFill>
          </w14:textFill>
        </w:rPr>
        <w:t>直接</w:t>
      </w:r>
      <w:r>
        <w:rPr>
          <w:rFonts w:ascii="仿宋" w:hAnsi="仿宋" w:eastAsia="仿宋" w:cs="Arial"/>
          <w:bCs/>
          <w:color w:val="000000" w:themeColor="text1"/>
          <w:sz w:val="28"/>
          <w:szCs w:val="28"/>
          <w14:textFill>
            <w14:solidFill>
              <w14:schemeClr w14:val="tx1"/>
            </w14:solidFill>
          </w14:textFill>
        </w:rPr>
        <w:t>控股、管理关系的不同供应商，不得参加同一分包的政府采购活动。</w:t>
      </w:r>
    </w:p>
    <w:p>
      <w:pPr>
        <w:numPr>
          <w:ilvl w:val="0"/>
          <w:numId w:val="30"/>
        </w:numPr>
        <w:tabs>
          <w:tab w:val="clear" w:pos="786"/>
        </w:tabs>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pPr>
        <w:numPr>
          <w:ilvl w:val="0"/>
          <w:numId w:val="30"/>
        </w:numPr>
        <w:tabs>
          <w:tab w:val="clear" w:pos="786"/>
        </w:tabs>
        <w:snapToGrid w:val="0"/>
        <w:spacing w:line="460" w:lineRule="exact"/>
        <w:ind w:firstLine="602"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本项目不接受联合体投标。</w:t>
      </w:r>
    </w:p>
    <w:p>
      <w:pPr>
        <w:tabs>
          <w:tab w:val="left" w:pos="786"/>
        </w:tabs>
        <w:snapToGrid w:val="0"/>
        <w:spacing w:line="460" w:lineRule="exact"/>
        <w:ind w:left="1388"/>
        <w:rPr>
          <w:rFonts w:ascii="仿宋" w:hAnsi="仿宋" w:eastAsia="仿宋" w:cs="Arial"/>
          <w:bCs/>
          <w:color w:val="000000" w:themeColor="text1"/>
          <w:sz w:val="28"/>
          <w:szCs w:val="28"/>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五、投标报名：</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1、报名时间：</w:t>
      </w:r>
      <w:r>
        <w:rPr>
          <w:rFonts w:ascii="仿宋" w:hAnsi="仿宋" w:eastAsia="仿宋"/>
          <w:color w:val="000000" w:themeColor="text1"/>
          <w:kern w:val="0"/>
          <w:sz w:val="30"/>
          <w:szCs w:val="30"/>
          <w14:textFill>
            <w14:solidFill>
              <w14:schemeClr w14:val="tx1"/>
            </w14:solidFill>
          </w14:textFill>
        </w:rPr>
        <w:t>20</w:t>
      </w:r>
      <w:r>
        <w:rPr>
          <w:rFonts w:hint="eastAsia" w:ascii="仿宋" w:hAnsi="仿宋" w:eastAsia="仿宋"/>
          <w:color w:val="000000" w:themeColor="text1"/>
          <w:kern w:val="0"/>
          <w:sz w:val="30"/>
          <w:szCs w:val="30"/>
          <w14:textFill>
            <w14:solidFill>
              <w14:schemeClr w14:val="tx1"/>
            </w14:solidFill>
          </w14:textFill>
        </w:rPr>
        <w:t>21</w:t>
      </w:r>
      <w:r>
        <w:rPr>
          <w:rFonts w:ascii="仿宋" w:hAnsi="仿宋" w:eastAsia="仿宋"/>
          <w:color w:val="000000" w:themeColor="text1"/>
          <w:kern w:val="0"/>
          <w:sz w:val="30"/>
          <w:szCs w:val="30"/>
          <w14:textFill>
            <w14:solidFill>
              <w14:schemeClr w14:val="tx1"/>
            </w14:solidFill>
          </w14:textFill>
        </w:rPr>
        <w:t>年</w:t>
      </w:r>
      <w:r>
        <w:rPr>
          <w:rFonts w:hint="eastAsia" w:ascii="仿宋" w:hAnsi="仿宋" w:eastAsia="仿宋"/>
          <w:color w:val="000000" w:themeColor="text1"/>
          <w:kern w:val="0"/>
          <w:sz w:val="30"/>
          <w:szCs w:val="30"/>
          <w14:textFill>
            <w14:solidFill>
              <w14:schemeClr w14:val="tx1"/>
            </w14:solidFill>
          </w14:textFill>
        </w:rPr>
        <w:t xml:space="preserve"> 1</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18</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 xml:space="preserve"> 至2021年1月 </w:t>
      </w:r>
      <w:r>
        <w:rPr>
          <w:rFonts w:hint="eastAsia" w:ascii="仿宋" w:hAnsi="仿宋" w:eastAsia="仿宋"/>
          <w:color w:val="000000" w:themeColor="text1"/>
          <w:kern w:val="0"/>
          <w:sz w:val="30"/>
          <w:szCs w:val="30"/>
          <w:lang w:val="en-US" w:eastAsia="zh-CN"/>
          <w14:textFill>
            <w14:solidFill>
              <w14:schemeClr w14:val="tx1"/>
            </w14:solidFill>
          </w14:textFill>
        </w:rPr>
        <w:t>22</w:t>
      </w:r>
      <w:r>
        <w:rPr>
          <w:rFonts w:hint="eastAsia" w:ascii="仿宋" w:hAnsi="仿宋" w:eastAsia="仿宋"/>
          <w:color w:val="000000" w:themeColor="text1"/>
          <w:kern w:val="0"/>
          <w:sz w:val="30"/>
          <w:szCs w:val="30"/>
          <w14:textFill>
            <w14:solidFill>
              <w14:schemeClr w14:val="tx1"/>
            </w14:solidFill>
          </w14:textFill>
        </w:rPr>
        <w:t>注册成功后，用账号密码登录后台界面；</w:t>
      </w:r>
    </w:p>
    <w:p>
      <w:pPr>
        <w:snapToGrid w:val="0"/>
        <w:spacing w:line="440" w:lineRule="exact"/>
        <w:ind w:firstLine="602" w:firstLineChars="2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3、供应商报名路径：项目管理-项目采购-获取采购文件，找到本项目的项目名称申请获取采购文件，按照系统界面要求填写供应商相关信息，同时将以下文件扫描件作为附件上传。</w:t>
      </w:r>
    </w:p>
    <w:p>
      <w:pPr>
        <w:snapToGrid w:val="0"/>
        <w:spacing w:line="440" w:lineRule="exact"/>
        <w:ind w:left="630" w:leftChars="3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（1）法定代表人授权委托书扫描件（法定代表人手写签字或盖章，并加盖单位公章）；</w:t>
      </w:r>
    </w:p>
    <w:p>
      <w:pPr>
        <w:snapToGrid w:val="0"/>
        <w:spacing w:line="440" w:lineRule="exact"/>
        <w:ind w:firstLine="600"/>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（2）授权代表身份证扫描件</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jc w:val="center"/>
        <w:rPr>
          <w:rFonts w:ascii="仿宋" w:hAnsi="仿宋" w:eastAsia="仿宋"/>
          <w:b/>
          <w:color w:val="000000" w:themeColor="text1"/>
          <w:kern w:val="0"/>
          <w:sz w:val="30"/>
          <w:szCs w:val="30"/>
          <w14:textFill>
            <w14:solidFill>
              <w14:schemeClr w14:val="tx1"/>
            </w14:solidFill>
          </w14:textFill>
        </w:rPr>
      </w:pPr>
      <w:r>
        <w:rPr>
          <w:rFonts w:hint="eastAsia" w:ascii="仿宋" w:hAnsi="仿宋" w:eastAsia="仿宋"/>
          <w:b/>
          <w:color w:val="000000" w:themeColor="text1"/>
          <w:kern w:val="0"/>
          <w:sz w:val="30"/>
          <w:szCs w:val="30"/>
          <w14:textFill>
            <w14:solidFill>
              <w14:schemeClr w14:val="tx1"/>
            </w14:solidFill>
          </w14:textFill>
        </w:rPr>
        <w:t>法定代表人的授权委托书</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国家体育总局体育器材装备中心：</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本授权书于 年 月 日 签字生效，特此声明。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法定代表人印刷体姓名： 签字：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授权代表印刷体姓名： 签字： 职务： 电话：</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授权代表身份证号： （身份证扫描件附后）</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公司全称（公章）：</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3、招标文件售价：0元，招标文件请至公告附件处下载。</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六、投标保证金：</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投标保证金（人民币）：标项1：50000元; 标项2：50000元; 标项3：50000元; 标项4：50000元;</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如需缴纳保证金，</w:t>
      </w:r>
      <w:r>
        <w:rPr>
          <w:rFonts w:hint="eastAsia" w:ascii="仿宋" w:hAnsi="仿宋" w:eastAsia="仿宋" w:cs="Arial"/>
          <w:color w:val="000000" w:themeColor="text1"/>
          <w:sz w:val="30"/>
          <w:szCs w:val="30"/>
          <w14:textFill>
            <w14:solidFill>
              <w14:schemeClr w14:val="tx1"/>
            </w14:solidFill>
          </w14:textFill>
        </w:rPr>
        <w:t>投标人应于</w:t>
      </w:r>
      <w:r>
        <w:rPr>
          <w:rFonts w:ascii="仿宋" w:hAnsi="仿宋" w:eastAsia="仿宋" w:cs="Arial"/>
          <w:color w:val="000000" w:themeColor="text1"/>
          <w:sz w:val="30"/>
          <w:szCs w:val="30"/>
          <w14:textFill>
            <w14:solidFill>
              <w14:schemeClr w14:val="tx1"/>
            </w14:solidFill>
          </w14:textFill>
        </w:rPr>
        <w:t>202</w:t>
      </w:r>
      <w:r>
        <w:rPr>
          <w:rFonts w:hint="eastAsia" w:ascii="仿宋" w:hAnsi="仿宋" w:eastAsia="仿宋" w:cs="Arial"/>
          <w:color w:val="000000" w:themeColor="text1"/>
          <w:sz w:val="30"/>
          <w:szCs w:val="30"/>
          <w14:textFill>
            <w14:solidFill>
              <w14:schemeClr w14:val="tx1"/>
            </w14:solidFill>
          </w14:textFill>
        </w:rPr>
        <w:t>1年</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8</w:t>
      </w:r>
      <w:r>
        <w:rPr>
          <w:rFonts w:hint="eastAsia" w:ascii="仿宋" w:hAnsi="仿宋" w:eastAsia="仿宋" w:cs="Arial"/>
          <w:color w:val="000000" w:themeColor="text1"/>
          <w:sz w:val="30"/>
          <w:szCs w:val="30"/>
          <w14:textFill>
            <w14:solidFill>
              <w14:schemeClr w14:val="tx1"/>
            </w14:solidFill>
          </w14:textFill>
        </w:rPr>
        <w:t>日9:</w:t>
      </w:r>
      <w:r>
        <w:rPr>
          <w:rFonts w:hint="eastAsia" w:ascii="仿宋" w:hAnsi="仿宋" w:eastAsia="仿宋" w:cs="Arial"/>
          <w:color w:val="000000" w:themeColor="text1"/>
          <w:sz w:val="30"/>
          <w:szCs w:val="30"/>
          <w:lang w:val="en-US" w:eastAsia="zh-CN"/>
          <w14:textFill>
            <w14:solidFill>
              <w14:schemeClr w14:val="tx1"/>
            </w14:solidFill>
          </w14:textFill>
        </w:rPr>
        <w:t>0</w:t>
      </w:r>
      <w:r>
        <w:rPr>
          <w:rFonts w:hint="eastAsia" w:ascii="仿宋" w:hAnsi="仿宋" w:eastAsia="仿宋" w:cs="Arial"/>
          <w:color w:val="000000" w:themeColor="text1"/>
          <w:sz w:val="30"/>
          <w:szCs w:val="30"/>
          <w14:textFill>
            <w14:solidFill>
              <w14:schemeClr w14:val="tx1"/>
            </w14:solidFill>
          </w14:textFill>
        </w:rPr>
        <w:t>0时</w:t>
      </w:r>
      <w:r>
        <w:rPr>
          <w:rFonts w:hint="eastAsia" w:ascii="仿宋" w:hAnsi="仿宋" w:eastAsia="仿宋" w:cs="Arial"/>
          <w:color w:val="000000" w:themeColor="text1"/>
          <w:sz w:val="28"/>
          <w:szCs w:val="28"/>
          <w14:textFill>
            <w14:solidFill>
              <w14:schemeClr w14:val="tx1"/>
            </w14:solidFill>
          </w14:textFill>
        </w:rPr>
        <w:t>前将投标保证金以网银、汇票、电汇、转帐支票、银行保函方式（</w:t>
      </w:r>
      <w:r>
        <w:rPr>
          <w:rFonts w:hint="eastAsia" w:ascii="仿宋" w:hAnsi="仿宋" w:eastAsia="仿宋"/>
          <w:color w:val="000000" w:themeColor="text1"/>
          <w:sz w:val="28"/>
          <w:szCs w:val="28"/>
          <w14:textFill>
            <w14:solidFill>
              <w14:schemeClr w14:val="tx1"/>
            </w14:solidFill>
          </w14:textFill>
        </w:rPr>
        <w:t>招标方不接受以现金支票、现金、支付宝、微信及个人转账方式交纳的保证金</w:t>
      </w:r>
      <w:r>
        <w:rPr>
          <w:rFonts w:hint="eastAsia" w:ascii="仿宋" w:hAnsi="仿宋" w:eastAsia="仿宋" w:cs="Arial"/>
          <w:color w:val="000000" w:themeColor="text1"/>
          <w:sz w:val="28"/>
          <w:szCs w:val="28"/>
          <w14:textFill>
            <w14:solidFill>
              <w14:schemeClr w14:val="tx1"/>
            </w14:solidFill>
          </w14:textFill>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开户名：  国家体育总局体育器材装备中心</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开户银行：工行北京体育馆路支行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银行账号：0200008109089053553</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投标人递交投标保证金时需提供投标人全称、开户行、银行帐号等银行信息, 并加盖投标人公章，以便招标方退还投标保证金</w:t>
      </w:r>
      <w:r>
        <w:rPr>
          <w:rFonts w:ascii="仿宋" w:hAnsi="仿宋" w:eastAsia="仿宋" w:cs="Arial"/>
          <w:b/>
          <w:bCs/>
          <w:color w:val="000000" w:themeColor="text1"/>
          <w:sz w:val="28"/>
          <w:szCs w:val="28"/>
          <w14:textFill>
            <w14:solidFill>
              <w14:schemeClr w14:val="tx1"/>
            </w14:solidFill>
          </w14:textFill>
        </w:rPr>
        <w:t>。</w:t>
      </w:r>
    </w:p>
    <w:p>
      <w:pPr>
        <w:snapToGrid w:val="0"/>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1、在投标文件有效期内撤回投标文件的；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投标人在投标过程中弄虚作假，提供虚假材料的；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3、中标人无正当理由未能按本文件规定签订采购合同；</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r>
        <w:rPr>
          <w:rFonts w:ascii="仿宋" w:hAnsi="仿宋" w:eastAsia="仿宋" w:cs="Arial"/>
          <w:color w:val="000000" w:themeColor="text1"/>
          <w:sz w:val="28"/>
          <w:szCs w:val="28"/>
          <w14:textFill>
            <w14:solidFill>
              <w14:schemeClr w14:val="tx1"/>
            </w14:solidFill>
          </w14:textFill>
        </w:rPr>
        <w:t>投标人拒绝在开标记录上签字确认，经</w:t>
      </w:r>
      <w:r>
        <w:rPr>
          <w:rFonts w:hint="eastAsia" w:ascii="仿宋" w:hAnsi="仿宋" w:eastAsia="仿宋" w:cs="Arial"/>
          <w:color w:val="000000" w:themeColor="text1"/>
          <w:sz w:val="28"/>
          <w:szCs w:val="28"/>
          <w14:textFill>
            <w14:solidFill>
              <w14:schemeClr w14:val="tx1"/>
            </w14:solidFill>
          </w14:textFill>
        </w:rPr>
        <w:t>相关</w:t>
      </w:r>
      <w:r>
        <w:rPr>
          <w:rFonts w:ascii="仿宋" w:hAnsi="仿宋" w:eastAsia="仿宋" w:cs="Arial"/>
          <w:color w:val="000000" w:themeColor="text1"/>
          <w:sz w:val="28"/>
          <w:szCs w:val="28"/>
          <w14:textFill>
            <w14:solidFill>
              <w14:schemeClr w14:val="tx1"/>
            </w14:solidFill>
          </w14:textFill>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将中标项目转让给他人的；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w:t>
      </w:r>
      <w:r>
        <w:rPr>
          <w:rFonts w:ascii="仿宋" w:hAnsi="仿宋" w:eastAsia="仿宋" w:cs="Arial"/>
          <w:color w:val="000000" w:themeColor="text1"/>
          <w:sz w:val="28"/>
          <w:szCs w:val="28"/>
          <w14:textFill>
            <w14:solidFill>
              <w14:schemeClr w14:val="tx1"/>
            </w14:solidFill>
          </w14:textFill>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7、其他严重扰乱招投标程序的；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olor w:val="000000" w:themeColor="text1"/>
          <w:kern w:val="0"/>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七、投标截止时间和地点：</w:t>
      </w:r>
    </w:p>
    <w:p>
      <w:pPr>
        <w:snapToGrid w:val="0"/>
        <w:spacing w:line="440" w:lineRule="exact"/>
        <w:ind w:firstLine="600"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投标人应于</w:t>
      </w:r>
      <w:bookmarkStart w:id="3" w:name="PO_15528_PM015"/>
      <w:r>
        <w:rPr>
          <w:rFonts w:hint="eastAsia" w:ascii="仿宋" w:hAnsi="仿宋" w:eastAsia="仿宋" w:cs="Arial"/>
          <w:color w:val="000000" w:themeColor="text1"/>
          <w:sz w:val="30"/>
          <w:szCs w:val="30"/>
          <w14:textFill>
            <w14:solidFill>
              <w14:schemeClr w14:val="tx1"/>
            </w14:solidFill>
          </w14:textFill>
        </w:rPr>
        <w:t>2021年</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8</w:t>
      </w:r>
      <w:r>
        <w:rPr>
          <w:rFonts w:hint="eastAsia" w:ascii="仿宋" w:hAnsi="仿宋" w:eastAsia="仿宋" w:cs="Arial"/>
          <w:color w:val="000000" w:themeColor="text1"/>
          <w:sz w:val="30"/>
          <w:szCs w:val="30"/>
          <w14:textFill>
            <w14:solidFill>
              <w14:schemeClr w14:val="tx1"/>
            </w14:solidFill>
          </w14:textFill>
        </w:rPr>
        <w:t>日9：</w:t>
      </w:r>
      <w:r>
        <w:rPr>
          <w:rFonts w:hint="eastAsia" w:ascii="仿宋" w:hAnsi="仿宋" w:eastAsia="仿宋" w:cs="Arial"/>
          <w:color w:val="000000" w:themeColor="text1"/>
          <w:sz w:val="30"/>
          <w:szCs w:val="30"/>
          <w:lang w:val="en-US" w:eastAsia="zh-CN"/>
          <w14:textFill>
            <w14:solidFill>
              <w14:schemeClr w14:val="tx1"/>
            </w14:solidFill>
          </w14:textFill>
        </w:rPr>
        <w:t>0</w:t>
      </w:r>
      <w:r>
        <w:rPr>
          <w:rFonts w:hint="eastAsia" w:ascii="仿宋" w:hAnsi="仿宋" w:eastAsia="仿宋" w:cs="Arial"/>
          <w:color w:val="000000" w:themeColor="text1"/>
          <w:sz w:val="30"/>
          <w:szCs w:val="30"/>
          <w14:textFill>
            <w14:solidFill>
              <w14:schemeClr w14:val="tx1"/>
            </w14:solidFill>
          </w14:textFill>
        </w:rPr>
        <w:t>0</w:t>
      </w:r>
      <w:bookmarkEnd w:id="3"/>
      <w:r>
        <w:rPr>
          <w:rFonts w:hint="eastAsia" w:ascii="仿宋" w:hAnsi="仿宋" w:eastAsia="仿宋" w:cs="Arial"/>
          <w:color w:val="000000" w:themeColor="text1"/>
          <w:sz w:val="30"/>
          <w:szCs w:val="30"/>
          <w14:textFill>
            <w14:solidFill>
              <w14:schemeClr w14:val="tx1"/>
            </w14:solidFill>
          </w14:textFill>
        </w:rPr>
        <w:t>前</w:t>
      </w:r>
      <w:r>
        <w:rPr>
          <w:rFonts w:hint="eastAsia" w:ascii="仿宋" w:hAnsi="仿宋" w:eastAsia="仿宋" w:cs="Arial"/>
          <w:color w:val="000000" w:themeColor="text1"/>
          <w:sz w:val="28"/>
          <w:szCs w:val="28"/>
          <w14:textFill>
            <w14:solidFill>
              <w14:schemeClr w14:val="tx1"/>
            </w14:solidFill>
          </w14:textFill>
        </w:rPr>
        <w:t>派授权代表</w:t>
      </w:r>
      <w:r>
        <w:rPr>
          <w:rFonts w:hint="eastAsia" w:ascii="仿宋" w:hAnsi="仿宋" w:eastAsia="仿宋" w:cs="Arial"/>
          <w:color w:val="000000" w:themeColor="text1"/>
          <w:sz w:val="30"/>
          <w:szCs w:val="30"/>
          <w14:textFill>
            <w14:solidFill>
              <w14:schemeClr w14:val="tx1"/>
            </w14:solidFill>
          </w14:textFill>
        </w:rPr>
        <w:t>将投标文件密封送交到</w:t>
      </w:r>
      <w:bookmarkStart w:id="4" w:name="PO_15528_PM016"/>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bookmarkEnd w:id="4"/>
      <w:r>
        <w:rPr>
          <w:rFonts w:hint="eastAsia" w:ascii="仿宋" w:hAnsi="仿宋" w:eastAsia="仿宋" w:cs="Arial"/>
          <w:color w:val="000000" w:themeColor="text1"/>
          <w:sz w:val="30"/>
          <w:szCs w:val="30"/>
          <w14:textFill>
            <w14:solidFill>
              <w14:schemeClr w14:val="tx1"/>
            </w14:solidFill>
          </w14:textFill>
        </w:rPr>
        <w:t>，逾期送达或未密封将予以拒收。</w:t>
      </w:r>
      <w:r>
        <w:rPr>
          <w:rFonts w:hint="eastAsia" w:ascii="仿宋" w:hAnsi="仿宋" w:eastAsia="仿宋" w:cs="Arial"/>
          <w:color w:val="000000" w:themeColor="text1"/>
          <w:sz w:val="28"/>
          <w:szCs w:val="28"/>
          <w14:textFill>
            <w14:solidFill>
              <w14:schemeClr w14:val="tx1"/>
            </w14:solidFill>
          </w14:textFill>
        </w:rPr>
        <w:t>（授权代表应当是投标人的在职正式职工，并携带身份证及法定代表人授权书有效证明出席）</w:t>
      </w:r>
      <w:r>
        <w:rPr>
          <w:rFonts w:hint="eastAsia" w:ascii="仿宋" w:hAnsi="仿宋" w:eastAsia="仿宋" w:cs="Arial"/>
          <w:b/>
          <w:color w:val="000000" w:themeColor="text1"/>
          <w:sz w:val="28"/>
          <w:szCs w:val="28"/>
          <w14:textFill>
            <w14:solidFill>
              <w14:schemeClr w14:val="tx1"/>
            </w14:solidFill>
          </w14:textFill>
        </w:rPr>
        <w:t>投标人在递交投标文件时另行提供投标文件送达回执、政府采购活动现场确认声明书（格式详见附件，不密封进投标文件）。</w:t>
      </w:r>
    </w:p>
    <w:p>
      <w:pPr>
        <w:snapToGrid w:val="0"/>
        <w:spacing w:line="440" w:lineRule="exact"/>
        <w:ind w:firstLine="600" w:firstLineChars="200"/>
        <w:rPr>
          <w:rFonts w:ascii="仿宋" w:hAnsi="仿宋" w:eastAsia="仿宋" w:cs="Arial"/>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八、开标时间及地点：</w:t>
      </w:r>
      <w:r>
        <w:rPr>
          <w:rFonts w:hint="eastAsia" w:ascii="仿宋" w:hAnsi="仿宋" w:eastAsia="仿宋" w:cs="Arial"/>
          <w:b/>
          <w:bCs/>
          <w:color w:val="000000" w:themeColor="text1"/>
          <w:sz w:val="30"/>
          <w:szCs w:val="30"/>
          <w14:textFill>
            <w14:solidFill>
              <w14:schemeClr w14:val="tx1"/>
            </w14:solidFill>
          </w14:textFill>
        </w:rPr>
        <w:tab/>
      </w:r>
    </w:p>
    <w:p>
      <w:pPr>
        <w:snapToGrid w:val="0"/>
        <w:spacing w:line="440" w:lineRule="exact"/>
        <w:ind w:firstLine="60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本次招标将于</w:t>
      </w:r>
      <w:r>
        <w:rPr>
          <w:rFonts w:ascii="仿宋" w:hAnsi="仿宋" w:eastAsia="仿宋" w:cs="Arial"/>
          <w:color w:val="000000" w:themeColor="text1"/>
          <w:sz w:val="30"/>
          <w:szCs w:val="30"/>
          <w14:textFill>
            <w14:solidFill>
              <w14:schemeClr w14:val="tx1"/>
            </w14:solidFill>
          </w14:textFill>
        </w:rPr>
        <w:t>202</w:t>
      </w:r>
      <w:r>
        <w:rPr>
          <w:rFonts w:hint="eastAsia" w:ascii="仿宋" w:hAnsi="仿宋" w:eastAsia="仿宋" w:cs="Arial"/>
          <w:color w:val="000000" w:themeColor="text1"/>
          <w:sz w:val="30"/>
          <w:szCs w:val="30"/>
          <w14:textFill>
            <w14:solidFill>
              <w14:schemeClr w14:val="tx1"/>
            </w14:solidFill>
          </w14:textFill>
        </w:rPr>
        <w:t>1年</w:t>
      </w:r>
      <w:r>
        <w:rPr>
          <w:rFonts w:hint="eastAsia" w:ascii="仿宋" w:hAnsi="仿宋" w:eastAsia="仿宋" w:cs="Arial"/>
          <w:color w:val="000000" w:themeColor="text1"/>
          <w:sz w:val="30"/>
          <w:szCs w:val="30"/>
          <w:lang w:val="en-US" w:eastAsia="zh-CN"/>
          <w14:textFill>
            <w14:solidFill>
              <w14:schemeClr w14:val="tx1"/>
            </w14:solidFill>
          </w14:textFill>
        </w:rPr>
        <w:t>2</w:t>
      </w:r>
      <w:r>
        <w:rPr>
          <w:rFonts w:hint="eastAsia" w:ascii="仿宋" w:hAnsi="仿宋" w:eastAsia="仿宋" w:cs="Arial"/>
          <w:color w:val="000000" w:themeColor="text1"/>
          <w:sz w:val="30"/>
          <w:szCs w:val="30"/>
          <w14:textFill>
            <w14:solidFill>
              <w14:schemeClr w14:val="tx1"/>
            </w14:solidFill>
          </w14:textFill>
        </w:rPr>
        <w:t>月</w:t>
      </w:r>
      <w:r>
        <w:rPr>
          <w:rFonts w:hint="eastAsia" w:ascii="仿宋" w:hAnsi="仿宋" w:eastAsia="仿宋" w:cs="Arial"/>
          <w:color w:val="000000" w:themeColor="text1"/>
          <w:sz w:val="30"/>
          <w:szCs w:val="30"/>
          <w:lang w:val="en-US" w:eastAsia="zh-CN"/>
          <w14:textFill>
            <w14:solidFill>
              <w14:schemeClr w14:val="tx1"/>
            </w14:solidFill>
          </w14:textFill>
        </w:rPr>
        <w:t>8</w:t>
      </w:r>
      <w:r>
        <w:rPr>
          <w:rFonts w:hint="eastAsia" w:ascii="仿宋" w:hAnsi="仿宋" w:eastAsia="仿宋" w:cs="Arial"/>
          <w:color w:val="000000" w:themeColor="text1"/>
          <w:sz w:val="30"/>
          <w:szCs w:val="30"/>
          <w14:textFill>
            <w14:solidFill>
              <w14:schemeClr w14:val="tx1"/>
            </w14:solidFill>
          </w14:textFill>
        </w:rPr>
        <w:t>日9:</w:t>
      </w:r>
      <w:r>
        <w:rPr>
          <w:rFonts w:hint="eastAsia" w:ascii="仿宋" w:hAnsi="仿宋" w:eastAsia="仿宋" w:cs="Arial"/>
          <w:color w:val="000000" w:themeColor="text1"/>
          <w:sz w:val="30"/>
          <w:szCs w:val="30"/>
          <w:lang w:val="en-US" w:eastAsia="zh-CN"/>
          <w14:textFill>
            <w14:solidFill>
              <w14:schemeClr w14:val="tx1"/>
            </w14:solidFill>
          </w14:textFill>
        </w:rPr>
        <w:t>0</w:t>
      </w:r>
      <w:r>
        <w:rPr>
          <w:rFonts w:hint="eastAsia" w:ascii="仿宋" w:hAnsi="仿宋" w:eastAsia="仿宋" w:cs="Arial"/>
          <w:color w:val="000000" w:themeColor="text1"/>
          <w:sz w:val="30"/>
          <w:szCs w:val="30"/>
          <w14:textFill>
            <w14:solidFill>
              <w14:schemeClr w14:val="tx1"/>
            </w14:solidFill>
          </w14:textFill>
        </w:rPr>
        <w:t>0 在</w:t>
      </w:r>
      <w:bookmarkStart w:id="5" w:name="PO_15528_PM016_1"/>
      <w:r>
        <w:rPr>
          <w:rFonts w:hint="eastAsia" w:ascii="仿宋" w:hAnsi="仿宋" w:eastAsia="仿宋" w:cs="Arial"/>
          <w:color w:val="000000" w:themeColor="text1"/>
          <w:sz w:val="30"/>
          <w:szCs w:val="30"/>
          <w14:textFill>
            <w14:solidFill>
              <w14:schemeClr w14:val="tx1"/>
            </w14:solidFill>
          </w14:textFill>
        </w:rPr>
        <w:t>国家体育总局体育器材装备中心501会议室</w:t>
      </w:r>
      <w:bookmarkEnd w:id="5"/>
      <w:r>
        <w:rPr>
          <w:rFonts w:hint="eastAsia" w:ascii="仿宋" w:hAnsi="仿宋" w:eastAsia="仿宋" w:cs="Arial"/>
          <w:color w:val="000000" w:themeColor="text1"/>
          <w:sz w:val="30"/>
          <w:szCs w:val="30"/>
          <w14:textFill>
            <w14:solidFill>
              <w14:schemeClr w14:val="tx1"/>
            </w14:solidFill>
          </w14:textFill>
        </w:rPr>
        <w:t>开标，</w:t>
      </w:r>
      <w:r>
        <w:rPr>
          <w:rFonts w:hint="eastAsia" w:ascii="仿宋" w:hAnsi="仿宋" w:eastAsia="仿宋" w:cs="Arial"/>
          <w:color w:val="000000" w:themeColor="text1"/>
          <w:sz w:val="28"/>
          <w:szCs w:val="28"/>
          <w14:textFill>
            <w14:solidFill>
              <w14:schemeClr w14:val="tx1"/>
            </w14:solidFill>
          </w14:textFill>
        </w:rPr>
        <w:t>投标人可以派授权代表出席开标会议。</w:t>
      </w:r>
    </w:p>
    <w:p>
      <w:pPr>
        <w:snapToGrid w:val="0"/>
        <w:spacing w:line="440" w:lineRule="exact"/>
        <w:ind w:firstLine="600" w:firstLineChars="200"/>
        <w:rPr>
          <w:rFonts w:ascii="仿宋" w:hAnsi="仿宋" w:eastAsia="仿宋" w:cs="Arial"/>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九、业务咨询</w:t>
      </w:r>
    </w:p>
    <w:tbl>
      <w:tblPr>
        <w:tblStyle w:val="58"/>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俞冠男</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6" w:name="PO_15528_PM033"/>
            <w:r>
              <w:rPr>
                <w:rFonts w:ascii="仿宋" w:hAnsi="仿宋" w:eastAsia="仿宋" w:cs="仿宋"/>
                <w:color w:val="000000" w:themeColor="text1"/>
                <w:sz w:val="28"/>
                <w:szCs w:val="28"/>
                <w14:textFill>
                  <w14:solidFill>
                    <w14:schemeClr w14:val="tx1"/>
                  </w14:solidFill>
                </w14:textFill>
              </w:rPr>
              <w:t>010-8718</w:t>
            </w:r>
            <w:bookmarkEnd w:id="6"/>
            <w:r>
              <w:rPr>
                <w:rFonts w:hint="eastAsia" w:ascii="仿宋" w:hAnsi="仿宋" w:eastAsia="仿宋" w:cs="仿宋"/>
                <w:color w:val="000000" w:themeColor="text1"/>
                <w:sz w:val="28"/>
                <w:szCs w:val="28"/>
                <w14:textFill>
                  <w14:solidFill>
                    <w14:schemeClr w14:val="tx1"/>
                  </w14:solidFill>
                </w14:textFill>
              </w:rPr>
              <w:t>2681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w:t>
            </w:r>
            <w:bookmarkStart w:id="7" w:name="PO_409_PM001385"/>
            <w:r>
              <w:rPr>
                <w:rFonts w:hint="eastAsia" w:ascii="仿宋" w:hAnsi="仿宋" w:eastAsia="仿宋" w:cs="仿宋"/>
                <w:color w:val="000000" w:themeColor="text1"/>
                <w:sz w:val="28"/>
                <w:szCs w:val="28"/>
                <w14:textFill>
                  <w14:solidFill>
                    <w14:schemeClr w14:val="tx1"/>
                  </w14:solidFill>
                </w14:textFill>
              </w:rPr>
              <w:t>集中采购处</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 同</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周立泉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其他问题</w:t>
            </w:r>
          </w:p>
        </w:tc>
      </w:tr>
    </w:tbl>
    <w:p>
      <w:pPr>
        <w:snapToGrid w:val="0"/>
        <w:spacing w:line="440" w:lineRule="exact"/>
        <w:ind w:left="23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 xml:space="preserve">                            </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十、采购需求咨询</w:t>
      </w:r>
      <w:bookmarkStart w:id="8" w:name="PO_TDCUS_ITEM_PRC_TABLE_1_1"/>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国家体育总局体育信息中心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北京市东城区体育馆路1</w:t>
            </w:r>
            <w:r>
              <w:rPr>
                <w:rFonts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3"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联系人及联系方式</w:t>
            </w:r>
          </w:p>
        </w:tc>
        <w:tc>
          <w:tcPr>
            <w:tcW w:w="3297" w:type="pct"/>
          </w:tcPr>
          <w:p>
            <w:pPr>
              <w:pStyle w:val="805"/>
              <w:spacing w:before="156" w:after="156"/>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刘硕</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13581680211</w:t>
            </w:r>
          </w:p>
        </w:tc>
      </w:tr>
      <w:bookmarkEnd w:id="8"/>
    </w:tbl>
    <w:p>
      <w:pPr>
        <w:pStyle w:val="31"/>
        <w:spacing w:before="156" w:after="156" w:line="360" w:lineRule="auto"/>
        <w:outlineLvl w:val="0"/>
        <w:rPr>
          <w:rFonts w:ascii="仿宋" w:hAnsi="仿宋" w:eastAsia="仿宋"/>
          <w:b/>
          <w:color w:val="000000" w:themeColor="text1"/>
          <w:sz w:val="36"/>
          <w:szCs w:val="36"/>
          <w14:textFill>
            <w14:solidFill>
              <w14:schemeClr w14:val="tx1"/>
            </w14:solidFill>
          </w14:textFill>
        </w:rPr>
      </w:pPr>
      <w:bookmarkStart w:id="9" w:name="_Toc51935128"/>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第二章  投标人须知</w:t>
      </w:r>
      <w:bookmarkEnd w:id="9"/>
      <w:r>
        <w:rPr>
          <w:rFonts w:hint="eastAsia" w:hAnsi="宋体"/>
          <w:b/>
          <w:color w:val="000000" w:themeColor="text1"/>
          <w:sz w:val="36"/>
          <w:szCs w:val="36"/>
          <w14:textFill>
            <w14:solidFill>
              <w14:schemeClr w14:val="tx1"/>
            </w14:solidFill>
          </w14:textFill>
        </w:rPr>
        <w:t xml:space="preserve"> </w:t>
      </w:r>
    </w:p>
    <w:p>
      <w:pPr>
        <w:pStyle w:val="31"/>
        <w:spacing w:before="156" w:after="156" w:line="360" w:lineRule="auto"/>
        <w:outlineLvl w:val="0"/>
        <w:rPr>
          <w:rFonts w:hAnsi="宋体"/>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前附表</w:t>
      </w:r>
    </w:p>
    <w:tbl>
      <w:tblPr>
        <w:tblStyle w:val="5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themeColor="text1"/>
                <w:sz w:val="24"/>
                <w:szCs w:val="24"/>
                <w14:textFill>
                  <w14:solidFill>
                    <w14:schemeClr w14:val="tx1"/>
                  </w14:solidFill>
                </w14:textFill>
              </w:rPr>
              <w:t>其投标将作无效标处理</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库〔2020〕46号的相关规定，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w:t>
            </w:r>
          </w:p>
          <w:p>
            <w:pPr>
              <w:snapToGrid w:val="0"/>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中小企业参加政府采购活动，应当出具本办法规定的《中小企业声明函》（见附件），否则不得享受相关中小企业扶持政策。</w:t>
            </w:r>
          </w:p>
          <w:p>
            <w:pPr>
              <w:snapToGrid w:val="0"/>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注：（1）本项目非专门面向中小企业采购的采购项目。（2）本项目所属行业为软件和信息技术服务业，对小微企业报价给予6%的扣除，用扣除后的价格参加评审。</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0" w:name="PO_15528_PM007_1"/>
            <w:r>
              <w:rPr>
                <w:rFonts w:ascii="仿宋" w:hAnsi="仿宋" w:eastAsia="仿宋"/>
                <w:color w:val="000000" w:themeColor="text1"/>
                <w:sz w:val="24"/>
                <w:szCs w:val="24"/>
                <w14:textFill>
                  <w14:solidFill>
                    <w14:schemeClr w14:val="tx1"/>
                  </w14:solidFill>
                </w14:textFill>
              </w:rPr>
              <w:t>不允许联合体投标</w:t>
            </w:r>
            <w:bookmarkEnd w:id="10"/>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bookmarkStart w:id="11" w:name="PO_15528_PM040"/>
            <w:r>
              <w:rPr>
                <w:rFonts w:hint="eastAsia" w:ascii="仿宋" w:hAnsi="仿宋" w:eastAsia="仿宋"/>
                <w:color w:val="000000" w:themeColor="text1"/>
                <w:sz w:val="24"/>
                <w:szCs w:val="24"/>
                <w14:textFill>
                  <w14:solidFill>
                    <w14:schemeClr w14:val="tx1"/>
                  </w14:solidFill>
                </w14:textFill>
              </w:rPr>
              <w:t>不组织现场踏勘</w:t>
            </w:r>
            <w:bookmarkEnd w:id="11"/>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2" w:name="PO_15528_PM041"/>
            <w:r>
              <w:rPr>
                <w:rFonts w:hint="eastAsia" w:ascii="仿宋" w:hAnsi="仿宋" w:eastAsia="仿宋"/>
                <w:color w:val="000000" w:themeColor="text1"/>
                <w:sz w:val="24"/>
                <w:szCs w:val="24"/>
                <w14:textFill>
                  <w14:solidFill>
                    <w14:schemeClr w14:val="tx1"/>
                  </w14:solidFill>
                </w14:textFill>
              </w:rPr>
              <w:t>不进行演示</w:t>
            </w:r>
            <w:bookmarkEnd w:id="12"/>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3" w:name="PO_15528_PM043"/>
            <w:r>
              <w:rPr>
                <w:rFonts w:hint="eastAsia" w:ascii="仿宋" w:hAnsi="仿宋" w:eastAsia="仿宋"/>
                <w:color w:val="000000" w:themeColor="text1"/>
                <w:sz w:val="24"/>
                <w:szCs w:val="24"/>
                <w14:textFill>
                  <w14:solidFill>
                    <w14:schemeClr w14:val="tx1"/>
                  </w14:solidFill>
                </w14:textFill>
              </w:rPr>
              <w:t>不要求提供样品</w:t>
            </w:r>
            <w:bookmarkEnd w:id="13"/>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投标文件由开标一览表、资质文件、技术及商务文件、报价文件正本</w:t>
            </w:r>
            <w:r>
              <w:rPr>
                <w:rFonts w:hint="eastAsia" w:ascii="仿宋" w:hAnsi="仿宋" w:eastAsia="仿宋"/>
                <w:b/>
                <w:color w:val="000000" w:themeColor="text1"/>
                <w:sz w:val="24"/>
                <w:szCs w:val="24"/>
                <w14:textFill>
                  <w14:solidFill>
                    <w14:schemeClr w14:val="tx1"/>
                  </w14:solidFill>
                </w14:textFill>
              </w:rPr>
              <w:t>各</w:t>
            </w:r>
            <w:r>
              <w:rPr>
                <w:rFonts w:hint="eastAsia" w:ascii="仿宋" w:hAnsi="仿宋" w:eastAsia="仿宋" w:cs="Arial"/>
                <w:b/>
                <w:color w:val="000000" w:themeColor="text1"/>
                <w:sz w:val="24"/>
                <w:szCs w:val="24"/>
                <w:u w:val="single"/>
                <w14:textFill>
                  <w14:solidFill>
                    <w14:schemeClr w14:val="tx1"/>
                  </w14:solidFill>
                </w14:textFill>
              </w:rPr>
              <w:t xml:space="preserve"> 1 </w:t>
            </w:r>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；资质文件、技术及商务文件、报价文件副本</w:t>
            </w:r>
            <w:r>
              <w:rPr>
                <w:rFonts w:hint="eastAsia" w:ascii="仿宋" w:hAnsi="仿宋" w:eastAsia="仿宋"/>
                <w:b/>
                <w:color w:val="000000" w:themeColor="text1"/>
                <w:sz w:val="24"/>
                <w:szCs w:val="24"/>
                <w14:textFill>
                  <w14:solidFill>
                    <w14:schemeClr w14:val="tx1"/>
                  </w14:solidFill>
                </w14:textFill>
              </w:rPr>
              <w:t>各</w:t>
            </w:r>
            <w:bookmarkStart w:id="14" w:name="PO_15528_PM045"/>
            <w:r>
              <w:rPr>
                <w:rFonts w:ascii="仿宋" w:hAnsi="仿宋" w:eastAsia="仿宋"/>
                <w:b/>
                <w:color w:val="000000" w:themeColor="text1"/>
                <w:sz w:val="24"/>
                <w:szCs w:val="24"/>
                <w14:textFill>
                  <w14:solidFill>
                    <w14:schemeClr w14:val="tx1"/>
                  </w14:solidFill>
                </w14:textFill>
              </w:rPr>
              <w:t>3</w:t>
            </w:r>
            <w:bookmarkEnd w:id="14"/>
            <w:r>
              <w:rPr>
                <w:rFonts w:hint="eastAsia" w:ascii="仿宋" w:hAnsi="仿宋" w:eastAsia="仿宋"/>
                <w:b/>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rPr>
                <w:rFonts w:hint="eastAsia" w:ascii="仿宋" w:hAnsi="仿宋" w:eastAsia="仿宋"/>
                <w:color w:val="000000" w:themeColor="text1"/>
                <w:sz w:val="24"/>
                <w:szCs w:val="24"/>
                <w14:textFill>
                  <w14:solidFill>
                    <w14:schemeClr w14:val="tx1"/>
                  </w14:solidFill>
                </w14:textFill>
              </w:rPr>
              <w:t xml:space="preserve"> </w:t>
            </w:r>
            <w:r>
              <w:fldChar w:fldCharType="begin"/>
            </w:r>
            <w:r>
              <w:instrText xml:space="preserve"> HYPERLINK "http://www.ccgp.gov.cn" </w:instrText>
            </w:r>
            <w:r>
              <w:fldChar w:fldCharType="separate"/>
            </w:r>
            <w:r>
              <w:rPr>
                <w:rStyle w:val="68"/>
                <w:rFonts w:hint="eastAsia" w:ascii="仿宋" w:hAnsi="仿宋" w:eastAsia="仿宋"/>
                <w:color w:val="000000" w:themeColor="text1"/>
                <w:sz w:val="24"/>
                <w:szCs w:val="24"/>
                <w14:textFill>
                  <w14:solidFill>
                    <w14:schemeClr w14:val="tx1"/>
                  </w14:solidFill>
                </w14:textFill>
              </w:rPr>
              <w:t>http://www.ccgp.gov.cn</w:t>
            </w:r>
            <w:r>
              <w:rPr>
                <w:rStyle w:val="6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交纳：投标保证金应按《招标采购公告》六规定交纳。</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招标方于投标截止时间前半小时内接收投标文件，投标文件送达回执、政府采购活动现场确认声明书（格式详见附件）应单独提供，如投标人递交投标文件时未提供回执，视同不需要回执。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投标人递交投标文件时</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如出现下列情况之一的，投标文件将被拒收：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3、仅以非纸制文本形式的投标文件；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4、未成功办理投标人报名手续的；</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5、超过投标截止时间送达的投标文件。</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本次招标收取中标服务费，中标服务费按照差额定率累进计费方式计取，由中标人在收到中标通知书后7个工作日内以汇款方式向招标单位一次支付。收费标准：</w:t>
            </w:r>
          </w:p>
          <w:tbl>
            <w:tblPr>
              <w:tblStyle w:val="58"/>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b/>
                      <w:bCs/>
                      <w:color w:val="000000" w:themeColor="text1"/>
                      <w:kern w:val="0"/>
                      <w:sz w:val="18"/>
                      <w:szCs w:val="18"/>
                      <w14:textFill>
                        <w14:solidFill>
                          <w14:schemeClr w14:val="tx1"/>
                        </w14:solidFill>
                      </w14:textFill>
                    </w:rPr>
                    <w:t>中标金额（万元）</w:t>
                  </w:r>
                </w:p>
              </w:tc>
              <w:tc>
                <w:tcPr>
                  <w:tcW w:w="3143" w:type="dxa"/>
                  <w:shd w:val="clear" w:color="auto" w:fill="F0E7B4"/>
                  <w:vAlign w:val="center"/>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b/>
                      <w:bCs/>
                      <w:color w:val="000000" w:themeColor="text1"/>
                      <w:kern w:val="0"/>
                      <w:sz w:val="18"/>
                      <w:szCs w:val="18"/>
                      <w14:textFill>
                        <w14:solidFill>
                          <w14:schemeClr w14:val="tx1"/>
                        </w14:solidFill>
                      </w14:textFill>
                    </w:rPr>
                    <w:t>货物</w:t>
                  </w:r>
                  <w:r>
                    <w:rPr>
                      <w:rFonts w:ascii="Verdana" w:hAnsi="Verdana" w:cs="宋体"/>
                      <w:b/>
                      <w:bCs/>
                      <w:color w:val="000000" w:themeColor="text1"/>
                      <w:kern w:val="0"/>
                      <w:sz w:val="18"/>
                      <w:szCs w:val="18"/>
                      <w14:textFill>
                        <w14:solidFill>
                          <w14:schemeClr w14:val="tx1"/>
                        </w14:solidFill>
                      </w14:textFill>
                    </w:rPr>
                    <w:t>招标</w:t>
                  </w:r>
                  <w:r>
                    <w:rPr>
                      <w:rFonts w:hint="eastAsia" w:ascii="Verdana" w:hAnsi="Verdana" w:cs="宋体"/>
                      <w:b/>
                      <w:bCs/>
                      <w:color w:val="000000" w:themeColor="text1"/>
                      <w:kern w:val="0"/>
                      <w:sz w:val="18"/>
                      <w:szCs w:val="18"/>
                      <w14:textFill>
                        <w14:solidFill>
                          <w14:schemeClr w14:val="tx1"/>
                        </w14:solidFill>
                      </w14:textFill>
                    </w:rPr>
                    <w:t xml:space="preserve">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100以下</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1.5%</w:t>
                  </w:r>
                  <w:r>
                    <w:rPr>
                      <w:rFonts w:hint="eastAsia" w:ascii="Verdana" w:hAnsi="Verdana" w:cs="宋体"/>
                      <w:color w:val="000000" w:themeColor="text1"/>
                      <w:kern w:val="0"/>
                      <w:sz w:val="18"/>
                      <w:szCs w:val="18"/>
                      <w14:textFill>
                        <w14:solidFill>
                          <w14:schemeClr w14:val="tx1"/>
                        </w14:solidFill>
                      </w14:textFill>
                    </w:rPr>
                    <w:t xml:space="preserve">          1</w:t>
                  </w:r>
                  <w:r>
                    <w:rPr>
                      <w:rFonts w:ascii="Verdana" w:hAnsi="Verdana" w:cs="宋体"/>
                      <w:color w:val="000000" w:themeColor="text1"/>
                      <w:kern w:val="0"/>
                      <w:sz w:val="18"/>
                      <w:szCs w:val="18"/>
                      <w14:textFill>
                        <w14:solidFill>
                          <w14:schemeClr w14:val="tx1"/>
                        </w14:solidFill>
                      </w14:textFill>
                    </w:rPr>
                    <w:t>.5%</w:t>
                  </w:r>
                  <w:r>
                    <w:rPr>
                      <w:rFonts w:hint="eastAsia" w:ascii="Verdana" w:hAnsi="Verdana" w:cs="宋体"/>
                      <w:color w:val="000000" w:themeColor="text1"/>
                      <w:kern w:val="0"/>
                      <w:sz w:val="18"/>
                      <w:szCs w:val="18"/>
                      <w14:textFill>
                        <w14:solidFill>
                          <w14:schemeClr w14:val="tx1"/>
                        </w14:solidFill>
                      </w14:textFill>
                    </w:rPr>
                    <w:t xml:space="preserve">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100-500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500-1000</w:t>
                  </w:r>
                </w:p>
                <w:p>
                  <w:pPr>
                    <w:widowControl/>
                    <w:spacing w:after="75" w:line="270" w:lineRule="atLeast"/>
                    <w:jc w:val="center"/>
                    <w:rPr>
                      <w:rFonts w:ascii="Verdana" w:hAnsi="Verdana" w:cs="宋体"/>
                      <w:color w:val="000000" w:themeColor="text1"/>
                      <w:kern w:val="0"/>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1000—5000</w:t>
                  </w:r>
                </w:p>
              </w:tc>
              <w:tc>
                <w:tcPr>
                  <w:tcW w:w="3143" w:type="dxa"/>
                  <w:shd w:val="clear" w:color="auto" w:fill="F0E7B4"/>
                </w:tcPr>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1.1</w:t>
                  </w:r>
                  <w:r>
                    <w:rPr>
                      <w:rFonts w:ascii="Verdana" w:hAnsi="Verdana" w:cs="宋体"/>
                      <w:color w:val="000000" w:themeColor="text1"/>
                      <w:kern w:val="0"/>
                      <w:sz w:val="18"/>
                      <w:szCs w:val="18"/>
                      <w14:textFill>
                        <w14:solidFill>
                          <w14:schemeClr w14:val="tx1"/>
                        </w14:solidFill>
                      </w14:textFill>
                    </w:rPr>
                    <w:t>%</w:t>
                  </w:r>
                  <w:r>
                    <w:rPr>
                      <w:rFonts w:hint="eastAsia" w:ascii="Verdana" w:hAnsi="Verdana" w:cs="宋体"/>
                      <w:color w:val="000000" w:themeColor="text1"/>
                      <w:kern w:val="0"/>
                      <w:sz w:val="18"/>
                      <w:szCs w:val="18"/>
                      <w14:textFill>
                        <w14:solidFill>
                          <w14:schemeClr w14:val="tx1"/>
                        </w14:solidFill>
                      </w14:textFill>
                    </w:rPr>
                    <w:t xml:space="preserve">          0.8%    </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hint="eastAsia" w:ascii="Verdana" w:hAnsi="Verdana" w:cs="宋体"/>
                      <w:color w:val="000000" w:themeColor="text1"/>
                      <w:kern w:val="0"/>
                      <w:sz w:val="18"/>
                      <w:szCs w:val="18"/>
                      <w14:textFill>
                        <w14:solidFill>
                          <w14:schemeClr w14:val="tx1"/>
                        </w14:solidFill>
                      </w14:textFill>
                    </w:rPr>
                    <w:t>0.8%          0.45%</w:t>
                  </w:r>
                </w:p>
                <w:p>
                  <w:pPr>
                    <w:widowControl/>
                    <w:spacing w:after="75" w:line="270" w:lineRule="atLeast"/>
                    <w:rPr>
                      <w:rFonts w:ascii="Verdana" w:hAnsi="Verdana" w:cs="宋体"/>
                      <w:color w:val="000000" w:themeColor="text1"/>
                      <w:kern w:val="0"/>
                      <w:sz w:val="18"/>
                      <w:szCs w:val="18"/>
                      <w14:textFill>
                        <w14:solidFill>
                          <w14:schemeClr w14:val="tx1"/>
                        </w14:solidFill>
                      </w14:textFill>
                    </w:rPr>
                  </w:pPr>
                  <w:r>
                    <w:rPr>
                      <w:rFonts w:ascii="Verdana" w:hAnsi="Verdana" w:cs="宋体"/>
                      <w:color w:val="000000" w:themeColor="text1"/>
                      <w:kern w:val="0"/>
                      <w:sz w:val="18"/>
                      <w:szCs w:val="18"/>
                      <w14:textFill>
                        <w14:solidFill>
                          <w14:schemeClr w14:val="tx1"/>
                        </w14:solidFill>
                      </w14:textFill>
                    </w:rPr>
                    <w:t>0.5%</w:t>
                  </w:r>
                  <w:r>
                    <w:rPr>
                      <w:rFonts w:hint="eastAsia" w:ascii="Verdana" w:hAnsi="Verdana" w:cs="宋体"/>
                      <w:color w:val="000000" w:themeColor="text1"/>
                      <w:kern w:val="0"/>
                      <w:sz w:val="18"/>
                      <w:szCs w:val="18"/>
                      <w14:textFill>
                        <w14:solidFill>
                          <w14:schemeClr w14:val="tx1"/>
                        </w14:solidFill>
                      </w14:textFill>
                    </w:rPr>
                    <w:t xml:space="preserve">          0.25%</w:t>
                  </w:r>
                </w:p>
              </w:tc>
            </w:tr>
          </w:tbl>
          <w:p>
            <w:pPr>
              <w:snapToGrid w:val="0"/>
              <w:ind w:firstLine="720" w:firstLineChars="3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1、“招标方”系指组织本项目采购的国家体育总局体育器材装备中心。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2、“投标人”系指向招标方提交投标文件的单位或个人。</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1、授权代表须携带有效身份证件。如授权代表不是法定代表人，须有法定代表人出具的授权委托书（投标文件正本用原件，副本用复印件，格式见附件）。</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pStyle w:val="31"/>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4、单位负责人为同一人或者存在直接控股、管理关系的不同供应商，不得参加同一合同项下的政府采购活动。</w:t>
      </w:r>
    </w:p>
    <w:p>
      <w:pPr>
        <w:pStyle w:val="31"/>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Pr>
          <w:rFonts w:ascii="仿宋" w:hAnsi="仿宋" w:eastAsia="仿宋" w:cs="Arial"/>
          <w:color w:val="000000" w:themeColor="text1"/>
          <w:sz w:val="28"/>
          <w:szCs w:val="28"/>
          <w14:textFill>
            <w14:solidFill>
              <w14:schemeClr w14:val="tx1"/>
            </w14:solidFill>
          </w14:textFill>
        </w:rPr>
        <w:t>010-87182681</w:t>
      </w:r>
      <w:r>
        <w:rPr>
          <w:rFonts w:hint="eastAsia" w:ascii="仿宋" w:hAnsi="仿宋" w:eastAsia="仿宋" w:cs="Arial"/>
          <w:color w:val="000000" w:themeColor="text1"/>
          <w:sz w:val="28"/>
          <w:szCs w:val="28"/>
          <w14:textFill>
            <w14:solidFill>
              <w14:schemeClr w14:val="tx1"/>
            </w14:solidFill>
          </w14:textFill>
        </w:rPr>
        <w:t>。</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a供应商的姓名或者名称、地址、邮编、联系人及联系电话；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4、招标方将在收到书面质疑后7个工作日内审查质疑事项，做出答复或相关处理决定，并以书面形式通知质疑供应商和其他有关供应商，但答复的内容不涉及商业秘密。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5、质疑供应商对招标方的答复不满意以及招标方未在规定的时间内做出答复的，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投标文件由开标一览表、资质文件、技术及商务文件、投标报价文件四部份组成。</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 (格式见附件，含重大违法记录声明)；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（4）提供有效的依法缴纳税收证明（至投标文件递交截止日一年内一年内任意一个月的完税凭证或税务部门出具的证明），依法免税的投标人须提供相应文件证明其依法免税；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（7）联合投标协议书（若需要）;</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（8）联合投标授权委托书（若需要）;</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（9）提供采购公告中符合</w:t>
      </w:r>
      <w:r>
        <w:rPr>
          <w:rFonts w:hint="eastAsia" w:ascii="仿宋" w:hAnsi="仿宋" w:eastAsia="仿宋"/>
          <w:bCs/>
          <w:color w:val="000000" w:themeColor="text1"/>
          <w:sz w:val="28"/>
          <w:szCs w:val="28"/>
          <w14:textFill>
            <w14:solidFill>
              <w14:schemeClr w14:val="tx1"/>
            </w14:solidFill>
          </w14:textFill>
        </w:rPr>
        <w:t>投标人特定条件要求的有效的</w:t>
      </w:r>
      <w:r>
        <w:rPr>
          <w:rFonts w:hint="eastAsia" w:ascii="仿宋" w:hAnsi="仿宋" w:eastAsia="仿宋"/>
          <w:color w:val="000000" w:themeColor="text1"/>
          <w:sz w:val="28"/>
          <w:szCs w:val="28"/>
          <w14:textFill>
            <w14:solidFill>
              <w14:schemeClr w14:val="tx1"/>
            </w14:solidFill>
          </w14:textFill>
        </w:rPr>
        <w:t>其他资质复印件并加盖公司公章及需要说明的资料。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（3）中小企业声明函（若有，格式见附件）；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pPr>
        <w:pStyle w:val="50"/>
        <w:widowControl w:val="0"/>
        <w:spacing w:after="156" w:line="460" w:lineRule="exact"/>
        <w:ind w:firstLine="562"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pPr>
        <w:pStyle w:val="16"/>
        <w:widowControl w:val="0"/>
        <w:tabs>
          <w:tab w:val="clear" w:pos="454"/>
        </w:tabs>
        <w:snapToGrid w:val="0"/>
        <w:spacing w:before="156"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pPr>
        <w:pStyle w:val="16"/>
        <w:widowControl w:val="0"/>
        <w:tabs>
          <w:tab w:val="clear" w:pos="454"/>
        </w:tabs>
        <w:snapToGrid w:val="0"/>
        <w:spacing w:after="156"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（四）投标文件的签署和份数、包装</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2、投标人应按开标一览表、资质文件、技术及商务文件、报价文件正本、副本规定的份数分别编制并按A4纸规格分别竖面单独装订成册，投标文件的封面应注明“正本”、“副本”字样。</w:t>
      </w:r>
      <w:r>
        <w:rPr>
          <w:rFonts w:hint="eastAsia" w:ascii="仿宋" w:hAnsi="仿宋" w:eastAsia="仿宋"/>
          <w:b/>
          <w:color w:val="000000" w:themeColor="text1"/>
          <w:sz w:val="28"/>
          <w:szCs w:val="28"/>
          <w14:textFill>
            <w14:solidFill>
              <w14:schemeClr w14:val="tx1"/>
            </w14:solidFill>
          </w14:textFill>
        </w:rPr>
        <w:t>活页装订（是指用卡条、抽杆夹、订书机等形式装订，使标书可以拆卸或者在翻动过程中易脱落的一种装订方式）的投标文件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4" w:firstLineChars="19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w:t>
      </w:r>
      <w:r>
        <w:rPr>
          <w:rFonts w:hint="eastAsia" w:ascii="仿宋" w:hAnsi="仿宋" w:eastAsia="仿宋"/>
          <w:b/>
          <w:color w:val="000000" w:themeColor="text1"/>
          <w:sz w:val="28"/>
          <w:szCs w:val="28"/>
          <w14:textFill>
            <w14:solidFill>
              <w14:schemeClr w14:val="tx1"/>
            </w14:solidFill>
          </w14:textFill>
        </w:rPr>
        <w:t>不允许出现报价优惠等字样（明细出现“0”元，视同赠送）</w:t>
      </w:r>
      <w:r>
        <w:rPr>
          <w:rFonts w:hint="eastAsia" w:ascii="仿宋" w:hAnsi="仿宋" w:eastAsia="仿宋"/>
          <w:color w:val="000000" w:themeColor="text1"/>
          <w:sz w:val="28"/>
          <w:szCs w:val="28"/>
          <w14:textFill>
            <w14:solidFill>
              <w14:schemeClr w14:val="tx1"/>
            </w14:solidFill>
          </w14:textFill>
        </w:rPr>
        <w:t>。</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应包含项目所需全部货物、服务，不得缺漏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3、投标报价总价金额到元为止，如投标报价总价出现角、分，将被抹除。</w:t>
      </w:r>
    </w:p>
    <w:p>
      <w:pPr>
        <w:snapToGrid w:val="0"/>
        <w:spacing w:before="156" w:beforeLines="50" w:line="460" w:lineRule="exact"/>
        <w:ind w:left="569" w:leftChars="271" w:firstLine="17" w:firstLineChars="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ascii="仿宋" w:hAnsi="仿宋" w:eastAsia="仿宋"/>
          <w:b/>
          <w:color w:val="000000" w:themeColor="text1"/>
          <w:sz w:val="28"/>
          <w:szCs w:val="28"/>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人需按招标文件要求的金额、时间向</w:t>
      </w:r>
      <w:r>
        <w:rPr>
          <w:rFonts w:ascii="仿宋" w:hAnsi="仿宋" w:eastAsia="仿宋"/>
          <w:b/>
          <w:color w:val="000000" w:themeColor="text1"/>
          <w:sz w:val="28"/>
          <w:szCs w:val="28"/>
          <w14:textFill>
            <w14:solidFill>
              <w14:schemeClr w14:val="tx1"/>
            </w14:solidFill>
          </w14:textFill>
        </w:rPr>
        <w:t>招标方</w:t>
      </w:r>
      <w:r>
        <w:rPr>
          <w:rFonts w:hint="eastAsia" w:ascii="仿宋" w:hAnsi="仿宋" w:eastAsia="仿宋"/>
          <w:b/>
          <w:color w:val="000000" w:themeColor="text1"/>
          <w:sz w:val="28"/>
          <w:szCs w:val="28"/>
          <w14:textFill>
            <w14:solidFill>
              <w14:schemeClr w14:val="tx1"/>
            </w14:solidFill>
          </w14:textFill>
        </w:rPr>
        <w:t>递交投标保证金。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投标保证金金额（人民币）：</w:t>
      </w:r>
      <w:r>
        <w:rPr>
          <w:rFonts w:hint="eastAsia" w:ascii="仿宋" w:hAnsi="仿宋" w:eastAsia="仿宋"/>
          <w:color w:val="000000" w:themeColor="text1"/>
          <w:sz w:val="28"/>
          <w:szCs w:val="28"/>
          <w:u w:val="single"/>
          <w14:textFill>
            <w14:solidFill>
              <w14:schemeClr w14:val="tx1"/>
            </w14:solidFill>
          </w14:textFill>
        </w:rPr>
        <w:t>详见本招标文件第一章“公开招标采购公告”部分。</w:t>
      </w:r>
      <w:r>
        <w:rPr>
          <w:rFonts w:hint="eastAsia" w:ascii="仿宋" w:hAnsi="仿宋" w:eastAsia="仿宋"/>
          <w:b/>
          <w:color w:val="000000" w:themeColor="text1"/>
          <w:sz w:val="28"/>
          <w:szCs w:val="28"/>
          <w14:textFill>
            <w14:solidFill>
              <w14:schemeClr w14:val="tx1"/>
            </w14:solidFill>
          </w14:textFill>
        </w:rPr>
        <w:t xml:space="preserve">   </w:t>
      </w:r>
    </w:p>
    <w:p>
      <w:pPr>
        <w:tabs>
          <w:tab w:val="left" w:pos="525"/>
        </w:tabs>
        <w:snapToGrid w:val="0"/>
        <w:spacing w:line="460" w:lineRule="exact"/>
        <w:ind w:firstLine="562" w:firstLineChars="200"/>
        <w:jc w:val="left"/>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投标保证金可采用支票、银行汇票、银行保函或汇款的方式，</w:t>
      </w:r>
      <w:r>
        <w:rPr>
          <w:rFonts w:hint="eastAsia" w:ascii="仿宋" w:hAnsi="仿宋" w:eastAsia="仿宋"/>
          <w:b/>
          <w:bCs/>
          <w:color w:val="000000" w:themeColor="text1"/>
          <w:sz w:val="28"/>
          <w:szCs w:val="28"/>
          <w:u w:val="single"/>
          <w14:textFill>
            <w14:solidFill>
              <w14:schemeClr w14:val="tx1"/>
            </w14:solidFill>
          </w14:textFill>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 户 行：工行北京体育馆路支行</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银行账号：0200008109089053553</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5、投标人递交投标文件时需提供投标人全称、开户行、银行帐号等银行信息, 并加盖投标人公章，以便招标方退还投标保证金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5、与招标文件有重大偏离、未满足带“▲”号实质性指标的投标文件；</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p>
    <w:p>
      <w:pPr>
        <w:pStyle w:val="31"/>
        <w:snapToGrid w:val="0"/>
        <w:spacing w:before="156" w:after="156"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1、开标会由招标方主持，主持人介绍开标现场的人员情况，宣读递交投标文件的投标人名单、开标纪律、应当回避的情形等注意事项，评标委员会成员不得参加开标活动。投标人不足3家的，不得开标。</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hAnsi="宋体"/>
          <w:b/>
          <w:color w:val="000000" w:themeColor="text1"/>
          <w14:textFill>
            <w14:solidFill>
              <w14:schemeClr w14:val="tx1"/>
            </w14:solidFill>
          </w14:textFill>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3、在开标会上，由投标人代表检查投标文件、开标一览表的密封情况，确认无误后，由招标方工作人员当场拆封唱标。对不符合装订要求的投标文件，由现场工作人员退还供应商代表。</w:t>
      </w:r>
    </w:p>
    <w:p>
      <w:pPr>
        <w:pStyle w:val="31"/>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投标人代表对开标过程和开标记录有疑义，以及认为采购人、招标方相关工作人员有需要回避的情形的，应当场提出询问或者回避申请。   </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3、宣读提交投标文件的供应商名单，组织评标委员会各位成员签订《政府采购评审人员廉洁自律承诺书》。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对投标人“信用中国”网站（www.creditchina.gov.cn）、中国政府采购网（www.ccgp.gov.cn）信用记录情况进行核实，资格不符合的，应视为未通过资格初审。</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1、项目由评标委员会根据详细评审结果确定一至三人为中标候选人，并标明排列顺序。</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themeColor="text1"/>
          <w:sz w:val="28"/>
          <w:szCs w:val="28"/>
          <w14:textFill>
            <w14:solidFill>
              <w14:schemeClr w14:val="tx1"/>
            </w14:solidFill>
          </w14:textFill>
        </w:rPr>
        <w:t>中标通知书。</w:t>
      </w: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p>
    <w:p>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2、中标人拖延、拒签合同的,将被扣罚投标保证金并取消中标资格。</w:t>
      </w:r>
    </w:p>
    <w:p>
      <w:pPr>
        <w:pStyle w:val="31"/>
        <w:snapToGrid w:val="0"/>
        <w:spacing w:before="156" w:after="156" w:line="240" w:lineRule="auto"/>
        <w:ind w:firstLine="600" w:firstLineChars="200"/>
        <w:rPr>
          <w:rFonts w:ascii="仿宋_GB2312" w:hAnsi="仿宋" w:eastAsia="仿宋_GB2312"/>
          <w:color w:val="000000" w:themeColor="text1"/>
          <w:sz w:val="30"/>
          <w:szCs w:val="30"/>
          <w14:textFill>
            <w14:solidFill>
              <w14:schemeClr w14:val="tx1"/>
            </w14:solidFill>
          </w14:textFill>
        </w:rPr>
      </w:pPr>
    </w:p>
    <w:p>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bookmarkStart w:id="15" w:name="_Toc51935129"/>
      <w:r>
        <w:rPr>
          <w:rFonts w:hint="eastAsia" w:hAnsi="宋体"/>
          <w:b/>
          <w:color w:val="000000" w:themeColor="text1"/>
          <w:sz w:val="36"/>
          <w:szCs w:val="36"/>
          <w14:textFill>
            <w14:solidFill>
              <w14:schemeClr w14:val="tx1"/>
            </w14:solidFill>
          </w14:textFill>
        </w:rPr>
        <w:t>第三章  评标办法及评分标准</w:t>
      </w:r>
      <w:bookmarkEnd w:id="15"/>
    </w:p>
    <w:p>
      <w:pPr>
        <w:spacing w:before="156" w:beforeLines="50" w:after="156" w:afterLines="50" w:line="460" w:lineRule="exact"/>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一、总则</w:t>
      </w:r>
    </w:p>
    <w:p>
      <w:pPr>
        <w:spacing w:before="156" w:beforeLines="50" w:after="156" w:afterLines="5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themeColor="text1"/>
          <w:sz w:val="28"/>
          <w:szCs w:val="28"/>
          <w14:textFill>
            <w14:solidFill>
              <w14:schemeClr w14:val="tx1"/>
            </w14:solidFill>
          </w14:textFill>
        </w:rPr>
        <w:t>评分过程中采用四舍五入法，并保留小数2位。</w:t>
      </w:r>
    </w:p>
    <w:p>
      <w:pPr>
        <w:spacing w:before="156" w:beforeLines="50" w:after="156" w:afterLines="5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二、分值的计算</w:t>
      </w:r>
    </w:p>
    <w:p>
      <w:pPr>
        <w:spacing w:before="156" w:beforeLines="50" w:after="156" w:afterLines="5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投标人评标</w:t>
      </w:r>
      <w:r>
        <w:rPr>
          <w:rFonts w:hint="eastAsia" w:ascii="仿宋" w:hAnsi="仿宋" w:eastAsia="仿宋"/>
          <w:bCs/>
          <w:color w:val="000000" w:themeColor="text1"/>
          <w:sz w:val="28"/>
          <w:szCs w:val="28"/>
          <w14:textFill>
            <w14:solidFill>
              <w14:schemeClr w14:val="tx1"/>
            </w14:solidFill>
          </w14:textFill>
        </w:rPr>
        <w:t>综合得分=价格分+(技术分+资信商务及其他分)</w:t>
      </w: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156" w:afterLines="50" w:line="460" w:lineRule="exact"/>
        <w:ind w:firstLine="600" w:firstLineChars="200"/>
        <w:rPr>
          <w:rFonts w:ascii="仿宋" w:hAnsi="仿宋" w:eastAsia="仿宋_GB2312"/>
          <w:bCs/>
          <w:color w:val="000000" w:themeColor="text1"/>
          <w:sz w:val="30"/>
          <w:szCs w:val="30"/>
          <w14:textFill>
            <w14:solidFill>
              <w14:schemeClr w14:val="tx1"/>
            </w14:solidFill>
          </w14:textFill>
        </w:rPr>
      </w:pPr>
    </w:p>
    <w:p>
      <w:pPr>
        <w:spacing w:before="156" w:beforeLines="50" w:after="156" w:afterLines="50" w:line="320" w:lineRule="exact"/>
        <w:ind w:firstLine="600" w:firstLineChars="200"/>
        <w:rPr>
          <w:rFonts w:ascii="仿宋_GB2312" w:hAnsi="宋体" w:eastAsia="仿宋_GB2312"/>
          <w:b/>
          <w:color w:val="000000" w:themeColor="text1"/>
          <w:sz w:val="32"/>
          <w:szCs w:val="32"/>
          <w14:textFill>
            <w14:solidFill>
              <w14:schemeClr w14:val="tx1"/>
            </w14:solidFill>
          </w14:textFill>
        </w:rPr>
      </w:pPr>
      <w:r>
        <w:rPr>
          <w:rFonts w:ascii="仿宋" w:hAnsi="仿宋" w:eastAsia="仿宋_GB2312"/>
          <w:bCs/>
          <w:color w:val="000000" w:themeColor="text1"/>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16" w:name="PO_TDCUS_ITEM_SM_TABLE_1"/>
      <w:r>
        <w:rPr>
          <w:rFonts w:ascii="仿宋_GB2312" w:hAnsi="宋体" w:eastAsia="仿宋_GB2312"/>
          <w:b/>
          <w:color w:val="000000" w:themeColor="text1"/>
          <w:sz w:val="32"/>
          <w:szCs w:val="32"/>
          <w14:textFill>
            <w14:solidFill>
              <w14:schemeClr w14:val="tx1"/>
            </w14:solidFill>
          </w14:textFill>
        </w:rPr>
        <w:t xml:space="preserve"> </w:t>
      </w:r>
      <w:bookmarkEnd w:id="16"/>
    </w:p>
    <w:p>
      <w:pPr>
        <w:spacing w:before="156" w:beforeLines="50" w:after="156" w:afterLines="50" w:line="32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标项1</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47"/>
        <w:gridCol w:w="563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7" w:type="pct"/>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评分类型</w:t>
            </w:r>
          </w:p>
        </w:tc>
        <w:tc>
          <w:tcPr>
            <w:tcW w:w="438" w:type="pct"/>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序号</w:t>
            </w:r>
          </w:p>
        </w:tc>
        <w:tc>
          <w:tcPr>
            <w:tcW w:w="3304" w:type="pct"/>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评分标准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分值</w:t>
            </w:r>
          </w:p>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727"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ascii="仿宋_GB2312" w:hAnsi="宋体" w:eastAsia="仿宋_GB2312"/>
                <w:b/>
                <w:bCs w:val="0"/>
                <w:color w:val="000000"/>
                <w:szCs w:val="21"/>
              </w:rPr>
              <w:t>报价</w:t>
            </w:r>
            <w:r>
              <w:rPr>
                <w:rFonts w:hint="eastAsia" w:ascii="仿宋_GB2312" w:hAnsi="宋体" w:eastAsia="仿宋_GB2312"/>
                <w:b/>
                <w:bCs w:val="0"/>
                <w:color w:val="000000"/>
                <w:szCs w:val="21"/>
              </w:rPr>
              <w:t>（价格分）10分</w:t>
            </w:r>
          </w:p>
        </w:tc>
        <w:tc>
          <w:tcPr>
            <w:tcW w:w="438"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ascii="仿宋_GB2312" w:hAnsi="宋体" w:eastAsia="仿宋_GB2312"/>
                <w:b/>
                <w:bCs w:val="0"/>
                <w:color w:val="000000"/>
                <w:szCs w:val="21"/>
              </w:rPr>
              <w:t>1</w:t>
            </w:r>
          </w:p>
        </w:tc>
        <w:tc>
          <w:tcPr>
            <w:tcW w:w="3304" w:type="pct"/>
            <w:vAlign w:val="center"/>
          </w:tcPr>
          <w:p>
            <w:pPr>
              <w:rPr>
                <w:rFonts w:ascii="仿宋" w:hAnsi="仿宋" w:eastAsia="仿宋"/>
                <w:b/>
                <w:bCs w:val="0"/>
              </w:rPr>
            </w:pPr>
            <w:r>
              <w:rPr>
                <w:rFonts w:hint="eastAsia" w:ascii="仿宋" w:hAnsi="仿宋" w:eastAsia="仿宋"/>
                <w:b/>
                <w:bCs w:val="0"/>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b/>
                <w:bCs w:val="0"/>
              </w:rPr>
            </w:pPr>
            <w:r>
              <w:rPr>
                <w:rFonts w:hint="eastAsia" w:ascii="仿宋" w:hAnsi="仿宋" w:eastAsia="仿宋"/>
                <w:b/>
                <w:bCs w:val="0"/>
              </w:rPr>
              <w:t xml:space="preserve">投标报价得分=(评标基准价／投标报价)×价格权值×100               </w:t>
            </w:r>
          </w:p>
          <w:p>
            <w:pPr>
              <w:rPr>
                <w:rFonts w:ascii="仿宋" w:hAnsi="仿宋" w:eastAsia="仿宋"/>
                <w:b/>
                <w:bCs w:val="0"/>
              </w:rPr>
            </w:pPr>
            <w:r>
              <w:rPr>
                <w:rFonts w:hint="eastAsia" w:ascii="仿宋" w:hAnsi="仿宋" w:eastAsia="仿宋"/>
                <w:b/>
                <w:bCs w:val="0"/>
              </w:rPr>
              <w:t>计算分数时四舍五入取小数点后两位</w:t>
            </w:r>
          </w:p>
          <w:p>
            <w:pPr>
              <w:rPr>
                <w:rFonts w:ascii="仿宋" w:hAnsi="仿宋" w:eastAsia="仿宋"/>
                <w:b/>
                <w:bCs w:val="0"/>
              </w:rPr>
            </w:pPr>
            <w:r>
              <w:rPr>
                <w:rFonts w:hint="eastAsia" w:ascii="仿宋" w:hAnsi="仿宋" w:eastAsia="仿宋"/>
                <w:b/>
                <w:bCs w:val="0"/>
              </w:rPr>
              <w:t>注：（1）根据《政府采购促进中小企业发展管理办法》的相关规定，对小型和微型企业的价格给予6%的扣除，用扣除后的价格参与评审。</w:t>
            </w:r>
          </w:p>
          <w:p>
            <w:pPr>
              <w:rPr>
                <w:rFonts w:ascii="仿宋" w:hAnsi="仿宋" w:eastAsia="仿宋"/>
                <w:b/>
                <w:bCs w:val="0"/>
              </w:rPr>
            </w:pPr>
            <w:r>
              <w:rPr>
                <w:rFonts w:hint="eastAsia" w:ascii="仿宋" w:hAnsi="仿宋" w:eastAsia="仿宋"/>
                <w:b/>
                <w:bCs w:val="0"/>
              </w:rPr>
              <w:t>（2）根据《财政部民政部中国残疾人联合会关于促进残疾人就业政府采购政策的通知》（财库〔2017〕141号）的规定，对符合条件的残疾人福利性单位设备的价格给予6%的扣除，用扣除后的价格参与评审。</w:t>
            </w:r>
          </w:p>
          <w:p>
            <w:pPr>
              <w:spacing w:before="156" w:beforeLines="50" w:after="156" w:afterLines="50"/>
              <w:jc w:val="left"/>
              <w:rPr>
                <w:rFonts w:ascii="仿宋_GB2312" w:hAnsi="宋体" w:eastAsia="仿宋_GB2312"/>
                <w:b/>
                <w:bCs w:val="0"/>
                <w:color w:val="000000"/>
                <w:szCs w:val="21"/>
              </w:rPr>
            </w:pPr>
            <w:r>
              <w:rPr>
                <w:rFonts w:hint="eastAsia" w:ascii="仿宋" w:hAnsi="仿宋" w:eastAsia="仿宋"/>
                <w:b/>
                <w:bCs w:val="0"/>
              </w:rPr>
              <w:t>小型、微型企业和监狱企业级符合财政部、民政部、中国残疾人联合会关于促进残疾人就业政府采购政策的通知，以上政策同时具备的仅对其进行一次6%的价格扣除，不重复扣除。</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商务资信</w:t>
            </w:r>
          </w:p>
          <w:p>
            <w:pPr>
              <w:jc w:val="left"/>
              <w:rPr>
                <w:rFonts w:ascii="仿宋_GB2312" w:hAnsi="宋体" w:eastAsia="仿宋_GB2312"/>
                <w:b/>
                <w:bCs w:val="0"/>
                <w:color w:val="000000"/>
                <w:szCs w:val="21"/>
              </w:rPr>
            </w:pPr>
            <w:r>
              <w:rPr>
                <w:rFonts w:hint="eastAsia" w:ascii="仿宋_GB2312" w:hAnsi="宋体" w:eastAsia="仿宋_GB2312"/>
                <w:b/>
                <w:bCs w:val="0"/>
                <w:color w:val="000000"/>
                <w:szCs w:val="21"/>
              </w:rPr>
              <w:t xml:space="preserve">（投标人业绩15分） </w:t>
            </w:r>
          </w:p>
        </w:tc>
        <w:tc>
          <w:tcPr>
            <w:tcW w:w="438"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ascii="仿宋_GB2312" w:hAnsi="宋体" w:eastAsia="仿宋_GB2312"/>
                <w:b/>
                <w:bCs w:val="0"/>
                <w:color w:val="000000"/>
                <w:szCs w:val="21"/>
              </w:rPr>
              <w:t>1</w:t>
            </w:r>
            <w:r>
              <w:rPr>
                <w:rFonts w:hint="eastAsia" w:ascii="仿宋_GB2312" w:hAnsi="宋体" w:eastAsia="仿宋_GB2312"/>
                <w:b/>
                <w:bCs w:val="0"/>
                <w:color w:val="000000"/>
                <w:szCs w:val="21"/>
              </w:rPr>
              <w:t>.1</w:t>
            </w:r>
          </w:p>
        </w:tc>
        <w:tc>
          <w:tcPr>
            <w:tcW w:w="3304" w:type="pct"/>
            <w:vAlign w:val="center"/>
          </w:tcPr>
          <w:p>
            <w:pPr>
              <w:rPr>
                <w:rFonts w:ascii="仿宋" w:hAnsi="仿宋" w:eastAsia="仿宋"/>
                <w:b/>
                <w:bCs w:val="0"/>
              </w:rPr>
            </w:pPr>
            <w:r>
              <w:rPr>
                <w:rFonts w:hint="eastAsia" w:ascii="仿宋" w:hAnsi="仿宋" w:eastAsia="仿宋"/>
                <w:b/>
                <w:bCs w:val="0"/>
              </w:rPr>
              <w:t>对投标人提供2010年以来完成的全国性或国际级（多国参与）综合性运动会竞赛信息化成功案例情况进行评分，每个案例合同中应包括电视字幕系统的有关内容，每提供1个成功案例得3分，满分15分。</w:t>
            </w:r>
          </w:p>
          <w:p>
            <w:pPr>
              <w:rPr>
                <w:rFonts w:ascii="仿宋" w:hAnsi="仿宋" w:eastAsia="仿宋"/>
                <w:b/>
                <w:bCs w:val="0"/>
              </w:rPr>
            </w:pPr>
            <w:r>
              <w:rPr>
                <w:rFonts w:hint="eastAsia" w:ascii="仿宋" w:hAnsi="仿宋" w:eastAsia="仿宋"/>
                <w:b/>
                <w:bCs w:val="0"/>
              </w:rPr>
              <w:t>须同时提供以下证明文件，否则不得分：</w:t>
            </w:r>
          </w:p>
          <w:p>
            <w:pPr>
              <w:rPr>
                <w:rFonts w:ascii="仿宋" w:hAnsi="仿宋" w:eastAsia="仿宋"/>
                <w:b/>
                <w:bCs w:val="0"/>
              </w:rPr>
            </w:pPr>
            <w:r>
              <w:rPr>
                <w:rFonts w:hint="eastAsia" w:ascii="仿宋" w:hAnsi="仿宋" w:eastAsia="仿宋"/>
                <w:b/>
                <w:bCs w:val="0"/>
              </w:rPr>
              <w:t>1）合同扫描件或复印件，至少包括买卖双方名称及盖章、服务内容。</w:t>
            </w:r>
          </w:p>
          <w:p>
            <w:pPr>
              <w:rPr>
                <w:rFonts w:ascii="仿宋_GB2312" w:hAnsi="宋体" w:eastAsia="仿宋_GB2312"/>
                <w:b/>
                <w:bCs w:val="0"/>
                <w:color w:val="000000"/>
                <w:szCs w:val="21"/>
              </w:rPr>
            </w:pPr>
            <w:r>
              <w:rPr>
                <w:rFonts w:hint="eastAsia" w:ascii="仿宋" w:hAnsi="仿宋" w:eastAsia="仿宋"/>
                <w:b/>
                <w:bCs w:val="0"/>
              </w:rPr>
              <w:t>2）用户盖章或签字的成功履行合同的证明材料扫描件或复印件。</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27" w:type="pct"/>
            <w:vMerge w:val="restart"/>
            <w:vAlign w:val="center"/>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商务资信</w:t>
            </w:r>
          </w:p>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（项目团队5分）</w:t>
            </w:r>
          </w:p>
        </w:tc>
        <w:tc>
          <w:tcPr>
            <w:tcW w:w="438"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1.2.1</w:t>
            </w:r>
          </w:p>
        </w:tc>
        <w:tc>
          <w:tcPr>
            <w:tcW w:w="3304" w:type="pct"/>
            <w:vAlign w:val="center"/>
          </w:tcPr>
          <w:p>
            <w:pPr>
              <w:widowControl/>
              <w:contextualSpacing/>
              <w:rPr>
                <w:rFonts w:ascii="仿宋" w:hAnsi="仿宋" w:eastAsia="仿宋"/>
                <w:b/>
                <w:bCs w:val="0"/>
              </w:rPr>
            </w:pPr>
            <w:r>
              <w:rPr>
                <w:rFonts w:hint="eastAsia" w:ascii="仿宋" w:hAnsi="仿宋" w:eastAsia="仿宋"/>
                <w:b/>
                <w:bCs w:val="0"/>
              </w:rPr>
              <w:t>项目经理至少具有PMP资质或信息系统集成及服务项目管理人员资质，得3分。</w:t>
            </w:r>
          </w:p>
          <w:p>
            <w:pPr>
              <w:widowControl/>
              <w:contextualSpacing/>
              <w:rPr>
                <w:rFonts w:ascii="仿宋" w:hAnsi="仿宋" w:eastAsia="仿宋"/>
                <w:b/>
                <w:bCs w:val="0"/>
              </w:rPr>
            </w:pPr>
            <w:r>
              <w:rPr>
                <w:rFonts w:hint="eastAsia" w:ascii="仿宋" w:hAnsi="仿宋" w:eastAsia="仿宋"/>
                <w:b/>
                <w:bCs w:val="0"/>
              </w:rPr>
              <w:t>须提供相应证书以及</w:t>
            </w:r>
            <w:r>
              <w:rPr>
                <w:rFonts w:hint="eastAsia" w:ascii="仿宋_GB2312" w:hAnsi="宋体" w:eastAsia="仿宋_GB2312"/>
                <w:b/>
                <w:bCs w:val="0"/>
                <w:color w:val="000000"/>
                <w:szCs w:val="21"/>
              </w:rPr>
              <w:t>该人员在投标企业近六个月内任意一个月的社保证明的复印件加盖公章，否则不得分。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7" w:type="pct"/>
            <w:vMerge w:val="continue"/>
            <w:vAlign w:val="center"/>
          </w:tcPr>
          <w:p>
            <w:pPr>
              <w:spacing w:before="156" w:beforeLines="50" w:after="156" w:afterLines="50" w:line="276" w:lineRule="auto"/>
              <w:jc w:val="center"/>
              <w:rPr>
                <w:rFonts w:ascii="仿宋_GB2312" w:hAnsi="宋体" w:eastAsia="仿宋_GB2312"/>
                <w:b/>
                <w:bCs w:val="0"/>
                <w:color w:val="000000"/>
                <w:szCs w:val="21"/>
              </w:rPr>
            </w:pPr>
          </w:p>
        </w:tc>
        <w:tc>
          <w:tcPr>
            <w:tcW w:w="438"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hint="eastAsia" w:ascii="仿宋_GB2312" w:hAnsi="宋体" w:eastAsia="仿宋_GB2312"/>
                <w:b/>
                <w:bCs w:val="0"/>
                <w:color w:val="000000"/>
                <w:szCs w:val="21"/>
              </w:rPr>
              <w:t>1.2.2</w:t>
            </w:r>
          </w:p>
        </w:tc>
        <w:tc>
          <w:tcPr>
            <w:tcW w:w="3304" w:type="pct"/>
            <w:vAlign w:val="center"/>
          </w:tcPr>
          <w:p>
            <w:pPr>
              <w:rPr>
                <w:rFonts w:ascii="仿宋" w:hAnsi="仿宋" w:eastAsia="仿宋"/>
                <w:b/>
                <w:bCs w:val="0"/>
              </w:rPr>
            </w:pPr>
            <w:r>
              <w:rPr>
                <w:rFonts w:hint="eastAsia" w:ascii="仿宋" w:hAnsi="仿宋" w:eastAsia="仿宋"/>
                <w:b/>
                <w:bCs w:val="0"/>
              </w:rPr>
              <w:t>根据项目团队中成员是否有综合体育赛事服务经验情况评分。团队中每提供一名具有综合体育赛事服务经验的人员，得0.2分。本项满分2分。</w:t>
            </w:r>
          </w:p>
          <w:p>
            <w:pPr>
              <w:rPr>
                <w:rFonts w:ascii="仿宋" w:hAnsi="仿宋" w:eastAsia="仿宋"/>
                <w:b/>
                <w:bCs w:val="0"/>
              </w:rPr>
            </w:pPr>
            <w:r>
              <w:rPr>
                <w:rFonts w:hint="eastAsia" w:ascii="仿宋" w:hAnsi="仿宋" w:eastAsia="仿宋"/>
                <w:b/>
                <w:bCs w:val="0"/>
              </w:rPr>
              <w:t>须提供须提供团队人员参与综合体育赛事服务证明或荣誉证书或工作证以及团队</w:t>
            </w:r>
            <w:r>
              <w:rPr>
                <w:rFonts w:hint="eastAsia" w:ascii="仿宋_GB2312" w:hAnsi="宋体" w:eastAsia="仿宋_GB2312"/>
                <w:b/>
                <w:bCs w:val="0"/>
                <w:color w:val="000000"/>
                <w:szCs w:val="21"/>
              </w:rPr>
              <w:t>人员在投标企业近六个月内任意一个月的社保证明的</w:t>
            </w:r>
            <w:r>
              <w:rPr>
                <w:rFonts w:hint="eastAsia" w:ascii="仿宋" w:hAnsi="仿宋" w:eastAsia="仿宋"/>
                <w:b/>
                <w:bCs w:val="0"/>
              </w:rPr>
              <w:t>复印件并加盖公章，否则不得分。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jc w:val="center"/>
              <w:rPr>
                <w:rFonts w:ascii="仿宋_GB2312" w:hAnsi="宋体" w:eastAsia="仿宋_GB2312"/>
                <w:b/>
                <w:bCs w:val="0"/>
                <w:color w:val="000000"/>
                <w:szCs w:val="21"/>
              </w:rPr>
            </w:pPr>
            <w:r>
              <w:rPr>
                <w:rFonts w:ascii="仿宋_GB2312" w:hAnsi="宋体" w:eastAsia="仿宋_GB2312"/>
                <w:b/>
                <w:bCs w:val="0"/>
                <w:color w:val="000000"/>
                <w:szCs w:val="21"/>
              </w:rPr>
              <w:t>技术</w:t>
            </w:r>
          </w:p>
          <w:p>
            <w:pPr>
              <w:jc w:val="left"/>
              <w:rPr>
                <w:rFonts w:ascii="仿宋_GB2312" w:hAnsi="宋体" w:eastAsia="仿宋_GB2312"/>
                <w:b/>
                <w:bCs w:val="0"/>
                <w:color w:val="000000"/>
                <w:szCs w:val="21"/>
              </w:rPr>
            </w:pPr>
            <w:r>
              <w:rPr>
                <w:rFonts w:hint="eastAsia" w:ascii="仿宋_GB2312" w:hAnsi="宋体" w:eastAsia="仿宋_GB2312"/>
                <w:b/>
                <w:bCs w:val="0"/>
                <w:color w:val="000000"/>
                <w:szCs w:val="21"/>
              </w:rPr>
              <w:t>（需求理解及综合分析1</w:t>
            </w:r>
            <w:r>
              <w:rPr>
                <w:rFonts w:ascii="仿宋_GB2312" w:hAnsi="宋体" w:eastAsia="仿宋_GB2312"/>
                <w:b/>
                <w:bCs w:val="0"/>
                <w:color w:val="000000"/>
                <w:szCs w:val="21"/>
              </w:rPr>
              <w:t>5</w:t>
            </w:r>
            <w:r>
              <w:rPr>
                <w:rFonts w:hint="eastAsia" w:ascii="仿宋_GB2312" w:hAnsi="宋体" w:eastAsia="仿宋_GB2312"/>
                <w:b/>
                <w:bCs w:val="0"/>
                <w:color w:val="000000"/>
                <w:szCs w:val="21"/>
              </w:rPr>
              <w:t>分）</w:t>
            </w:r>
          </w:p>
          <w:p>
            <w:pPr>
              <w:spacing w:before="156" w:beforeLines="50" w:after="156" w:afterLines="50" w:line="276" w:lineRule="auto"/>
              <w:jc w:val="center"/>
              <w:rPr>
                <w:rFonts w:ascii="仿宋_GB2312" w:hAnsi="宋体" w:eastAsia="仿宋_GB2312"/>
                <w:b/>
                <w:bCs w:val="0"/>
                <w:color w:val="000000"/>
                <w:szCs w:val="21"/>
              </w:rPr>
            </w:pPr>
          </w:p>
        </w:tc>
        <w:tc>
          <w:tcPr>
            <w:tcW w:w="438" w:type="pct"/>
            <w:vAlign w:val="center"/>
          </w:tcPr>
          <w:p>
            <w:pPr>
              <w:jc w:val="center"/>
              <w:rPr>
                <w:b/>
                <w:bCs w:val="0"/>
                <w:szCs w:val="21"/>
              </w:rPr>
            </w:pPr>
            <w:r>
              <w:rPr>
                <w:rFonts w:hint="eastAsia"/>
                <w:b/>
                <w:bCs w:val="0"/>
                <w:szCs w:val="21"/>
              </w:rPr>
              <w:t>2.1</w:t>
            </w:r>
          </w:p>
        </w:tc>
        <w:tc>
          <w:tcPr>
            <w:tcW w:w="3304" w:type="pct"/>
            <w:vAlign w:val="center"/>
          </w:tcPr>
          <w:p>
            <w:pPr>
              <w:rPr>
                <w:rFonts w:ascii="仿宋" w:hAnsi="仿宋" w:eastAsia="仿宋"/>
                <w:b/>
                <w:bCs w:val="0"/>
              </w:rPr>
            </w:pPr>
            <w:r>
              <w:rPr>
                <w:rFonts w:hint="eastAsia" w:ascii="仿宋" w:hAnsi="仿宋" w:eastAsia="仿宋"/>
                <w:b/>
                <w:bCs w:val="0"/>
              </w:rPr>
              <w:t>根据投标人对电视字幕系统的赛事运行保障服务需求的理解程度，提供的需求理解及综合分析方案的合理性、可行性等方面，进行综合评分。内容包括但不限于对项目的定位、意义、重要性的总体描述，以及对于系统现状、应用环境、体系结构需求、功能需求、性能要求、实施要求等的业务分析。本项满分为1</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1）提交的方案中包括上述全部内容，且对于电视字幕系统的重要性有清醒的认识和准确的定位，对于需求分析完整、透彻、目标明确，得1</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2）提交的方案中基本涵盖上述内容，或者提交的方案中内容虽完整，但对于需求分析不够完整透彻，与本项目实际的情况有少量偏差的，得</w:t>
            </w: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3）提交的方案中未涵盖上述全部内容，存在缺漏项或者提交的方案基本完整，但需求分析不明确，与本项目实际的情况有一定偏差，需要进行较大的修改，得</w:t>
            </w:r>
            <w:r>
              <w:rPr>
                <w:rFonts w:ascii="仿宋" w:hAnsi="仿宋" w:eastAsia="仿宋"/>
                <w:b/>
                <w:bCs w:val="0"/>
              </w:rPr>
              <w:t>5</w:t>
            </w:r>
            <w:r>
              <w:rPr>
                <w:rFonts w:hint="eastAsia" w:ascii="仿宋" w:hAnsi="仿宋" w:eastAsia="仿宋"/>
                <w:b/>
                <w:bCs w:val="0"/>
              </w:rPr>
              <w:t>分。</w:t>
            </w:r>
          </w:p>
          <w:p>
            <w:pPr>
              <w:jc w:val="left"/>
              <w:rPr>
                <w:rFonts w:ascii="仿宋_GB2312" w:hAnsi="宋体" w:eastAsia="仿宋_GB2312"/>
                <w:b/>
                <w:bCs w:val="0"/>
                <w:color w:val="000000"/>
                <w:szCs w:val="21"/>
              </w:rPr>
            </w:pPr>
            <w:r>
              <w:rPr>
                <w:rFonts w:hint="eastAsia" w:ascii="仿宋" w:hAnsi="仿宋" w:eastAsia="仿宋"/>
                <w:b/>
                <w:bCs w:val="0"/>
              </w:rPr>
              <w:t>4）未提交方案或提交的方案与本项目实际的情况有较大偏差的得0分。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w:t>
            </w:r>
            <w:r>
              <w:rPr>
                <w:rFonts w:ascii="仿宋_GB2312" w:hAnsi="宋体" w:eastAsia="仿宋_GB2312"/>
                <w:b/>
                <w:bCs w:val="0"/>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ascii="仿宋_GB2312" w:hAnsi="宋体" w:eastAsia="仿宋_GB2312"/>
                <w:b/>
                <w:bCs w:val="0"/>
                <w:color w:val="000000"/>
                <w:szCs w:val="21"/>
              </w:rPr>
              <w:t>技术</w:t>
            </w:r>
          </w:p>
          <w:p>
            <w:pPr>
              <w:jc w:val="left"/>
              <w:rPr>
                <w:rFonts w:ascii="仿宋_GB2312" w:hAnsi="宋体" w:eastAsia="仿宋_GB2312"/>
                <w:b/>
                <w:bCs w:val="0"/>
                <w:color w:val="000000"/>
                <w:szCs w:val="21"/>
              </w:rPr>
            </w:pPr>
            <w:r>
              <w:rPr>
                <w:rFonts w:hint="eastAsia" w:ascii="仿宋_GB2312" w:hAnsi="宋体" w:eastAsia="仿宋_GB2312"/>
                <w:b/>
                <w:bCs w:val="0"/>
                <w:color w:val="000000"/>
                <w:szCs w:val="21"/>
              </w:rPr>
              <w:t>（建设方案</w:t>
            </w:r>
            <w:r>
              <w:rPr>
                <w:rFonts w:ascii="仿宋_GB2312" w:hAnsi="宋体" w:eastAsia="仿宋_GB2312"/>
                <w:b/>
                <w:bCs w:val="0"/>
                <w:color w:val="000000"/>
                <w:szCs w:val="21"/>
              </w:rPr>
              <w:t>20</w:t>
            </w:r>
            <w:r>
              <w:rPr>
                <w:rFonts w:hint="eastAsia" w:ascii="仿宋_GB2312" w:hAnsi="宋体" w:eastAsia="仿宋_GB2312"/>
                <w:b/>
                <w:bCs w:val="0"/>
                <w:color w:val="000000"/>
                <w:szCs w:val="21"/>
              </w:rPr>
              <w:t>分）</w:t>
            </w:r>
          </w:p>
          <w:p>
            <w:pPr>
              <w:spacing w:before="156" w:beforeLines="50" w:after="156" w:afterLines="50" w:line="276" w:lineRule="auto"/>
              <w:jc w:val="center"/>
              <w:rPr>
                <w:rFonts w:ascii="仿宋_GB2312" w:hAnsi="宋体" w:eastAsia="仿宋_GB2312"/>
                <w:b/>
                <w:bCs w:val="0"/>
                <w:color w:val="000000"/>
                <w:szCs w:val="21"/>
              </w:rPr>
            </w:pPr>
          </w:p>
        </w:tc>
        <w:tc>
          <w:tcPr>
            <w:tcW w:w="438" w:type="pct"/>
            <w:vAlign w:val="center"/>
          </w:tcPr>
          <w:p>
            <w:pPr>
              <w:jc w:val="center"/>
              <w:rPr>
                <w:b/>
                <w:bCs w:val="0"/>
                <w:szCs w:val="21"/>
              </w:rPr>
            </w:pPr>
            <w:r>
              <w:rPr>
                <w:rFonts w:hint="eastAsia"/>
                <w:b/>
                <w:bCs w:val="0"/>
                <w:szCs w:val="21"/>
              </w:rPr>
              <w:t>2.2</w:t>
            </w:r>
          </w:p>
        </w:tc>
        <w:tc>
          <w:tcPr>
            <w:tcW w:w="3304" w:type="pct"/>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电视字幕系统设计开发</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rPr>
              <w:t>本项满分为</w:t>
            </w:r>
            <w:r>
              <w:rPr>
                <w:rFonts w:ascii="仿宋" w:hAnsi="仿宋" w:eastAsia="仿宋"/>
                <w:b/>
                <w:bCs w:val="0"/>
              </w:rPr>
              <w:t>20分</w:t>
            </w:r>
            <w:r>
              <w:rPr>
                <w:rFonts w:hint="eastAsia" w:ascii="仿宋" w:hAnsi="仿宋" w:eastAsia="仿宋"/>
                <w:b/>
                <w:bCs w:val="0"/>
              </w:rPr>
              <w:t>。</w:t>
            </w:r>
          </w:p>
          <w:p>
            <w:pPr>
              <w:snapToGrid w:val="0"/>
              <w:rPr>
                <w:rFonts w:ascii="仿宋" w:hAnsi="仿宋" w:eastAsia="仿宋"/>
                <w:b/>
                <w:bCs w:val="0"/>
              </w:rPr>
            </w:pPr>
            <w:r>
              <w:rPr>
                <w:rFonts w:ascii="仿宋" w:hAnsi="仿宋" w:eastAsia="仿宋"/>
                <w:b/>
                <w:bCs w:val="0"/>
              </w:rPr>
              <w:t>1）方案完整，功能完善，能够全盘考虑用户需求，得20分。</w:t>
            </w:r>
          </w:p>
          <w:p>
            <w:pPr>
              <w:snapToGrid w:val="0"/>
              <w:rPr>
                <w:rFonts w:ascii="仿宋" w:hAnsi="仿宋" w:eastAsia="仿宋"/>
                <w:b/>
                <w:bCs w:val="0"/>
              </w:rPr>
            </w:pPr>
            <w:r>
              <w:rPr>
                <w:rFonts w:ascii="仿宋" w:hAnsi="仿宋" w:eastAsia="仿宋"/>
                <w:b/>
                <w:bCs w:val="0"/>
              </w:rPr>
              <w:t>2）方案较完整，功能较完善，基本全盘考虑考虑用户需求，得15分。</w:t>
            </w:r>
          </w:p>
          <w:p>
            <w:pPr>
              <w:snapToGrid w:val="0"/>
              <w:rPr>
                <w:rFonts w:ascii="仿宋" w:hAnsi="仿宋" w:eastAsia="仿宋"/>
                <w:b/>
                <w:bCs w:val="0"/>
              </w:rPr>
            </w:pPr>
            <w:r>
              <w:rPr>
                <w:rFonts w:ascii="仿宋" w:hAnsi="仿宋" w:eastAsia="仿宋"/>
                <w:b/>
                <w:bCs w:val="0"/>
              </w:rPr>
              <w:t>3）方案不够完整，功能不够完善，不</w:t>
            </w:r>
            <w:r>
              <w:rPr>
                <w:rFonts w:hint="eastAsia" w:ascii="仿宋" w:hAnsi="仿宋" w:eastAsia="仿宋"/>
                <w:b/>
                <w:bCs w:val="0"/>
              </w:rPr>
              <w:t>够</w:t>
            </w:r>
            <w:r>
              <w:rPr>
                <w:rFonts w:ascii="仿宋" w:hAnsi="仿宋" w:eastAsia="仿宋"/>
                <w:b/>
                <w:bCs w:val="0"/>
              </w:rPr>
              <w:t>全盘考虑考虑用户需求，得7分。</w:t>
            </w:r>
          </w:p>
          <w:p>
            <w:pPr>
              <w:snapToGrid w:val="0"/>
              <w:jc w:val="left"/>
              <w:rPr>
                <w:rFonts w:ascii="仿宋_GB2312" w:hAnsi="宋体" w:eastAsia="仿宋_GB2312"/>
                <w:b/>
                <w:bCs w:val="0"/>
                <w:color w:val="000000"/>
                <w:szCs w:val="21"/>
              </w:rPr>
            </w:pPr>
            <w:r>
              <w:rPr>
                <w:rFonts w:ascii="仿宋" w:hAnsi="仿宋" w:eastAsia="仿宋"/>
                <w:b/>
                <w:bCs w:val="0"/>
              </w:rPr>
              <w:t>4）</w:t>
            </w:r>
            <w:r>
              <w:rPr>
                <w:rFonts w:hint="eastAsia" w:ascii="仿宋" w:hAnsi="仿宋" w:eastAsia="仿宋"/>
                <w:b/>
                <w:bCs w:val="0"/>
              </w:rPr>
              <w:t>未提交</w:t>
            </w:r>
            <w:r>
              <w:rPr>
                <w:rFonts w:ascii="仿宋" w:hAnsi="仿宋" w:eastAsia="仿宋"/>
                <w:b/>
                <w:bCs w:val="0"/>
              </w:rPr>
              <w:t>方案</w:t>
            </w:r>
            <w:r>
              <w:rPr>
                <w:rFonts w:hint="eastAsia" w:ascii="仿宋" w:hAnsi="仿宋" w:eastAsia="仿宋"/>
                <w:b/>
                <w:bCs w:val="0"/>
              </w:rPr>
              <w:t>或方案</w:t>
            </w:r>
            <w:r>
              <w:rPr>
                <w:rFonts w:ascii="仿宋" w:hAnsi="仿宋" w:eastAsia="仿宋"/>
                <w:b/>
                <w:bCs w:val="0"/>
              </w:rPr>
              <w:t>不完整，功能不完善，不能全盘考虑考虑用户需求，得0分。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before="156" w:beforeLines="50" w:after="156" w:afterLines="50" w:line="276" w:lineRule="auto"/>
              <w:jc w:val="center"/>
              <w:rPr>
                <w:rFonts w:ascii="仿宋_GB2312" w:hAnsi="宋体" w:eastAsia="仿宋_GB2312"/>
                <w:b/>
                <w:bCs w:val="0"/>
                <w:color w:val="000000"/>
                <w:szCs w:val="21"/>
              </w:rPr>
            </w:pPr>
            <w:r>
              <w:rPr>
                <w:rFonts w:ascii="仿宋_GB2312" w:hAnsi="宋体" w:eastAsia="仿宋_GB2312"/>
                <w:b/>
                <w:bCs w:val="0"/>
                <w:color w:val="000000"/>
                <w:szCs w:val="21"/>
              </w:rPr>
              <w:t>技术</w:t>
            </w:r>
          </w:p>
          <w:p>
            <w:pPr>
              <w:spacing w:before="156" w:beforeLines="50" w:after="156" w:afterLines="50" w:line="276" w:lineRule="auto"/>
              <w:jc w:val="center"/>
              <w:rPr>
                <w:rFonts w:ascii="仿宋_GB2312" w:hAnsi="宋体" w:eastAsia="仿宋_GB2312"/>
                <w:b/>
                <w:bCs w:val="0"/>
                <w:color w:val="000000"/>
                <w:szCs w:val="21"/>
              </w:rPr>
            </w:pPr>
            <w:r>
              <w:rPr>
                <w:rFonts w:hint="eastAsia" w:ascii="仿宋" w:hAnsi="仿宋" w:eastAsia="仿宋"/>
                <w:b/>
                <w:bCs w:val="0"/>
              </w:rPr>
              <w:t>（针对不同第三方系统对接服务的解决方案10分）</w:t>
            </w:r>
          </w:p>
        </w:tc>
        <w:tc>
          <w:tcPr>
            <w:tcW w:w="438" w:type="pct"/>
            <w:vAlign w:val="center"/>
          </w:tcPr>
          <w:p>
            <w:pPr>
              <w:jc w:val="center"/>
              <w:rPr>
                <w:b/>
                <w:bCs w:val="0"/>
                <w:szCs w:val="21"/>
              </w:rPr>
            </w:pPr>
            <w:r>
              <w:rPr>
                <w:rFonts w:hint="eastAsia"/>
                <w:b/>
                <w:bCs w:val="0"/>
                <w:szCs w:val="21"/>
              </w:rPr>
              <w:t>2.3</w:t>
            </w:r>
          </w:p>
        </w:tc>
        <w:tc>
          <w:tcPr>
            <w:tcW w:w="3304" w:type="pct"/>
            <w:vAlign w:val="center"/>
          </w:tcPr>
          <w:p>
            <w:pPr>
              <w:pStyle w:val="157"/>
              <w:snapToGrid w:val="0"/>
              <w:ind w:firstLine="0" w:firstLineChars="0"/>
              <w:rPr>
                <w:rFonts w:ascii="仿宋" w:hAnsi="仿宋" w:eastAsia="仿宋"/>
                <w:b/>
                <w:bCs w:val="0"/>
              </w:rPr>
            </w:pPr>
            <w:r>
              <w:rPr>
                <w:rFonts w:ascii="仿宋" w:hAnsi="仿宋" w:eastAsia="仿宋"/>
                <w:b/>
                <w:bCs w:val="0"/>
              </w:rPr>
              <w:t>根据投标人对</w:t>
            </w:r>
            <w:r>
              <w:rPr>
                <w:rFonts w:hint="eastAsia" w:ascii="仿宋" w:hAnsi="仿宋" w:eastAsia="仿宋"/>
                <w:b/>
                <w:bCs w:val="0"/>
              </w:rPr>
              <w:t>不同第三方系统对接服务的解决方案</w:t>
            </w:r>
            <w:r>
              <w:rPr>
                <w:rFonts w:ascii="仿宋" w:hAnsi="仿宋" w:eastAsia="仿宋"/>
                <w:b/>
                <w:bCs w:val="0"/>
              </w:rPr>
              <w:t>需求的理解程度，技术架构的先进性、技术指标的合理性、技术指标测算的科学性，设计方案的亮点与特色等方面，进行综合评分，</w:t>
            </w:r>
            <w:r>
              <w:rPr>
                <w:rFonts w:hint="eastAsia" w:ascii="仿宋" w:hAnsi="仿宋" w:eastAsia="仿宋"/>
                <w:b/>
                <w:bCs w:val="0"/>
              </w:rPr>
              <w:t>本项满分为</w:t>
            </w:r>
            <w:r>
              <w:rPr>
                <w:rFonts w:ascii="仿宋" w:hAnsi="仿宋" w:eastAsia="仿宋"/>
                <w:b/>
                <w:bCs w:val="0"/>
              </w:rPr>
              <w:t>10分。</w:t>
            </w:r>
          </w:p>
          <w:p>
            <w:pPr>
              <w:snapToGrid w:val="0"/>
              <w:rPr>
                <w:rFonts w:ascii="仿宋" w:hAnsi="仿宋" w:eastAsia="仿宋"/>
                <w:b/>
                <w:bCs w:val="0"/>
              </w:rPr>
            </w:pPr>
            <w:r>
              <w:rPr>
                <w:rFonts w:ascii="仿宋" w:hAnsi="仿宋" w:eastAsia="仿宋"/>
                <w:b/>
                <w:bCs w:val="0"/>
              </w:rPr>
              <w:t>1）充分考虑项目特点和采购人需求，针对对接需求描述清晰、可行，系统兼容性强，得10分。</w:t>
            </w:r>
          </w:p>
          <w:p>
            <w:pPr>
              <w:snapToGrid w:val="0"/>
              <w:rPr>
                <w:rFonts w:ascii="仿宋" w:hAnsi="仿宋" w:eastAsia="仿宋"/>
                <w:b/>
                <w:bCs w:val="0"/>
              </w:rPr>
            </w:pPr>
            <w:r>
              <w:rPr>
                <w:rFonts w:ascii="仿宋" w:hAnsi="仿宋" w:eastAsia="仿宋"/>
                <w:b/>
                <w:bCs w:val="0"/>
              </w:rPr>
              <w:t>2）较充分考虑项目特点和采购人需求，针对对接需求描述较清晰、可行，系统兼容性较强，得7分。</w:t>
            </w:r>
          </w:p>
          <w:p>
            <w:pPr>
              <w:snapToGrid w:val="0"/>
              <w:rPr>
                <w:rFonts w:ascii="仿宋" w:hAnsi="仿宋" w:eastAsia="仿宋"/>
                <w:b/>
                <w:bCs w:val="0"/>
              </w:rPr>
            </w:pPr>
            <w:r>
              <w:rPr>
                <w:rFonts w:ascii="仿宋" w:hAnsi="仿宋" w:eastAsia="仿宋"/>
                <w:b/>
                <w:bCs w:val="0"/>
              </w:rPr>
              <w:t>3）对项目特点和采购人需求考虑不够充分，针对对接需求描述不够清晰、可行，系统兼容性一般：3分。</w:t>
            </w:r>
          </w:p>
          <w:p>
            <w:pPr>
              <w:jc w:val="left"/>
              <w:rPr>
                <w:rFonts w:ascii="仿宋" w:hAnsi="仿宋" w:eastAsia="仿宋"/>
                <w:b/>
                <w:bCs w:val="0"/>
              </w:rPr>
            </w:pPr>
            <w:r>
              <w:rPr>
                <w:rFonts w:ascii="仿宋" w:hAnsi="仿宋" w:eastAsia="仿宋"/>
                <w:b/>
                <w:bCs w:val="0"/>
              </w:rPr>
              <w:t>4）未提供解决方案</w:t>
            </w:r>
            <w:r>
              <w:rPr>
                <w:rFonts w:hint="eastAsia" w:ascii="仿宋" w:hAnsi="仿宋" w:eastAsia="仿宋"/>
                <w:b/>
                <w:bCs w:val="0"/>
              </w:rPr>
              <w:t>或</w:t>
            </w:r>
            <w:r>
              <w:rPr>
                <w:rFonts w:ascii="仿宋" w:hAnsi="仿宋" w:eastAsia="仿宋"/>
                <w:b/>
                <w:bCs w:val="0"/>
              </w:rPr>
              <w:t>对项目特点和采购人需求考虑</w:t>
            </w:r>
            <w:r>
              <w:rPr>
                <w:rFonts w:hint="eastAsia" w:ascii="仿宋" w:hAnsi="仿宋" w:eastAsia="仿宋"/>
                <w:b/>
                <w:bCs w:val="0"/>
              </w:rPr>
              <w:t>完全不</w:t>
            </w:r>
            <w:r>
              <w:rPr>
                <w:rFonts w:ascii="仿宋" w:hAnsi="仿宋" w:eastAsia="仿宋"/>
                <w:b/>
                <w:bCs w:val="0"/>
              </w:rPr>
              <w:t>充分，针对对接需求描述</w:t>
            </w:r>
            <w:r>
              <w:rPr>
                <w:rFonts w:hint="eastAsia" w:ascii="仿宋" w:hAnsi="仿宋" w:eastAsia="仿宋"/>
                <w:b/>
                <w:bCs w:val="0"/>
              </w:rPr>
              <w:t>完全不</w:t>
            </w:r>
            <w:r>
              <w:rPr>
                <w:rFonts w:ascii="仿宋" w:hAnsi="仿宋" w:eastAsia="仿宋"/>
                <w:b/>
                <w:bCs w:val="0"/>
              </w:rPr>
              <w:t>清晰、可行，</w:t>
            </w:r>
            <w:r>
              <w:rPr>
                <w:rFonts w:hint="eastAsia" w:ascii="仿宋" w:hAnsi="仿宋" w:eastAsia="仿宋"/>
                <w:b/>
                <w:bCs w:val="0"/>
              </w:rPr>
              <w:t>无</w:t>
            </w:r>
            <w:r>
              <w:rPr>
                <w:rFonts w:ascii="仿宋" w:hAnsi="仿宋" w:eastAsia="仿宋"/>
                <w:b/>
                <w:bCs w:val="0"/>
              </w:rPr>
              <w:t>系统兼容性</w:t>
            </w:r>
            <w:r>
              <w:rPr>
                <w:rFonts w:hint="eastAsia" w:ascii="仿宋" w:hAnsi="仿宋" w:eastAsia="仿宋"/>
                <w:b/>
                <w:bCs w:val="0"/>
              </w:rPr>
              <w:t>，得</w:t>
            </w:r>
            <w:r>
              <w:rPr>
                <w:rFonts w:ascii="仿宋" w:hAnsi="仿宋" w:eastAsia="仿宋"/>
                <w:b/>
                <w:bCs w:val="0"/>
              </w:rPr>
              <w:t>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Merge w:val="restart"/>
            <w:vAlign w:val="center"/>
          </w:tcPr>
          <w:p>
            <w:pPr>
              <w:jc w:val="center"/>
              <w:rPr>
                <w:rFonts w:ascii="仿宋_GB2312" w:hAnsi="宋体" w:eastAsia="仿宋_GB2312"/>
                <w:b/>
                <w:bCs w:val="0"/>
                <w:color w:val="000000"/>
                <w:szCs w:val="21"/>
              </w:rPr>
            </w:pPr>
            <w:r>
              <w:rPr>
                <w:rFonts w:ascii="仿宋_GB2312" w:hAnsi="宋体" w:eastAsia="仿宋_GB2312"/>
                <w:b/>
                <w:bCs w:val="0"/>
                <w:color w:val="000000"/>
                <w:szCs w:val="21"/>
              </w:rPr>
              <w:t>技术</w:t>
            </w:r>
          </w:p>
          <w:p>
            <w:pPr>
              <w:jc w:val="left"/>
              <w:rPr>
                <w:rFonts w:ascii="仿宋_GB2312" w:hAnsi="宋体" w:eastAsia="仿宋_GB2312"/>
                <w:b/>
                <w:bCs w:val="0"/>
                <w:color w:val="000000"/>
                <w:szCs w:val="21"/>
              </w:rPr>
            </w:pPr>
            <w:r>
              <w:rPr>
                <w:rFonts w:hint="eastAsia" w:ascii="仿宋" w:hAnsi="仿宋" w:eastAsia="仿宋"/>
                <w:b/>
                <w:bCs w:val="0"/>
              </w:rPr>
              <w:t>（阶段服务方案1</w:t>
            </w:r>
            <w:r>
              <w:rPr>
                <w:rFonts w:ascii="仿宋" w:hAnsi="仿宋" w:eastAsia="仿宋"/>
                <w:b/>
                <w:bCs w:val="0"/>
              </w:rPr>
              <w:t>5</w:t>
            </w:r>
            <w:r>
              <w:rPr>
                <w:rFonts w:hint="eastAsia" w:ascii="仿宋" w:hAnsi="仿宋" w:eastAsia="仿宋"/>
                <w:b/>
                <w:bCs w:val="0"/>
              </w:rPr>
              <w:t>分）</w:t>
            </w:r>
          </w:p>
        </w:tc>
        <w:tc>
          <w:tcPr>
            <w:tcW w:w="438" w:type="pct"/>
            <w:vAlign w:val="center"/>
          </w:tcPr>
          <w:p>
            <w:pPr>
              <w:jc w:val="center"/>
              <w:rPr>
                <w:b/>
                <w:bCs w:val="0"/>
                <w:szCs w:val="21"/>
              </w:rPr>
            </w:pPr>
            <w:r>
              <w:rPr>
                <w:rFonts w:hint="eastAsia"/>
                <w:b/>
                <w:bCs w:val="0"/>
                <w:szCs w:val="21"/>
              </w:rPr>
              <w:t>2.4.1</w:t>
            </w:r>
          </w:p>
        </w:tc>
        <w:tc>
          <w:tcPr>
            <w:tcW w:w="3304" w:type="pct"/>
            <w:vAlign w:val="center"/>
          </w:tcPr>
          <w:p>
            <w:pPr>
              <w:rPr>
                <w:rFonts w:ascii="仿宋" w:hAnsi="仿宋" w:eastAsia="仿宋"/>
                <w:b/>
                <w:bCs w:val="0"/>
              </w:rPr>
            </w:pPr>
            <w:r>
              <w:rPr>
                <w:rFonts w:ascii="仿宋" w:hAnsi="仿宋" w:eastAsia="仿宋"/>
                <w:b/>
                <w:bCs w:val="0"/>
              </w:rPr>
              <w:t>1、建设阶段服务方案（5分）</w:t>
            </w:r>
          </w:p>
          <w:p>
            <w:pPr>
              <w:jc w:val="left"/>
              <w:rPr>
                <w:rFonts w:ascii="仿宋" w:hAnsi="仿宋" w:eastAsia="仿宋"/>
                <w:b/>
                <w:bCs w:val="0"/>
              </w:rPr>
            </w:pPr>
            <w:r>
              <w:rPr>
                <w:rFonts w:hint="eastAsia" w:ascii="仿宋" w:hAnsi="仿宋" w:eastAsia="仿宋"/>
                <w:b/>
                <w:bCs w:val="0"/>
              </w:rPr>
              <w:t>提供了项目建设阶段管理方案，技术方案须结构完整，描述细致，符合组委会的总体工作进度计划，完全满足赛事运行服务的各项要求，得</w:t>
            </w:r>
            <w:r>
              <w:rPr>
                <w:rFonts w:ascii="仿宋" w:hAnsi="仿宋" w:eastAsia="仿宋"/>
                <w:b/>
                <w:bCs w:val="0"/>
              </w:rPr>
              <w:t>5分，基本满足得3分，</w:t>
            </w:r>
            <w:r>
              <w:rPr>
                <w:rFonts w:hint="eastAsia" w:ascii="仿宋" w:hAnsi="仿宋" w:eastAsia="仿宋"/>
                <w:b/>
                <w:bCs w:val="0"/>
              </w:rPr>
              <w:t>存在偏差得1分，</w:t>
            </w:r>
            <w:r>
              <w:rPr>
                <w:rFonts w:ascii="仿宋" w:hAnsi="仿宋" w:eastAsia="仿宋"/>
                <w:b/>
                <w:bCs w:val="0"/>
              </w:rPr>
              <w:t>否则得0分。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Merge w:val="continue"/>
            <w:vAlign w:val="center"/>
          </w:tcPr>
          <w:p>
            <w:pPr>
              <w:spacing w:before="156" w:beforeLines="50" w:after="156" w:afterLines="50" w:line="276" w:lineRule="auto"/>
              <w:jc w:val="center"/>
              <w:rPr>
                <w:rFonts w:ascii="仿宋_GB2312" w:hAnsi="宋体" w:eastAsia="仿宋_GB2312"/>
                <w:b/>
                <w:bCs w:val="0"/>
                <w:color w:val="000000"/>
                <w:szCs w:val="21"/>
              </w:rPr>
            </w:pPr>
          </w:p>
        </w:tc>
        <w:tc>
          <w:tcPr>
            <w:tcW w:w="438" w:type="pct"/>
            <w:vAlign w:val="center"/>
          </w:tcPr>
          <w:p>
            <w:pPr>
              <w:jc w:val="center"/>
              <w:rPr>
                <w:b/>
                <w:bCs w:val="0"/>
                <w:szCs w:val="21"/>
              </w:rPr>
            </w:pPr>
            <w:r>
              <w:rPr>
                <w:rFonts w:hint="eastAsia"/>
                <w:b/>
                <w:bCs w:val="0"/>
                <w:szCs w:val="21"/>
              </w:rPr>
              <w:t>2.4.2</w:t>
            </w:r>
          </w:p>
        </w:tc>
        <w:tc>
          <w:tcPr>
            <w:tcW w:w="3304" w:type="pct"/>
            <w:vAlign w:val="center"/>
          </w:tcPr>
          <w:p>
            <w:pPr>
              <w:rPr>
                <w:rFonts w:ascii="仿宋" w:hAnsi="仿宋" w:eastAsia="仿宋"/>
                <w:b/>
                <w:bCs w:val="0"/>
              </w:rPr>
            </w:pPr>
            <w:r>
              <w:rPr>
                <w:rFonts w:ascii="仿宋" w:hAnsi="仿宋" w:eastAsia="仿宋"/>
                <w:b/>
                <w:bCs w:val="0"/>
              </w:rPr>
              <w:t>2、测试阶段服务方案（5分）</w:t>
            </w:r>
          </w:p>
          <w:p>
            <w:pPr>
              <w:jc w:val="left"/>
              <w:rPr>
                <w:rFonts w:ascii="仿宋" w:hAnsi="仿宋" w:eastAsia="仿宋"/>
                <w:b/>
                <w:bCs w:val="0"/>
              </w:rPr>
            </w:pPr>
            <w:r>
              <w:rPr>
                <w:rFonts w:hint="eastAsia" w:ascii="仿宋" w:hAnsi="仿宋" w:eastAsia="仿宋"/>
                <w:b/>
                <w:bCs w:val="0"/>
              </w:rPr>
              <w:t>提供了集成测试、测试赛阶段、联试联调阶段管理方案，技术方案须结构完整，描述细致，符合组委会的总体工作进度计划，完全满足赛事运行服务的各项要求，得</w:t>
            </w:r>
            <w:r>
              <w:rPr>
                <w:rFonts w:ascii="仿宋" w:hAnsi="仿宋" w:eastAsia="仿宋"/>
                <w:b/>
                <w:bCs w:val="0"/>
              </w:rPr>
              <w:t>5分，基本满足得3分，</w:t>
            </w:r>
            <w:r>
              <w:rPr>
                <w:rFonts w:hint="eastAsia" w:ascii="仿宋" w:hAnsi="仿宋" w:eastAsia="仿宋"/>
                <w:b/>
                <w:bCs w:val="0"/>
              </w:rPr>
              <w:t>存在偏差得1分，</w:t>
            </w:r>
            <w:r>
              <w:rPr>
                <w:rFonts w:ascii="仿宋" w:hAnsi="仿宋" w:eastAsia="仿宋"/>
                <w:b/>
                <w:bCs w:val="0"/>
              </w:rPr>
              <w:t>否则得0分。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Merge w:val="continue"/>
            <w:vAlign w:val="center"/>
          </w:tcPr>
          <w:p>
            <w:pPr>
              <w:spacing w:before="156" w:beforeLines="50" w:after="156" w:afterLines="50" w:line="276" w:lineRule="auto"/>
              <w:jc w:val="center"/>
              <w:rPr>
                <w:rFonts w:ascii="仿宋_GB2312" w:hAnsi="宋体" w:eastAsia="仿宋_GB2312"/>
                <w:b/>
                <w:bCs w:val="0"/>
                <w:color w:val="000000"/>
                <w:szCs w:val="21"/>
              </w:rPr>
            </w:pPr>
          </w:p>
        </w:tc>
        <w:tc>
          <w:tcPr>
            <w:tcW w:w="438" w:type="pct"/>
            <w:vAlign w:val="center"/>
          </w:tcPr>
          <w:p>
            <w:pPr>
              <w:jc w:val="center"/>
              <w:rPr>
                <w:b/>
                <w:bCs w:val="0"/>
                <w:szCs w:val="21"/>
              </w:rPr>
            </w:pPr>
            <w:r>
              <w:rPr>
                <w:rFonts w:hint="eastAsia"/>
                <w:b/>
                <w:bCs w:val="0"/>
                <w:szCs w:val="21"/>
              </w:rPr>
              <w:t>2.4.3</w:t>
            </w:r>
          </w:p>
        </w:tc>
        <w:tc>
          <w:tcPr>
            <w:tcW w:w="3304" w:type="pct"/>
            <w:vAlign w:val="center"/>
          </w:tcPr>
          <w:p>
            <w:pPr>
              <w:rPr>
                <w:rFonts w:ascii="仿宋" w:hAnsi="仿宋" w:eastAsia="仿宋"/>
                <w:b/>
                <w:bCs w:val="0"/>
              </w:rPr>
            </w:pPr>
            <w:r>
              <w:rPr>
                <w:rFonts w:ascii="仿宋" w:hAnsi="仿宋" w:eastAsia="仿宋"/>
                <w:b/>
                <w:bCs w:val="0"/>
              </w:rPr>
              <w:t>3、运行服务阶段服务方案（5分）</w:t>
            </w:r>
          </w:p>
          <w:p>
            <w:pPr>
              <w:jc w:val="left"/>
              <w:rPr>
                <w:rFonts w:ascii="仿宋" w:hAnsi="仿宋" w:eastAsia="仿宋"/>
                <w:b/>
                <w:bCs w:val="0"/>
              </w:rPr>
            </w:pPr>
            <w:r>
              <w:rPr>
                <w:rFonts w:hint="eastAsia" w:ascii="仿宋" w:hAnsi="仿宋" w:eastAsia="仿宋"/>
                <w:b/>
                <w:bCs w:val="0"/>
              </w:rPr>
              <w:t>提供了赛事服务和赛后收尾阶段管理方案，技术方案须结构完整，描述细致，符合组委会的总体工作进度计划，完全满足赛事运行服务的各项要求，得</w:t>
            </w:r>
            <w:r>
              <w:rPr>
                <w:rFonts w:ascii="仿宋" w:hAnsi="仿宋" w:eastAsia="仿宋"/>
                <w:b/>
                <w:bCs w:val="0"/>
              </w:rPr>
              <w:t>5分，基本满足得3分，</w:t>
            </w:r>
            <w:r>
              <w:rPr>
                <w:rFonts w:hint="eastAsia" w:ascii="仿宋" w:hAnsi="仿宋" w:eastAsia="仿宋"/>
                <w:b/>
                <w:bCs w:val="0"/>
              </w:rPr>
              <w:t>存在偏差得1分，</w:t>
            </w:r>
            <w:r>
              <w:rPr>
                <w:rFonts w:ascii="仿宋" w:hAnsi="仿宋" w:eastAsia="仿宋"/>
                <w:b/>
                <w:bCs w:val="0"/>
              </w:rPr>
              <w:t>否则得0分。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jc w:val="center"/>
              <w:rPr>
                <w:rFonts w:ascii="仿宋" w:hAnsi="仿宋" w:eastAsia="仿宋"/>
                <w:b/>
                <w:bCs w:val="0"/>
              </w:rPr>
            </w:pPr>
            <w:r>
              <w:rPr>
                <w:rFonts w:hint="eastAsia" w:ascii="仿宋" w:hAnsi="仿宋" w:eastAsia="仿宋"/>
                <w:b/>
                <w:bCs w:val="0"/>
              </w:rPr>
              <w:t>技术</w:t>
            </w:r>
          </w:p>
          <w:p>
            <w:pPr>
              <w:jc w:val="left"/>
              <w:rPr>
                <w:rFonts w:ascii="仿宋_GB2312" w:hAnsi="宋体" w:eastAsia="仿宋_GB2312"/>
                <w:b/>
                <w:bCs w:val="0"/>
                <w:color w:val="000000"/>
                <w:szCs w:val="21"/>
              </w:rPr>
            </w:pPr>
            <w:r>
              <w:rPr>
                <w:rFonts w:hint="eastAsia" w:ascii="仿宋" w:hAnsi="仿宋" w:eastAsia="仿宋"/>
                <w:b/>
                <w:bCs w:val="0"/>
              </w:rPr>
              <w:t>（</w:t>
            </w:r>
            <w:r>
              <w:rPr>
                <w:rFonts w:ascii="仿宋" w:hAnsi="仿宋" w:eastAsia="仿宋"/>
                <w:b/>
                <w:bCs w:val="0"/>
              </w:rPr>
              <w:t>应急预案5</w:t>
            </w:r>
            <w:r>
              <w:rPr>
                <w:rFonts w:hint="eastAsia" w:ascii="仿宋" w:hAnsi="仿宋" w:eastAsia="仿宋"/>
                <w:b/>
                <w:bCs w:val="0"/>
              </w:rPr>
              <w:t>分）</w:t>
            </w:r>
          </w:p>
        </w:tc>
        <w:tc>
          <w:tcPr>
            <w:tcW w:w="438" w:type="pct"/>
            <w:vAlign w:val="center"/>
          </w:tcPr>
          <w:p>
            <w:pPr>
              <w:jc w:val="center"/>
              <w:rPr>
                <w:b/>
                <w:bCs w:val="0"/>
                <w:szCs w:val="21"/>
              </w:rPr>
            </w:pPr>
            <w:r>
              <w:rPr>
                <w:rFonts w:hint="eastAsia"/>
                <w:b/>
                <w:bCs w:val="0"/>
                <w:szCs w:val="21"/>
              </w:rPr>
              <w:t>2.5</w:t>
            </w:r>
          </w:p>
        </w:tc>
        <w:tc>
          <w:tcPr>
            <w:tcW w:w="3304" w:type="pct"/>
            <w:vAlign w:val="center"/>
          </w:tcPr>
          <w:p>
            <w:pPr>
              <w:rPr>
                <w:rFonts w:ascii="仿宋" w:hAnsi="仿宋" w:eastAsia="仿宋"/>
                <w:b/>
                <w:bCs w:val="0"/>
              </w:rPr>
            </w:pPr>
            <w:r>
              <w:rPr>
                <w:rFonts w:ascii="仿宋" w:hAnsi="仿宋" w:eastAsia="仿宋"/>
                <w:b/>
                <w:bCs w:val="0"/>
              </w:rPr>
              <w:t>根据投标人所提供的应急预案完整性、合理性、可行性等方面，进行综合评分，本</w:t>
            </w:r>
            <w:r>
              <w:rPr>
                <w:rFonts w:hint="eastAsia" w:ascii="仿宋" w:hAnsi="仿宋" w:eastAsia="仿宋"/>
                <w:b/>
                <w:bCs w:val="0"/>
              </w:rPr>
              <w:t>项满分5分。</w:t>
            </w:r>
          </w:p>
          <w:p>
            <w:pPr>
              <w:rPr>
                <w:rFonts w:ascii="仿宋" w:hAnsi="仿宋" w:eastAsia="仿宋"/>
                <w:b/>
                <w:bCs w:val="0"/>
              </w:rPr>
            </w:pPr>
            <w:r>
              <w:rPr>
                <w:rFonts w:hint="eastAsia" w:ascii="仿宋" w:hAnsi="仿宋" w:eastAsia="仿宋"/>
                <w:b/>
                <w:bCs w:val="0"/>
              </w:rPr>
              <w:t>1）提交的应急预案内容完整、合理、可行，得5分；</w:t>
            </w:r>
          </w:p>
          <w:p>
            <w:pPr>
              <w:rPr>
                <w:rFonts w:ascii="仿宋" w:hAnsi="仿宋" w:eastAsia="仿宋"/>
                <w:b/>
                <w:bCs w:val="0"/>
              </w:rPr>
            </w:pPr>
            <w:r>
              <w:rPr>
                <w:rFonts w:hint="eastAsia" w:ascii="仿宋" w:hAnsi="仿宋" w:eastAsia="仿宋"/>
                <w:b/>
                <w:bCs w:val="0"/>
              </w:rPr>
              <w:t>2）提交的应急预案内容较完整、较合理、较为可行，得3分；</w:t>
            </w:r>
          </w:p>
          <w:p>
            <w:pPr>
              <w:rPr>
                <w:rFonts w:ascii="仿宋" w:hAnsi="仿宋" w:eastAsia="仿宋"/>
                <w:b/>
                <w:bCs w:val="0"/>
              </w:rPr>
            </w:pPr>
            <w:r>
              <w:rPr>
                <w:rFonts w:hint="eastAsia" w:ascii="仿宋" w:hAnsi="仿宋" w:eastAsia="仿宋"/>
                <w:b/>
                <w:bCs w:val="0"/>
              </w:rPr>
              <w:t>3）提交的应急预案内容不够完整，功能欠完善，需要进行调整才能满足采购人使用需求，得1分；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4）提交的应急预案内容不完整、不合理、可行性差，得0分。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jc w:val="center"/>
              <w:rPr>
                <w:rFonts w:ascii="仿宋" w:hAnsi="仿宋" w:eastAsia="仿宋"/>
                <w:b/>
                <w:bCs w:val="0"/>
              </w:rPr>
            </w:pPr>
            <w:r>
              <w:rPr>
                <w:rFonts w:hint="eastAsia" w:ascii="仿宋" w:hAnsi="仿宋" w:eastAsia="仿宋"/>
                <w:b/>
                <w:bCs w:val="0"/>
              </w:rPr>
              <w:t>技术</w:t>
            </w:r>
          </w:p>
          <w:p>
            <w:pPr>
              <w:jc w:val="left"/>
              <w:rPr>
                <w:rFonts w:ascii="仿宋_GB2312" w:hAnsi="宋体" w:eastAsia="仿宋_GB2312"/>
                <w:b/>
                <w:bCs w:val="0"/>
                <w:color w:val="000000"/>
                <w:szCs w:val="21"/>
              </w:rPr>
            </w:pPr>
            <w:r>
              <w:rPr>
                <w:rFonts w:hint="eastAsia" w:ascii="仿宋" w:hAnsi="仿宋" w:eastAsia="仿宋"/>
                <w:b/>
                <w:bCs w:val="0"/>
              </w:rPr>
              <w:t>（</w:t>
            </w:r>
            <w:r>
              <w:rPr>
                <w:rFonts w:ascii="仿宋" w:hAnsi="仿宋" w:eastAsia="仿宋"/>
                <w:b/>
                <w:bCs w:val="0"/>
              </w:rPr>
              <w:t>人员管理计划5</w:t>
            </w:r>
            <w:r>
              <w:rPr>
                <w:rFonts w:hint="eastAsia" w:ascii="仿宋" w:hAnsi="仿宋" w:eastAsia="仿宋"/>
                <w:b/>
                <w:bCs w:val="0"/>
              </w:rPr>
              <w:t>分）</w:t>
            </w:r>
          </w:p>
        </w:tc>
        <w:tc>
          <w:tcPr>
            <w:tcW w:w="438" w:type="pct"/>
            <w:vAlign w:val="center"/>
          </w:tcPr>
          <w:p>
            <w:pPr>
              <w:jc w:val="center"/>
              <w:rPr>
                <w:b/>
                <w:bCs w:val="0"/>
                <w:szCs w:val="21"/>
              </w:rPr>
            </w:pPr>
            <w:r>
              <w:rPr>
                <w:rFonts w:hint="eastAsia"/>
                <w:b/>
                <w:bCs w:val="0"/>
                <w:szCs w:val="21"/>
              </w:rPr>
              <w:t>2.6</w:t>
            </w:r>
          </w:p>
        </w:tc>
        <w:tc>
          <w:tcPr>
            <w:tcW w:w="3304" w:type="pct"/>
            <w:vAlign w:val="center"/>
          </w:tcPr>
          <w:p>
            <w:pPr>
              <w:jc w:val="left"/>
              <w:rPr>
                <w:rFonts w:ascii="仿宋" w:hAnsi="仿宋" w:eastAsia="仿宋"/>
                <w:b/>
                <w:bCs w:val="0"/>
              </w:rPr>
            </w:pPr>
            <w:r>
              <w:rPr>
                <w:rFonts w:hint="eastAsia" w:ascii="仿宋" w:hAnsi="仿宋" w:eastAsia="仿宋"/>
                <w:b/>
                <w:bCs w:val="0"/>
              </w:rPr>
              <w:t>根据投标人提供的项目人员管理计划、项目总体人员配置计划以及主要人员的到岗时间计划，从人员配备是否合理、职责是否清晰、数量是否能够满足采购人使用需要、管理制度是否健全等方面，进行综合评分，本项满分5分。</w:t>
            </w:r>
          </w:p>
          <w:p>
            <w:pPr>
              <w:numPr>
                <w:ilvl w:val="0"/>
                <w:numId w:val="31"/>
              </w:numPr>
              <w:jc w:val="left"/>
              <w:rPr>
                <w:rFonts w:ascii="仿宋" w:hAnsi="仿宋" w:eastAsia="仿宋"/>
                <w:b/>
                <w:bCs w:val="0"/>
              </w:rPr>
            </w:pPr>
            <w:r>
              <w:rPr>
                <w:rFonts w:hint="eastAsia" w:ascii="仿宋" w:hAnsi="仿宋" w:eastAsia="仿宋"/>
                <w:b/>
                <w:bCs w:val="0"/>
              </w:rPr>
              <w:t>所配备的人员岗位明确、数量合理，能够很好的满足采购人使用需要，得5分；</w:t>
            </w:r>
          </w:p>
          <w:p>
            <w:pPr>
              <w:numPr>
                <w:ilvl w:val="0"/>
                <w:numId w:val="31"/>
              </w:numPr>
              <w:jc w:val="left"/>
              <w:rPr>
                <w:rFonts w:ascii="仿宋" w:hAnsi="仿宋" w:eastAsia="仿宋"/>
                <w:b/>
                <w:bCs w:val="0"/>
              </w:rPr>
            </w:pPr>
            <w:r>
              <w:rPr>
                <w:rFonts w:hint="eastAsia" w:ascii="仿宋" w:hAnsi="仿宋" w:eastAsia="仿宋"/>
                <w:b/>
                <w:bCs w:val="0"/>
              </w:rPr>
              <w:t>所配备的人员岗位基本明确、数量基本合理，能较好满足采购人使用需要，得3分；</w:t>
            </w:r>
          </w:p>
          <w:p>
            <w:pPr>
              <w:jc w:val="left"/>
              <w:rPr>
                <w:rFonts w:ascii="仿宋" w:hAnsi="仿宋" w:eastAsia="仿宋"/>
                <w:b/>
                <w:bCs w:val="0"/>
              </w:rPr>
            </w:pPr>
            <w:r>
              <w:rPr>
                <w:rFonts w:hint="eastAsia" w:ascii="仿宋" w:hAnsi="仿宋" w:eastAsia="仿宋"/>
                <w:b/>
                <w:bCs w:val="0"/>
              </w:rPr>
              <w:t>3）提供了人员计划，但所提供人员岗位设置欠合理或和数量不足，与采购人使用需要存在一定偏差，得1分；</w:t>
            </w:r>
          </w:p>
          <w:p>
            <w:pPr>
              <w:jc w:val="left"/>
              <w:rPr>
                <w:rFonts w:ascii="仿宋" w:hAnsi="仿宋" w:eastAsia="仿宋"/>
                <w:b/>
                <w:bCs w:val="0"/>
              </w:rPr>
            </w:pPr>
            <w:r>
              <w:rPr>
                <w:rFonts w:hint="eastAsia" w:ascii="仿宋" w:hAnsi="仿宋" w:eastAsia="仿宋"/>
                <w:b/>
                <w:bCs w:val="0"/>
              </w:rPr>
              <w:t>4）未提交人员计划或提交的人员计划与采购人使用需要有较大偏差的，得0分。</w:t>
            </w:r>
          </w:p>
        </w:tc>
        <w:tc>
          <w:tcPr>
            <w:tcW w:w="529" w:type="pct"/>
          </w:tcPr>
          <w:p>
            <w:pPr>
              <w:spacing w:before="156" w:beforeLines="50" w:after="156" w:afterLines="50" w:line="276" w:lineRule="auto"/>
              <w:rPr>
                <w:rFonts w:ascii="仿宋_GB2312" w:hAnsi="宋体" w:eastAsia="仿宋_GB2312"/>
                <w:b/>
                <w:bCs w:val="0"/>
                <w:color w:val="000000"/>
                <w:szCs w:val="21"/>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bl>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p>
    <w:p>
      <w:pPr>
        <w:spacing w:before="156" w:beforeLines="50" w:after="156" w:afterLines="50" w:line="32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标项2</w:t>
      </w:r>
    </w:p>
    <w:p>
      <w:pPr>
        <w:spacing w:before="156" w:beforeLines="50" w:after="156" w:afterLines="50" w:line="320" w:lineRule="exact"/>
        <w:ind w:firstLine="643" w:firstLineChars="200"/>
        <w:rPr>
          <w:rFonts w:ascii="仿宋_GB2312" w:hAnsi="宋体" w:eastAsia="仿宋_GB2312"/>
          <w:b/>
          <w:color w:val="000000" w:themeColor="text1"/>
          <w:sz w:val="32"/>
          <w:szCs w:val="32"/>
          <w14:textFill>
            <w14:solidFill>
              <w14:schemeClr w14:val="tx1"/>
            </w14:solidFill>
          </w14:textFill>
        </w:rPr>
      </w:pP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744"/>
        <w:gridCol w:w="562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tcPr>
          <w:p>
            <w:pPr>
              <w:spacing w:before="156" w:beforeLines="50" w:after="156" w:afterLines="50" w:line="276" w:lineRule="auto"/>
              <w:rPr>
                <w:rFonts w:ascii="仿宋" w:hAnsi="仿宋" w:eastAsia="仿宋"/>
                <w:b/>
                <w:bCs w:val="0"/>
              </w:rPr>
            </w:pPr>
            <w:r>
              <w:rPr>
                <w:rFonts w:hint="eastAsia" w:ascii="仿宋_GB2312" w:hAnsi="宋体" w:eastAsia="仿宋_GB2312"/>
                <w:b/>
                <w:bCs w:val="0"/>
                <w:color w:val="000000"/>
                <w:szCs w:val="21"/>
              </w:rPr>
              <w:t>评分类型</w:t>
            </w:r>
          </w:p>
        </w:tc>
        <w:tc>
          <w:tcPr>
            <w:tcW w:w="744"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序号</w:t>
            </w:r>
          </w:p>
        </w:tc>
        <w:tc>
          <w:tcPr>
            <w:tcW w:w="5629"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评分标准</w:t>
            </w:r>
          </w:p>
        </w:tc>
        <w:tc>
          <w:tcPr>
            <w:tcW w:w="901" w:type="dxa"/>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分值</w:t>
            </w:r>
          </w:p>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rPr>
                <w:rFonts w:ascii="仿宋" w:hAnsi="仿宋" w:eastAsia="仿宋"/>
                <w:b/>
                <w:bCs w:val="0"/>
              </w:rPr>
            </w:pPr>
            <w:r>
              <w:rPr>
                <w:rFonts w:ascii="仿宋_GB2312" w:hAnsi="宋体" w:eastAsia="仿宋_GB2312"/>
                <w:b/>
                <w:bCs w:val="0"/>
                <w:color w:val="000000"/>
                <w:szCs w:val="21"/>
              </w:rPr>
              <w:t>报价</w:t>
            </w:r>
            <w:r>
              <w:rPr>
                <w:rFonts w:hint="eastAsia" w:ascii="仿宋_GB2312" w:hAnsi="宋体" w:eastAsia="仿宋_GB2312"/>
                <w:b/>
                <w:bCs w:val="0"/>
                <w:color w:val="000000"/>
                <w:szCs w:val="21"/>
              </w:rPr>
              <w:t>（价格分）</w:t>
            </w:r>
            <w:r>
              <w:rPr>
                <w:rFonts w:ascii="仿宋_GB2312" w:hAnsi="宋体" w:eastAsia="仿宋_GB2312"/>
                <w:b/>
                <w:bCs w:val="0"/>
                <w:color w:val="000000"/>
                <w:szCs w:val="21"/>
              </w:rPr>
              <w:t>10分</w:t>
            </w:r>
          </w:p>
        </w:tc>
        <w:tc>
          <w:tcPr>
            <w:tcW w:w="744" w:type="dxa"/>
            <w:vAlign w:val="center"/>
          </w:tcPr>
          <w:p>
            <w:pPr>
              <w:rPr>
                <w:rFonts w:ascii="仿宋" w:hAnsi="仿宋" w:eastAsia="仿宋"/>
                <w:b/>
                <w:bCs w:val="0"/>
              </w:rPr>
            </w:pPr>
            <w:r>
              <w:rPr>
                <w:rFonts w:hint="eastAsia" w:ascii="仿宋" w:hAnsi="仿宋" w:eastAsia="仿宋"/>
                <w:b/>
                <w:bCs w:val="0"/>
              </w:rPr>
              <w:t>1</w:t>
            </w:r>
          </w:p>
        </w:tc>
        <w:tc>
          <w:tcPr>
            <w:tcW w:w="5629" w:type="dxa"/>
            <w:vAlign w:val="center"/>
          </w:tcPr>
          <w:p>
            <w:pPr>
              <w:rPr>
                <w:rFonts w:ascii="仿宋" w:hAnsi="仿宋" w:eastAsia="仿宋"/>
                <w:b/>
                <w:bCs w:val="0"/>
              </w:rPr>
            </w:pPr>
            <w:r>
              <w:rPr>
                <w:rFonts w:hint="eastAsia" w:ascii="仿宋" w:hAnsi="仿宋" w:eastAsia="仿宋"/>
                <w:b/>
                <w:bCs w:val="0"/>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b/>
                <w:bCs w:val="0"/>
              </w:rPr>
            </w:pPr>
            <w:r>
              <w:rPr>
                <w:rFonts w:hint="eastAsia" w:ascii="仿宋" w:hAnsi="仿宋" w:eastAsia="仿宋"/>
                <w:b/>
                <w:bCs w:val="0"/>
              </w:rPr>
              <w:t xml:space="preserve">投标报价得分=(评标基准价／投标报价)×价格权值×100               </w:t>
            </w:r>
          </w:p>
          <w:p>
            <w:pPr>
              <w:rPr>
                <w:rFonts w:ascii="仿宋" w:hAnsi="仿宋" w:eastAsia="仿宋"/>
                <w:b/>
                <w:bCs w:val="0"/>
              </w:rPr>
            </w:pPr>
            <w:r>
              <w:rPr>
                <w:rFonts w:hint="eastAsia" w:ascii="仿宋" w:hAnsi="仿宋" w:eastAsia="仿宋"/>
                <w:b/>
                <w:bCs w:val="0"/>
              </w:rPr>
              <w:t>计算分数时四舍五入取小数点后两位</w:t>
            </w:r>
          </w:p>
          <w:p>
            <w:pPr>
              <w:rPr>
                <w:rFonts w:ascii="仿宋" w:hAnsi="仿宋" w:eastAsia="仿宋"/>
                <w:b/>
                <w:bCs w:val="0"/>
              </w:rPr>
            </w:pPr>
            <w:r>
              <w:rPr>
                <w:rFonts w:hint="eastAsia" w:ascii="仿宋" w:hAnsi="仿宋" w:eastAsia="仿宋"/>
                <w:b/>
                <w:bCs w:val="0"/>
              </w:rPr>
              <w:t>注：（1）根据《政府采购促进中小企业发展管理办法》的相关规定，对小型和微型企业的价格给予6%的扣除，用扣除后的价格参与评审。</w:t>
            </w:r>
          </w:p>
          <w:p>
            <w:pPr>
              <w:rPr>
                <w:rFonts w:ascii="仿宋" w:hAnsi="仿宋" w:eastAsia="仿宋"/>
                <w:b/>
                <w:bCs w:val="0"/>
              </w:rPr>
            </w:pPr>
            <w:r>
              <w:rPr>
                <w:rFonts w:hint="eastAsia" w:ascii="仿宋" w:hAnsi="仿宋" w:eastAsia="仿宋"/>
                <w:b/>
                <w:bCs w:val="0"/>
              </w:rPr>
              <w:t>（2）根据《财政部民政部中国残疾人联合会关于促进残疾人就业政府采购政策的通知》（财库〔2017〕141号）的规定，对符合条件的残疾人福利性单位设备的价格给予6%的扣除，用扣除后的价格参与评审。</w:t>
            </w:r>
          </w:p>
          <w:p>
            <w:pPr>
              <w:rPr>
                <w:rFonts w:ascii="仿宋" w:hAnsi="仿宋" w:eastAsia="仿宋"/>
                <w:b/>
                <w:bCs w:val="0"/>
              </w:rPr>
            </w:pPr>
            <w:r>
              <w:rPr>
                <w:rFonts w:hint="eastAsia" w:ascii="仿宋" w:hAnsi="仿宋" w:eastAsia="仿宋"/>
                <w:b/>
                <w:bCs w:val="0"/>
              </w:rPr>
              <w:t>小型、微型企业和监狱企业级符合财政部、民政部、中国残疾人联合会关于促进残疾人就业政府采购政策的通知，以上政策同时具备的仅对其进行一次6%的价格扣除，不重复扣除。</w:t>
            </w:r>
          </w:p>
        </w:tc>
        <w:tc>
          <w:tcPr>
            <w:tcW w:w="901"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r>
              <w:rPr>
                <w:rFonts w:ascii="仿宋" w:hAnsi="仿宋" w:eastAsia="仿宋"/>
                <w:b/>
                <w:bCs w:val="0"/>
              </w:rPr>
              <w:t>投标</w:t>
            </w:r>
            <w:r>
              <w:rPr>
                <w:rFonts w:hint="eastAsia" w:ascii="仿宋" w:hAnsi="仿宋" w:eastAsia="仿宋"/>
                <w:b/>
                <w:bCs w:val="0"/>
              </w:rPr>
              <w:t>人</w:t>
            </w:r>
            <w:r>
              <w:rPr>
                <w:rFonts w:ascii="仿宋" w:hAnsi="仿宋" w:eastAsia="仿宋"/>
                <w:b/>
                <w:bCs w:val="0"/>
              </w:rPr>
              <w:t>业绩1</w:t>
            </w:r>
            <w:r>
              <w:rPr>
                <w:rFonts w:hint="eastAsia" w:ascii="仿宋" w:hAnsi="仿宋" w:eastAsia="仿宋"/>
                <w:b/>
                <w:bCs w:val="0"/>
              </w:rPr>
              <w:t>0</w:t>
            </w:r>
            <w:r>
              <w:rPr>
                <w:rFonts w:ascii="仿宋" w:hAnsi="仿宋" w:eastAsia="仿宋"/>
                <w:b/>
                <w:bCs w:val="0"/>
              </w:rPr>
              <w:t>分）</w:t>
            </w:r>
          </w:p>
        </w:tc>
        <w:tc>
          <w:tcPr>
            <w:tcW w:w="744" w:type="dxa"/>
            <w:vAlign w:val="center"/>
          </w:tcPr>
          <w:p>
            <w:pPr>
              <w:rPr>
                <w:rFonts w:ascii="仿宋" w:hAnsi="仿宋" w:eastAsia="仿宋"/>
                <w:b/>
                <w:bCs w:val="0"/>
              </w:rPr>
            </w:pPr>
            <w:r>
              <w:rPr>
                <w:rFonts w:hint="eastAsia" w:ascii="仿宋" w:hAnsi="仿宋" w:eastAsia="仿宋"/>
                <w:b/>
                <w:bCs w:val="0"/>
              </w:rPr>
              <w:t>1.1</w:t>
            </w:r>
          </w:p>
        </w:tc>
        <w:tc>
          <w:tcPr>
            <w:tcW w:w="5629" w:type="dxa"/>
            <w:vAlign w:val="center"/>
          </w:tcPr>
          <w:p>
            <w:pPr>
              <w:rPr>
                <w:rFonts w:ascii="仿宋" w:hAnsi="仿宋" w:eastAsia="仿宋"/>
                <w:b/>
                <w:bCs w:val="0"/>
              </w:rPr>
            </w:pPr>
            <w:r>
              <w:rPr>
                <w:rFonts w:hint="eastAsia" w:ascii="仿宋" w:hAnsi="仿宋" w:eastAsia="仿宋"/>
                <w:b/>
                <w:bCs w:val="0"/>
              </w:rPr>
              <w:t>投标人提供2012年以来承担过全国性级别及以上综合性运动会服务案例合同，提供的服务案例合同应包含计时记分系统的有关内容。每个案例合同得</w:t>
            </w:r>
            <w:r>
              <w:rPr>
                <w:rFonts w:ascii="仿宋" w:hAnsi="仿宋" w:eastAsia="仿宋"/>
                <w:b/>
                <w:bCs w:val="0"/>
              </w:rPr>
              <w:t>1</w:t>
            </w:r>
            <w:r>
              <w:rPr>
                <w:rFonts w:hint="eastAsia" w:ascii="仿宋" w:hAnsi="仿宋" w:eastAsia="仿宋"/>
                <w:b/>
                <w:bCs w:val="0"/>
              </w:rPr>
              <w:t>分，满分1</w:t>
            </w:r>
            <w:r>
              <w:rPr>
                <w:rFonts w:ascii="仿宋" w:hAnsi="仿宋" w:eastAsia="仿宋"/>
                <w:b/>
                <w:bCs w:val="0"/>
              </w:rPr>
              <w:t>0</w:t>
            </w:r>
            <w:r>
              <w:rPr>
                <w:rFonts w:hint="eastAsia" w:ascii="仿宋" w:hAnsi="仿宋" w:eastAsia="仿宋"/>
                <w:b/>
                <w:bCs w:val="0"/>
              </w:rPr>
              <w:t>分；未提供合同或合同不符合要求，得0分。</w:t>
            </w:r>
          </w:p>
          <w:p>
            <w:pPr>
              <w:rPr>
                <w:rFonts w:ascii="仿宋" w:hAnsi="仿宋" w:eastAsia="仿宋"/>
                <w:b/>
                <w:bCs w:val="0"/>
              </w:rPr>
            </w:pPr>
            <w:r>
              <w:rPr>
                <w:rFonts w:hint="eastAsia" w:ascii="仿宋" w:hAnsi="仿宋" w:eastAsia="仿宋"/>
                <w:b/>
                <w:bCs w:val="0"/>
              </w:rPr>
              <w:t>注：</w:t>
            </w:r>
          </w:p>
          <w:p>
            <w:pPr>
              <w:rPr>
                <w:rFonts w:ascii="仿宋" w:hAnsi="仿宋" w:eastAsia="仿宋"/>
                <w:b/>
                <w:bCs w:val="0"/>
              </w:rPr>
            </w:pPr>
            <w:r>
              <w:rPr>
                <w:rFonts w:hint="eastAsia" w:ascii="仿宋" w:hAnsi="仿宋" w:eastAsia="仿宋"/>
                <w:b/>
                <w:bCs w:val="0"/>
              </w:rPr>
              <w:t>1、投标文件中的合同复印件须加盖公章；合同复印件，至少包括买卖双方名称及盖章、服务内容、服务金额；</w:t>
            </w:r>
          </w:p>
          <w:p>
            <w:pPr>
              <w:rPr>
                <w:rFonts w:ascii="仿宋" w:hAnsi="仿宋" w:eastAsia="仿宋"/>
                <w:b/>
                <w:bCs w:val="0"/>
              </w:rPr>
            </w:pPr>
            <w:r>
              <w:rPr>
                <w:rFonts w:hint="eastAsia" w:ascii="仿宋" w:hAnsi="仿宋" w:eastAsia="仿宋"/>
                <w:b/>
                <w:bCs w:val="0"/>
              </w:rPr>
              <w:t>2、服务案例合同不重复计分。</w:t>
            </w:r>
          </w:p>
        </w:tc>
        <w:tc>
          <w:tcPr>
            <w:tcW w:w="901"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245" w:type="dxa"/>
            <w:vMerge w:val="restart"/>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hint="eastAsia" w:ascii="仿宋" w:hAnsi="仿宋" w:eastAsia="仿宋"/>
                <w:b/>
                <w:bCs w:val="0"/>
              </w:rPr>
              <w:t>（投标人实力</w:t>
            </w:r>
            <w:r>
              <w:rPr>
                <w:rFonts w:ascii="仿宋" w:hAnsi="仿宋" w:eastAsia="仿宋"/>
                <w:b/>
                <w:bCs w:val="0"/>
              </w:rPr>
              <w:t>6</w:t>
            </w:r>
            <w:r>
              <w:rPr>
                <w:rFonts w:hint="eastAsia" w:ascii="仿宋" w:hAnsi="仿宋" w:eastAsia="仿宋"/>
                <w:b/>
                <w:bCs w:val="0"/>
              </w:rPr>
              <w:t>分）</w:t>
            </w:r>
          </w:p>
        </w:tc>
        <w:tc>
          <w:tcPr>
            <w:tcW w:w="744" w:type="dxa"/>
            <w:vAlign w:val="center"/>
          </w:tcPr>
          <w:p>
            <w:pPr>
              <w:rPr>
                <w:rFonts w:ascii="仿宋" w:hAnsi="仿宋" w:eastAsia="仿宋"/>
                <w:b/>
                <w:bCs w:val="0"/>
              </w:rPr>
            </w:pPr>
            <w:r>
              <w:rPr>
                <w:rFonts w:hint="eastAsia" w:ascii="仿宋" w:hAnsi="仿宋" w:eastAsia="仿宋"/>
                <w:b/>
                <w:bCs w:val="0"/>
              </w:rPr>
              <w:t>1.2.1</w:t>
            </w:r>
          </w:p>
        </w:tc>
        <w:tc>
          <w:tcPr>
            <w:tcW w:w="5629" w:type="dxa"/>
            <w:vAlign w:val="center"/>
          </w:tcPr>
          <w:p>
            <w:pPr>
              <w:rPr>
                <w:rFonts w:ascii="仿宋" w:hAnsi="仿宋" w:eastAsia="仿宋"/>
                <w:b/>
                <w:bCs w:val="0"/>
              </w:rPr>
            </w:pPr>
            <w:r>
              <w:rPr>
                <w:rFonts w:hint="eastAsia" w:ascii="仿宋" w:hAnsi="仿宋" w:eastAsia="仿宋"/>
                <w:b/>
                <w:bCs w:val="0"/>
              </w:rPr>
              <w:t>投标人提供</w:t>
            </w:r>
            <w:r>
              <w:rPr>
                <w:rFonts w:ascii="仿宋" w:hAnsi="仿宋" w:eastAsia="仿宋"/>
                <w:b/>
                <w:bCs w:val="0"/>
              </w:rPr>
              <w:t>ISO9001</w:t>
            </w:r>
            <w:r>
              <w:rPr>
                <w:rFonts w:hint="eastAsia" w:ascii="仿宋" w:hAnsi="仿宋" w:eastAsia="仿宋"/>
                <w:b/>
                <w:bCs w:val="0"/>
              </w:rPr>
              <w:t>、</w:t>
            </w:r>
            <w:r>
              <w:rPr>
                <w:rFonts w:ascii="仿宋" w:hAnsi="仿宋" w:eastAsia="仿宋"/>
                <w:b/>
                <w:bCs w:val="0"/>
              </w:rPr>
              <w:t>ISO14001</w:t>
            </w:r>
            <w:r>
              <w:rPr>
                <w:rFonts w:hint="eastAsia" w:ascii="仿宋" w:hAnsi="仿宋" w:eastAsia="仿宋"/>
                <w:b/>
                <w:bCs w:val="0"/>
              </w:rPr>
              <w:t>及</w:t>
            </w:r>
            <w:r>
              <w:rPr>
                <w:rFonts w:ascii="仿宋" w:hAnsi="仿宋" w:eastAsia="仿宋"/>
                <w:b/>
                <w:bCs w:val="0"/>
              </w:rPr>
              <w:t>OHSAS18001</w:t>
            </w:r>
            <w:r>
              <w:rPr>
                <w:rFonts w:hint="eastAsia" w:ascii="仿宋" w:hAnsi="仿宋" w:eastAsia="仿宋"/>
                <w:b/>
                <w:bCs w:val="0"/>
              </w:rPr>
              <w:t>认证的（有效期内），得</w:t>
            </w:r>
            <w:r>
              <w:rPr>
                <w:rFonts w:ascii="仿宋" w:hAnsi="仿宋" w:eastAsia="仿宋"/>
                <w:b/>
                <w:bCs w:val="0"/>
              </w:rPr>
              <w:t>3</w:t>
            </w:r>
            <w:r>
              <w:rPr>
                <w:rFonts w:hint="eastAsia" w:ascii="仿宋" w:hAnsi="仿宋" w:eastAsia="仿宋"/>
                <w:b/>
                <w:bCs w:val="0"/>
              </w:rPr>
              <w:t>分，缺一项不得分；须提供证明材料，否则不得分。</w:t>
            </w:r>
          </w:p>
        </w:tc>
        <w:tc>
          <w:tcPr>
            <w:tcW w:w="901" w:type="dxa"/>
            <w:tcBorders>
              <w:bottom w:val="single" w:color="000000" w:sz="4" w:space="0"/>
            </w:tcBorders>
            <w:vAlign w:val="center"/>
          </w:tcPr>
          <w:p>
            <w:pPr>
              <w:jc w:val="left"/>
              <w:rPr>
                <w:rFonts w:ascii="仿宋" w:hAnsi="仿宋" w:eastAsia="仿宋"/>
                <w:b/>
                <w:bCs w:val="0"/>
              </w:rPr>
            </w:pPr>
            <w:r>
              <w:rPr>
                <w:rFonts w:ascii="仿宋_GB2312" w:hAnsi="宋体" w:eastAsia="仿宋_GB2312"/>
                <w:b/>
                <w:bCs w:val="0"/>
                <w:color w:val="000000"/>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245" w:type="dxa"/>
            <w:vMerge w:val="continue"/>
            <w:vAlign w:val="center"/>
          </w:tcPr>
          <w:p>
            <w:pPr>
              <w:rPr>
                <w:rFonts w:ascii="仿宋" w:hAnsi="仿宋" w:eastAsia="仿宋"/>
                <w:b/>
                <w:bCs w:val="0"/>
              </w:rPr>
            </w:pPr>
          </w:p>
        </w:tc>
        <w:tc>
          <w:tcPr>
            <w:tcW w:w="744" w:type="dxa"/>
            <w:vAlign w:val="center"/>
          </w:tcPr>
          <w:p>
            <w:pPr>
              <w:rPr>
                <w:rFonts w:ascii="仿宋" w:hAnsi="仿宋" w:eastAsia="仿宋"/>
                <w:b/>
                <w:bCs w:val="0"/>
              </w:rPr>
            </w:pPr>
            <w:r>
              <w:rPr>
                <w:rFonts w:hint="eastAsia" w:ascii="仿宋" w:hAnsi="仿宋" w:eastAsia="仿宋"/>
                <w:b/>
                <w:bCs w:val="0"/>
              </w:rPr>
              <w:t>1.2.2</w:t>
            </w:r>
          </w:p>
        </w:tc>
        <w:tc>
          <w:tcPr>
            <w:tcW w:w="5629" w:type="dxa"/>
            <w:vAlign w:val="center"/>
          </w:tcPr>
          <w:p>
            <w:pPr>
              <w:rPr>
                <w:rFonts w:ascii="仿宋" w:hAnsi="仿宋" w:eastAsia="仿宋"/>
                <w:b/>
                <w:bCs w:val="0"/>
              </w:rPr>
            </w:pPr>
            <w:r>
              <w:rPr>
                <w:rFonts w:ascii="仿宋" w:hAnsi="仿宋" w:eastAsia="仿宋"/>
                <w:b/>
                <w:bCs w:val="0"/>
              </w:rPr>
              <w:t>投标人提供售后服</w:t>
            </w:r>
            <w:r>
              <w:rPr>
                <w:rFonts w:hint="eastAsia" w:ascii="仿宋" w:hAnsi="仿宋" w:eastAsia="仿宋"/>
                <w:b/>
                <w:bCs w:val="0"/>
              </w:rPr>
              <w:t>五星</w:t>
            </w:r>
            <w:r>
              <w:rPr>
                <w:rFonts w:ascii="仿宋" w:hAnsi="仿宋" w:eastAsia="仿宋"/>
                <w:b/>
                <w:bCs w:val="0"/>
              </w:rPr>
              <w:t>认证</w:t>
            </w:r>
            <w:r>
              <w:rPr>
                <w:rFonts w:hint="eastAsia" w:ascii="仿宋" w:hAnsi="仿宋" w:eastAsia="仿宋"/>
                <w:b/>
                <w:bCs w:val="0"/>
              </w:rPr>
              <w:t>的（有效期内），</w:t>
            </w:r>
            <w:r>
              <w:rPr>
                <w:rFonts w:ascii="仿宋" w:hAnsi="仿宋" w:eastAsia="仿宋"/>
                <w:b/>
                <w:bCs w:val="0"/>
              </w:rPr>
              <w:t>得1</w:t>
            </w:r>
            <w:r>
              <w:rPr>
                <w:rFonts w:hint="eastAsia" w:ascii="仿宋" w:hAnsi="仿宋" w:eastAsia="仿宋"/>
                <w:b/>
                <w:bCs w:val="0"/>
              </w:rPr>
              <w:t>分；须提供证明材料，否则不得分。</w:t>
            </w:r>
          </w:p>
        </w:tc>
        <w:tc>
          <w:tcPr>
            <w:tcW w:w="901" w:type="dxa"/>
            <w:tcBorders>
              <w:bottom w:val="single" w:color="000000" w:sz="4" w:space="0"/>
            </w:tcBorders>
            <w:vAlign w:val="center"/>
          </w:tcPr>
          <w:p>
            <w:pPr>
              <w:jc w:val="left"/>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245" w:type="dxa"/>
            <w:vMerge w:val="continue"/>
            <w:vAlign w:val="center"/>
          </w:tcPr>
          <w:p>
            <w:pPr>
              <w:rPr>
                <w:rFonts w:ascii="仿宋" w:hAnsi="仿宋" w:eastAsia="仿宋"/>
                <w:b/>
                <w:bCs w:val="0"/>
              </w:rPr>
            </w:pPr>
          </w:p>
        </w:tc>
        <w:tc>
          <w:tcPr>
            <w:tcW w:w="744" w:type="dxa"/>
            <w:vAlign w:val="center"/>
          </w:tcPr>
          <w:p>
            <w:pPr>
              <w:rPr>
                <w:rFonts w:ascii="仿宋" w:hAnsi="仿宋" w:eastAsia="仿宋"/>
                <w:b/>
                <w:bCs w:val="0"/>
              </w:rPr>
            </w:pPr>
            <w:r>
              <w:rPr>
                <w:rFonts w:hint="eastAsia" w:ascii="仿宋" w:hAnsi="仿宋" w:eastAsia="仿宋"/>
                <w:b/>
                <w:bCs w:val="0"/>
              </w:rPr>
              <w:t>1.2.3</w:t>
            </w:r>
          </w:p>
        </w:tc>
        <w:tc>
          <w:tcPr>
            <w:tcW w:w="5629" w:type="dxa"/>
            <w:vAlign w:val="center"/>
          </w:tcPr>
          <w:p>
            <w:pPr>
              <w:rPr>
                <w:rFonts w:ascii="仿宋" w:hAnsi="仿宋" w:eastAsia="仿宋"/>
                <w:b/>
                <w:bCs w:val="0"/>
              </w:rPr>
            </w:pPr>
            <w:r>
              <w:rPr>
                <w:rFonts w:hint="eastAsia" w:ascii="仿宋" w:hAnsi="仿宋" w:eastAsia="仿宋"/>
                <w:b/>
                <w:bCs w:val="0"/>
              </w:rPr>
              <w:t>投标人</w:t>
            </w:r>
            <w:r>
              <w:rPr>
                <w:rFonts w:ascii="仿宋" w:hAnsi="仿宋" w:eastAsia="仿宋"/>
                <w:b/>
                <w:bCs w:val="0"/>
              </w:rPr>
              <w:t>是</w:t>
            </w:r>
            <w:r>
              <w:rPr>
                <w:rFonts w:hint="eastAsia" w:ascii="仿宋" w:hAnsi="仿宋" w:eastAsia="仿宋"/>
                <w:b/>
                <w:bCs w:val="0"/>
              </w:rPr>
              <w:t>高新技术企业的（有效期内）</w:t>
            </w:r>
            <w:r>
              <w:rPr>
                <w:rFonts w:ascii="仿宋" w:hAnsi="仿宋" w:eastAsia="仿宋"/>
                <w:b/>
                <w:bCs w:val="0"/>
              </w:rPr>
              <w:t>，</w:t>
            </w:r>
            <w:r>
              <w:rPr>
                <w:rFonts w:hint="eastAsia" w:ascii="仿宋" w:hAnsi="仿宋" w:eastAsia="仿宋"/>
                <w:b/>
                <w:bCs w:val="0"/>
              </w:rPr>
              <w:t>得2分；须提供证明材料，否则不得分。</w:t>
            </w:r>
          </w:p>
        </w:tc>
        <w:tc>
          <w:tcPr>
            <w:tcW w:w="901" w:type="dxa"/>
            <w:tcBorders>
              <w:bottom w:val="single" w:color="000000" w:sz="4" w:space="0"/>
            </w:tcBorders>
            <w:vAlign w:val="center"/>
          </w:tcPr>
          <w:p>
            <w:pPr>
              <w:jc w:val="left"/>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1245"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资信(项目</w:t>
            </w:r>
            <w:r>
              <w:rPr>
                <w:rFonts w:ascii="仿宋" w:hAnsi="仿宋" w:eastAsia="仿宋"/>
                <w:b/>
                <w:bCs w:val="0"/>
              </w:rPr>
              <w:t>团队5</w:t>
            </w:r>
            <w:r>
              <w:rPr>
                <w:rFonts w:hint="eastAsia" w:ascii="仿宋" w:hAnsi="仿宋" w:eastAsia="仿宋"/>
                <w:b/>
                <w:bCs w:val="0"/>
              </w:rPr>
              <w:t>分）</w:t>
            </w:r>
          </w:p>
        </w:tc>
        <w:tc>
          <w:tcPr>
            <w:tcW w:w="744" w:type="dxa"/>
            <w:vAlign w:val="center"/>
          </w:tcPr>
          <w:p>
            <w:pPr>
              <w:rPr>
                <w:rFonts w:ascii="仿宋" w:hAnsi="仿宋" w:eastAsia="仿宋"/>
                <w:b/>
                <w:bCs w:val="0"/>
              </w:rPr>
            </w:pPr>
            <w:r>
              <w:rPr>
                <w:rFonts w:hint="eastAsia" w:ascii="仿宋" w:hAnsi="仿宋" w:eastAsia="仿宋"/>
                <w:b/>
                <w:bCs w:val="0"/>
              </w:rPr>
              <w:t>1.3</w:t>
            </w:r>
          </w:p>
        </w:tc>
        <w:tc>
          <w:tcPr>
            <w:tcW w:w="5629" w:type="dxa"/>
            <w:vAlign w:val="center"/>
          </w:tcPr>
          <w:p>
            <w:pPr>
              <w:rPr>
                <w:rFonts w:ascii="仿宋" w:hAnsi="仿宋" w:eastAsia="仿宋"/>
                <w:b/>
                <w:bCs w:val="0"/>
              </w:rPr>
            </w:pPr>
            <w:r>
              <w:rPr>
                <w:rFonts w:hint="eastAsia" w:ascii="仿宋" w:hAnsi="仿宋" w:eastAsia="仿宋"/>
                <w:b/>
                <w:bCs w:val="0"/>
              </w:rPr>
              <w:t>根据项目团队中成员是否有综合体育赛事服务经验情况评分。团队中每提供一名具有综合体育赛事服务经验的人员，得0.1分。本项满分5分，团队成员为10人以下（含10人）不得分。</w:t>
            </w:r>
          </w:p>
          <w:p>
            <w:pPr>
              <w:rPr>
                <w:rFonts w:ascii="仿宋" w:hAnsi="仿宋" w:eastAsia="仿宋"/>
                <w:b/>
                <w:bCs w:val="0"/>
              </w:rPr>
            </w:pPr>
            <w:r>
              <w:rPr>
                <w:rFonts w:hint="eastAsia" w:ascii="仿宋" w:hAnsi="仿宋" w:eastAsia="仿宋"/>
                <w:b/>
                <w:bCs w:val="0"/>
              </w:rPr>
              <w:t>注：需提供团队人员参与综合体育赛事服务证明或荣誉证书或工作证，以及该人员在投标人企业近六个月内任意一个月社保证明的复印件并加盖公章，否则不得分。</w:t>
            </w:r>
          </w:p>
        </w:tc>
        <w:tc>
          <w:tcPr>
            <w:tcW w:w="901" w:type="dxa"/>
            <w:tcBorders>
              <w:bottom w:val="single" w:color="000000" w:sz="4" w:space="0"/>
            </w:tcBorders>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trPr>
        <w:tc>
          <w:tcPr>
            <w:tcW w:w="1245" w:type="dxa"/>
            <w:vAlign w:val="center"/>
          </w:tcPr>
          <w:p>
            <w:pPr>
              <w:rPr>
                <w:rFonts w:ascii="仿宋" w:hAnsi="仿宋" w:eastAsia="仿宋"/>
                <w:b/>
                <w:bCs w:val="0"/>
              </w:rPr>
            </w:pPr>
            <w:r>
              <w:rPr>
                <w:rFonts w:ascii="仿宋" w:hAnsi="仿宋" w:eastAsia="仿宋"/>
                <w:b/>
                <w:bCs w:val="0"/>
              </w:rPr>
              <w:t>技术（</w:t>
            </w:r>
            <w:r>
              <w:rPr>
                <w:rFonts w:hint="eastAsia" w:ascii="仿宋" w:hAnsi="仿宋" w:eastAsia="仿宋"/>
                <w:b/>
                <w:bCs w:val="0"/>
              </w:rPr>
              <w:t>需求分析</w:t>
            </w:r>
            <w:r>
              <w:rPr>
                <w:rFonts w:ascii="仿宋" w:hAnsi="仿宋" w:eastAsia="仿宋"/>
                <w:b/>
                <w:bCs w:val="0"/>
              </w:rPr>
              <w:t>15</w:t>
            </w:r>
            <w:r>
              <w:rPr>
                <w:rFonts w:hint="eastAsia" w:ascii="仿宋" w:hAnsi="仿宋" w:eastAsia="仿宋"/>
                <w:b/>
                <w:bCs w:val="0"/>
              </w:rPr>
              <w:t>分）</w:t>
            </w:r>
          </w:p>
        </w:tc>
        <w:tc>
          <w:tcPr>
            <w:tcW w:w="744" w:type="dxa"/>
            <w:vAlign w:val="center"/>
          </w:tcPr>
          <w:p>
            <w:pPr>
              <w:rPr>
                <w:rFonts w:ascii="仿宋" w:hAnsi="仿宋" w:eastAsia="仿宋"/>
                <w:b/>
                <w:bCs w:val="0"/>
              </w:rPr>
            </w:pPr>
            <w:r>
              <w:rPr>
                <w:rFonts w:hint="eastAsia" w:ascii="仿宋" w:hAnsi="仿宋" w:eastAsia="仿宋"/>
                <w:b/>
                <w:bCs w:val="0"/>
              </w:rPr>
              <w:t>2.1</w:t>
            </w:r>
          </w:p>
        </w:tc>
        <w:tc>
          <w:tcPr>
            <w:tcW w:w="5629" w:type="dxa"/>
            <w:vAlign w:val="center"/>
          </w:tcPr>
          <w:p>
            <w:pPr>
              <w:widowControl/>
              <w:contextualSpacing w:val="0"/>
              <w:rPr>
                <w:rFonts w:ascii="仿宋" w:hAnsi="仿宋" w:eastAsia="仿宋"/>
                <w:b/>
                <w:bCs w:val="0"/>
              </w:rPr>
            </w:pPr>
            <w:r>
              <w:rPr>
                <w:rFonts w:ascii="仿宋" w:hAnsi="仿宋" w:eastAsia="仿宋"/>
                <w:b/>
                <w:bCs w:val="0"/>
              </w:rPr>
              <w:t>根据投标人对</w:t>
            </w:r>
            <w:r>
              <w:rPr>
                <w:rFonts w:hint="eastAsia" w:ascii="仿宋" w:hAnsi="仿宋" w:eastAsia="仿宋"/>
                <w:b/>
                <w:bCs w:val="0"/>
              </w:rPr>
              <w:t>大运会计时记分系统</w:t>
            </w:r>
            <w:r>
              <w:rPr>
                <w:rFonts w:ascii="仿宋" w:hAnsi="仿宋" w:eastAsia="仿宋"/>
                <w:b/>
                <w:bCs w:val="0"/>
              </w:rPr>
              <w:t>服务需求</w:t>
            </w:r>
            <w:r>
              <w:rPr>
                <w:rFonts w:hint="eastAsia" w:ascii="仿宋" w:hAnsi="仿宋" w:eastAsia="仿宋"/>
                <w:b/>
                <w:bCs w:val="0"/>
              </w:rPr>
              <w:t>分析</w:t>
            </w:r>
            <w:r>
              <w:rPr>
                <w:rFonts w:ascii="仿宋" w:hAnsi="仿宋" w:eastAsia="仿宋"/>
                <w:b/>
                <w:bCs w:val="0"/>
              </w:rPr>
              <w:t>的理解程度进行综合评分，</w:t>
            </w:r>
            <w:r>
              <w:rPr>
                <w:rFonts w:hint="eastAsia" w:ascii="仿宋" w:hAnsi="仿宋" w:eastAsia="仿宋"/>
                <w:b/>
                <w:bCs w:val="0"/>
              </w:rPr>
              <w:t>本项满分</w:t>
            </w:r>
            <w:r>
              <w:rPr>
                <w:rFonts w:ascii="仿宋" w:hAnsi="仿宋" w:eastAsia="仿宋"/>
                <w:b/>
                <w:bCs w:val="0"/>
              </w:rPr>
              <w:t>15分。</w:t>
            </w:r>
          </w:p>
          <w:p>
            <w:pPr>
              <w:widowControl/>
              <w:contextualSpacing/>
              <w:rPr>
                <w:rFonts w:ascii="仿宋" w:hAnsi="仿宋" w:eastAsia="仿宋"/>
                <w:b/>
                <w:bCs w:val="0"/>
              </w:rPr>
            </w:pPr>
            <w:r>
              <w:rPr>
                <w:rFonts w:hint="eastAsia" w:ascii="仿宋" w:hAnsi="仿宋" w:eastAsia="仿宋"/>
                <w:b/>
                <w:bCs w:val="0"/>
              </w:rPr>
              <w:t>1）提交的需求分析符合计时记分系统业务要求，能够很好的满足采购人的业务需求，得</w:t>
            </w:r>
            <w:r>
              <w:rPr>
                <w:rFonts w:ascii="仿宋" w:hAnsi="仿宋" w:eastAsia="仿宋"/>
                <w:b/>
                <w:bCs w:val="0"/>
              </w:rPr>
              <w:t>15</w:t>
            </w:r>
            <w:r>
              <w:rPr>
                <w:rFonts w:hint="eastAsia"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2）提交的需求分析未涵盖全部计时记分系统业务要求，有部分漏项；或者提交的需求分析不够完整，需要进行稍微调整才能满足采购人使用需求，得</w:t>
            </w:r>
            <w:r>
              <w:rPr>
                <w:rFonts w:ascii="仿宋" w:hAnsi="仿宋" w:eastAsia="仿宋"/>
                <w:b/>
                <w:bCs w:val="0"/>
              </w:rPr>
              <w:t>10</w:t>
            </w:r>
            <w:r>
              <w:rPr>
                <w:rFonts w:hint="eastAsia"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3）提交的需求分析涵盖内容缺陷较多，需求分析不完整，需要进行一定调整才能满足采购人业务需求，得</w:t>
            </w:r>
            <w:r>
              <w:rPr>
                <w:rFonts w:ascii="仿宋" w:hAnsi="仿宋" w:eastAsia="仿宋"/>
                <w:b/>
                <w:bCs w:val="0"/>
              </w:rPr>
              <w:t>5</w:t>
            </w:r>
            <w:r>
              <w:rPr>
                <w:rFonts w:hint="eastAsia" w:ascii="仿宋" w:hAnsi="仿宋" w:eastAsia="仿宋"/>
                <w:b/>
                <w:bCs w:val="0"/>
              </w:rPr>
              <w:t>分；</w:t>
            </w:r>
          </w:p>
          <w:p>
            <w:pPr>
              <w:rPr>
                <w:rFonts w:hint="eastAsia" w:ascii="仿宋" w:hAnsi="仿宋" w:eastAsia="仿宋"/>
                <w:b/>
                <w:bCs w:val="0"/>
              </w:rPr>
            </w:pPr>
            <w:r>
              <w:rPr>
                <w:rFonts w:hint="eastAsia" w:ascii="仿宋" w:hAnsi="仿宋" w:eastAsia="仿宋"/>
                <w:b/>
                <w:bCs w:val="0"/>
              </w:rPr>
              <w:t>4）未提交服务方案或提交的方案完全不能满足采购人使用需求，存在有较大偏差，得0分。</w:t>
            </w:r>
          </w:p>
        </w:tc>
        <w:tc>
          <w:tcPr>
            <w:tcW w:w="901"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w:t>
            </w:r>
            <w:r>
              <w:rPr>
                <w:rFonts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rPr>
                <w:rFonts w:ascii="仿宋" w:hAnsi="仿宋" w:eastAsia="仿宋"/>
                <w:b/>
                <w:bCs w:val="0"/>
              </w:rPr>
            </w:pPr>
            <w:r>
              <w:rPr>
                <w:rFonts w:hint="eastAsia" w:ascii="仿宋" w:hAnsi="仿宋" w:eastAsia="仿宋"/>
                <w:b/>
                <w:bCs w:val="0"/>
              </w:rPr>
              <w:t>技术（计时记分系统</w:t>
            </w:r>
            <w:r>
              <w:rPr>
                <w:rFonts w:ascii="仿宋" w:hAnsi="仿宋" w:eastAsia="仿宋"/>
                <w:b/>
                <w:bCs w:val="0"/>
              </w:rPr>
              <w:t>34</w:t>
            </w:r>
            <w:r>
              <w:rPr>
                <w:rFonts w:hint="eastAsia" w:ascii="仿宋" w:hAnsi="仿宋" w:eastAsia="仿宋"/>
                <w:b/>
                <w:bCs w:val="0"/>
              </w:rPr>
              <w:t>分）</w:t>
            </w:r>
          </w:p>
          <w:p>
            <w:pPr>
              <w:rPr>
                <w:rFonts w:ascii="仿宋" w:hAnsi="仿宋" w:eastAsia="仿宋"/>
                <w:b/>
                <w:bCs w:val="0"/>
              </w:rPr>
            </w:pPr>
          </w:p>
        </w:tc>
        <w:tc>
          <w:tcPr>
            <w:tcW w:w="744" w:type="dxa"/>
            <w:vAlign w:val="center"/>
          </w:tcPr>
          <w:p>
            <w:pPr>
              <w:rPr>
                <w:rFonts w:ascii="仿宋" w:hAnsi="仿宋" w:eastAsia="仿宋"/>
                <w:b/>
                <w:bCs w:val="0"/>
              </w:rPr>
            </w:pPr>
            <w:r>
              <w:rPr>
                <w:rFonts w:hint="eastAsia" w:ascii="仿宋" w:hAnsi="仿宋" w:eastAsia="仿宋"/>
                <w:b/>
                <w:bCs w:val="0"/>
              </w:rPr>
              <w:t>2.2</w:t>
            </w:r>
          </w:p>
        </w:tc>
        <w:tc>
          <w:tcPr>
            <w:tcW w:w="5629" w:type="dxa"/>
            <w:vAlign w:val="center"/>
          </w:tcPr>
          <w:p>
            <w:pPr>
              <w:widowControl/>
              <w:contextualSpacing/>
              <w:rPr>
                <w:rFonts w:ascii="仿宋" w:hAnsi="仿宋" w:eastAsia="仿宋"/>
                <w:b/>
                <w:bCs w:val="0"/>
              </w:rPr>
            </w:pPr>
            <w:r>
              <w:rPr>
                <w:rFonts w:ascii="仿宋" w:hAnsi="仿宋" w:eastAsia="仿宋"/>
                <w:b/>
                <w:bCs w:val="0"/>
              </w:rPr>
              <w:t>根据投标人对</w:t>
            </w:r>
            <w:r>
              <w:rPr>
                <w:rFonts w:hint="eastAsia" w:ascii="仿宋" w:hAnsi="仿宋" w:eastAsia="仿宋"/>
                <w:b/>
                <w:bCs w:val="0"/>
              </w:rPr>
              <w:t>大运会计时记分系统</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lang w:eastAsia="zh-CN"/>
              </w:rPr>
              <w:t>。</w:t>
            </w:r>
            <w:r>
              <w:rPr>
                <w:rFonts w:hint="eastAsia" w:ascii="仿宋" w:hAnsi="仿宋" w:eastAsia="仿宋"/>
                <w:b/>
                <w:bCs w:val="0"/>
              </w:rPr>
              <w:t>本项共体操、游泳、羽毛球、田径、击剑、乒乓球、篮球、排球、柔道、射箭、水球、跆拳道、跳水、网球、艺术体操、武术、赛艇17个单项，每个单项的计时记分系统方案满分2分，共</w:t>
            </w:r>
            <w:r>
              <w:rPr>
                <w:rFonts w:ascii="仿宋" w:hAnsi="仿宋" w:eastAsia="仿宋"/>
                <w:b/>
                <w:bCs w:val="0"/>
              </w:rPr>
              <w:t>34分。</w:t>
            </w:r>
            <w:r>
              <w:rPr>
                <w:rFonts w:hint="eastAsia" w:ascii="仿宋" w:hAnsi="仿宋" w:eastAsia="仿宋"/>
                <w:b/>
                <w:bCs w:val="0"/>
              </w:rPr>
              <w:t>每个单项的计时记分系统方案评分如下：</w:t>
            </w:r>
          </w:p>
          <w:p>
            <w:pPr>
              <w:widowControl/>
              <w:contextualSpacing/>
              <w:rPr>
                <w:rFonts w:ascii="仿宋" w:hAnsi="仿宋" w:eastAsia="仿宋"/>
                <w:b/>
                <w:bCs w:val="0"/>
              </w:rPr>
            </w:pPr>
            <w:r>
              <w:rPr>
                <w:rFonts w:hint="eastAsia" w:ascii="仿宋" w:hAnsi="仿宋" w:eastAsia="仿宋"/>
                <w:b/>
                <w:bCs w:val="0"/>
              </w:rPr>
              <w:t>1）提交的服务方案结构完整、功能完善，符合技术要求，能够很好的满足采购人使用需求，得</w:t>
            </w:r>
            <w:r>
              <w:rPr>
                <w:rFonts w:ascii="仿宋" w:hAnsi="仿宋" w:eastAsia="仿宋"/>
                <w:b/>
                <w:bCs w:val="0"/>
              </w:rPr>
              <w:t>2</w:t>
            </w:r>
            <w:r>
              <w:rPr>
                <w:rFonts w:hint="eastAsia"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2）提交的服务方案未涵盖全部内容和功能，有部分漏项；或者提交的方案结构不够完整，功能欠完善，需要进行稍微调整才能满足采购人使用需求，得</w:t>
            </w:r>
            <w:r>
              <w:rPr>
                <w:rFonts w:ascii="仿宋" w:hAnsi="仿宋" w:eastAsia="仿宋"/>
                <w:b/>
                <w:bCs w:val="0"/>
              </w:rPr>
              <w:t>1</w:t>
            </w:r>
            <w:r>
              <w:rPr>
                <w:rFonts w:hint="eastAsia"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3）提交的服务方案涵盖内容缺陷较多，方案不完整，需要进行较大调整才能满足采购人使用需求，得</w:t>
            </w:r>
            <w:r>
              <w:rPr>
                <w:rFonts w:ascii="仿宋" w:hAnsi="仿宋" w:eastAsia="仿宋"/>
                <w:b/>
                <w:bCs w:val="0"/>
              </w:rPr>
              <w:t>0.5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4）未提交服务方案或提交的方案完全不能满足采购人使用需求，存在有较大偏差，得0分。</w:t>
            </w:r>
          </w:p>
        </w:tc>
        <w:tc>
          <w:tcPr>
            <w:tcW w:w="901" w:type="dxa"/>
            <w:tcBorders>
              <w:top w:val="nil"/>
            </w:tcBorders>
          </w:tcPr>
          <w:p>
            <w:pPr>
              <w:rPr>
                <w:rFonts w:ascii="仿宋" w:hAnsi="仿宋" w:eastAsia="仿宋"/>
                <w:b/>
                <w:bCs w:val="0"/>
              </w:rPr>
            </w:pPr>
            <w:r>
              <w:rPr>
                <w:rFonts w:ascii="仿宋_GB2312" w:hAnsi="宋体" w:eastAsia="仿宋_GB2312"/>
                <w:b/>
                <w:bCs w:val="0"/>
                <w:color w:val="000000"/>
                <w:szCs w:val="21"/>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rPr>
                <w:rFonts w:ascii="仿宋" w:hAnsi="仿宋" w:eastAsia="仿宋"/>
                <w:b/>
                <w:bCs w:val="0"/>
              </w:rPr>
            </w:pPr>
            <w:r>
              <w:rPr>
                <w:rFonts w:hint="eastAsia" w:ascii="仿宋" w:hAnsi="仿宋" w:eastAsia="仿宋"/>
                <w:b/>
                <w:bCs w:val="0"/>
              </w:rPr>
              <w:t>技术（</w:t>
            </w:r>
            <w:r>
              <w:rPr>
                <w:rFonts w:ascii="仿宋" w:hAnsi="仿宋" w:eastAsia="仿宋"/>
                <w:b/>
                <w:bCs w:val="0"/>
              </w:rPr>
              <w:t>应急预案5</w:t>
            </w:r>
            <w:r>
              <w:rPr>
                <w:rFonts w:hint="eastAsia" w:ascii="仿宋" w:hAnsi="仿宋" w:eastAsia="仿宋"/>
                <w:b/>
                <w:bCs w:val="0"/>
              </w:rPr>
              <w:t>分）</w:t>
            </w:r>
          </w:p>
          <w:p>
            <w:pPr>
              <w:rPr>
                <w:rFonts w:ascii="仿宋" w:hAnsi="仿宋" w:eastAsia="仿宋"/>
                <w:b/>
                <w:bCs w:val="0"/>
              </w:rPr>
            </w:pPr>
          </w:p>
        </w:tc>
        <w:tc>
          <w:tcPr>
            <w:tcW w:w="744" w:type="dxa"/>
            <w:vAlign w:val="center"/>
          </w:tcPr>
          <w:p>
            <w:pPr>
              <w:rPr>
                <w:rFonts w:ascii="仿宋" w:hAnsi="仿宋" w:eastAsia="仿宋"/>
                <w:b/>
                <w:bCs w:val="0"/>
              </w:rPr>
            </w:pPr>
            <w:r>
              <w:rPr>
                <w:rFonts w:hint="eastAsia" w:ascii="仿宋" w:hAnsi="仿宋" w:eastAsia="仿宋"/>
                <w:b/>
                <w:bCs w:val="0"/>
              </w:rPr>
              <w:t>2.3</w:t>
            </w:r>
          </w:p>
        </w:tc>
        <w:tc>
          <w:tcPr>
            <w:tcW w:w="5629" w:type="dxa"/>
            <w:vAlign w:val="center"/>
          </w:tcPr>
          <w:p>
            <w:pPr>
              <w:rPr>
                <w:rFonts w:ascii="仿宋" w:hAnsi="仿宋" w:eastAsia="仿宋"/>
                <w:b/>
                <w:bCs w:val="0"/>
              </w:rPr>
            </w:pPr>
            <w:r>
              <w:rPr>
                <w:rFonts w:ascii="仿宋" w:hAnsi="仿宋" w:eastAsia="仿宋"/>
                <w:b/>
                <w:bCs w:val="0"/>
              </w:rPr>
              <w:t>根据投标人所提供的应急预案完整性、合理性、可行性等方面，进行综合评分，本</w:t>
            </w:r>
            <w:r>
              <w:rPr>
                <w:rFonts w:hint="eastAsia" w:ascii="仿宋" w:hAnsi="仿宋" w:eastAsia="仿宋"/>
                <w:b/>
                <w:bCs w:val="0"/>
              </w:rPr>
              <w:t>项满分5分。</w:t>
            </w:r>
          </w:p>
          <w:p>
            <w:pPr>
              <w:rPr>
                <w:rFonts w:ascii="仿宋" w:hAnsi="仿宋" w:eastAsia="仿宋"/>
                <w:b/>
                <w:bCs w:val="0"/>
              </w:rPr>
            </w:pPr>
            <w:r>
              <w:rPr>
                <w:rFonts w:hint="eastAsia" w:ascii="仿宋" w:hAnsi="仿宋" w:eastAsia="仿宋"/>
                <w:b/>
                <w:bCs w:val="0"/>
              </w:rPr>
              <w:t>1）提交的应急预案内容完整、合理、可行，得5分；</w:t>
            </w:r>
          </w:p>
          <w:p>
            <w:pPr>
              <w:rPr>
                <w:rFonts w:ascii="仿宋" w:hAnsi="仿宋" w:eastAsia="仿宋"/>
                <w:b/>
                <w:bCs w:val="0"/>
              </w:rPr>
            </w:pPr>
            <w:r>
              <w:rPr>
                <w:rFonts w:hint="eastAsia" w:ascii="仿宋" w:hAnsi="仿宋" w:eastAsia="仿宋"/>
                <w:b/>
                <w:bCs w:val="0"/>
              </w:rPr>
              <w:t>2）提交的应急预案内容较完整、较合理、较为可行，得3分；</w:t>
            </w:r>
          </w:p>
          <w:p>
            <w:pPr>
              <w:rPr>
                <w:rFonts w:ascii="仿宋" w:hAnsi="仿宋" w:eastAsia="仿宋"/>
                <w:b/>
                <w:bCs w:val="0"/>
              </w:rPr>
            </w:pPr>
            <w:r>
              <w:rPr>
                <w:rFonts w:hint="eastAsia" w:ascii="仿宋" w:hAnsi="仿宋" w:eastAsia="仿宋"/>
                <w:b/>
                <w:bCs w:val="0"/>
              </w:rPr>
              <w:t>3）提交的应急预案内容不够完整，功能欠完善，需要进行调整才能满足采购人使用需求，得1分；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4）未提交预案或提交的应急预案内容不完整、不合理、可行性差，得0分。</w:t>
            </w:r>
          </w:p>
        </w:tc>
        <w:tc>
          <w:tcPr>
            <w:tcW w:w="901"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rPr>
                <w:rFonts w:ascii="仿宋" w:hAnsi="仿宋" w:eastAsia="仿宋"/>
                <w:b/>
                <w:bCs w:val="0"/>
              </w:rPr>
            </w:pPr>
            <w:r>
              <w:rPr>
                <w:rFonts w:hint="eastAsia" w:ascii="仿宋" w:hAnsi="仿宋" w:eastAsia="仿宋"/>
                <w:b/>
                <w:bCs w:val="0"/>
              </w:rPr>
              <w:t>技术（设备管理计划</w:t>
            </w:r>
          </w:p>
          <w:p>
            <w:pPr>
              <w:rPr>
                <w:rFonts w:ascii="仿宋" w:hAnsi="仿宋" w:eastAsia="仿宋"/>
                <w:b/>
                <w:bCs w:val="0"/>
              </w:rPr>
            </w:pP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p>
        </w:tc>
        <w:tc>
          <w:tcPr>
            <w:tcW w:w="744" w:type="dxa"/>
            <w:vAlign w:val="center"/>
          </w:tcPr>
          <w:p>
            <w:pPr>
              <w:rPr>
                <w:rFonts w:ascii="仿宋" w:hAnsi="仿宋" w:eastAsia="仿宋"/>
                <w:b/>
                <w:bCs w:val="0"/>
              </w:rPr>
            </w:pPr>
            <w:r>
              <w:rPr>
                <w:rFonts w:hint="eastAsia" w:ascii="仿宋" w:hAnsi="仿宋" w:eastAsia="仿宋"/>
                <w:b/>
                <w:bCs w:val="0"/>
              </w:rPr>
              <w:t>2.4</w:t>
            </w:r>
          </w:p>
        </w:tc>
        <w:tc>
          <w:tcPr>
            <w:tcW w:w="5629" w:type="dxa"/>
            <w:vAlign w:val="center"/>
          </w:tcPr>
          <w:p>
            <w:pPr>
              <w:widowControl/>
              <w:contextualSpacing/>
              <w:rPr>
                <w:rFonts w:ascii="仿宋" w:hAnsi="仿宋" w:eastAsia="仿宋"/>
                <w:b/>
                <w:bCs w:val="0"/>
              </w:rPr>
            </w:pPr>
            <w:r>
              <w:rPr>
                <w:rFonts w:hint="eastAsia" w:ascii="仿宋" w:hAnsi="仿宋" w:eastAsia="仿宋"/>
                <w:b/>
                <w:bCs w:val="0"/>
              </w:rPr>
              <w:t>根据投标人提供的设备管理计划，对于设备清单、设备进场时间、设备部署等计划进行综合评分，共</w:t>
            </w:r>
            <w:r>
              <w:rPr>
                <w:rFonts w:ascii="仿宋" w:hAnsi="仿宋" w:eastAsia="仿宋"/>
                <w:b/>
                <w:bCs w:val="0"/>
              </w:rPr>
              <w:t>10分</w:t>
            </w:r>
            <w:r>
              <w:rPr>
                <w:rFonts w:hint="eastAsia" w:ascii="仿宋" w:hAnsi="仿宋" w:eastAsia="仿宋"/>
                <w:b/>
                <w:bCs w:val="0"/>
              </w:rPr>
              <w:t>。</w:t>
            </w:r>
          </w:p>
          <w:p>
            <w:pPr>
              <w:widowControl/>
              <w:numPr>
                <w:ilvl w:val="0"/>
                <w:numId w:val="32"/>
              </w:numPr>
              <w:contextualSpacing/>
              <w:rPr>
                <w:rFonts w:ascii="仿宋" w:hAnsi="仿宋" w:eastAsia="仿宋"/>
                <w:b/>
                <w:bCs w:val="0"/>
              </w:rPr>
            </w:pPr>
            <w:r>
              <w:rPr>
                <w:rFonts w:hint="eastAsia" w:ascii="仿宋" w:hAnsi="仿宋" w:eastAsia="仿宋"/>
                <w:b/>
                <w:bCs w:val="0"/>
              </w:rPr>
              <w:t>对于设备清单、设备进场时间、设备部署计划</w:t>
            </w:r>
            <w:r>
              <w:rPr>
                <w:rFonts w:ascii="仿宋" w:hAnsi="仿宋" w:eastAsia="仿宋"/>
                <w:b/>
                <w:bCs w:val="0"/>
              </w:rPr>
              <w:t>明确、数量合理，能够很好的满足采购人使用需要，得10分；</w:t>
            </w:r>
          </w:p>
          <w:p>
            <w:pPr>
              <w:widowControl/>
              <w:contextualSpacing/>
              <w:rPr>
                <w:rFonts w:ascii="仿宋" w:hAnsi="仿宋" w:eastAsia="仿宋"/>
                <w:b/>
                <w:bCs w:val="0"/>
              </w:rPr>
            </w:pPr>
            <w:r>
              <w:rPr>
                <w:rFonts w:ascii="仿宋" w:hAnsi="仿宋" w:eastAsia="仿宋"/>
                <w:b/>
                <w:bCs w:val="0"/>
              </w:rPr>
              <w:t>2）提供了</w:t>
            </w:r>
            <w:r>
              <w:rPr>
                <w:rFonts w:hint="eastAsia" w:ascii="仿宋" w:hAnsi="仿宋" w:eastAsia="仿宋"/>
                <w:b/>
                <w:bCs w:val="0"/>
              </w:rPr>
              <w:t>设备管理计划</w:t>
            </w:r>
            <w:r>
              <w:rPr>
                <w:rFonts w:ascii="仿宋" w:hAnsi="仿宋" w:eastAsia="仿宋"/>
                <w:b/>
                <w:bCs w:val="0"/>
              </w:rPr>
              <w:t>，但所提供设置</w:t>
            </w:r>
            <w:r>
              <w:rPr>
                <w:rFonts w:hint="eastAsia" w:ascii="仿宋" w:hAnsi="仿宋" w:eastAsia="仿宋"/>
                <w:b/>
                <w:bCs w:val="0"/>
              </w:rPr>
              <w:t>稍</w:t>
            </w:r>
            <w:r>
              <w:rPr>
                <w:rFonts w:ascii="仿宋" w:hAnsi="仿宋" w:eastAsia="仿宋"/>
                <w:b/>
                <w:bCs w:val="0"/>
              </w:rPr>
              <w:t>欠合理或和数量</w:t>
            </w:r>
            <w:r>
              <w:rPr>
                <w:rFonts w:hint="eastAsia" w:ascii="仿宋" w:hAnsi="仿宋" w:eastAsia="仿宋"/>
                <w:b/>
                <w:bCs w:val="0"/>
              </w:rPr>
              <w:t>略微</w:t>
            </w:r>
            <w:r>
              <w:rPr>
                <w:rFonts w:ascii="仿宋" w:hAnsi="仿宋" w:eastAsia="仿宋"/>
                <w:b/>
                <w:bCs w:val="0"/>
              </w:rPr>
              <w:t>不足，与采购人使用需要存在</w:t>
            </w:r>
            <w:r>
              <w:rPr>
                <w:rFonts w:hint="eastAsia" w:ascii="仿宋" w:hAnsi="仿宋" w:eastAsia="仿宋"/>
                <w:b/>
                <w:bCs w:val="0"/>
              </w:rPr>
              <w:t>少量</w:t>
            </w:r>
            <w:r>
              <w:rPr>
                <w:rFonts w:ascii="仿宋" w:hAnsi="仿宋" w:eastAsia="仿宋"/>
                <w:b/>
                <w:bCs w:val="0"/>
              </w:rPr>
              <w:t>偏差，得</w:t>
            </w:r>
            <w:r>
              <w:rPr>
                <w:rFonts w:hint="eastAsia" w:ascii="仿宋" w:hAnsi="仿宋" w:eastAsia="仿宋"/>
                <w:b/>
                <w:bCs w:val="0"/>
              </w:rPr>
              <w:t>6</w:t>
            </w:r>
            <w:r>
              <w:rPr>
                <w:rFonts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3</w:t>
            </w:r>
            <w:r>
              <w:rPr>
                <w:rFonts w:ascii="仿宋" w:hAnsi="仿宋" w:eastAsia="仿宋"/>
                <w:b/>
                <w:bCs w:val="0"/>
              </w:rPr>
              <w:t>）提供了</w:t>
            </w:r>
            <w:r>
              <w:rPr>
                <w:rFonts w:hint="eastAsia" w:ascii="仿宋" w:hAnsi="仿宋" w:eastAsia="仿宋"/>
                <w:b/>
                <w:bCs w:val="0"/>
              </w:rPr>
              <w:t>设备管理计划</w:t>
            </w:r>
            <w:r>
              <w:rPr>
                <w:rFonts w:ascii="仿宋" w:hAnsi="仿宋" w:eastAsia="仿宋"/>
                <w:b/>
                <w:bCs w:val="0"/>
              </w:rPr>
              <w:t>，但所提供设置欠合理或和数量不足，与采购人使用需要存在一定偏差，得</w:t>
            </w:r>
            <w:r>
              <w:rPr>
                <w:rFonts w:hint="eastAsia" w:ascii="仿宋" w:hAnsi="仿宋" w:eastAsia="仿宋"/>
                <w:b/>
                <w:bCs w:val="0"/>
              </w:rPr>
              <w:t>3</w:t>
            </w:r>
            <w:r>
              <w:rPr>
                <w:rFonts w:ascii="仿宋" w:hAnsi="仿宋" w:eastAsia="仿宋"/>
                <w:b/>
                <w:bCs w:val="0"/>
              </w:rPr>
              <w:t>分；</w:t>
            </w:r>
          </w:p>
          <w:p>
            <w:pPr>
              <w:widowControl/>
              <w:contextualSpacing/>
              <w:rPr>
                <w:rFonts w:ascii="仿宋" w:hAnsi="仿宋" w:eastAsia="仿宋"/>
                <w:b/>
                <w:bCs w:val="0"/>
              </w:rPr>
            </w:pPr>
            <w:r>
              <w:rPr>
                <w:rFonts w:hint="eastAsia" w:ascii="仿宋" w:hAnsi="仿宋" w:eastAsia="仿宋"/>
                <w:b/>
                <w:bCs w:val="0"/>
              </w:rPr>
              <w:t>4</w:t>
            </w:r>
            <w:r>
              <w:rPr>
                <w:rFonts w:ascii="仿宋" w:hAnsi="仿宋" w:eastAsia="仿宋"/>
                <w:b/>
                <w:bCs w:val="0"/>
              </w:rPr>
              <w:t>）未提交</w:t>
            </w:r>
            <w:r>
              <w:rPr>
                <w:rFonts w:hint="eastAsia" w:ascii="仿宋" w:hAnsi="仿宋" w:eastAsia="仿宋"/>
                <w:b/>
                <w:bCs w:val="0"/>
              </w:rPr>
              <w:t>设备管理计划</w:t>
            </w:r>
            <w:r>
              <w:rPr>
                <w:rFonts w:ascii="仿宋" w:hAnsi="仿宋" w:eastAsia="仿宋"/>
                <w:b/>
                <w:bCs w:val="0"/>
              </w:rPr>
              <w:t>计划或提交的计划与采购人使用需要有较大偏差的，得0分。</w:t>
            </w:r>
          </w:p>
        </w:tc>
        <w:tc>
          <w:tcPr>
            <w:tcW w:w="901" w:type="dxa"/>
          </w:tcPr>
          <w:p>
            <w:pPr>
              <w:rPr>
                <w:rFonts w:ascii="仿宋" w:hAnsi="仿宋" w:eastAsia="仿宋"/>
                <w:b/>
                <w:bCs w:val="0"/>
              </w:rPr>
            </w:pPr>
            <w:r>
              <w:rPr>
                <w:rFonts w:ascii="仿宋_GB2312" w:hAnsi="宋体" w:eastAsia="仿宋_GB2312"/>
                <w:b/>
                <w:bCs w:val="0"/>
                <w:color w:val="000000"/>
                <w:szCs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5" w:type="dxa"/>
            <w:vAlign w:val="center"/>
          </w:tcPr>
          <w:p>
            <w:pPr>
              <w:jc w:val="left"/>
              <w:rPr>
                <w:rFonts w:ascii="仿宋" w:hAnsi="仿宋" w:eastAsia="仿宋"/>
                <w:b/>
                <w:bCs w:val="0"/>
              </w:rPr>
            </w:pPr>
            <w:r>
              <w:rPr>
                <w:rFonts w:ascii="仿宋" w:hAnsi="仿宋" w:eastAsia="仿宋"/>
                <w:b/>
                <w:bCs w:val="0"/>
              </w:rPr>
              <w:t>人员管理计划</w:t>
            </w:r>
          </w:p>
          <w:p>
            <w:pPr>
              <w:jc w:val="left"/>
              <w:rPr>
                <w:rFonts w:ascii="仿宋" w:hAnsi="仿宋" w:eastAsia="仿宋"/>
                <w:b/>
                <w:bCs w:val="0"/>
              </w:rPr>
            </w:pPr>
            <w:r>
              <w:rPr>
                <w:rFonts w:hint="eastAsia" w:ascii="仿宋" w:hAnsi="仿宋" w:eastAsia="仿宋"/>
                <w:b/>
                <w:bCs w:val="0"/>
              </w:rPr>
              <w:t>（</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p>
        </w:tc>
        <w:tc>
          <w:tcPr>
            <w:tcW w:w="744" w:type="dxa"/>
            <w:vAlign w:val="center"/>
          </w:tcPr>
          <w:p>
            <w:pPr>
              <w:jc w:val="left"/>
              <w:rPr>
                <w:rFonts w:ascii="仿宋" w:hAnsi="仿宋" w:eastAsia="仿宋"/>
                <w:b/>
                <w:bCs w:val="0"/>
              </w:rPr>
            </w:pPr>
            <w:r>
              <w:rPr>
                <w:rFonts w:hint="eastAsia" w:ascii="仿宋" w:hAnsi="仿宋" w:eastAsia="仿宋"/>
                <w:b/>
                <w:bCs w:val="0"/>
              </w:rPr>
              <w:t>2.5</w:t>
            </w:r>
          </w:p>
        </w:tc>
        <w:tc>
          <w:tcPr>
            <w:tcW w:w="5629" w:type="dxa"/>
            <w:vAlign w:val="center"/>
          </w:tcPr>
          <w:p>
            <w:pPr>
              <w:rPr>
                <w:rFonts w:ascii="仿宋" w:hAnsi="仿宋" w:eastAsia="仿宋"/>
                <w:b/>
                <w:bCs w:val="0"/>
              </w:rPr>
            </w:pPr>
            <w:r>
              <w:rPr>
                <w:rFonts w:ascii="仿宋" w:hAnsi="仿宋" w:eastAsia="仿宋"/>
                <w:b/>
                <w:bCs w:val="0"/>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b/>
                <w:bCs w:val="0"/>
              </w:rPr>
              <w:t>本项满分5分</w:t>
            </w:r>
            <w:r>
              <w:rPr>
                <w:rFonts w:ascii="仿宋" w:hAnsi="仿宋" w:eastAsia="仿宋"/>
                <w:b/>
                <w:bCs w:val="0"/>
              </w:rPr>
              <w:t>。</w:t>
            </w:r>
          </w:p>
          <w:p>
            <w:pPr>
              <w:numPr>
                <w:ilvl w:val="0"/>
                <w:numId w:val="33"/>
              </w:numPr>
              <w:jc w:val="left"/>
              <w:rPr>
                <w:rFonts w:ascii="仿宋" w:hAnsi="仿宋" w:eastAsia="仿宋"/>
                <w:b/>
                <w:bCs w:val="0"/>
              </w:rPr>
            </w:pPr>
            <w:r>
              <w:rPr>
                <w:rFonts w:hint="eastAsia" w:ascii="仿宋" w:hAnsi="仿宋" w:eastAsia="仿宋"/>
                <w:b/>
                <w:bCs w:val="0"/>
              </w:rPr>
              <w:t>所配备的人员岗位明确、数量合理，能够很好的满足采购人使用需要，得5分；</w:t>
            </w:r>
          </w:p>
          <w:p>
            <w:pPr>
              <w:numPr>
                <w:ilvl w:val="0"/>
                <w:numId w:val="33"/>
              </w:numPr>
              <w:jc w:val="left"/>
              <w:rPr>
                <w:b/>
                <w:bCs w:val="0"/>
              </w:rPr>
            </w:pPr>
            <w:r>
              <w:rPr>
                <w:rFonts w:hint="eastAsia" w:ascii="仿宋" w:hAnsi="仿宋" w:eastAsia="仿宋"/>
                <w:b/>
                <w:bCs w:val="0"/>
              </w:rPr>
              <w:t>所配备的人员岗位基本明确、数量基本合理，能较好满足采购人使用需要，得3分；</w:t>
            </w:r>
          </w:p>
          <w:p>
            <w:pPr>
              <w:jc w:val="left"/>
              <w:rPr>
                <w:rFonts w:ascii="仿宋" w:hAnsi="仿宋" w:eastAsia="仿宋"/>
                <w:b/>
                <w:bCs w:val="0"/>
              </w:rPr>
            </w:pPr>
            <w:r>
              <w:rPr>
                <w:rFonts w:hint="eastAsia" w:ascii="仿宋" w:hAnsi="仿宋" w:eastAsia="仿宋"/>
                <w:b/>
                <w:bCs w:val="0"/>
              </w:rPr>
              <w:t>3）提供了人员计划，但所提供人员岗位设置欠合理或和数量不足，与采购人使用需要存在一定偏差，得1分；</w:t>
            </w:r>
          </w:p>
          <w:p>
            <w:pPr>
              <w:rPr>
                <w:rFonts w:ascii="仿宋" w:hAnsi="仿宋" w:eastAsia="仿宋"/>
                <w:b/>
                <w:bCs w:val="0"/>
              </w:rPr>
            </w:pPr>
            <w:r>
              <w:rPr>
                <w:rFonts w:hint="eastAsia" w:ascii="仿宋" w:hAnsi="仿宋" w:eastAsia="仿宋"/>
                <w:b/>
                <w:bCs w:val="0"/>
              </w:rPr>
              <w:t>4）未提交人员计划或提交的人员计划与采购人使用需要有较大偏差的，得0分。</w:t>
            </w:r>
          </w:p>
        </w:tc>
        <w:tc>
          <w:tcPr>
            <w:tcW w:w="901"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bl>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p>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r>
        <w:rPr>
          <w:rFonts w:ascii="仿宋_GB2312" w:hAnsi="宋体" w:eastAsia="仿宋_GB2312"/>
          <w:b/>
          <w:color w:val="000000" w:themeColor="text1"/>
          <w:sz w:val="32"/>
          <w:szCs w:val="32"/>
          <w14:textFill>
            <w14:solidFill>
              <w14:schemeClr w14:val="tx1"/>
            </w14:solidFill>
          </w14:textFill>
        </w:rPr>
        <w:t>标项</w:t>
      </w:r>
      <w:r>
        <w:rPr>
          <w:rFonts w:hint="eastAsia" w:ascii="仿宋_GB2312" w:hAnsi="宋体" w:eastAsia="仿宋_GB2312"/>
          <w:b/>
          <w:color w:val="000000" w:themeColor="text1"/>
          <w:sz w:val="32"/>
          <w:szCs w:val="32"/>
          <w14:textFill>
            <w14:solidFill>
              <w14:schemeClr w14:val="tx1"/>
            </w14:solidFill>
          </w14:textFill>
        </w:rPr>
        <w:t>3</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768"/>
        <w:gridCol w:w="5652"/>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220" w:type="dxa"/>
          </w:tcPr>
          <w:p>
            <w:pPr>
              <w:spacing w:before="156" w:beforeLines="50" w:after="156" w:afterLines="50" w:line="276" w:lineRule="auto"/>
              <w:rPr>
                <w:rFonts w:ascii="仿宋" w:hAnsi="仿宋" w:eastAsia="仿宋"/>
                <w:b/>
                <w:bCs w:val="0"/>
              </w:rPr>
            </w:pPr>
            <w:r>
              <w:rPr>
                <w:rFonts w:hint="eastAsia" w:ascii="仿宋_GB2312" w:hAnsi="宋体" w:eastAsia="仿宋_GB2312"/>
                <w:b/>
                <w:bCs w:val="0"/>
                <w:color w:val="000000"/>
                <w:szCs w:val="21"/>
              </w:rPr>
              <w:t>评分类型</w:t>
            </w:r>
          </w:p>
        </w:tc>
        <w:tc>
          <w:tcPr>
            <w:tcW w:w="768"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序号</w:t>
            </w:r>
          </w:p>
        </w:tc>
        <w:tc>
          <w:tcPr>
            <w:tcW w:w="5652"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评分标准</w:t>
            </w:r>
          </w:p>
        </w:tc>
        <w:tc>
          <w:tcPr>
            <w:tcW w:w="879" w:type="dxa"/>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分值</w:t>
            </w:r>
          </w:p>
          <w:p>
            <w:pPr>
              <w:spacing w:before="156" w:beforeLines="50" w:after="156" w:afterLines="50" w:line="276" w:lineRule="auto"/>
              <w:rPr>
                <w:rFonts w:ascii="仿宋" w:hAnsi="仿宋" w:eastAsia="仿宋"/>
                <w:b/>
                <w:bCs w:val="0"/>
              </w:rPr>
            </w:pPr>
            <w:r>
              <w:rPr>
                <w:rFonts w:hint="eastAsia" w:ascii="仿宋_GB2312" w:hAnsi="宋体" w:eastAsia="仿宋_GB2312"/>
                <w:b/>
                <w:bCs w:val="0"/>
                <w:color w:val="000000"/>
                <w:szCs w:val="21"/>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ascii="仿宋_GB2312" w:hAnsi="宋体" w:eastAsia="仿宋_GB2312"/>
                <w:b/>
                <w:bCs w:val="0"/>
                <w:color w:val="000000"/>
                <w:szCs w:val="21"/>
              </w:rPr>
              <w:t>报价</w:t>
            </w:r>
            <w:r>
              <w:rPr>
                <w:rFonts w:hint="eastAsia" w:ascii="仿宋_GB2312" w:hAnsi="宋体" w:eastAsia="仿宋_GB2312"/>
                <w:b/>
                <w:bCs w:val="0"/>
                <w:color w:val="000000"/>
                <w:szCs w:val="21"/>
              </w:rPr>
              <w:t>（价格分）10分</w:t>
            </w:r>
          </w:p>
        </w:tc>
        <w:tc>
          <w:tcPr>
            <w:tcW w:w="768" w:type="dxa"/>
            <w:vAlign w:val="center"/>
          </w:tcPr>
          <w:p>
            <w:pPr>
              <w:rPr>
                <w:rFonts w:ascii="仿宋" w:hAnsi="仿宋" w:eastAsia="仿宋"/>
                <w:b/>
                <w:bCs w:val="0"/>
              </w:rPr>
            </w:pPr>
            <w:r>
              <w:rPr>
                <w:rFonts w:hint="eastAsia" w:ascii="仿宋" w:hAnsi="仿宋" w:eastAsia="仿宋"/>
                <w:b/>
                <w:bCs w:val="0"/>
              </w:rPr>
              <w:t>1</w:t>
            </w:r>
          </w:p>
        </w:tc>
        <w:tc>
          <w:tcPr>
            <w:tcW w:w="5652" w:type="dxa"/>
            <w:vAlign w:val="center"/>
          </w:tcPr>
          <w:p>
            <w:pPr>
              <w:rPr>
                <w:rFonts w:ascii="仿宋" w:hAnsi="仿宋" w:eastAsia="仿宋"/>
                <w:b/>
                <w:bCs w:val="0"/>
              </w:rPr>
            </w:pPr>
            <w:r>
              <w:rPr>
                <w:rFonts w:hint="eastAsia" w:ascii="仿宋" w:hAnsi="仿宋" w:eastAsia="仿宋"/>
                <w:b/>
                <w:bCs w:val="0"/>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b/>
                <w:bCs w:val="0"/>
              </w:rPr>
            </w:pPr>
            <w:r>
              <w:rPr>
                <w:rFonts w:hint="eastAsia" w:ascii="仿宋" w:hAnsi="仿宋" w:eastAsia="仿宋"/>
                <w:b/>
                <w:bCs w:val="0"/>
              </w:rPr>
              <w:t xml:space="preserve">投标报价得分=(评标基准价／投标报价)×价格权值×100               </w:t>
            </w:r>
          </w:p>
          <w:p>
            <w:pPr>
              <w:rPr>
                <w:rFonts w:ascii="仿宋" w:hAnsi="仿宋" w:eastAsia="仿宋"/>
                <w:b/>
                <w:bCs w:val="0"/>
              </w:rPr>
            </w:pPr>
            <w:r>
              <w:rPr>
                <w:rFonts w:hint="eastAsia" w:ascii="仿宋" w:hAnsi="仿宋" w:eastAsia="仿宋"/>
                <w:b/>
                <w:bCs w:val="0"/>
              </w:rPr>
              <w:t>计算分数时四舍五入取小数点后两位</w:t>
            </w:r>
          </w:p>
          <w:p>
            <w:pPr>
              <w:rPr>
                <w:rFonts w:ascii="仿宋" w:hAnsi="仿宋" w:eastAsia="仿宋"/>
                <w:b/>
                <w:bCs w:val="0"/>
              </w:rPr>
            </w:pPr>
            <w:r>
              <w:rPr>
                <w:rFonts w:hint="eastAsia" w:ascii="仿宋" w:hAnsi="仿宋" w:eastAsia="仿宋"/>
                <w:b/>
                <w:bCs w:val="0"/>
              </w:rPr>
              <w:t>注：（1）根据《政府采购促进中小企业发展管理办法》的相关规定，对小型和微型企业的价格给予6%的扣除，用扣除后的价格参与评审。</w:t>
            </w:r>
          </w:p>
          <w:p>
            <w:pPr>
              <w:rPr>
                <w:rFonts w:ascii="仿宋" w:hAnsi="仿宋" w:eastAsia="仿宋"/>
                <w:b/>
                <w:bCs w:val="0"/>
              </w:rPr>
            </w:pPr>
            <w:r>
              <w:rPr>
                <w:rFonts w:hint="eastAsia" w:ascii="仿宋" w:hAnsi="仿宋" w:eastAsia="仿宋"/>
                <w:b/>
                <w:bCs w:val="0"/>
              </w:rPr>
              <w:t>（2）根据《财政部民政部中国残疾人联合会关于促进残疾人就业政府采购政策的通知》（财库〔2017〕141号）的规定，对符合条件的残疾人福利性单位设备的价格给予6%的扣除，用扣除后的价格参与评审。</w:t>
            </w:r>
          </w:p>
          <w:p>
            <w:pPr>
              <w:rPr>
                <w:rFonts w:ascii="仿宋" w:hAnsi="仿宋" w:eastAsia="仿宋"/>
                <w:b/>
                <w:bCs w:val="0"/>
              </w:rPr>
            </w:pPr>
            <w:r>
              <w:rPr>
                <w:rFonts w:hint="eastAsia" w:ascii="仿宋" w:hAnsi="仿宋" w:eastAsia="仿宋"/>
                <w:b/>
                <w:bCs w:val="0"/>
              </w:rPr>
              <w:t>小型、微型企业和监狱企业级符合财政部、民政部、中国残疾人联合会关于促进残疾人就业政府采购政策的通知，以上政策同时具备的仅对其进行一次6%的价格扣除，不重复扣除。</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_GB2312" w:hAnsi="宋体" w:eastAsia="仿宋_GB2312"/>
                <w:b/>
                <w:bCs w:val="0"/>
                <w:color w:val="000000"/>
                <w:szCs w:val="21"/>
              </w:rPr>
            </w:pPr>
            <w:r>
              <w:rPr>
                <w:rFonts w:ascii="仿宋_GB2312" w:hAnsi="宋体" w:eastAsia="仿宋_GB2312"/>
                <w:b/>
                <w:bCs w:val="0"/>
                <w:color w:val="000000"/>
                <w:szCs w:val="21"/>
              </w:rPr>
              <w:t>商务</w:t>
            </w:r>
            <w:r>
              <w:rPr>
                <w:rFonts w:hint="default" w:ascii="仿宋_GB2312" w:hAnsi="宋体" w:eastAsia="仿宋_GB2312"/>
                <w:b/>
                <w:bCs w:val="0"/>
                <w:color w:val="000000"/>
                <w:szCs w:val="21"/>
              </w:rPr>
              <w:t>资信（</w:t>
            </w:r>
            <w:r>
              <w:rPr>
                <w:rFonts w:ascii="仿宋_GB2312" w:hAnsi="宋体" w:eastAsia="仿宋_GB2312"/>
                <w:b/>
                <w:bCs w:val="0"/>
                <w:color w:val="000000"/>
                <w:szCs w:val="21"/>
              </w:rPr>
              <w:t>投标</w:t>
            </w:r>
            <w:r>
              <w:rPr>
                <w:rFonts w:hint="default" w:ascii="仿宋_GB2312" w:hAnsi="宋体" w:eastAsia="仿宋_GB2312"/>
                <w:b/>
                <w:bCs w:val="0"/>
                <w:color w:val="000000"/>
                <w:szCs w:val="21"/>
              </w:rPr>
              <w:t>人</w:t>
            </w:r>
            <w:r>
              <w:rPr>
                <w:rFonts w:ascii="仿宋_GB2312" w:hAnsi="宋体" w:eastAsia="仿宋_GB2312"/>
                <w:b/>
                <w:bCs w:val="0"/>
                <w:color w:val="000000"/>
                <w:szCs w:val="21"/>
              </w:rPr>
              <w:t>业绩1</w:t>
            </w:r>
            <w:r>
              <w:rPr>
                <w:rFonts w:hint="default" w:ascii="仿宋_GB2312" w:hAnsi="宋体" w:eastAsia="仿宋_GB2312"/>
                <w:b/>
                <w:bCs w:val="0"/>
                <w:color w:val="000000"/>
                <w:szCs w:val="21"/>
              </w:rPr>
              <w:t>2分）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1.1</w:t>
            </w:r>
          </w:p>
        </w:tc>
        <w:tc>
          <w:tcPr>
            <w:tcW w:w="5652" w:type="dxa"/>
            <w:vAlign w:val="center"/>
          </w:tcPr>
          <w:p>
            <w:pPr>
              <w:rPr>
                <w:rFonts w:ascii="仿宋" w:hAnsi="仿宋" w:eastAsia="仿宋"/>
                <w:b/>
                <w:bCs w:val="0"/>
              </w:rPr>
            </w:pPr>
            <w:r>
              <w:rPr>
                <w:rFonts w:hint="eastAsia" w:ascii="仿宋" w:hAnsi="仿宋" w:eastAsia="仿宋"/>
                <w:b/>
                <w:bCs w:val="0"/>
              </w:rPr>
              <w:t>投标人提供</w:t>
            </w:r>
            <w:r>
              <w:rPr>
                <w:rFonts w:ascii="仿宋" w:hAnsi="仿宋" w:eastAsia="仿宋"/>
                <w:b/>
                <w:bCs w:val="0"/>
              </w:rPr>
              <w:t>2008 年至本次投标截止日期</w:t>
            </w:r>
            <w:r>
              <w:rPr>
                <w:rFonts w:hint="eastAsia" w:ascii="仿宋" w:hAnsi="仿宋" w:eastAsia="仿宋"/>
                <w:b/>
                <w:bCs w:val="0"/>
              </w:rPr>
              <w:t>（</w:t>
            </w:r>
            <w:r>
              <w:rPr>
                <w:rFonts w:ascii="仿宋" w:hAnsi="仿宋" w:eastAsia="仿宋"/>
                <w:b/>
                <w:bCs w:val="0"/>
              </w:rPr>
              <w:t>以合同签署日期为准</w:t>
            </w:r>
            <w:r>
              <w:rPr>
                <w:rFonts w:hint="eastAsia" w:ascii="仿宋" w:hAnsi="仿宋" w:eastAsia="仿宋"/>
                <w:b/>
                <w:bCs w:val="0"/>
              </w:rPr>
              <w:t>）</w:t>
            </w:r>
            <w:r>
              <w:rPr>
                <w:rFonts w:ascii="仿宋" w:hAnsi="仿宋" w:eastAsia="仿宋"/>
                <w:b/>
                <w:bCs w:val="0"/>
              </w:rPr>
              <w:t>，完成的全国性或国际级（多国参与）综合性运动会竞赛信息化成功案例情况进行评分，</w:t>
            </w:r>
            <w:r>
              <w:rPr>
                <w:rFonts w:hint="eastAsia" w:ascii="仿宋" w:hAnsi="仿宋" w:eastAsia="仿宋"/>
                <w:b/>
                <w:bCs w:val="0"/>
              </w:rPr>
              <w:t>案例中包含竞赛监控系统、竞赛闭路系统、视频直播系统中至少两个系统。每提供一个成功案例得6分</w:t>
            </w:r>
            <w:r>
              <w:rPr>
                <w:rFonts w:ascii="仿宋" w:hAnsi="仿宋" w:eastAsia="仿宋"/>
                <w:b/>
                <w:bCs w:val="0"/>
              </w:rPr>
              <w:t>，</w:t>
            </w:r>
            <w:r>
              <w:rPr>
                <w:rFonts w:hint="eastAsia" w:ascii="仿宋" w:hAnsi="仿宋" w:eastAsia="仿宋"/>
                <w:b/>
                <w:bCs w:val="0"/>
              </w:rPr>
              <w:t>满分12分，</w:t>
            </w:r>
            <w:r>
              <w:rPr>
                <w:rFonts w:ascii="仿宋" w:hAnsi="仿宋" w:eastAsia="仿宋"/>
                <w:b/>
                <w:bCs w:val="0"/>
              </w:rPr>
              <w:t>须同时提供以下证明文件，否则不得分。</w:t>
            </w:r>
          </w:p>
          <w:p>
            <w:pPr>
              <w:rPr>
                <w:rFonts w:ascii="仿宋" w:hAnsi="仿宋" w:eastAsia="仿宋"/>
                <w:b/>
                <w:bCs w:val="0"/>
              </w:rPr>
            </w:pPr>
            <w:r>
              <w:rPr>
                <w:rFonts w:ascii="仿宋" w:hAnsi="仿宋" w:eastAsia="仿宋"/>
                <w:b/>
                <w:bCs w:val="0"/>
              </w:rPr>
              <w:t>1）合同扫描件或复印件，至少包括买卖双方名称、服务内容</w:t>
            </w:r>
            <w:r>
              <w:rPr>
                <w:rFonts w:hint="eastAsia" w:ascii="仿宋" w:hAnsi="仿宋" w:eastAsia="仿宋"/>
                <w:b/>
                <w:bCs w:val="0"/>
              </w:rPr>
              <w:t>、</w:t>
            </w:r>
            <w:r>
              <w:rPr>
                <w:rFonts w:ascii="仿宋" w:hAnsi="仿宋" w:eastAsia="仿宋"/>
                <w:b/>
                <w:bCs w:val="0"/>
              </w:rPr>
              <w:t>签署盖章页。</w:t>
            </w:r>
          </w:p>
          <w:p>
            <w:pPr>
              <w:rPr>
                <w:rFonts w:ascii="仿宋" w:hAnsi="仿宋" w:eastAsia="仿宋"/>
                <w:b/>
                <w:bCs w:val="0"/>
              </w:rPr>
            </w:pPr>
            <w:r>
              <w:rPr>
                <w:rFonts w:ascii="仿宋" w:hAnsi="仿宋" w:eastAsia="仿宋"/>
                <w:b/>
                <w:bCs w:val="0"/>
              </w:rPr>
              <w:t>2）用户盖章或签字的成功履行合同的证明材料扫描件或扫描件。</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hint="eastAsia" w:ascii="仿宋" w:hAnsi="仿宋" w:eastAsia="仿宋"/>
                <w:b/>
                <w:bCs w:val="0"/>
              </w:rPr>
              <w:t>（</w:t>
            </w:r>
            <w:r>
              <w:rPr>
                <w:rFonts w:ascii="仿宋" w:hAnsi="仿宋" w:eastAsia="仿宋"/>
                <w:b/>
                <w:bCs w:val="0"/>
              </w:rPr>
              <w:t>项目负责人</w:t>
            </w:r>
            <w:r>
              <w:rPr>
                <w:rFonts w:hint="eastAsia" w:ascii="仿宋" w:hAnsi="仿宋" w:eastAsia="仿宋"/>
                <w:b/>
                <w:bCs w:val="0"/>
              </w:rPr>
              <w:t>4分）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1.2</w:t>
            </w:r>
          </w:p>
        </w:tc>
        <w:tc>
          <w:tcPr>
            <w:tcW w:w="5652" w:type="dxa"/>
            <w:vAlign w:val="center"/>
          </w:tcPr>
          <w:p>
            <w:pPr>
              <w:rPr>
                <w:rFonts w:ascii="仿宋" w:hAnsi="仿宋" w:eastAsia="仿宋"/>
                <w:b/>
                <w:bCs w:val="0"/>
              </w:rPr>
            </w:pPr>
            <w:r>
              <w:rPr>
                <w:rFonts w:ascii="仿宋" w:hAnsi="仿宋" w:eastAsia="仿宋"/>
                <w:b/>
                <w:bCs w:val="0"/>
              </w:rPr>
              <w:t>项目负责人具有</w:t>
            </w:r>
            <w:r>
              <w:rPr>
                <w:rFonts w:hint="eastAsia" w:ascii="仿宋" w:hAnsi="仿宋" w:eastAsia="仿宋"/>
                <w:b/>
                <w:bCs w:val="0"/>
              </w:rPr>
              <w:t>负责</w:t>
            </w:r>
            <w:r>
              <w:rPr>
                <w:rFonts w:ascii="仿宋" w:hAnsi="仿宋" w:eastAsia="仿宋"/>
                <w:b/>
                <w:bCs w:val="0"/>
              </w:rPr>
              <w:t>全国性或国际级（多国参与）综合性运动会竞赛信息化</w:t>
            </w:r>
            <w:r>
              <w:rPr>
                <w:rFonts w:hint="eastAsia" w:ascii="仿宋" w:hAnsi="仿宋" w:eastAsia="仿宋"/>
                <w:b/>
                <w:bCs w:val="0"/>
              </w:rPr>
              <w:t>管理经验，</w:t>
            </w:r>
            <w:r>
              <w:rPr>
                <w:rFonts w:ascii="仿宋" w:hAnsi="仿宋" w:eastAsia="仿宋"/>
                <w:b/>
                <w:bCs w:val="0"/>
              </w:rPr>
              <w:t>每</w:t>
            </w:r>
            <w:r>
              <w:rPr>
                <w:rFonts w:hint="eastAsia" w:ascii="仿宋" w:hAnsi="仿宋" w:eastAsia="仿宋"/>
                <w:b/>
                <w:bCs w:val="0"/>
              </w:rPr>
              <w:t>参加1个得1分，满分4分。须提供相关证书或证件和该人员在本项目投标企业近六个月内任意一个月的社保证明复印件加盖公章，否则不得分。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220" w:type="dxa"/>
            <w:vMerge w:val="restart"/>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hint="eastAsia" w:ascii="仿宋" w:hAnsi="仿宋" w:eastAsia="仿宋"/>
                <w:b/>
                <w:bCs w:val="0"/>
              </w:rPr>
              <w:t>（项目</w:t>
            </w:r>
            <w:r>
              <w:rPr>
                <w:rFonts w:ascii="仿宋" w:hAnsi="仿宋" w:eastAsia="仿宋"/>
                <w:b/>
                <w:bCs w:val="0"/>
              </w:rPr>
              <w:t>团队</w:t>
            </w:r>
            <w:r>
              <w:rPr>
                <w:rFonts w:hint="eastAsia" w:ascii="仿宋" w:hAnsi="仿宋" w:eastAsia="仿宋"/>
                <w:b/>
                <w:bCs w:val="0"/>
              </w:rPr>
              <w:t>4分）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1.3.1</w:t>
            </w:r>
          </w:p>
        </w:tc>
        <w:tc>
          <w:tcPr>
            <w:tcW w:w="5652" w:type="dxa"/>
            <w:vAlign w:val="center"/>
          </w:tcPr>
          <w:p>
            <w:pPr>
              <w:rPr>
                <w:rFonts w:ascii="仿宋" w:hAnsi="仿宋" w:eastAsia="仿宋"/>
                <w:b/>
                <w:bCs w:val="0"/>
              </w:rPr>
            </w:pPr>
            <w:r>
              <w:rPr>
                <w:rFonts w:hint="eastAsia" w:ascii="仿宋" w:hAnsi="仿宋" w:eastAsia="仿宋"/>
                <w:b/>
                <w:bCs w:val="0"/>
              </w:rPr>
              <w:t>拟派驻场</w:t>
            </w:r>
            <w:r>
              <w:rPr>
                <w:rFonts w:ascii="仿宋" w:hAnsi="仿宋" w:eastAsia="仿宋"/>
                <w:b/>
                <w:bCs w:val="0"/>
              </w:rPr>
              <w:t>团队人数</w:t>
            </w:r>
            <w:r>
              <w:rPr>
                <w:rFonts w:hint="eastAsia" w:ascii="仿宋" w:hAnsi="仿宋" w:eastAsia="仿宋"/>
                <w:b/>
                <w:bCs w:val="0"/>
              </w:rPr>
              <w:t>（含项目负责人和工程师）</w:t>
            </w:r>
            <w:r>
              <w:rPr>
                <w:rFonts w:ascii="仿宋" w:hAnsi="仿宋" w:eastAsia="仿宋"/>
                <w:b/>
                <w:bCs w:val="0"/>
              </w:rPr>
              <w:t>1</w:t>
            </w:r>
            <w:r>
              <w:rPr>
                <w:rFonts w:hint="eastAsia" w:ascii="仿宋" w:hAnsi="仿宋" w:eastAsia="仿宋"/>
                <w:b/>
                <w:bCs w:val="0"/>
              </w:rPr>
              <w:t>2</w:t>
            </w:r>
            <w:r>
              <w:rPr>
                <w:rFonts w:ascii="仿宋" w:hAnsi="仿宋" w:eastAsia="仿宋"/>
                <w:b/>
                <w:bCs w:val="0"/>
              </w:rPr>
              <w:t>人及以上得</w:t>
            </w:r>
            <w:r>
              <w:rPr>
                <w:rFonts w:hint="eastAsia" w:ascii="仿宋" w:hAnsi="仿宋" w:eastAsia="仿宋"/>
                <w:b/>
                <w:bCs w:val="0"/>
              </w:rPr>
              <w:t>2分， 6</w:t>
            </w:r>
            <w:r>
              <w:rPr>
                <w:rFonts w:ascii="仿宋" w:hAnsi="仿宋" w:eastAsia="仿宋"/>
                <w:b/>
                <w:bCs w:val="0"/>
              </w:rPr>
              <w:t>-1</w:t>
            </w:r>
            <w:r>
              <w:rPr>
                <w:rFonts w:hint="eastAsia" w:ascii="仿宋" w:hAnsi="仿宋" w:eastAsia="仿宋"/>
                <w:b/>
                <w:bCs w:val="0"/>
              </w:rPr>
              <w:t>1</w:t>
            </w:r>
            <w:r>
              <w:rPr>
                <w:rFonts w:ascii="仿宋" w:hAnsi="仿宋" w:eastAsia="仿宋"/>
                <w:b/>
                <w:bCs w:val="0"/>
              </w:rPr>
              <w:t>人得</w:t>
            </w:r>
            <w:r>
              <w:rPr>
                <w:rFonts w:hint="eastAsia" w:ascii="仿宋" w:hAnsi="仿宋" w:eastAsia="仿宋"/>
                <w:b/>
                <w:bCs w:val="0"/>
              </w:rPr>
              <w:t>1分，6</w:t>
            </w:r>
            <w:r>
              <w:rPr>
                <w:rFonts w:ascii="仿宋" w:hAnsi="仿宋" w:eastAsia="仿宋"/>
                <w:b/>
                <w:bCs w:val="0"/>
              </w:rPr>
              <w:t>人以下</w:t>
            </w:r>
            <w:r>
              <w:rPr>
                <w:rFonts w:hint="eastAsia" w:ascii="仿宋" w:hAnsi="仿宋" w:eastAsia="仿宋"/>
                <w:b/>
                <w:bCs w:val="0"/>
              </w:rPr>
              <w:t>不得</w:t>
            </w:r>
            <w:r>
              <w:rPr>
                <w:rFonts w:ascii="仿宋" w:hAnsi="仿宋" w:eastAsia="仿宋"/>
                <w:b/>
                <w:bCs w:val="0"/>
              </w:rPr>
              <w:t>分</w:t>
            </w:r>
            <w:r>
              <w:rPr>
                <w:rFonts w:hint="eastAsia" w:ascii="仿宋" w:hAnsi="仿宋" w:eastAsia="仿宋"/>
                <w:b/>
                <w:bCs w:val="0"/>
              </w:rPr>
              <w:t>。须相应人员提供在本项目投标企业近六个月内任意一个月的社保证明复印件加盖公章，否则不得分。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220" w:type="dxa"/>
            <w:vMerge w:val="continue"/>
            <w:vAlign w:val="center"/>
          </w:tcPr>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1.3.2</w:t>
            </w:r>
          </w:p>
        </w:tc>
        <w:tc>
          <w:tcPr>
            <w:tcW w:w="5652" w:type="dxa"/>
            <w:vAlign w:val="center"/>
          </w:tcPr>
          <w:p>
            <w:pPr>
              <w:rPr>
                <w:rFonts w:ascii="仿宋" w:hAnsi="仿宋" w:eastAsia="仿宋"/>
                <w:b/>
                <w:bCs w:val="0"/>
              </w:rPr>
            </w:pPr>
            <w:r>
              <w:rPr>
                <w:rFonts w:ascii="仿宋" w:hAnsi="仿宋" w:eastAsia="仿宋"/>
                <w:b/>
                <w:bCs w:val="0"/>
              </w:rPr>
              <w:t>拟派驻场人员</w:t>
            </w:r>
            <w:r>
              <w:rPr>
                <w:rFonts w:hint="eastAsia" w:ascii="仿宋" w:hAnsi="仿宋" w:eastAsia="仿宋"/>
                <w:b/>
                <w:bCs w:val="0"/>
              </w:rPr>
              <w:t>（项目负责人除外）</w:t>
            </w:r>
            <w:r>
              <w:rPr>
                <w:rFonts w:ascii="仿宋" w:hAnsi="仿宋" w:eastAsia="仿宋"/>
                <w:b/>
                <w:bCs w:val="0"/>
              </w:rPr>
              <w:t>具</w:t>
            </w:r>
            <w:r>
              <w:rPr>
                <w:rFonts w:hint="eastAsia" w:ascii="仿宋" w:hAnsi="仿宋" w:eastAsia="仿宋"/>
                <w:b/>
                <w:bCs w:val="0"/>
              </w:rPr>
              <w:t>有全国性或国际级（多国参与）综合性运动会竞赛信息化工作经验，10人以上得2分，5-10人得1分，5人以下不得分。须提供相应人员的相关证书或证件和在本项目投标企业近六个月内任意一个月的社保证明复印件加盖公章，否则不得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trPr>
        <w:tc>
          <w:tcPr>
            <w:tcW w:w="1220" w:type="dxa"/>
            <w:vAlign w:val="center"/>
          </w:tcPr>
          <w:p>
            <w:pPr>
              <w:rPr>
                <w:rFonts w:ascii="仿宋" w:hAnsi="仿宋" w:eastAsia="仿宋"/>
                <w:b/>
                <w:bCs w:val="0"/>
              </w:rPr>
            </w:pPr>
            <w:r>
              <w:rPr>
                <w:rFonts w:hint="eastAsia" w:ascii="仿宋" w:hAnsi="仿宋" w:eastAsia="仿宋"/>
                <w:b/>
                <w:bCs w:val="0"/>
              </w:rPr>
              <w:t>技术</w:t>
            </w:r>
          </w:p>
          <w:p>
            <w:pPr>
              <w:rPr>
                <w:rFonts w:ascii="仿宋" w:hAnsi="仿宋" w:eastAsia="仿宋"/>
                <w:b/>
                <w:bCs w:val="0"/>
              </w:rPr>
            </w:pPr>
            <w:r>
              <w:rPr>
                <w:rFonts w:hint="eastAsia" w:ascii="仿宋" w:hAnsi="仿宋" w:eastAsia="仿宋"/>
                <w:b/>
                <w:bCs w:val="0"/>
              </w:rPr>
              <w:t>（竞赛监控子系统1</w:t>
            </w:r>
            <w:r>
              <w:rPr>
                <w:rFonts w:ascii="仿宋" w:hAnsi="仿宋" w:eastAsia="仿宋"/>
                <w:b/>
                <w:bCs w:val="0"/>
              </w:rPr>
              <w:t>0</w:t>
            </w:r>
            <w:r>
              <w:rPr>
                <w:rFonts w:hint="eastAsia" w:ascii="仿宋" w:hAnsi="仿宋" w:eastAsia="仿宋"/>
                <w:b/>
                <w:bCs w:val="0"/>
              </w:rPr>
              <w:t>分）</w:t>
            </w:r>
          </w:p>
        </w:tc>
        <w:tc>
          <w:tcPr>
            <w:tcW w:w="768" w:type="dxa"/>
            <w:vAlign w:val="center"/>
          </w:tcPr>
          <w:p>
            <w:pPr>
              <w:rPr>
                <w:rFonts w:ascii="仿宋" w:hAnsi="仿宋" w:eastAsia="仿宋"/>
                <w:b/>
                <w:bCs w:val="0"/>
              </w:rPr>
            </w:pPr>
            <w:r>
              <w:rPr>
                <w:rFonts w:hint="eastAsia" w:ascii="仿宋" w:hAnsi="仿宋" w:eastAsia="仿宋"/>
                <w:b/>
                <w:bCs w:val="0"/>
              </w:rPr>
              <w:t>2.1</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竞赛监控子系统</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rPr>
              <w:t>。本项满分1</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1）提交的系统方案内容完整、合理、可行，得1</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2）提交的系统方案内容较完整、较合理、较为可行，得7分；</w:t>
            </w:r>
          </w:p>
          <w:p>
            <w:pPr>
              <w:rPr>
                <w:rFonts w:ascii="仿宋" w:hAnsi="仿宋" w:eastAsia="仿宋"/>
                <w:b/>
                <w:bCs w:val="0"/>
              </w:rPr>
            </w:pPr>
            <w:r>
              <w:rPr>
                <w:rFonts w:hint="eastAsia" w:ascii="仿宋" w:hAnsi="仿宋" w:eastAsia="仿宋"/>
                <w:b/>
                <w:bCs w:val="0"/>
              </w:rPr>
              <w:t>3）提交的系统方案内容不够完整，功能欠完善，需要进行调整才能满足采购人使用需求，得4分；</w:t>
            </w:r>
          </w:p>
          <w:p>
            <w:pPr>
              <w:rPr>
                <w:rFonts w:ascii="仿宋" w:hAnsi="仿宋" w:eastAsia="仿宋"/>
                <w:b/>
                <w:bCs w:val="0"/>
              </w:rPr>
            </w:pPr>
            <w:r>
              <w:rPr>
                <w:rFonts w:hint="eastAsia" w:ascii="仿宋" w:hAnsi="仿宋" w:eastAsia="仿宋"/>
                <w:b/>
                <w:bCs w:val="0"/>
              </w:rPr>
              <w:t>4）未提交方案或提交的系统方案内容不完整、不合理、可行性差，得0分。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w:t>
            </w:r>
          </w:p>
          <w:p>
            <w:pPr>
              <w:rPr>
                <w:rFonts w:ascii="仿宋" w:hAnsi="仿宋" w:eastAsia="仿宋"/>
                <w:b/>
                <w:bCs w:val="0"/>
              </w:rPr>
            </w:pPr>
            <w:r>
              <w:rPr>
                <w:rFonts w:hint="eastAsia" w:ascii="仿宋" w:hAnsi="仿宋" w:eastAsia="仿宋"/>
                <w:b/>
                <w:bCs w:val="0"/>
              </w:rPr>
              <w:t>（竞赛闭路子系统</w:t>
            </w:r>
            <w:r>
              <w:rPr>
                <w:rFonts w:ascii="仿宋" w:hAnsi="仿宋" w:eastAsia="仿宋"/>
                <w:b/>
                <w:bCs w:val="0"/>
              </w:rPr>
              <w:t>15</w:t>
            </w:r>
            <w:r>
              <w:rPr>
                <w:rFonts w:hint="eastAsia" w:ascii="仿宋" w:hAnsi="仿宋" w:eastAsia="仿宋"/>
                <w:b/>
                <w:bCs w:val="0"/>
              </w:rPr>
              <w:t>分）</w:t>
            </w:r>
          </w:p>
        </w:tc>
        <w:tc>
          <w:tcPr>
            <w:tcW w:w="768" w:type="dxa"/>
            <w:vAlign w:val="center"/>
          </w:tcPr>
          <w:p>
            <w:pPr>
              <w:rPr>
                <w:rFonts w:ascii="仿宋" w:hAnsi="仿宋" w:eastAsia="仿宋"/>
                <w:b/>
                <w:bCs w:val="0"/>
              </w:rPr>
            </w:pPr>
            <w:r>
              <w:rPr>
                <w:rFonts w:hint="eastAsia" w:ascii="仿宋" w:hAnsi="仿宋" w:eastAsia="仿宋"/>
                <w:b/>
                <w:bCs w:val="0"/>
              </w:rPr>
              <w:t>2.2</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竞赛闭路子系统</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rPr>
              <w:t>。本项满分</w:t>
            </w:r>
            <w:r>
              <w:rPr>
                <w:rFonts w:ascii="仿宋" w:hAnsi="仿宋" w:eastAsia="仿宋"/>
                <w:b/>
                <w:bCs w:val="0"/>
              </w:rPr>
              <w:t>15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1）提交的系统方案内容完整、合理、可行，得</w:t>
            </w:r>
            <w:r>
              <w:rPr>
                <w:rFonts w:ascii="仿宋" w:hAnsi="仿宋" w:eastAsia="仿宋"/>
                <w:b/>
                <w:bCs w:val="0"/>
              </w:rPr>
              <w:t>15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2）提交的系统方案内容较完整、较合理、较为可行，得12分；</w:t>
            </w:r>
          </w:p>
          <w:p>
            <w:pPr>
              <w:rPr>
                <w:rFonts w:ascii="仿宋" w:hAnsi="仿宋" w:eastAsia="仿宋"/>
                <w:b/>
                <w:bCs w:val="0"/>
              </w:rPr>
            </w:pPr>
            <w:r>
              <w:rPr>
                <w:rFonts w:hint="eastAsia" w:ascii="仿宋" w:hAnsi="仿宋" w:eastAsia="仿宋"/>
                <w:b/>
                <w:bCs w:val="0"/>
              </w:rPr>
              <w:t>3）提交的系统方案内容不够完整，功能欠完善，需要进行调整才能满足采购人使用需求，得8分；</w:t>
            </w:r>
          </w:p>
          <w:p>
            <w:pPr>
              <w:rPr>
                <w:rFonts w:ascii="仿宋" w:hAnsi="仿宋" w:eastAsia="仿宋"/>
                <w:b/>
                <w:bCs w:val="0"/>
              </w:rPr>
            </w:pPr>
            <w:r>
              <w:rPr>
                <w:rFonts w:hint="eastAsia" w:ascii="仿宋" w:hAnsi="仿宋" w:eastAsia="仿宋"/>
                <w:b/>
                <w:bCs w:val="0"/>
              </w:rPr>
              <w:t>4）未提交方案或提交的系统方案内容不完整、不合理、可行性差，得0分。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技术（视频直播子系统</w:t>
            </w:r>
            <w:r>
              <w:rPr>
                <w:rFonts w:ascii="仿宋" w:hAnsi="仿宋" w:eastAsia="仿宋"/>
                <w:b/>
                <w:bCs w:val="0"/>
              </w:rPr>
              <w:t>20</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2.3</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视频直播子系统</w:t>
            </w:r>
            <w:r>
              <w:rPr>
                <w:rFonts w:ascii="仿宋" w:hAnsi="仿宋" w:eastAsia="仿宋"/>
                <w:b/>
                <w:bCs w:val="0"/>
              </w:rPr>
              <w:t>服务需求的理解程度，服务内容和技术方案的创新性，技术架构的先进性，设计方案的亮点与特色等方面，进行综合评分</w:t>
            </w:r>
            <w:r>
              <w:rPr>
                <w:rFonts w:hint="eastAsia" w:ascii="仿宋" w:hAnsi="仿宋" w:eastAsia="仿宋"/>
                <w:b/>
                <w:bCs w:val="0"/>
              </w:rPr>
              <w:t>。本项满分2</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1）提交的系统方案内容完整、合理、可行，得2</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2）提交的系统方案内容较完整、较合理、较为可行，得1</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3）提交的系统方案内容不够完整，功能欠完善，需要进行调整才能满足采购人使用需求，得8分；</w:t>
            </w:r>
          </w:p>
          <w:p>
            <w:pPr>
              <w:rPr>
                <w:rFonts w:ascii="仿宋" w:hAnsi="仿宋" w:eastAsia="仿宋"/>
                <w:b/>
                <w:bCs w:val="0"/>
              </w:rPr>
            </w:pPr>
            <w:r>
              <w:rPr>
                <w:rFonts w:hint="eastAsia" w:ascii="仿宋" w:hAnsi="仿宋" w:eastAsia="仿宋"/>
                <w:b/>
                <w:bCs w:val="0"/>
              </w:rPr>
              <w:t>4）未提交方案或提交的系统方案内容不完整、不合理、可行性差，得0分。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技术（整体服务方案1</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2.4</w:t>
            </w:r>
          </w:p>
        </w:tc>
        <w:tc>
          <w:tcPr>
            <w:tcW w:w="5652" w:type="dxa"/>
            <w:vAlign w:val="center"/>
          </w:tcPr>
          <w:p>
            <w:pPr>
              <w:rPr>
                <w:rFonts w:ascii="仿宋" w:hAnsi="仿宋" w:eastAsia="仿宋"/>
                <w:b/>
                <w:bCs w:val="0"/>
              </w:rPr>
            </w:pPr>
            <w:r>
              <w:rPr>
                <w:rFonts w:ascii="仿宋" w:hAnsi="仿宋" w:eastAsia="仿宋"/>
                <w:b/>
                <w:bCs w:val="0"/>
              </w:rPr>
              <w:t>根据投标人所提供的</w:t>
            </w:r>
            <w:r>
              <w:rPr>
                <w:rFonts w:hint="eastAsia" w:ascii="仿宋" w:hAnsi="仿宋" w:eastAsia="仿宋"/>
                <w:b/>
                <w:bCs w:val="0"/>
              </w:rPr>
              <w:t>整体服务方案，包括集成测试、测试赛、赛时及收尾各阶段的服务方案</w:t>
            </w:r>
            <w:r>
              <w:rPr>
                <w:rFonts w:ascii="仿宋" w:hAnsi="仿宋" w:eastAsia="仿宋"/>
                <w:b/>
                <w:bCs w:val="0"/>
              </w:rPr>
              <w:t>完整性、合理性、可行性等方面，进行综合评分，</w:t>
            </w:r>
            <w:r>
              <w:rPr>
                <w:rFonts w:hint="eastAsia" w:ascii="仿宋" w:hAnsi="仿宋" w:eastAsia="仿宋"/>
                <w:b/>
                <w:bCs w:val="0"/>
              </w:rPr>
              <w:t>本项满分1</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1）提交的服务方案内容完整、合理、可行，得1</w:t>
            </w:r>
            <w:r>
              <w:rPr>
                <w:rFonts w:ascii="仿宋" w:hAnsi="仿宋" w:eastAsia="仿宋"/>
                <w:b/>
                <w:bCs w:val="0"/>
              </w:rPr>
              <w:t>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2）提交的服务方案内容较完整、较合理、较为可行，得7分；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3）提交的服务方案内容不够完整，功能欠完善，需要进行调整才能满足采购人使用需求，得4分；</w:t>
            </w:r>
          </w:p>
          <w:p>
            <w:pPr>
              <w:rPr>
                <w:rFonts w:ascii="仿宋" w:hAnsi="仿宋" w:eastAsia="仿宋"/>
                <w:b/>
                <w:bCs w:val="0"/>
              </w:rPr>
            </w:pPr>
            <w:r>
              <w:rPr>
                <w:rFonts w:hint="eastAsia" w:ascii="仿宋" w:hAnsi="仿宋" w:eastAsia="仿宋"/>
                <w:b/>
                <w:bCs w:val="0"/>
              </w:rPr>
              <w:t>4）未提交方案或提交的服务方案内容不完整、不合理、可行性差，得0分。</w:t>
            </w:r>
          </w:p>
        </w:tc>
        <w:tc>
          <w:tcPr>
            <w:tcW w:w="879"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w:t>
            </w:r>
            <w:r>
              <w:rPr>
                <w:rFonts w:ascii="仿宋" w:hAnsi="仿宋" w:eastAsia="仿宋"/>
                <w:b/>
                <w:bCs w:val="0"/>
              </w:rPr>
              <w:t>应急预案5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2.5</w:t>
            </w:r>
          </w:p>
        </w:tc>
        <w:tc>
          <w:tcPr>
            <w:tcW w:w="5652" w:type="dxa"/>
            <w:vAlign w:val="center"/>
          </w:tcPr>
          <w:p>
            <w:pPr>
              <w:rPr>
                <w:rFonts w:ascii="仿宋" w:hAnsi="仿宋" w:eastAsia="仿宋"/>
                <w:b/>
                <w:bCs w:val="0"/>
              </w:rPr>
            </w:pPr>
            <w:r>
              <w:rPr>
                <w:rFonts w:ascii="仿宋" w:hAnsi="仿宋" w:eastAsia="仿宋"/>
                <w:b/>
                <w:bCs w:val="0"/>
              </w:rPr>
              <w:t>根据投标人所提供的应急预案完整性、合理性、可行性等方面，进行综合评分，本</w:t>
            </w:r>
            <w:r>
              <w:rPr>
                <w:rFonts w:hint="eastAsia" w:ascii="仿宋" w:hAnsi="仿宋" w:eastAsia="仿宋"/>
                <w:b/>
                <w:bCs w:val="0"/>
              </w:rPr>
              <w:t>项满分5分。</w:t>
            </w:r>
          </w:p>
          <w:p>
            <w:pPr>
              <w:rPr>
                <w:rFonts w:ascii="仿宋" w:hAnsi="仿宋" w:eastAsia="仿宋"/>
                <w:b/>
                <w:bCs w:val="0"/>
              </w:rPr>
            </w:pPr>
            <w:r>
              <w:rPr>
                <w:rFonts w:hint="eastAsia" w:ascii="仿宋" w:hAnsi="仿宋" w:eastAsia="仿宋"/>
                <w:b/>
                <w:bCs w:val="0"/>
              </w:rPr>
              <w:t>1）提交的应急预案内容完整、合理、可行，得5分；</w:t>
            </w:r>
          </w:p>
          <w:p>
            <w:pPr>
              <w:rPr>
                <w:rFonts w:ascii="仿宋" w:hAnsi="仿宋" w:eastAsia="仿宋"/>
                <w:b/>
                <w:bCs w:val="0"/>
              </w:rPr>
            </w:pPr>
            <w:r>
              <w:rPr>
                <w:rFonts w:hint="eastAsia" w:ascii="仿宋" w:hAnsi="仿宋" w:eastAsia="仿宋"/>
                <w:b/>
                <w:bCs w:val="0"/>
              </w:rPr>
              <w:t>2）提交的应急预案内容较完整、较合理、较为可行，得3分；</w:t>
            </w:r>
          </w:p>
          <w:p>
            <w:pPr>
              <w:rPr>
                <w:rFonts w:ascii="仿宋" w:hAnsi="仿宋" w:eastAsia="仿宋"/>
                <w:b/>
                <w:bCs w:val="0"/>
              </w:rPr>
            </w:pPr>
            <w:r>
              <w:rPr>
                <w:rFonts w:hint="eastAsia" w:ascii="仿宋" w:hAnsi="仿宋" w:eastAsia="仿宋"/>
                <w:b/>
                <w:bCs w:val="0"/>
              </w:rPr>
              <w:t>3）提交的应急预案内容不够完整，功能欠完善，需要进行调整才能满足采购人使用需求，得1分；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4）未提交预案或提交的应急预案内容不完整、不合理、可行性差，得0分。</w:t>
            </w:r>
          </w:p>
        </w:tc>
        <w:tc>
          <w:tcPr>
            <w:tcW w:w="879"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技术（进度</w:t>
            </w:r>
            <w:r>
              <w:rPr>
                <w:rFonts w:ascii="仿宋" w:hAnsi="仿宋" w:eastAsia="仿宋"/>
                <w:b/>
                <w:bCs w:val="0"/>
              </w:rPr>
              <w:t>管理计划</w:t>
            </w:r>
          </w:p>
          <w:p>
            <w:pPr>
              <w:rPr>
                <w:rFonts w:ascii="仿宋" w:hAnsi="仿宋" w:eastAsia="仿宋"/>
                <w:b/>
                <w:bCs w:val="0"/>
              </w:rPr>
            </w:pP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2.6</w:t>
            </w:r>
          </w:p>
        </w:tc>
        <w:tc>
          <w:tcPr>
            <w:tcW w:w="5652" w:type="dxa"/>
            <w:vAlign w:val="center"/>
          </w:tcPr>
          <w:p>
            <w:pPr>
              <w:rPr>
                <w:rFonts w:ascii="仿宋" w:hAnsi="仿宋" w:eastAsia="仿宋"/>
                <w:b/>
                <w:bCs w:val="0"/>
              </w:rPr>
            </w:pPr>
            <w:r>
              <w:rPr>
                <w:rFonts w:ascii="仿宋" w:hAnsi="仿宋" w:eastAsia="仿宋"/>
                <w:b/>
                <w:bCs w:val="0"/>
              </w:rPr>
              <w:t>根据投标人</w:t>
            </w:r>
            <w:r>
              <w:rPr>
                <w:rFonts w:hint="eastAsia" w:ascii="仿宋" w:hAnsi="仿宋" w:eastAsia="仿宋"/>
                <w:b/>
                <w:bCs w:val="0"/>
              </w:rPr>
              <w:t>所</w:t>
            </w:r>
            <w:r>
              <w:rPr>
                <w:rFonts w:ascii="仿宋" w:hAnsi="仿宋" w:eastAsia="仿宋"/>
                <w:b/>
                <w:bCs w:val="0"/>
              </w:rPr>
              <w:t>提供的项目</w:t>
            </w:r>
            <w:r>
              <w:rPr>
                <w:rFonts w:hint="eastAsia" w:ascii="仿宋" w:hAnsi="仿宋" w:eastAsia="仿宋"/>
                <w:b/>
                <w:bCs w:val="0"/>
              </w:rPr>
              <w:t>进度</w:t>
            </w:r>
            <w:r>
              <w:rPr>
                <w:rFonts w:ascii="仿宋" w:hAnsi="仿宋" w:eastAsia="仿宋"/>
                <w:b/>
                <w:bCs w:val="0"/>
              </w:rPr>
              <w:t>管理计划完整性</w:t>
            </w:r>
            <w:r>
              <w:rPr>
                <w:rFonts w:hint="eastAsia" w:ascii="仿宋" w:hAnsi="仿宋" w:eastAsia="仿宋"/>
                <w:b/>
                <w:bCs w:val="0"/>
              </w:rPr>
              <w:t>、</w:t>
            </w:r>
            <w:r>
              <w:rPr>
                <w:rFonts w:ascii="仿宋" w:hAnsi="仿宋" w:eastAsia="仿宋"/>
                <w:b/>
                <w:bCs w:val="0"/>
              </w:rPr>
              <w:t>合理</w:t>
            </w:r>
            <w:r>
              <w:rPr>
                <w:rFonts w:hint="eastAsia" w:ascii="仿宋" w:hAnsi="仿宋" w:eastAsia="仿宋"/>
                <w:b/>
                <w:bCs w:val="0"/>
              </w:rPr>
              <w:t>性</w:t>
            </w:r>
            <w:r>
              <w:rPr>
                <w:rFonts w:ascii="仿宋" w:hAnsi="仿宋" w:eastAsia="仿宋"/>
                <w:b/>
                <w:bCs w:val="0"/>
              </w:rPr>
              <w:t>、可行性等方面，进行综合评分，</w:t>
            </w:r>
            <w:r>
              <w:rPr>
                <w:rFonts w:hint="eastAsia" w:ascii="仿宋" w:hAnsi="仿宋" w:eastAsia="仿宋"/>
                <w:b/>
                <w:bCs w:val="0"/>
              </w:rPr>
              <w:t>本项满分5分</w:t>
            </w:r>
            <w:r>
              <w:rPr>
                <w:rFonts w:ascii="仿宋" w:hAnsi="仿宋" w:eastAsia="仿宋"/>
                <w:b/>
                <w:bCs w:val="0"/>
              </w:rPr>
              <w:t>。</w:t>
            </w:r>
          </w:p>
          <w:p>
            <w:pPr>
              <w:rPr>
                <w:rFonts w:ascii="仿宋" w:hAnsi="仿宋" w:eastAsia="仿宋"/>
                <w:b/>
                <w:bCs w:val="0"/>
              </w:rPr>
            </w:pPr>
            <w:r>
              <w:rPr>
                <w:rFonts w:hint="eastAsia" w:ascii="仿宋" w:hAnsi="仿宋" w:eastAsia="仿宋"/>
                <w:b/>
                <w:bCs w:val="0"/>
              </w:rPr>
              <w:t>1）提交的</w:t>
            </w:r>
            <w:r>
              <w:rPr>
                <w:rFonts w:ascii="仿宋" w:hAnsi="仿宋" w:eastAsia="仿宋"/>
                <w:b/>
                <w:bCs w:val="0"/>
              </w:rPr>
              <w:t>项目</w:t>
            </w:r>
            <w:r>
              <w:rPr>
                <w:rFonts w:hint="eastAsia" w:ascii="仿宋" w:hAnsi="仿宋" w:eastAsia="仿宋"/>
                <w:b/>
                <w:bCs w:val="0"/>
              </w:rPr>
              <w:t>进度</w:t>
            </w:r>
            <w:r>
              <w:rPr>
                <w:rFonts w:ascii="仿宋" w:hAnsi="仿宋" w:eastAsia="仿宋"/>
                <w:b/>
                <w:bCs w:val="0"/>
              </w:rPr>
              <w:t>管理计划</w:t>
            </w:r>
            <w:r>
              <w:rPr>
                <w:rFonts w:hint="eastAsia" w:ascii="仿宋" w:hAnsi="仿宋" w:eastAsia="仿宋"/>
                <w:b/>
                <w:bCs w:val="0"/>
              </w:rPr>
              <w:t>内容完整、合理、可行，得5分；</w:t>
            </w:r>
          </w:p>
          <w:p>
            <w:pPr>
              <w:rPr>
                <w:rFonts w:ascii="仿宋" w:hAnsi="仿宋" w:eastAsia="仿宋"/>
                <w:b/>
                <w:bCs w:val="0"/>
              </w:rPr>
            </w:pPr>
            <w:r>
              <w:rPr>
                <w:rFonts w:hint="eastAsia" w:ascii="仿宋" w:hAnsi="仿宋" w:eastAsia="仿宋"/>
                <w:b/>
                <w:bCs w:val="0"/>
              </w:rPr>
              <w:t>2）提交的</w:t>
            </w:r>
            <w:r>
              <w:rPr>
                <w:rFonts w:ascii="仿宋" w:hAnsi="仿宋" w:eastAsia="仿宋"/>
                <w:b/>
                <w:bCs w:val="0"/>
              </w:rPr>
              <w:t>项目</w:t>
            </w:r>
            <w:r>
              <w:rPr>
                <w:rFonts w:hint="eastAsia" w:ascii="仿宋" w:hAnsi="仿宋" w:eastAsia="仿宋"/>
                <w:b/>
                <w:bCs w:val="0"/>
              </w:rPr>
              <w:t>进度</w:t>
            </w:r>
            <w:r>
              <w:rPr>
                <w:rFonts w:ascii="仿宋" w:hAnsi="仿宋" w:eastAsia="仿宋"/>
                <w:b/>
                <w:bCs w:val="0"/>
              </w:rPr>
              <w:t>管理计划</w:t>
            </w:r>
            <w:r>
              <w:rPr>
                <w:rFonts w:hint="eastAsia" w:ascii="仿宋" w:hAnsi="仿宋" w:eastAsia="仿宋"/>
                <w:b/>
                <w:bCs w:val="0"/>
              </w:rPr>
              <w:t>内容较完整、较合理、较为可行，得3分；</w:t>
            </w:r>
          </w:p>
          <w:p>
            <w:pPr>
              <w:rPr>
                <w:rFonts w:ascii="仿宋" w:hAnsi="仿宋" w:eastAsia="仿宋"/>
                <w:b/>
                <w:bCs w:val="0"/>
              </w:rPr>
            </w:pPr>
            <w:r>
              <w:rPr>
                <w:rFonts w:hint="eastAsia" w:ascii="仿宋" w:hAnsi="仿宋" w:eastAsia="仿宋"/>
                <w:b/>
                <w:bCs w:val="0"/>
              </w:rPr>
              <w:t>3）提交的</w:t>
            </w:r>
            <w:r>
              <w:rPr>
                <w:rFonts w:ascii="仿宋" w:hAnsi="仿宋" w:eastAsia="仿宋"/>
                <w:b/>
                <w:bCs w:val="0"/>
              </w:rPr>
              <w:t>项目</w:t>
            </w:r>
            <w:r>
              <w:rPr>
                <w:rFonts w:hint="eastAsia" w:ascii="仿宋" w:hAnsi="仿宋" w:eastAsia="仿宋"/>
                <w:b/>
                <w:bCs w:val="0"/>
              </w:rPr>
              <w:t>进度</w:t>
            </w:r>
            <w:r>
              <w:rPr>
                <w:rFonts w:ascii="仿宋" w:hAnsi="仿宋" w:eastAsia="仿宋"/>
                <w:b/>
                <w:bCs w:val="0"/>
              </w:rPr>
              <w:t>管理计划</w:t>
            </w:r>
            <w:r>
              <w:rPr>
                <w:rFonts w:hint="eastAsia" w:ascii="仿宋" w:hAnsi="仿宋" w:eastAsia="仿宋"/>
                <w:b/>
                <w:bCs w:val="0"/>
              </w:rPr>
              <w:t>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4）未提交计划或提交的</w:t>
            </w:r>
            <w:r>
              <w:rPr>
                <w:rFonts w:ascii="仿宋" w:hAnsi="仿宋" w:eastAsia="仿宋"/>
                <w:b/>
                <w:bCs w:val="0"/>
              </w:rPr>
              <w:t>项目</w:t>
            </w:r>
            <w:r>
              <w:rPr>
                <w:rFonts w:hint="eastAsia" w:ascii="仿宋" w:hAnsi="仿宋" w:eastAsia="仿宋"/>
                <w:b/>
                <w:bCs w:val="0"/>
              </w:rPr>
              <w:t>进度</w:t>
            </w:r>
            <w:r>
              <w:rPr>
                <w:rFonts w:ascii="仿宋" w:hAnsi="仿宋" w:eastAsia="仿宋"/>
                <w:b/>
                <w:bCs w:val="0"/>
              </w:rPr>
              <w:t>管理计划</w:t>
            </w:r>
            <w:r>
              <w:rPr>
                <w:rFonts w:hint="eastAsia" w:ascii="仿宋" w:hAnsi="仿宋" w:eastAsia="仿宋"/>
                <w:b/>
                <w:bCs w:val="0"/>
              </w:rPr>
              <w:t>内容不完整、不合理、可行性差，得0分。</w:t>
            </w:r>
          </w:p>
        </w:tc>
        <w:tc>
          <w:tcPr>
            <w:tcW w:w="879"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0" w:type="dxa"/>
            <w:vAlign w:val="center"/>
          </w:tcPr>
          <w:p>
            <w:pPr>
              <w:rPr>
                <w:rFonts w:ascii="仿宋" w:hAnsi="仿宋" w:eastAsia="仿宋"/>
                <w:b/>
                <w:bCs w:val="0"/>
              </w:rPr>
            </w:pPr>
            <w:r>
              <w:rPr>
                <w:rFonts w:hint="eastAsia" w:ascii="仿宋" w:hAnsi="仿宋" w:eastAsia="仿宋"/>
                <w:b/>
                <w:bCs w:val="0"/>
              </w:rPr>
              <w:t>技术（</w:t>
            </w:r>
            <w:r>
              <w:rPr>
                <w:rFonts w:ascii="仿宋" w:hAnsi="仿宋" w:eastAsia="仿宋"/>
                <w:b/>
                <w:bCs w:val="0"/>
              </w:rPr>
              <w:t>人员管理计划</w:t>
            </w:r>
          </w:p>
          <w:p>
            <w:pPr>
              <w:rPr>
                <w:rFonts w:ascii="仿宋" w:hAnsi="仿宋" w:eastAsia="仿宋"/>
                <w:b/>
                <w:bCs w:val="0"/>
              </w:rPr>
            </w:pP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2.7</w:t>
            </w:r>
          </w:p>
        </w:tc>
        <w:tc>
          <w:tcPr>
            <w:tcW w:w="5652" w:type="dxa"/>
            <w:vAlign w:val="center"/>
          </w:tcPr>
          <w:p>
            <w:pPr>
              <w:rPr>
                <w:rFonts w:ascii="仿宋" w:hAnsi="仿宋" w:eastAsia="仿宋"/>
                <w:b/>
                <w:bCs w:val="0"/>
              </w:rPr>
            </w:pPr>
            <w:r>
              <w:rPr>
                <w:rFonts w:ascii="仿宋" w:hAnsi="仿宋" w:eastAsia="仿宋"/>
                <w:b/>
                <w:bCs w:val="0"/>
              </w:rPr>
              <w:t>根据投标人提供的项目人员管理计划、项目总体人员配置计划以及主要人员的到岗时间计划，从人员配备是否合理、职责是否清晰、数量是否能够满足采购人使用需要、管理制度是否健全等方面，进行综合评分，</w:t>
            </w:r>
            <w:r>
              <w:rPr>
                <w:rFonts w:hint="eastAsia" w:ascii="仿宋" w:hAnsi="仿宋" w:eastAsia="仿宋"/>
                <w:b/>
                <w:bCs w:val="0"/>
              </w:rPr>
              <w:t>本项满分5分</w:t>
            </w:r>
            <w:r>
              <w:rPr>
                <w:rFonts w:ascii="仿宋" w:hAnsi="仿宋" w:eastAsia="仿宋"/>
                <w:b/>
                <w:bCs w:val="0"/>
              </w:rPr>
              <w:t>。</w:t>
            </w:r>
          </w:p>
          <w:p>
            <w:pPr>
              <w:numPr>
                <w:ilvl w:val="255"/>
                <w:numId w:val="0"/>
              </w:numPr>
              <w:jc w:val="left"/>
              <w:rPr>
                <w:rFonts w:ascii="仿宋" w:hAnsi="仿宋" w:eastAsia="仿宋"/>
                <w:b/>
                <w:bCs w:val="0"/>
              </w:rPr>
            </w:pPr>
            <w:r>
              <w:rPr>
                <w:rFonts w:hint="eastAsia" w:ascii="仿宋" w:hAnsi="仿宋" w:eastAsia="仿宋"/>
                <w:b/>
                <w:bCs w:val="0"/>
              </w:rPr>
              <w:t>1）所配备的人员岗位明确、数量合理，能够很好的满足采购人使用需要，得5分；</w:t>
            </w:r>
          </w:p>
          <w:p>
            <w:pPr>
              <w:numPr>
                <w:ilvl w:val="255"/>
                <w:numId w:val="0"/>
              </w:numPr>
              <w:jc w:val="left"/>
              <w:rPr>
                <w:b/>
                <w:bCs w:val="0"/>
              </w:rPr>
            </w:pPr>
            <w:r>
              <w:rPr>
                <w:rFonts w:hint="eastAsia" w:ascii="仿宋" w:hAnsi="仿宋" w:eastAsia="仿宋"/>
                <w:b/>
                <w:bCs w:val="0"/>
              </w:rPr>
              <w:t>2）所配备的人员岗位基本明确、数量基本合理，能较好满足采购人使用需要，得3分；</w:t>
            </w:r>
          </w:p>
          <w:p>
            <w:pPr>
              <w:jc w:val="left"/>
              <w:rPr>
                <w:rFonts w:ascii="仿宋" w:hAnsi="仿宋" w:eastAsia="仿宋"/>
                <w:b/>
                <w:bCs w:val="0"/>
              </w:rPr>
            </w:pPr>
            <w:r>
              <w:rPr>
                <w:rFonts w:hint="eastAsia" w:ascii="仿宋" w:hAnsi="仿宋" w:eastAsia="仿宋"/>
                <w:b/>
                <w:bCs w:val="0"/>
              </w:rPr>
              <w:t>3）提供了人员计划，但所提供人员岗位设置欠合理或和数量不足，与采购人使用需要存在一定偏差，得1分；</w:t>
            </w:r>
          </w:p>
          <w:p>
            <w:pPr>
              <w:rPr>
                <w:rFonts w:ascii="仿宋" w:hAnsi="仿宋" w:eastAsia="仿宋"/>
                <w:b/>
                <w:bCs w:val="0"/>
              </w:rPr>
            </w:pPr>
            <w:r>
              <w:rPr>
                <w:rFonts w:hint="eastAsia" w:ascii="仿宋" w:hAnsi="仿宋" w:eastAsia="仿宋"/>
                <w:b/>
                <w:bCs w:val="0"/>
              </w:rPr>
              <w:t>4）未提交人员计划或提交的人员计划与采购人使用需要有较大偏差的，得0分。</w:t>
            </w:r>
          </w:p>
        </w:tc>
        <w:tc>
          <w:tcPr>
            <w:tcW w:w="879"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bl>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p>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p>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r>
        <w:rPr>
          <w:rFonts w:ascii="仿宋_GB2312" w:hAnsi="宋体" w:eastAsia="仿宋_GB2312"/>
          <w:b/>
          <w:color w:val="000000" w:themeColor="text1"/>
          <w:sz w:val="32"/>
          <w:szCs w:val="32"/>
          <w14:textFill>
            <w14:solidFill>
              <w14:schemeClr w14:val="tx1"/>
            </w14:solidFill>
          </w14:textFill>
        </w:rPr>
        <w:t>标项</w:t>
      </w:r>
      <w:r>
        <w:rPr>
          <w:rFonts w:hint="eastAsia" w:ascii="仿宋_GB2312" w:hAnsi="宋体" w:eastAsia="仿宋_GB2312"/>
          <w:b/>
          <w:color w:val="000000" w:themeColor="text1"/>
          <w:sz w:val="32"/>
          <w:szCs w:val="32"/>
          <w14:textFill>
            <w14:solidFill>
              <w14:schemeClr w14:val="tx1"/>
            </w14:solidFill>
          </w14:textFill>
        </w:rPr>
        <w:t>4</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768"/>
        <w:gridCol w:w="5652"/>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评分</w:t>
            </w:r>
          </w:p>
          <w:p>
            <w:pPr>
              <w:spacing w:before="156" w:beforeLines="50" w:after="156" w:afterLines="50" w:line="276" w:lineRule="auto"/>
              <w:rPr>
                <w:rFonts w:ascii="仿宋" w:hAnsi="仿宋" w:eastAsia="仿宋"/>
                <w:b/>
                <w:bCs w:val="0"/>
              </w:rPr>
            </w:pPr>
            <w:r>
              <w:rPr>
                <w:rFonts w:hint="eastAsia" w:ascii="仿宋_GB2312" w:hAnsi="宋体" w:eastAsia="仿宋_GB2312"/>
                <w:b/>
                <w:bCs w:val="0"/>
                <w:color w:val="000000"/>
                <w:szCs w:val="21"/>
              </w:rPr>
              <w:t>类型</w:t>
            </w:r>
          </w:p>
        </w:tc>
        <w:tc>
          <w:tcPr>
            <w:tcW w:w="768"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序号</w:t>
            </w:r>
          </w:p>
        </w:tc>
        <w:tc>
          <w:tcPr>
            <w:tcW w:w="5652" w:type="dxa"/>
          </w:tcPr>
          <w:p>
            <w:pPr>
              <w:spacing w:before="156" w:beforeLines="50" w:after="156" w:afterLines="50" w:line="276" w:lineRule="auto"/>
              <w:jc w:val="center"/>
              <w:rPr>
                <w:rFonts w:ascii="仿宋" w:hAnsi="仿宋" w:eastAsia="仿宋"/>
                <w:b/>
                <w:bCs w:val="0"/>
              </w:rPr>
            </w:pPr>
            <w:r>
              <w:rPr>
                <w:rFonts w:hint="eastAsia" w:ascii="仿宋_GB2312" w:hAnsi="宋体" w:eastAsia="仿宋_GB2312"/>
                <w:b/>
                <w:bCs w:val="0"/>
                <w:color w:val="000000"/>
                <w:szCs w:val="21"/>
              </w:rPr>
              <w:t>评分标准</w:t>
            </w:r>
          </w:p>
        </w:tc>
        <w:tc>
          <w:tcPr>
            <w:tcW w:w="867" w:type="dxa"/>
          </w:tcPr>
          <w:p>
            <w:pPr>
              <w:spacing w:before="156" w:beforeLines="50" w:after="156" w:afterLines="50" w:line="276" w:lineRule="auto"/>
              <w:rPr>
                <w:rFonts w:ascii="仿宋_GB2312" w:hAnsi="宋体" w:eastAsia="仿宋_GB2312"/>
                <w:b/>
                <w:bCs w:val="0"/>
                <w:color w:val="000000"/>
                <w:szCs w:val="21"/>
              </w:rPr>
            </w:pPr>
            <w:r>
              <w:rPr>
                <w:rFonts w:hint="eastAsia" w:ascii="仿宋_GB2312" w:hAnsi="宋体" w:eastAsia="仿宋_GB2312"/>
                <w:b/>
                <w:bCs w:val="0"/>
                <w:color w:val="000000"/>
                <w:szCs w:val="21"/>
              </w:rPr>
              <w:t>分值</w:t>
            </w:r>
          </w:p>
          <w:p>
            <w:pPr>
              <w:spacing w:before="156" w:beforeLines="50" w:after="156" w:afterLines="50" w:line="276" w:lineRule="auto"/>
              <w:rPr>
                <w:rFonts w:ascii="仿宋" w:hAnsi="仿宋" w:eastAsia="仿宋"/>
                <w:b/>
                <w:bCs w:val="0"/>
              </w:rPr>
            </w:pPr>
            <w:r>
              <w:rPr>
                <w:rFonts w:hint="eastAsia" w:ascii="仿宋_GB2312" w:hAnsi="宋体" w:eastAsia="仿宋_GB2312"/>
                <w:b/>
                <w:bCs w:val="0"/>
                <w:color w:val="000000"/>
                <w:szCs w:val="21"/>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hint="eastAsia" w:ascii="仿宋" w:hAnsi="仿宋" w:eastAsia="仿宋"/>
                <w:b/>
                <w:bCs w:val="0"/>
              </w:rPr>
              <w:t>投标</w:t>
            </w:r>
          </w:p>
          <w:p>
            <w:pPr>
              <w:rPr>
                <w:rFonts w:ascii="仿宋" w:hAnsi="仿宋" w:eastAsia="仿宋"/>
                <w:b/>
                <w:bCs w:val="0"/>
              </w:rPr>
            </w:pPr>
            <w:r>
              <w:rPr>
                <w:rFonts w:hint="eastAsia" w:ascii="仿宋" w:hAnsi="仿宋" w:eastAsia="仿宋"/>
                <w:b/>
                <w:bCs w:val="0"/>
              </w:rPr>
              <w:t>报价</w:t>
            </w:r>
          </w:p>
          <w:p>
            <w:pPr>
              <w:rPr>
                <w:rFonts w:ascii="仿宋" w:hAnsi="仿宋" w:eastAsia="仿宋"/>
                <w:b/>
                <w:bCs w:val="0"/>
              </w:rPr>
            </w:pPr>
            <w:r>
              <w:rPr>
                <w:rFonts w:hint="eastAsia" w:ascii="仿宋" w:hAnsi="仿宋" w:eastAsia="仿宋"/>
                <w:b/>
                <w:bCs w:val="0"/>
              </w:rPr>
              <w:t>（</w:t>
            </w:r>
            <w:r>
              <w:rPr>
                <w:rFonts w:ascii="仿宋" w:hAnsi="仿宋" w:eastAsia="仿宋"/>
                <w:b/>
                <w:bCs w:val="0"/>
              </w:rPr>
              <w:t>1</w:t>
            </w:r>
            <w:r>
              <w:rPr>
                <w:rFonts w:hint="eastAsia" w:ascii="仿宋" w:hAnsi="仿宋" w:eastAsia="仿宋"/>
                <w:b/>
                <w:bCs w:val="0"/>
              </w:rPr>
              <w:t>0分）</w:t>
            </w:r>
          </w:p>
        </w:tc>
        <w:tc>
          <w:tcPr>
            <w:tcW w:w="768" w:type="dxa"/>
            <w:vAlign w:val="center"/>
          </w:tcPr>
          <w:p>
            <w:pPr>
              <w:rPr>
                <w:rFonts w:ascii="仿宋" w:hAnsi="仿宋" w:eastAsia="仿宋"/>
                <w:b/>
                <w:bCs w:val="0"/>
              </w:rPr>
            </w:pPr>
            <w:r>
              <w:rPr>
                <w:rFonts w:hint="eastAsia" w:ascii="仿宋" w:hAnsi="仿宋" w:eastAsia="仿宋"/>
                <w:b/>
                <w:bCs w:val="0"/>
              </w:rPr>
              <w:t>1</w:t>
            </w:r>
          </w:p>
        </w:tc>
        <w:tc>
          <w:tcPr>
            <w:tcW w:w="5652" w:type="dxa"/>
            <w:vAlign w:val="center"/>
          </w:tcPr>
          <w:p>
            <w:pPr>
              <w:rPr>
                <w:rFonts w:ascii="仿宋" w:hAnsi="仿宋" w:eastAsia="仿宋"/>
                <w:b/>
                <w:bCs w:val="0"/>
              </w:rPr>
            </w:pPr>
            <w:r>
              <w:rPr>
                <w:rFonts w:hint="eastAsia" w:ascii="仿宋" w:hAnsi="仿宋" w:eastAsia="仿宋"/>
                <w:b/>
                <w:bCs w:val="0"/>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b/>
                <w:bCs w:val="0"/>
              </w:rPr>
            </w:pPr>
            <w:r>
              <w:rPr>
                <w:rFonts w:hint="eastAsia" w:ascii="仿宋" w:hAnsi="仿宋" w:eastAsia="仿宋"/>
                <w:b/>
                <w:bCs w:val="0"/>
              </w:rPr>
              <w:t xml:space="preserve">投标报价得分=(评标基准价／投标报价)×价格权值×100               </w:t>
            </w:r>
          </w:p>
          <w:p>
            <w:pPr>
              <w:rPr>
                <w:rFonts w:ascii="仿宋" w:hAnsi="仿宋" w:eastAsia="仿宋"/>
                <w:b/>
                <w:bCs w:val="0"/>
              </w:rPr>
            </w:pPr>
            <w:r>
              <w:rPr>
                <w:rFonts w:hint="eastAsia" w:ascii="仿宋" w:hAnsi="仿宋" w:eastAsia="仿宋"/>
                <w:b/>
                <w:bCs w:val="0"/>
              </w:rPr>
              <w:t>计算分数时四舍五入取小数点后两位</w:t>
            </w:r>
          </w:p>
          <w:p>
            <w:pPr>
              <w:rPr>
                <w:rFonts w:ascii="仿宋" w:hAnsi="仿宋" w:eastAsia="仿宋"/>
                <w:b/>
                <w:bCs w:val="0"/>
              </w:rPr>
            </w:pPr>
            <w:r>
              <w:rPr>
                <w:rFonts w:hint="eastAsia" w:ascii="仿宋" w:hAnsi="仿宋" w:eastAsia="仿宋"/>
                <w:b/>
                <w:bCs w:val="0"/>
              </w:rPr>
              <w:t>注：（1）根据《政府采购促进中小企业发展管理办法》的相关规定，对小型和微型企业的价格给予6%的扣除，用扣除后的价格参与评审。</w:t>
            </w:r>
          </w:p>
          <w:p>
            <w:pPr>
              <w:rPr>
                <w:rFonts w:ascii="仿宋" w:hAnsi="仿宋" w:eastAsia="仿宋"/>
                <w:b/>
                <w:bCs w:val="0"/>
              </w:rPr>
            </w:pPr>
            <w:r>
              <w:rPr>
                <w:rFonts w:hint="eastAsia" w:ascii="仿宋" w:hAnsi="仿宋" w:eastAsia="仿宋"/>
                <w:b/>
                <w:bCs w:val="0"/>
              </w:rPr>
              <w:t>（2）根据《财政部民政部中国残疾人联合会关于促进残疾人就业政府采购政策的通知》（财库〔2017〕141号）的规定，对符合条件的残疾人福利性单位设备的价格给予6%的扣除，用扣除后的价格参与评审。</w:t>
            </w:r>
          </w:p>
          <w:p>
            <w:pPr>
              <w:rPr>
                <w:rFonts w:ascii="仿宋" w:hAnsi="仿宋" w:eastAsia="仿宋"/>
                <w:b/>
                <w:bCs w:val="0"/>
              </w:rPr>
            </w:pPr>
            <w:r>
              <w:rPr>
                <w:rFonts w:hint="eastAsia" w:ascii="仿宋" w:hAnsi="仿宋" w:eastAsia="仿宋"/>
                <w:b/>
                <w:bCs w:val="0"/>
              </w:rPr>
              <w:t>小型、微型企业和监狱企业级符合财政部、民政部、中国残疾人联合会关于促进残疾人就业政府采购政策的通知，以上政策同时具备的仅对其进行一次6%的价格扣除，不重复扣除。</w:t>
            </w:r>
          </w:p>
        </w:tc>
        <w:tc>
          <w:tcPr>
            <w:tcW w:w="867"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ascii="仿宋" w:hAnsi="仿宋" w:eastAsia="仿宋"/>
                <w:b/>
                <w:bCs w:val="0"/>
              </w:rPr>
              <w:t>（投标</w:t>
            </w:r>
            <w:r>
              <w:rPr>
                <w:rFonts w:hint="eastAsia" w:ascii="仿宋" w:hAnsi="仿宋" w:eastAsia="仿宋"/>
                <w:b/>
                <w:bCs w:val="0"/>
              </w:rPr>
              <w:t>人</w:t>
            </w:r>
            <w:r>
              <w:rPr>
                <w:rFonts w:ascii="仿宋" w:hAnsi="仿宋" w:eastAsia="仿宋"/>
                <w:b/>
                <w:bCs w:val="0"/>
              </w:rPr>
              <w:t>业绩10</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1.1</w:t>
            </w:r>
          </w:p>
        </w:tc>
        <w:tc>
          <w:tcPr>
            <w:tcW w:w="5652" w:type="dxa"/>
            <w:vAlign w:val="center"/>
          </w:tcPr>
          <w:p>
            <w:pPr>
              <w:rPr>
                <w:rFonts w:ascii="仿宋" w:hAnsi="仿宋" w:eastAsia="仿宋"/>
                <w:b/>
                <w:bCs w:val="0"/>
              </w:rPr>
            </w:pPr>
            <w:r>
              <w:rPr>
                <w:rFonts w:hint="eastAsia" w:ascii="仿宋" w:hAnsi="仿宋" w:eastAsia="仿宋"/>
                <w:b/>
                <w:bCs w:val="0"/>
              </w:rPr>
              <w:t>投标人提供2</w:t>
            </w:r>
            <w:r>
              <w:rPr>
                <w:rFonts w:ascii="仿宋" w:hAnsi="仿宋" w:eastAsia="仿宋"/>
                <w:b/>
                <w:bCs w:val="0"/>
              </w:rPr>
              <w:t>016</w:t>
            </w:r>
            <w:r>
              <w:rPr>
                <w:rFonts w:hint="eastAsia" w:ascii="仿宋" w:hAnsi="仿宋" w:eastAsia="仿宋"/>
                <w:b/>
                <w:bCs w:val="0"/>
              </w:rPr>
              <w:t>年以来承担过全国性级别及以上综合性运动会中央成绩系统、信息发布系统、成绩处理系统、公共大屏显示控制系统、技术统计系统、评论员系统建设案例，每提供一个分项业务成功案例得0</w:t>
            </w:r>
            <w:r>
              <w:rPr>
                <w:rFonts w:ascii="仿宋" w:hAnsi="仿宋" w:eastAsia="仿宋"/>
                <w:b/>
                <w:bCs w:val="0"/>
              </w:rPr>
              <w:t>.5</w:t>
            </w:r>
            <w:r>
              <w:rPr>
                <w:rFonts w:hint="eastAsia" w:ascii="仿宋" w:hAnsi="仿宋" w:eastAsia="仿宋"/>
                <w:b/>
                <w:bCs w:val="0"/>
              </w:rPr>
              <w:t>分，满分1</w:t>
            </w:r>
            <w:r>
              <w:rPr>
                <w:rFonts w:ascii="仿宋" w:hAnsi="仿宋" w:eastAsia="仿宋"/>
                <w:b/>
                <w:bCs w:val="0"/>
              </w:rPr>
              <w:t>0</w:t>
            </w:r>
            <w:r>
              <w:rPr>
                <w:rFonts w:hint="eastAsia" w:ascii="仿宋" w:hAnsi="仿宋" w:eastAsia="仿宋"/>
                <w:b/>
                <w:bCs w:val="0"/>
              </w:rPr>
              <w:t>分；未提供合同或合同不符合要求，得0分。</w:t>
            </w:r>
          </w:p>
          <w:p>
            <w:pPr>
              <w:rPr>
                <w:rFonts w:ascii="仿宋" w:hAnsi="仿宋" w:eastAsia="仿宋"/>
                <w:b/>
                <w:bCs w:val="0"/>
              </w:rPr>
            </w:pPr>
            <w:r>
              <w:rPr>
                <w:rFonts w:hint="eastAsia" w:ascii="仿宋" w:hAnsi="仿宋" w:eastAsia="仿宋"/>
                <w:b/>
                <w:bCs w:val="0"/>
              </w:rPr>
              <w:t>注：案例以下列投标文件中的合同复印件及成功履行合同的证明材料为计分依据。投标文件中的合同复印件须加盖公章，未提供复印件的证明文件在计分时不予认可。</w:t>
            </w:r>
          </w:p>
          <w:p>
            <w:pPr>
              <w:rPr>
                <w:rFonts w:ascii="仿宋" w:hAnsi="仿宋" w:eastAsia="仿宋"/>
                <w:b/>
                <w:bCs w:val="0"/>
              </w:rPr>
            </w:pPr>
            <w:r>
              <w:rPr>
                <w:rFonts w:hint="eastAsia" w:ascii="仿宋" w:hAnsi="仿宋" w:eastAsia="仿宋"/>
                <w:b/>
                <w:bCs w:val="0"/>
              </w:rPr>
              <w:t>① 合同扫描件</w:t>
            </w:r>
            <w:r>
              <w:rPr>
                <w:rFonts w:hint="eastAsia" w:ascii="仿宋" w:hAnsi="仿宋" w:eastAsia="仿宋"/>
                <w:b/>
                <w:bCs w:val="0"/>
                <w:lang w:val="en-US" w:eastAsia="zh-CN"/>
              </w:rPr>
              <w:t>或复印件</w:t>
            </w:r>
            <w:r>
              <w:rPr>
                <w:rFonts w:hint="eastAsia" w:ascii="仿宋" w:hAnsi="仿宋" w:eastAsia="仿宋"/>
                <w:b/>
                <w:bCs w:val="0"/>
              </w:rPr>
              <w:t>，至少包括买卖双方名称及签字盖章页、服务内容；</w:t>
            </w:r>
          </w:p>
          <w:p>
            <w:pPr>
              <w:rPr>
                <w:rFonts w:ascii="仿宋" w:hAnsi="仿宋" w:eastAsia="仿宋"/>
                <w:b/>
                <w:bCs w:val="0"/>
              </w:rPr>
            </w:pPr>
            <w:r>
              <w:rPr>
                <w:rFonts w:hint="eastAsia" w:ascii="仿宋" w:hAnsi="仿宋" w:eastAsia="仿宋"/>
                <w:b/>
                <w:bCs w:val="0"/>
              </w:rPr>
              <w:t>② 用户盖章或签字的成功履行合同的证明材料</w:t>
            </w:r>
            <w:r>
              <w:rPr>
                <w:rFonts w:hint="eastAsia" w:ascii="仿宋" w:hAnsi="仿宋" w:eastAsia="仿宋"/>
                <w:b/>
                <w:bCs w:val="0"/>
                <w:lang w:val="en-US" w:eastAsia="zh-CN"/>
              </w:rPr>
              <w:t>扫描件或复印件</w:t>
            </w:r>
            <w:r>
              <w:rPr>
                <w:rFonts w:hint="eastAsia" w:ascii="仿宋" w:hAnsi="仿宋" w:eastAsia="仿宋"/>
                <w:b/>
                <w:bCs w:val="0"/>
              </w:rPr>
              <w:t>（验收证明或用户意见）。</w:t>
            </w:r>
          </w:p>
        </w:tc>
        <w:tc>
          <w:tcPr>
            <w:tcW w:w="867"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hint="eastAsia" w:ascii="仿宋" w:hAnsi="仿宋" w:eastAsia="仿宋"/>
                <w:b/>
                <w:bCs w:val="0"/>
              </w:rPr>
              <w:t>（</w:t>
            </w:r>
            <w:r>
              <w:rPr>
                <w:rFonts w:ascii="仿宋" w:hAnsi="仿宋" w:eastAsia="仿宋"/>
                <w:b/>
                <w:bCs w:val="0"/>
              </w:rPr>
              <w:t>项目负责人资质</w:t>
            </w:r>
          </w:p>
          <w:p>
            <w:pPr>
              <w:rPr>
                <w:rFonts w:ascii="仿宋" w:hAnsi="仿宋" w:eastAsia="仿宋"/>
                <w:b/>
                <w:bCs w:val="0"/>
              </w:rPr>
            </w:pPr>
            <w:r>
              <w:rPr>
                <w:rFonts w:ascii="仿宋" w:hAnsi="仿宋" w:eastAsia="仿宋"/>
                <w:b/>
                <w:bCs w:val="0"/>
              </w:rPr>
              <w:t>4</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1.2</w:t>
            </w:r>
          </w:p>
        </w:tc>
        <w:tc>
          <w:tcPr>
            <w:tcW w:w="5652" w:type="dxa"/>
            <w:vAlign w:val="center"/>
          </w:tcPr>
          <w:p>
            <w:pPr>
              <w:rPr>
                <w:rFonts w:ascii="仿宋" w:hAnsi="仿宋" w:eastAsia="仿宋"/>
                <w:b/>
                <w:bCs w:val="0"/>
              </w:rPr>
            </w:pPr>
            <w:r>
              <w:rPr>
                <w:rFonts w:ascii="仿宋" w:hAnsi="仿宋" w:eastAsia="仿宋"/>
                <w:b/>
                <w:bCs w:val="0"/>
              </w:rPr>
              <w:t>项目负责人具有信息化系统管理师</w:t>
            </w:r>
            <w:r>
              <w:rPr>
                <w:rFonts w:hint="eastAsia" w:ascii="仿宋" w:hAnsi="仿宋" w:eastAsia="仿宋"/>
                <w:b/>
                <w:bCs w:val="0"/>
              </w:rPr>
              <w:t>（高级）或P</w:t>
            </w:r>
            <w:r>
              <w:rPr>
                <w:rFonts w:ascii="仿宋" w:hAnsi="仿宋" w:eastAsia="仿宋"/>
                <w:b/>
                <w:bCs w:val="0"/>
              </w:rPr>
              <w:t>MP</w:t>
            </w:r>
            <w:r>
              <w:rPr>
                <w:rFonts w:hint="eastAsia" w:ascii="仿宋" w:hAnsi="仿宋" w:eastAsia="仿宋"/>
                <w:b/>
                <w:bCs w:val="0"/>
              </w:rPr>
              <w:t>项目管理师</w:t>
            </w:r>
            <w:r>
              <w:rPr>
                <w:rFonts w:ascii="仿宋" w:hAnsi="仿宋" w:eastAsia="仿宋"/>
                <w:b/>
                <w:bCs w:val="0"/>
              </w:rPr>
              <w:t>证书</w:t>
            </w:r>
            <w:r>
              <w:rPr>
                <w:rFonts w:hint="eastAsia" w:ascii="仿宋" w:hAnsi="仿宋" w:eastAsia="仿宋"/>
                <w:b/>
                <w:bCs w:val="0"/>
              </w:rPr>
              <w:t>得</w:t>
            </w:r>
            <w:r>
              <w:rPr>
                <w:rFonts w:ascii="仿宋" w:hAnsi="仿宋" w:eastAsia="仿宋"/>
                <w:b/>
                <w:bCs w:val="0"/>
              </w:rPr>
              <w:t>4</w:t>
            </w:r>
            <w:r>
              <w:rPr>
                <w:rFonts w:hint="eastAsia" w:ascii="仿宋" w:hAnsi="仿宋" w:eastAsia="仿宋"/>
                <w:b/>
                <w:bCs w:val="0"/>
              </w:rPr>
              <w:t>分。</w:t>
            </w:r>
          </w:p>
          <w:p>
            <w:pPr>
              <w:rPr>
                <w:rFonts w:ascii="仿宋" w:hAnsi="仿宋" w:eastAsia="仿宋"/>
                <w:b/>
                <w:bCs w:val="0"/>
              </w:rPr>
            </w:pPr>
            <w:r>
              <w:rPr>
                <w:rFonts w:ascii="仿宋" w:hAnsi="仿宋" w:eastAsia="仿宋"/>
                <w:b/>
                <w:bCs w:val="0"/>
              </w:rPr>
              <w:t>注</w:t>
            </w:r>
            <w:r>
              <w:rPr>
                <w:rFonts w:hint="eastAsia" w:ascii="仿宋" w:hAnsi="仿宋" w:eastAsia="仿宋"/>
                <w:b/>
                <w:bCs w:val="0"/>
              </w:rPr>
              <w:t>：</w:t>
            </w:r>
            <w:r>
              <w:rPr>
                <w:rFonts w:ascii="仿宋" w:hAnsi="仿宋" w:eastAsia="仿宋"/>
                <w:b/>
                <w:bCs w:val="0"/>
              </w:rPr>
              <w:t>须</w:t>
            </w:r>
            <w:r>
              <w:rPr>
                <w:rFonts w:hint="eastAsia" w:ascii="仿宋" w:hAnsi="仿宋" w:eastAsia="仿宋"/>
                <w:b/>
                <w:bCs w:val="0"/>
              </w:rPr>
              <w:t>提供相应证书和该人员在投标企业近六个月内任意一个月的社保证明复印件加盖公章，否则不得分。</w:t>
            </w:r>
          </w:p>
        </w:tc>
        <w:tc>
          <w:tcPr>
            <w:tcW w:w="867"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商务</w:t>
            </w:r>
            <w:r>
              <w:rPr>
                <w:rFonts w:hint="eastAsia" w:ascii="仿宋" w:hAnsi="仿宋" w:eastAsia="仿宋"/>
                <w:b/>
                <w:bCs w:val="0"/>
              </w:rPr>
              <w:t>资信</w:t>
            </w:r>
          </w:p>
          <w:p>
            <w:pPr>
              <w:rPr>
                <w:rFonts w:ascii="仿宋" w:hAnsi="仿宋" w:eastAsia="仿宋"/>
                <w:b/>
                <w:bCs w:val="0"/>
              </w:rPr>
            </w:pPr>
            <w:r>
              <w:rPr>
                <w:rFonts w:hint="eastAsia" w:ascii="仿宋" w:hAnsi="仿宋" w:eastAsia="仿宋"/>
                <w:b/>
                <w:bCs w:val="0"/>
              </w:rPr>
              <w:t>（</w:t>
            </w:r>
            <w:r>
              <w:rPr>
                <w:rFonts w:ascii="仿宋" w:hAnsi="仿宋" w:eastAsia="仿宋"/>
                <w:b/>
                <w:bCs w:val="0"/>
              </w:rPr>
              <w:t>团队成员6</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1.3</w:t>
            </w:r>
          </w:p>
        </w:tc>
        <w:tc>
          <w:tcPr>
            <w:tcW w:w="5652" w:type="dxa"/>
            <w:vAlign w:val="center"/>
          </w:tcPr>
          <w:p>
            <w:pPr>
              <w:rPr>
                <w:rFonts w:ascii="仿宋" w:hAnsi="仿宋" w:eastAsia="仿宋"/>
                <w:b/>
                <w:bCs w:val="0"/>
              </w:rPr>
            </w:pPr>
            <w:r>
              <w:rPr>
                <w:rFonts w:hint="eastAsia" w:ascii="仿宋" w:hAnsi="仿宋" w:eastAsia="仿宋"/>
                <w:b/>
                <w:bCs w:val="0"/>
              </w:rPr>
              <w:t>根据项目团队中成员是否有综合体育赛事服务经验情况评分。团队中每提供一名具有具有综合体育赛事服务经验的人员，得0.</w:t>
            </w:r>
            <w:r>
              <w:rPr>
                <w:rFonts w:ascii="仿宋" w:hAnsi="仿宋" w:eastAsia="仿宋"/>
                <w:b/>
                <w:bCs w:val="0"/>
              </w:rPr>
              <w:t>2</w:t>
            </w:r>
            <w:r>
              <w:rPr>
                <w:rFonts w:hint="eastAsia" w:ascii="仿宋" w:hAnsi="仿宋" w:eastAsia="仿宋"/>
                <w:b/>
                <w:bCs w:val="0"/>
              </w:rPr>
              <w:t>分。本项满分</w:t>
            </w:r>
            <w:r>
              <w:rPr>
                <w:rFonts w:ascii="仿宋" w:hAnsi="仿宋" w:eastAsia="仿宋"/>
                <w:b/>
                <w:bCs w:val="0"/>
              </w:rPr>
              <w:t>6</w:t>
            </w:r>
            <w:r>
              <w:rPr>
                <w:rFonts w:hint="eastAsia" w:ascii="仿宋" w:hAnsi="仿宋" w:eastAsia="仿宋"/>
                <w:b/>
                <w:bCs w:val="0"/>
              </w:rPr>
              <w:t>分，团队成员为10人以下（含10人）不得分。</w:t>
            </w:r>
          </w:p>
          <w:p>
            <w:pPr>
              <w:rPr>
                <w:rFonts w:ascii="仿宋" w:hAnsi="仿宋" w:eastAsia="仿宋"/>
                <w:b/>
                <w:bCs w:val="0"/>
              </w:rPr>
            </w:pPr>
            <w:r>
              <w:rPr>
                <w:rFonts w:hint="eastAsia" w:ascii="仿宋" w:hAnsi="仿宋" w:eastAsia="仿宋"/>
                <w:b/>
                <w:bCs w:val="0"/>
              </w:rPr>
              <w:t>注：须提供团队人员参与综合体育赛事服务证明或荣誉证书或工作证，以及团队人员在报价人企业近六个月内任意一个月社保证明的复印件并加盖公章，否则不得分。</w:t>
            </w:r>
          </w:p>
        </w:tc>
        <w:tc>
          <w:tcPr>
            <w:tcW w:w="867" w:type="dxa"/>
          </w:tcPr>
          <w:p>
            <w:pPr>
              <w:rPr>
                <w:rFonts w:ascii="仿宋" w:hAnsi="仿宋" w:eastAsia="仿宋_GB2312"/>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trPr>
        <w:tc>
          <w:tcPr>
            <w:tcW w:w="1232" w:type="dxa"/>
            <w:vMerge w:val="restart"/>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ascii="仿宋" w:hAnsi="仿宋" w:eastAsia="仿宋"/>
                <w:b/>
                <w:bCs w:val="0"/>
              </w:rPr>
              <w:t>（</w:t>
            </w:r>
            <w:r>
              <w:rPr>
                <w:rFonts w:hint="eastAsia" w:ascii="仿宋" w:hAnsi="仿宋" w:eastAsia="仿宋"/>
                <w:b/>
                <w:bCs w:val="0"/>
              </w:rPr>
              <w:t>阶段服务方案</w:t>
            </w:r>
            <w:r>
              <w:rPr>
                <w:rFonts w:ascii="仿宋" w:hAnsi="仿宋" w:eastAsia="仿宋"/>
                <w:b/>
                <w:bCs w:val="0"/>
              </w:rPr>
              <w:t>15</w:t>
            </w:r>
            <w:r>
              <w:rPr>
                <w:rFonts w:hint="eastAsia" w:ascii="仿宋" w:hAnsi="仿宋" w:eastAsia="仿宋"/>
                <w:b/>
                <w:bCs w:val="0"/>
              </w:rPr>
              <w:t>分）</w:t>
            </w:r>
          </w:p>
        </w:tc>
        <w:tc>
          <w:tcPr>
            <w:tcW w:w="768" w:type="dxa"/>
            <w:vAlign w:val="center"/>
          </w:tcPr>
          <w:p>
            <w:pPr>
              <w:rPr>
                <w:rFonts w:ascii="仿宋" w:hAnsi="仿宋" w:eastAsia="仿宋"/>
                <w:b/>
                <w:bCs w:val="0"/>
              </w:rPr>
            </w:pPr>
            <w:r>
              <w:rPr>
                <w:rFonts w:hint="eastAsia" w:ascii="仿宋" w:hAnsi="仿宋" w:eastAsia="仿宋"/>
                <w:b/>
                <w:bCs w:val="0"/>
              </w:rPr>
              <w:t>2.1.1</w:t>
            </w:r>
          </w:p>
        </w:tc>
        <w:tc>
          <w:tcPr>
            <w:tcW w:w="5652" w:type="dxa"/>
            <w:vAlign w:val="center"/>
          </w:tcPr>
          <w:p>
            <w:pPr>
              <w:rPr>
                <w:rFonts w:ascii="仿宋" w:hAnsi="仿宋" w:eastAsia="仿宋"/>
                <w:b/>
                <w:bCs w:val="0"/>
              </w:rPr>
            </w:pPr>
            <w:r>
              <w:rPr>
                <w:rFonts w:hint="eastAsia" w:ascii="仿宋" w:hAnsi="仿宋" w:eastAsia="仿宋"/>
                <w:b/>
                <w:bCs w:val="0"/>
              </w:rPr>
              <w:t>建设阶段服务方案（</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完全满足建设阶段服务的各项要求得</w:t>
            </w:r>
            <w:r>
              <w:rPr>
                <w:rFonts w:ascii="仿宋" w:hAnsi="仿宋" w:eastAsia="仿宋"/>
                <w:b/>
                <w:bCs w:val="0"/>
              </w:rPr>
              <w:t>5</w:t>
            </w:r>
            <w:r>
              <w:rPr>
                <w:rFonts w:hint="eastAsia" w:ascii="仿宋" w:hAnsi="仿宋" w:eastAsia="仿宋"/>
                <w:b/>
                <w:bCs w:val="0"/>
              </w:rPr>
              <w:t>分，基本满足得3分，否则得0分。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232" w:type="dxa"/>
            <w:vMerge w:val="continue"/>
            <w:vAlign w:val="center"/>
          </w:tcPr>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2.1.2</w:t>
            </w:r>
          </w:p>
        </w:tc>
        <w:tc>
          <w:tcPr>
            <w:tcW w:w="5652" w:type="dxa"/>
            <w:vAlign w:val="center"/>
          </w:tcPr>
          <w:p>
            <w:pPr>
              <w:rPr>
                <w:rFonts w:ascii="仿宋" w:hAnsi="仿宋" w:eastAsia="仿宋"/>
                <w:b/>
                <w:bCs w:val="0"/>
              </w:rPr>
            </w:pPr>
            <w:r>
              <w:rPr>
                <w:rFonts w:ascii="仿宋" w:hAnsi="仿宋" w:eastAsia="仿宋"/>
                <w:b/>
                <w:bCs w:val="0"/>
              </w:rPr>
              <w:t>测试阶段服务方案（5分）</w:t>
            </w:r>
          </w:p>
          <w:p>
            <w:pPr>
              <w:rPr>
                <w:rFonts w:ascii="仿宋" w:hAnsi="仿宋" w:eastAsia="仿宋"/>
                <w:b/>
                <w:bCs w:val="0"/>
              </w:rPr>
            </w:pPr>
            <w:r>
              <w:rPr>
                <w:rFonts w:ascii="仿宋" w:hAnsi="仿宋" w:eastAsia="仿宋"/>
                <w:b/>
                <w:bCs w:val="0"/>
              </w:rPr>
              <w:t>从服务方案的完整性、服务内容的完备性，是否符合工期要求，是否满足测试阶段的各项服务要求与验收要求，服务保障、成本、质量、风险控制措施是否完善，人力资源和设备调配是否合理，对于重叠子阶段是否有响应措施等方面，进行综合评分，</w:t>
            </w:r>
            <w:r>
              <w:rPr>
                <w:rFonts w:hint="eastAsia" w:ascii="仿宋" w:hAnsi="仿宋" w:eastAsia="仿宋"/>
                <w:b/>
                <w:bCs w:val="0"/>
              </w:rPr>
              <w:t>完全满足建设阶段服务的各项要求得</w:t>
            </w:r>
            <w:r>
              <w:rPr>
                <w:rFonts w:ascii="仿宋" w:hAnsi="仿宋" w:eastAsia="仿宋"/>
                <w:b/>
                <w:bCs w:val="0"/>
              </w:rPr>
              <w:t>5</w:t>
            </w:r>
            <w:r>
              <w:rPr>
                <w:rFonts w:hint="eastAsia" w:ascii="仿宋" w:hAnsi="仿宋" w:eastAsia="仿宋"/>
                <w:b/>
                <w:bCs w:val="0"/>
              </w:rPr>
              <w:t>分，基本满足得</w:t>
            </w:r>
            <w:r>
              <w:rPr>
                <w:rFonts w:hint="eastAsia" w:ascii="仿宋" w:hAnsi="仿宋" w:eastAsia="仿宋"/>
                <w:b/>
                <w:bCs w:val="0"/>
                <w:lang w:val="en-US" w:eastAsia="zh-CN"/>
              </w:rPr>
              <w:t>3</w:t>
            </w:r>
            <w:r>
              <w:rPr>
                <w:rFonts w:hint="eastAsia" w:ascii="仿宋" w:hAnsi="仿宋" w:eastAsia="仿宋"/>
                <w:b/>
                <w:bCs w:val="0"/>
              </w:rPr>
              <w:t>分，否则得0分。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atLeast"/>
        </w:trPr>
        <w:tc>
          <w:tcPr>
            <w:tcW w:w="1232" w:type="dxa"/>
            <w:vMerge w:val="continue"/>
            <w:vAlign w:val="center"/>
          </w:tcPr>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2.1.3</w:t>
            </w:r>
          </w:p>
        </w:tc>
        <w:tc>
          <w:tcPr>
            <w:tcW w:w="5652" w:type="dxa"/>
            <w:vAlign w:val="center"/>
          </w:tcPr>
          <w:p>
            <w:pPr>
              <w:rPr>
                <w:rFonts w:ascii="仿宋" w:hAnsi="仿宋" w:eastAsia="仿宋"/>
                <w:b/>
                <w:bCs w:val="0"/>
              </w:rPr>
            </w:pPr>
            <w:r>
              <w:rPr>
                <w:rFonts w:ascii="仿宋" w:hAnsi="仿宋" w:eastAsia="仿宋"/>
                <w:b/>
                <w:bCs w:val="0"/>
              </w:rPr>
              <w:t>运行服务阶段服务方案（5分）</w:t>
            </w:r>
          </w:p>
          <w:p>
            <w:pPr>
              <w:rPr>
                <w:rFonts w:ascii="仿宋" w:hAnsi="仿宋" w:eastAsia="仿宋"/>
                <w:b/>
                <w:bCs w:val="0"/>
              </w:rPr>
            </w:pPr>
            <w:r>
              <w:rPr>
                <w:rFonts w:ascii="仿宋" w:hAnsi="仿宋" w:eastAsia="仿宋"/>
                <w:b/>
                <w:bCs w:val="0"/>
              </w:rPr>
              <w:t>从服务方案的完整性、服务内容的完备性，是否符合工期要求，是否满足运行服务阶段的各项服务要求与验收要求，服务保障、成本、质量、风险控制措施是否完善，人力资源和设备调配是否合理等方面，进行综合评分，</w:t>
            </w:r>
            <w:r>
              <w:rPr>
                <w:rFonts w:hint="eastAsia" w:ascii="仿宋" w:hAnsi="仿宋" w:eastAsia="仿宋"/>
                <w:b/>
                <w:bCs w:val="0"/>
              </w:rPr>
              <w:t>完全满足建设阶段服务的各项要求得</w:t>
            </w:r>
            <w:r>
              <w:rPr>
                <w:rFonts w:ascii="仿宋" w:hAnsi="仿宋" w:eastAsia="仿宋"/>
                <w:b/>
                <w:bCs w:val="0"/>
              </w:rPr>
              <w:t>5</w:t>
            </w:r>
            <w:r>
              <w:rPr>
                <w:rFonts w:hint="eastAsia" w:ascii="仿宋" w:hAnsi="仿宋" w:eastAsia="仿宋"/>
                <w:b/>
                <w:bCs w:val="0"/>
              </w:rPr>
              <w:t>分，基本满足得</w:t>
            </w:r>
            <w:r>
              <w:rPr>
                <w:rFonts w:hint="eastAsia" w:ascii="仿宋" w:hAnsi="仿宋" w:eastAsia="仿宋"/>
                <w:b/>
                <w:bCs w:val="0"/>
                <w:lang w:val="en-US" w:eastAsia="zh-CN"/>
              </w:rPr>
              <w:t>3</w:t>
            </w:r>
            <w:r>
              <w:rPr>
                <w:rFonts w:hint="eastAsia" w:ascii="仿宋" w:hAnsi="仿宋" w:eastAsia="仿宋"/>
                <w:b/>
                <w:bCs w:val="0"/>
              </w:rPr>
              <w:t>分，否则得0分。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4" w:hRule="atLeast"/>
        </w:trPr>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（中央成绩系统</w:t>
            </w: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2.2</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中央成绩系统服务</w:t>
            </w:r>
            <w:r>
              <w:rPr>
                <w:rFonts w:ascii="仿宋" w:hAnsi="仿宋" w:eastAsia="仿宋"/>
                <w:b/>
                <w:bCs w:val="0"/>
              </w:rPr>
              <w:t>需求的理解程度，提供的</w:t>
            </w:r>
            <w:r>
              <w:rPr>
                <w:rFonts w:hint="eastAsia" w:ascii="仿宋" w:hAnsi="仿宋" w:eastAsia="仿宋"/>
                <w:b/>
                <w:bCs w:val="0"/>
              </w:rPr>
              <w:t>运行服务方案</w:t>
            </w:r>
            <w:r>
              <w:rPr>
                <w:rFonts w:ascii="仿宋" w:hAnsi="仿宋" w:eastAsia="仿宋"/>
                <w:b/>
                <w:bCs w:val="0"/>
              </w:rPr>
              <w:t>的合理性、可行性等方面，进行综合评分。</w:t>
            </w:r>
            <w:r>
              <w:rPr>
                <w:rFonts w:hint="eastAsia" w:ascii="仿宋" w:hAnsi="仿宋" w:eastAsia="仿宋"/>
                <w:b/>
                <w:bCs w:val="0"/>
              </w:rPr>
              <w:t>本项满分</w:t>
            </w:r>
            <w:r>
              <w:rPr>
                <w:rFonts w:ascii="仿宋" w:hAnsi="仿宋" w:eastAsia="仿宋"/>
                <w:b/>
                <w:bCs w:val="0"/>
              </w:rPr>
              <w:t>10</w:t>
            </w:r>
            <w:r>
              <w:rPr>
                <w:rFonts w:hint="eastAsia" w:ascii="仿宋" w:hAnsi="仿宋" w:eastAsia="仿宋"/>
                <w:b/>
                <w:bCs w:val="0"/>
              </w:rPr>
              <w:t>分。</w:t>
            </w:r>
          </w:p>
          <w:p>
            <w:pPr>
              <w:widowControl/>
              <w:contextualSpacing/>
              <w:rPr>
                <w:rFonts w:ascii="仿宋" w:hAnsi="仿宋" w:eastAsia="仿宋"/>
                <w:b/>
                <w:bCs w:val="0"/>
                <w:szCs w:val="21"/>
                <w:lang w:bidi="en-US"/>
              </w:rPr>
            </w:pPr>
            <w:r>
              <w:rPr>
                <w:rFonts w:hint="eastAsia" w:ascii="仿宋" w:hAnsi="仿宋" w:eastAsia="仿宋"/>
                <w:b/>
                <w:bCs w:val="0"/>
                <w:szCs w:val="21"/>
                <w:lang w:bidi="en-US"/>
              </w:rPr>
              <w:t>1）提交的服务方案内容完整、合理、可行，得</w:t>
            </w:r>
            <w:r>
              <w:rPr>
                <w:rFonts w:ascii="仿宋" w:hAnsi="仿宋" w:eastAsia="仿宋"/>
                <w:b/>
                <w:bCs w:val="0"/>
                <w:szCs w:val="21"/>
                <w:lang w:bidi="en-US"/>
              </w:rPr>
              <w:t>10</w:t>
            </w:r>
            <w:r>
              <w:rPr>
                <w:rFonts w:hint="eastAsia" w:ascii="仿宋" w:hAnsi="仿宋" w:eastAsia="仿宋"/>
                <w:b/>
                <w:bCs w:val="0"/>
                <w:szCs w:val="21"/>
                <w:lang w:bidi="en-US"/>
              </w:rPr>
              <w:t>分；</w:t>
            </w:r>
          </w:p>
          <w:p>
            <w:pPr>
              <w:widowControl/>
              <w:contextualSpacing/>
              <w:rPr>
                <w:rFonts w:ascii="仿宋" w:hAnsi="仿宋" w:eastAsia="仿宋"/>
                <w:b/>
                <w:bCs w:val="0"/>
                <w:szCs w:val="21"/>
                <w:lang w:bidi="en-US"/>
              </w:rPr>
            </w:pPr>
            <w:r>
              <w:rPr>
                <w:rFonts w:hint="eastAsia" w:ascii="仿宋" w:hAnsi="仿宋" w:eastAsia="仿宋"/>
                <w:b/>
                <w:bCs w:val="0"/>
                <w:szCs w:val="21"/>
                <w:lang w:bidi="en-US"/>
              </w:rPr>
              <w:t>2）提交的服务方案内容较完整、较合理、较为可行，得7分；</w:t>
            </w:r>
          </w:p>
          <w:p>
            <w:pPr>
              <w:widowControl/>
              <w:contextualSpacing/>
              <w:rPr>
                <w:rFonts w:ascii="仿宋" w:hAnsi="仿宋" w:eastAsia="仿宋"/>
                <w:b/>
                <w:bCs w:val="0"/>
                <w:szCs w:val="21"/>
                <w:lang w:bidi="en-US"/>
              </w:rPr>
            </w:pPr>
            <w:r>
              <w:rPr>
                <w:rFonts w:hint="eastAsia" w:ascii="仿宋" w:hAnsi="仿宋" w:eastAsia="仿宋"/>
                <w:b/>
                <w:bCs w:val="0"/>
                <w:szCs w:val="21"/>
                <w:lang w:bidi="en-US"/>
              </w:rPr>
              <w:t>3）提交的服务方案内容不够完整，功能欠完善，需要进行一定调整才能满足采购人使用需求，得4分；</w:t>
            </w:r>
          </w:p>
          <w:p>
            <w:pPr>
              <w:rPr>
                <w:rFonts w:ascii="仿宋" w:hAnsi="仿宋" w:eastAsia="仿宋"/>
                <w:b/>
                <w:bCs w:val="0"/>
              </w:rPr>
            </w:pPr>
            <w:r>
              <w:rPr>
                <w:rFonts w:hint="eastAsia" w:ascii="仿宋" w:hAnsi="仿宋" w:eastAsia="仿宋"/>
                <w:b/>
                <w:bCs w:val="0"/>
                <w:szCs w:val="21"/>
                <w:lang w:bidi="en-US"/>
              </w:rPr>
              <w:t>4）未提交方案或提交的服务方案内容不完整、不合理、可行性差，得0分。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（信息发布系统</w:t>
            </w:r>
            <w:r>
              <w:rPr>
                <w:rFonts w:ascii="仿宋" w:hAnsi="仿宋" w:eastAsia="仿宋"/>
                <w:b/>
                <w:bCs w:val="0"/>
              </w:rPr>
              <w:t>8</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2.3</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信息发布系统服务</w:t>
            </w:r>
            <w:r>
              <w:rPr>
                <w:rFonts w:ascii="仿宋" w:hAnsi="仿宋" w:eastAsia="仿宋"/>
                <w:b/>
                <w:bCs w:val="0"/>
              </w:rPr>
              <w:t>需求的理解程度，技术架构的先进性、技术指标的合理性、技术指标测算的科学性，设计方案的亮点与特色等方面，进行综合评分</w:t>
            </w:r>
            <w:r>
              <w:rPr>
                <w:rFonts w:hint="eastAsia" w:ascii="仿宋" w:hAnsi="仿宋" w:eastAsia="仿宋"/>
                <w:b/>
                <w:bCs w:val="0"/>
              </w:rPr>
              <w:t>。本项满分</w:t>
            </w:r>
            <w:r>
              <w:rPr>
                <w:rFonts w:ascii="仿宋" w:hAnsi="仿宋" w:eastAsia="仿宋"/>
                <w:b/>
                <w:bCs w:val="0"/>
              </w:rPr>
              <w:t>8</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1）提交的服务方案内容完整、合理、可行，得</w:t>
            </w:r>
            <w:r>
              <w:rPr>
                <w:rFonts w:ascii="仿宋" w:hAnsi="仿宋" w:eastAsia="仿宋"/>
                <w:b/>
                <w:bCs w:val="0"/>
              </w:rPr>
              <w:t>8</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2）提交的服务方案内容较完整、较合理、较为可行，得6分；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3）提交的服务方案内容不够完整，功能欠完善，需要进行调整才能满足采购人使用需求，得4分；</w:t>
            </w:r>
          </w:p>
          <w:p>
            <w:pPr>
              <w:rPr>
                <w:rFonts w:ascii="仿宋" w:hAnsi="仿宋" w:eastAsia="仿宋"/>
                <w:b/>
                <w:bCs w:val="0"/>
              </w:rPr>
            </w:pPr>
            <w:r>
              <w:rPr>
                <w:rFonts w:hint="eastAsia" w:ascii="仿宋" w:hAnsi="仿宋" w:eastAsia="仿宋"/>
                <w:b/>
                <w:bCs w:val="0"/>
              </w:rPr>
              <w:t>4）</w:t>
            </w:r>
            <w:r>
              <w:rPr>
                <w:rFonts w:hint="eastAsia" w:ascii="仿宋" w:hAnsi="仿宋" w:eastAsia="仿宋"/>
                <w:b/>
                <w:bCs w:val="0"/>
                <w:szCs w:val="21"/>
                <w:lang w:bidi="en-US"/>
              </w:rPr>
              <w:t>未提交方案或</w:t>
            </w:r>
            <w:r>
              <w:rPr>
                <w:rFonts w:hint="eastAsia" w:ascii="仿宋" w:hAnsi="仿宋" w:eastAsia="仿宋"/>
                <w:b/>
                <w:bCs w:val="0"/>
              </w:rPr>
              <w:t>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（成绩处理系统</w:t>
            </w: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2.4</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成绩处理系统</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rPr>
              <w:t>。本项满分</w:t>
            </w: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1）提交的服务方案内容完整、合理、可行，得</w:t>
            </w:r>
            <w:r>
              <w:rPr>
                <w:rFonts w:ascii="仿宋" w:hAnsi="仿宋" w:eastAsia="仿宋"/>
                <w:b/>
                <w:bCs w:val="0"/>
              </w:rPr>
              <w:t>10</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2）提交的服务方案内容较完整、较合理、较为可行，得7分；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3）提交的服务方案内容不够完整，功能欠完善，需要进行调整才能满足采购人使用需求，得4分；</w:t>
            </w:r>
          </w:p>
          <w:p>
            <w:pPr>
              <w:rPr>
                <w:rFonts w:ascii="仿宋" w:hAnsi="仿宋" w:eastAsia="仿宋"/>
                <w:b/>
                <w:bCs w:val="0"/>
              </w:rPr>
            </w:pPr>
            <w:r>
              <w:rPr>
                <w:rFonts w:hint="eastAsia" w:ascii="仿宋" w:hAnsi="仿宋" w:eastAsia="仿宋"/>
                <w:b/>
                <w:bCs w:val="0"/>
              </w:rPr>
              <w:t>4）未提交方案或提交的服务方案内容不完整、不合理、可行性差，得0分。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（公共大屏显示控制系统</w:t>
            </w:r>
            <w:r>
              <w:rPr>
                <w:rFonts w:ascii="仿宋" w:hAnsi="仿宋" w:eastAsia="仿宋"/>
                <w:b/>
                <w:bCs w:val="0"/>
              </w:rPr>
              <w:t>6</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2.5</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公共大屏显示控制系统</w:t>
            </w:r>
            <w:r>
              <w:rPr>
                <w:rFonts w:ascii="仿宋" w:hAnsi="仿宋" w:eastAsia="仿宋"/>
                <w:b/>
                <w:bCs w:val="0"/>
              </w:rPr>
              <w:t>服务需求的理解程度，技术架构的先进性、技术指标的合理性、技术指标测算的科学性，设计方案的亮点与特色等方面，进行综合评分</w:t>
            </w:r>
            <w:r>
              <w:rPr>
                <w:rFonts w:hint="eastAsia" w:ascii="仿宋" w:hAnsi="仿宋" w:eastAsia="仿宋"/>
                <w:b/>
                <w:bCs w:val="0"/>
              </w:rPr>
              <w:t>。本项满分6分。</w:t>
            </w:r>
          </w:p>
          <w:p>
            <w:pPr>
              <w:rPr>
                <w:rFonts w:ascii="仿宋" w:hAnsi="仿宋" w:eastAsia="仿宋"/>
                <w:b/>
                <w:bCs w:val="0"/>
              </w:rPr>
            </w:pPr>
            <w:r>
              <w:rPr>
                <w:rFonts w:hint="eastAsia" w:ascii="仿宋" w:hAnsi="仿宋" w:eastAsia="仿宋"/>
                <w:b/>
                <w:bCs w:val="0"/>
              </w:rPr>
              <w:t>1）提交的服务方案内容完整、合理、可行，得</w:t>
            </w:r>
            <w:r>
              <w:rPr>
                <w:rFonts w:ascii="仿宋" w:hAnsi="仿宋" w:eastAsia="仿宋"/>
                <w:b/>
                <w:bCs w:val="0"/>
              </w:rPr>
              <w:t>6</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2）提交的服务方案内容较完整、较合理、较为可行，得4分；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3）提交的服务方案内容不够完整，功能欠完善，需要进行调整才能满足采购人使用需求，得2分；</w:t>
            </w:r>
          </w:p>
          <w:p>
            <w:pPr>
              <w:rPr>
                <w:rFonts w:ascii="仿宋" w:hAnsi="仿宋" w:eastAsia="仿宋"/>
                <w:b/>
                <w:bCs w:val="0"/>
              </w:rPr>
            </w:pPr>
            <w:r>
              <w:rPr>
                <w:rFonts w:hint="eastAsia" w:ascii="仿宋" w:hAnsi="仿宋" w:eastAsia="仿宋"/>
                <w:b/>
                <w:bCs w:val="0"/>
              </w:rPr>
              <w:t>4）未提交方案或提交的服务方案内容不完整、不合理、可行性差，得0分。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（技术统计系统</w:t>
            </w:r>
            <w:r>
              <w:rPr>
                <w:rFonts w:ascii="仿宋" w:hAnsi="仿宋" w:eastAsia="仿宋"/>
                <w:b/>
                <w:bCs w:val="0"/>
              </w:rPr>
              <w:t>6</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2.6</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技术统计系统</w:t>
            </w:r>
            <w:r>
              <w:rPr>
                <w:rFonts w:ascii="仿宋" w:hAnsi="仿宋" w:eastAsia="仿宋"/>
                <w:b/>
                <w:bCs w:val="0"/>
              </w:rPr>
              <w:t>服务需求的理解程度，服务内容和技术方案的创新性、对智慧体验的支持程度，技术架构的先进性，设计方案的亮点与特色等方面，进行综合评分</w:t>
            </w:r>
            <w:r>
              <w:rPr>
                <w:rFonts w:hint="eastAsia" w:ascii="仿宋" w:hAnsi="仿宋" w:eastAsia="仿宋"/>
                <w:b/>
                <w:bCs w:val="0"/>
              </w:rPr>
              <w:t>。本项满分6分。</w:t>
            </w:r>
          </w:p>
          <w:p>
            <w:pPr>
              <w:rPr>
                <w:rFonts w:ascii="仿宋" w:hAnsi="仿宋" w:eastAsia="仿宋"/>
                <w:b/>
                <w:bCs w:val="0"/>
              </w:rPr>
            </w:pPr>
            <w:r>
              <w:rPr>
                <w:rFonts w:hint="eastAsia" w:ascii="仿宋" w:hAnsi="仿宋" w:eastAsia="仿宋"/>
                <w:b/>
                <w:bCs w:val="0"/>
              </w:rPr>
              <w:t>1）提交的服务方案内容完整、合理、可行，得</w:t>
            </w:r>
            <w:r>
              <w:rPr>
                <w:rFonts w:ascii="仿宋" w:hAnsi="仿宋" w:eastAsia="仿宋"/>
                <w:b/>
                <w:bCs w:val="0"/>
              </w:rPr>
              <w:t>6</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2）提交的服务方案内容较完整、较合理、较为可行，得4分；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3）提交的服务方案内容不够完整，功能欠完善，需要进行调整才能满足采购人使用需求，得2分；</w:t>
            </w:r>
          </w:p>
          <w:p>
            <w:pPr>
              <w:rPr>
                <w:rFonts w:ascii="仿宋" w:hAnsi="仿宋" w:eastAsia="仿宋"/>
                <w:b/>
                <w:bCs w:val="0"/>
              </w:rPr>
            </w:pPr>
            <w:r>
              <w:rPr>
                <w:rFonts w:hint="eastAsia" w:ascii="仿宋" w:hAnsi="仿宋" w:eastAsia="仿宋"/>
                <w:b/>
                <w:bCs w:val="0"/>
              </w:rPr>
              <w:t>4）未提交方案或提交的服务方案内容不完整、不合理、可行性差，得0分。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（评论员系统</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2.7</w:t>
            </w:r>
          </w:p>
        </w:tc>
        <w:tc>
          <w:tcPr>
            <w:tcW w:w="5652" w:type="dxa"/>
            <w:vAlign w:val="center"/>
          </w:tcPr>
          <w:p>
            <w:pPr>
              <w:rPr>
                <w:rFonts w:ascii="仿宋" w:hAnsi="仿宋" w:eastAsia="仿宋"/>
                <w:b/>
                <w:bCs w:val="0"/>
              </w:rPr>
            </w:pPr>
            <w:r>
              <w:rPr>
                <w:rFonts w:ascii="仿宋" w:hAnsi="仿宋" w:eastAsia="仿宋"/>
                <w:b/>
                <w:bCs w:val="0"/>
              </w:rPr>
              <w:t>根据投标人对</w:t>
            </w:r>
            <w:r>
              <w:rPr>
                <w:rFonts w:hint="eastAsia" w:ascii="仿宋" w:hAnsi="仿宋" w:eastAsia="仿宋"/>
                <w:b/>
                <w:bCs w:val="0"/>
              </w:rPr>
              <w:t>评论员系统</w:t>
            </w:r>
            <w:r>
              <w:rPr>
                <w:rFonts w:ascii="仿宋" w:hAnsi="仿宋" w:eastAsia="仿宋"/>
                <w:b/>
                <w:bCs w:val="0"/>
              </w:rPr>
              <w:t>服务需求的理解程度，服务内容和技术方案的创新性、对智慧体验的支持程度，技术架构的先进性，设计方案的亮点与特色等方面，进行综合评分</w:t>
            </w:r>
            <w:r>
              <w:rPr>
                <w:rFonts w:hint="eastAsia" w:ascii="仿宋" w:hAnsi="仿宋" w:eastAsia="仿宋"/>
                <w:b/>
                <w:bCs w:val="0"/>
              </w:rPr>
              <w:t>。本项满分</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1）提交的服务方案内容完整、合理、可行，得</w:t>
            </w: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2）提交的服务方案内容较完整、较合理、较为可行，得</w:t>
            </w:r>
            <w:r>
              <w:rPr>
                <w:rFonts w:ascii="仿宋" w:hAnsi="仿宋" w:eastAsia="仿宋"/>
                <w:b/>
                <w:bCs w:val="0"/>
              </w:rPr>
              <w:t>3</w:t>
            </w:r>
            <w:r>
              <w:rPr>
                <w:rFonts w:hint="eastAsia" w:ascii="仿宋" w:hAnsi="仿宋" w:eastAsia="仿宋"/>
                <w:b/>
                <w:bCs w:val="0"/>
              </w:rPr>
              <w:t>分；</w:t>
            </w:r>
          </w:p>
          <w:p>
            <w:pPr>
              <w:rPr>
                <w:rFonts w:ascii="仿宋" w:hAnsi="仿宋" w:eastAsia="仿宋"/>
                <w:b/>
                <w:bCs w:val="0"/>
              </w:rPr>
            </w:pPr>
            <w:r>
              <w:rPr>
                <w:rFonts w:hint="eastAsia" w:ascii="仿宋" w:hAnsi="仿宋" w:eastAsia="仿宋"/>
                <w:b/>
                <w:bCs w:val="0"/>
              </w:rPr>
              <w:t>3）提交的服务方案内容不够完整，功能欠完善，需要进行调整才能满足采购人使用需求，得1分；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4）未提交方案或提交的服务方案内容不完整、不合理、可行性差，得0分。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p>
          <w:p>
            <w:pPr>
              <w:rPr>
                <w:rFonts w:ascii="仿宋" w:hAnsi="仿宋" w:eastAsia="仿宋"/>
                <w:b/>
                <w:bCs w:val="0"/>
              </w:rPr>
            </w:pPr>
            <w:r>
              <w:rPr>
                <w:rFonts w:hint="eastAsia" w:ascii="仿宋" w:hAnsi="仿宋" w:eastAsia="仿宋"/>
                <w:b/>
                <w:bCs w:val="0"/>
              </w:rPr>
              <w:t>（</w:t>
            </w:r>
            <w:r>
              <w:rPr>
                <w:rFonts w:ascii="仿宋" w:hAnsi="仿宋" w:eastAsia="仿宋"/>
                <w:b/>
                <w:bCs w:val="0"/>
              </w:rPr>
              <w:t>应急预案5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2.8</w:t>
            </w:r>
          </w:p>
        </w:tc>
        <w:tc>
          <w:tcPr>
            <w:tcW w:w="5652" w:type="dxa"/>
            <w:vAlign w:val="center"/>
          </w:tcPr>
          <w:p>
            <w:pPr>
              <w:rPr>
                <w:rFonts w:ascii="仿宋" w:hAnsi="仿宋" w:eastAsia="仿宋"/>
                <w:b/>
                <w:bCs w:val="0"/>
              </w:rPr>
            </w:pPr>
            <w:r>
              <w:rPr>
                <w:rFonts w:ascii="仿宋" w:hAnsi="仿宋" w:eastAsia="仿宋"/>
                <w:b/>
                <w:bCs w:val="0"/>
              </w:rPr>
              <w:t>根据投标人所提供的应急预案完整性、合理性、可行性等方面，进行综合评分，本</w:t>
            </w:r>
            <w:r>
              <w:rPr>
                <w:rFonts w:hint="eastAsia" w:ascii="仿宋" w:hAnsi="仿宋" w:eastAsia="仿宋"/>
                <w:b/>
                <w:bCs w:val="0"/>
              </w:rPr>
              <w:t>项满分5分。</w:t>
            </w:r>
          </w:p>
          <w:p>
            <w:pPr>
              <w:rPr>
                <w:rFonts w:ascii="仿宋" w:hAnsi="仿宋" w:eastAsia="仿宋"/>
                <w:b/>
                <w:bCs w:val="0"/>
              </w:rPr>
            </w:pPr>
            <w:r>
              <w:rPr>
                <w:rFonts w:hint="eastAsia" w:ascii="仿宋" w:hAnsi="仿宋" w:eastAsia="仿宋"/>
                <w:b/>
                <w:bCs w:val="0"/>
              </w:rPr>
              <w:t>1）提交的应急预案内容完整、合理、可行，得5分；</w:t>
            </w:r>
          </w:p>
          <w:p>
            <w:pPr>
              <w:rPr>
                <w:rFonts w:ascii="仿宋" w:hAnsi="仿宋" w:eastAsia="仿宋"/>
                <w:b/>
                <w:bCs w:val="0"/>
              </w:rPr>
            </w:pPr>
            <w:r>
              <w:rPr>
                <w:rFonts w:hint="eastAsia" w:ascii="仿宋" w:hAnsi="仿宋" w:eastAsia="仿宋"/>
                <w:b/>
                <w:bCs w:val="0"/>
              </w:rPr>
              <w:t>2）提交的应急预案内容较完整、较合理、较为可行，得3分；</w:t>
            </w:r>
          </w:p>
          <w:p>
            <w:pPr>
              <w:rPr>
                <w:rFonts w:ascii="仿宋" w:hAnsi="仿宋" w:eastAsia="仿宋"/>
                <w:b/>
                <w:bCs w:val="0"/>
              </w:rPr>
            </w:pPr>
            <w:r>
              <w:rPr>
                <w:rFonts w:hint="eastAsia" w:ascii="仿宋" w:hAnsi="仿宋" w:eastAsia="仿宋"/>
                <w:b/>
                <w:bCs w:val="0"/>
              </w:rPr>
              <w:t>3）提交的应急预案内容不够完整，功能欠完善，需要进行调整才能满足采购人使用需求，得1分；</w:t>
            </w:r>
          </w:p>
          <w:p>
            <w:pPr>
              <w:rPr>
                <w:rFonts w:ascii="仿宋" w:hAnsi="仿宋" w:eastAsia="仿宋"/>
                <w:b/>
                <w:bCs w:val="0"/>
              </w:rPr>
            </w:pPr>
            <w:r>
              <w:rPr>
                <w:rFonts w:hint="eastAsia" w:ascii="仿宋" w:hAnsi="仿宋" w:eastAsia="仿宋"/>
                <w:b/>
                <w:bCs w:val="0"/>
              </w:rPr>
              <w:t>4）未提交预案或提交的应急预案内容不完整、不合理、可行性差，得0分。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2" w:type="dxa"/>
            <w:vAlign w:val="center"/>
          </w:tcPr>
          <w:p>
            <w:pPr>
              <w:rPr>
                <w:rFonts w:ascii="仿宋" w:hAnsi="仿宋" w:eastAsia="仿宋"/>
                <w:b/>
                <w:bCs w:val="0"/>
              </w:rPr>
            </w:pPr>
            <w:r>
              <w:rPr>
                <w:rFonts w:ascii="仿宋" w:hAnsi="仿宋" w:eastAsia="仿宋"/>
                <w:b/>
                <w:bCs w:val="0"/>
              </w:rPr>
              <w:t>技术</w:t>
            </w:r>
            <w:r>
              <w:rPr>
                <w:rFonts w:hint="eastAsia" w:ascii="仿宋" w:hAnsi="仿宋" w:eastAsia="仿宋"/>
                <w:b/>
                <w:bCs w:val="0"/>
              </w:rPr>
              <w:t>（</w:t>
            </w:r>
            <w:r>
              <w:rPr>
                <w:rFonts w:ascii="仿宋" w:hAnsi="仿宋" w:eastAsia="仿宋"/>
                <w:b/>
                <w:bCs w:val="0"/>
              </w:rPr>
              <w:t>人员管理计划</w:t>
            </w:r>
          </w:p>
          <w:p>
            <w:pPr>
              <w:rPr>
                <w:rFonts w:ascii="仿宋" w:hAnsi="仿宋" w:eastAsia="仿宋"/>
                <w:b/>
                <w:bCs w:val="0"/>
              </w:rPr>
            </w:pPr>
            <w:r>
              <w:rPr>
                <w:rFonts w:ascii="仿宋" w:hAnsi="仿宋" w:eastAsia="仿宋"/>
                <w:b/>
                <w:bCs w:val="0"/>
              </w:rPr>
              <w:t>5</w:t>
            </w:r>
            <w:r>
              <w:rPr>
                <w:rFonts w:hint="eastAsia" w:ascii="仿宋" w:hAnsi="仿宋" w:eastAsia="仿宋"/>
                <w:b/>
                <w:bCs w:val="0"/>
              </w:rPr>
              <w:t>分）</w:t>
            </w:r>
          </w:p>
          <w:p>
            <w:pPr>
              <w:rPr>
                <w:rFonts w:ascii="仿宋" w:hAnsi="仿宋" w:eastAsia="仿宋"/>
                <w:b/>
                <w:bCs w:val="0"/>
              </w:rPr>
            </w:pPr>
          </w:p>
        </w:tc>
        <w:tc>
          <w:tcPr>
            <w:tcW w:w="768" w:type="dxa"/>
            <w:vAlign w:val="center"/>
          </w:tcPr>
          <w:p>
            <w:pPr>
              <w:rPr>
                <w:rFonts w:ascii="仿宋" w:hAnsi="仿宋" w:eastAsia="仿宋"/>
                <w:b/>
                <w:bCs w:val="0"/>
              </w:rPr>
            </w:pPr>
            <w:r>
              <w:rPr>
                <w:rFonts w:hint="eastAsia" w:ascii="仿宋" w:hAnsi="仿宋" w:eastAsia="仿宋"/>
                <w:b/>
                <w:bCs w:val="0"/>
              </w:rPr>
              <w:t>2.9</w:t>
            </w:r>
          </w:p>
        </w:tc>
        <w:tc>
          <w:tcPr>
            <w:tcW w:w="5652" w:type="dxa"/>
            <w:vAlign w:val="center"/>
          </w:tcPr>
          <w:p>
            <w:pPr>
              <w:rPr>
                <w:rFonts w:ascii="仿宋" w:hAnsi="仿宋" w:eastAsia="仿宋"/>
                <w:b/>
                <w:bCs w:val="0"/>
              </w:rPr>
            </w:pPr>
            <w:r>
              <w:rPr>
                <w:rFonts w:ascii="仿宋" w:hAnsi="仿宋" w:eastAsia="仿宋"/>
                <w:b/>
                <w:bCs w:val="0"/>
              </w:rPr>
              <w:t>根据投标人提供的项目人员管理计划、项目总体人员配置计划以及主要人员的到岗时间计划，从人员配备是否合理、职责是否清晰、数量是否能够满足采购人使</w:t>
            </w:r>
            <w:bookmarkStart w:id="65" w:name="_GoBack"/>
            <w:bookmarkEnd w:id="65"/>
            <w:r>
              <w:rPr>
                <w:rFonts w:ascii="仿宋" w:hAnsi="仿宋" w:eastAsia="仿宋"/>
                <w:b/>
                <w:bCs w:val="0"/>
              </w:rPr>
              <w:t>用需要、管理制度是否健全等方面，进行综合评分，</w:t>
            </w:r>
            <w:r>
              <w:rPr>
                <w:rFonts w:hint="eastAsia" w:ascii="仿宋" w:hAnsi="仿宋" w:eastAsia="仿宋"/>
                <w:b/>
                <w:bCs w:val="0"/>
              </w:rPr>
              <w:t>本项满分5分</w:t>
            </w:r>
            <w:r>
              <w:rPr>
                <w:rFonts w:ascii="仿宋" w:hAnsi="仿宋" w:eastAsia="仿宋"/>
                <w:b/>
                <w:bCs w:val="0"/>
              </w:rPr>
              <w:t>。</w:t>
            </w:r>
          </w:p>
          <w:p>
            <w:pPr>
              <w:numPr>
                <w:ilvl w:val="255"/>
                <w:numId w:val="0"/>
              </w:numPr>
              <w:jc w:val="left"/>
              <w:rPr>
                <w:rFonts w:ascii="仿宋" w:hAnsi="仿宋" w:eastAsia="仿宋"/>
                <w:b/>
                <w:bCs w:val="0"/>
              </w:rPr>
            </w:pPr>
            <w:r>
              <w:rPr>
                <w:rFonts w:hint="eastAsia" w:ascii="仿宋" w:hAnsi="仿宋" w:eastAsia="仿宋"/>
                <w:b/>
                <w:bCs w:val="0"/>
              </w:rPr>
              <w:t>1）所配备的人员岗位明确、数量合理，能够很好的满足采购人使用需要，得5分；</w:t>
            </w:r>
          </w:p>
          <w:p>
            <w:pPr>
              <w:numPr>
                <w:ilvl w:val="255"/>
                <w:numId w:val="0"/>
              </w:numPr>
              <w:jc w:val="left"/>
              <w:rPr>
                <w:b/>
                <w:bCs w:val="0"/>
              </w:rPr>
            </w:pPr>
            <w:r>
              <w:rPr>
                <w:rFonts w:hint="eastAsia" w:ascii="仿宋" w:hAnsi="仿宋" w:eastAsia="仿宋"/>
                <w:b/>
                <w:bCs w:val="0"/>
              </w:rPr>
              <w:t>2）所配备的人员岗位基本明确、数量基本合理，能较好满足采购人使用需要，得3分；</w:t>
            </w:r>
          </w:p>
          <w:p>
            <w:pPr>
              <w:jc w:val="left"/>
              <w:rPr>
                <w:rFonts w:ascii="仿宋" w:hAnsi="仿宋" w:eastAsia="仿宋"/>
                <w:b/>
                <w:bCs w:val="0"/>
              </w:rPr>
            </w:pPr>
            <w:r>
              <w:rPr>
                <w:rFonts w:hint="eastAsia" w:ascii="仿宋" w:hAnsi="仿宋" w:eastAsia="仿宋"/>
                <w:b/>
                <w:bCs w:val="0"/>
              </w:rPr>
              <w:t>3）提供了人员计划，但所提供人员岗位设置欠合理或和数量不足，与采购人使用需要存在一定偏差，得1分；</w:t>
            </w:r>
          </w:p>
          <w:p>
            <w:pPr>
              <w:rPr>
                <w:rFonts w:ascii="仿宋" w:hAnsi="仿宋" w:eastAsia="仿宋"/>
                <w:b/>
                <w:bCs w:val="0"/>
              </w:rPr>
            </w:pPr>
            <w:r>
              <w:rPr>
                <w:rFonts w:hint="eastAsia" w:ascii="仿宋" w:hAnsi="仿宋" w:eastAsia="仿宋"/>
                <w:b/>
                <w:bCs w:val="0"/>
              </w:rPr>
              <w:t>4）未提交人员计划或提交的人员计划与采购人使用需要有较大偏差的，得0分。</w:t>
            </w:r>
          </w:p>
        </w:tc>
        <w:tc>
          <w:tcPr>
            <w:tcW w:w="867" w:type="dxa"/>
          </w:tcPr>
          <w:p>
            <w:pPr>
              <w:rPr>
                <w:rFonts w:ascii="仿宋" w:hAnsi="仿宋" w:eastAsia="仿宋"/>
                <w:b/>
                <w:bCs w:val="0"/>
              </w:rPr>
            </w:pPr>
            <w:r>
              <w:rPr>
                <w:rFonts w:ascii="仿宋_GB2312" w:hAnsi="宋体" w:eastAsia="仿宋_GB2312"/>
                <w:b/>
                <w:bCs w:val="0"/>
                <w:color w:val="000000"/>
                <w:szCs w:val="21"/>
              </w:rPr>
              <w:t>0~</w:t>
            </w:r>
            <w:r>
              <w:rPr>
                <w:rFonts w:hint="eastAsia" w:ascii="仿宋_GB2312" w:hAnsi="宋体" w:eastAsia="仿宋_GB2312"/>
                <w:b/>
                <w:bCs w:val="0"/>
                <w:color w:val="000000"/>
                <w:szCs w:val="21"/>
              </w:rPr>
              <w:t>5</w:t>
            </w:r>
          </w:p>
        </w:tc>
      </w:tr>
    </w:tbl>
    <w:p/>
    <w:p>
      <w:pPr>
        <w:spacing w:before="156" w:beforeLines="50" w:after="156" w:afterLines="50" w:line="320" w:lineRule="exact"/>
        <w:rPr>
          <w:rFonts w:ascii="仿宋_GB2312" w:hAnsi="宋体" w:eastAsia="仿宋_GB2312"/>
          <w:b/>
          <w:color w:val="000000" w:themeColor="text1"/>
          <w:sz w:val="32"/>
          <w:szCs w:val="32"/>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br w:type="page"/>
      </w:r>
      <w:bookmarkStart w:id="17" w:name="_Toc51935130"/>
      <w:r>
        <w:rPr>
          <w:rFonts w:hint="eastAsia" w:hAnsi="宋体"/>
          <w:b/>
          <w:color w:val="000000" w:themeColor="text1"/>
          <w:sz w:val="36"/>
          <w:szCs w:val="36"/>
          <w14:textFill>
            <w14:solidFill>
              <w14:schemeClr w14:val="tx1"/>
            </w14:solidFill>
          </w14:textFill>
        </w:rPr>
        <w:t>第四章  招标需求</w:t>
      </w:r>
      <w:bookmarkEnd w:id="17"/>
    </w:p>
    <w:p>
      <w:pPr>
        <w:snapToGrid w:val="0"/>
        <w:spacing w:before="156" w:beforeLines="50" w:after="156" w:afterLines="50"/>
        <w:jc w:val="center"/>
        <w:rPr>
          <w:rFonts w:ascii="宋体" w:hAnsi="宋体" w:eastAsia="仿宋_GB2312"/>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1、招标需求中如果涉及具体品牌或型号，仅供参考，可报同档次或更优产品。</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4</w:t>
      </w:r>
      <w:r>
        <w:rPr>
          <w:rFonts w:hint="eastAsia" w:ascii="仿宋" w:hAnsi="仿宋" w:eastAsia="仿宋"/>
          <w:b/>
          <w:color w:val="000000" w:themeColor="text1"/>
          <w:sz w:val="28"/>
          <w:szCs w:val="28"/>
          <w14:textFill>
            <w14:solidFill>
              <w14:schemeClr w14:val="tx1"/>
            </w14:solidFill>
          </w14:textFill>
        </w:rPr>
        <w:t>、采购人拟采购的产品属于</w:t>
      </w:r>
      <w:r>
        <w:rPr>
          <w:rFonts w:hint="eastAsia" w:ascii="仿宋" w:hAnsi="仿宋" w:eastAsia="仿宋"/>
          <w:b/>
          <w:bCs/>
          <w:color w:val="000000" w:themeColor="text1"/>
          <w:sz w:val="28"/>
          <w:szCs w:val="28"/>
          <w14:textFill>
            <w14:solidFill>
              <w14:schemeClr w14:val="tx1"/>
            </w14:solidFill>
          </w14:textFill>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keepNext/>
        <w:keepLines/>
        <w:numPr>
          <w:ilvl w:val="1"/>
          <w:numId w:val="0"/>
        </w:numPr>
        <w:spacing w:line="276" w:lineRule="auto"/>
        <w:ind w:right="-29" w:rightChars="-14"/>
        <w:outlineLvl w:val="1"/>
        <w:rPr>
          <w:rFonts w:ascii="仿宋" w:hAnsi="仿宋" w:eastAsia="仿宋"/>
          <w:b/>
          <w:bCs/>
          <w:color w:val="FF0000"/>
          <w:sz w:val="36"/>
          <w:szCs w:val="24"/>
        </w:rPr>
      </w:pPr>
      <w:bookmarkStart w:id="18" w:name="_Toc55199048"/>
      <w:r>
        <w:rPr>
          <w:rFonts w:hint="eastAsia" w:ascii="仿宋" w:hAnsi="仿宋" w:eastAsia="仿宋"/>
          <w:b/>
          <w:bCs/>
          <w:color w:val="FF0000"/>
          <w:sz w:val="36"/>
          <w:szCs w:val="24"/>
        </w:rPr>
        <w:t>标项1需求文档</w:t>
      </w:r>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1.1项目概况</w:t>
      </w:r>
      <w:bookmarkEnd w:id="18"/>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adjustRightInd w:val="0"/>
        <w:snapToGrid w:val="0"/>
        <w:spacing w:line="276" w:lineRule="auto"/>
        <w:ind w:firstLine="724" w:firstLineChars="302"/>
        <w:rPr>
          <w:rFonts w:ascii="仿宋" w:hAnsi="仿宋" w:eastAsia="仿宋"/>
          <w:sz w:val="24"/>
          <w:szCs w:val="24"/>
        </w:rPr>
      </w:pPr>
      <w:r>
        <w:rPr>
          <w:rFonts w:hint="eastAsia" w:ascii="仿宋" w:hAnsi="仿宋" w:eastAsia="仿宋"/>
          <w:sz w:val="24"/>
          <w:szCs w:val="24"/>
        </w:rPr>
        <w:t>根据第31届世界大学生夏季运动会场馆布局，本次大运会初步计划使用49个场馆（其中新建场馆13个，维修改造场馆36个。分布于成都市16个区（市）县，对应18个竞赛项目的比赛和训练需求），以及综合运行管理中心（MOC）、主新闻中心、国际广播中心、运动员村等十余个非竞赛场馆。</w:t>
      </w:r>
    </w:p>
    <w:p>
      <w:pPr>
        <w:spacing w:line="276" w:lineRule="auto"/>
        <w:ind w:firstLine="560"/>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spacing w:line="276" w:lineRule="auto"/>
        <w:ind w:firstLine="560"/>
        <w:rPr>
          <w:rFonts w:ascii="仿宋" w:hAnsi="仿宋" w:eastAsia="仿宋"/>
          <w:sz w:val="28"/>
          <w:szCs w:val="24"/>
        </w:rPr>
      </w:pPr>
    </w:p>
    <w:p>
      <w:pPr>
        <w:keepNext/>
        <w:keepLines/>
        <w:numPr>
          <w:ilvl w:val="1"/>
          <w:numId w:val="0"/>
        </w:numPr>
        <w:spacing w:line="276" w:lineRule="auto"/>
        <w:ind w:right="-29" w:rightChars="-14"/>
        <w:outlineLvl w:val="1"/>
        <w:rPr>
          <w:rFonts w:ascii="仿宋" w:hAnsi="仿宋" w:eastAsia="仿宋"/>
          <w:b/>
          <w:bCs/>
          <w:sz w:val="28"/>
          <w:szCs w:val="24"/>
        </w:rPr>
      </w:pPr>
      <w:bookmarkStart w:id="19" w:name="_Toc55199049"/>
      <w:r>
        <w:rPr>
          <w:rFonts w:hint="eastAsia" w:ascii="仿宋" w:hAnsi="仿宋" w:eastAsia="仿宋"/>
          <w:b/>
          <w:bCs/>
          <w:sz w:val="28"/>
          <w:szCs w:val="24"/>
        </w:rPr>
        <w:t>1.2服务范围</w:t>
      </w:r>
      <w:bookmarkEnd w:id="19"/>
      <w:r>
        <w:rPr>
          <w:rFonts w:hint="eastAsia" w:ascii="仿宋" w:hAnsi="仿宋" w:eastAsia="仿宋"/>
          <w:b/>
          <w:bCs/>
          <w:sz w:val="28"/>
          <w:szCs w:val="24"/>
        </w:rPr>
        <w:t xml:space="preserve"> </w:t>
      </w:r>
    </w:p>
    <w:p>
      <w:pPr>
        <w:spacing w:line="276" w:lineRule="auto"/>
        <w:ind w:firstLine="560"/>
        <w:rPr>
          <w:rFonts w:ascii="仿宋" w:hAnsi="仿宋" w:eastAsia="仿宋"/>
          <w:sz w:val="24"/>
          <w:szCs w:val="24"/>
        </w:rPr>
      </w:pPr>
      <w:r>
        <w:rPr>
          <w:rFonts w:hint="eastAsia" w:ascii="仿宋" w:hAnsi="仿宋" w:eastAsia="仿宋"/>
          <w:sz w:val="24"/>
          <w:szCs w:val="24"/>
        </w:rPr>
        <w:t>本项目的服务内容：电视字幕系统是一套直接服务于电视转播的信息发布系统。以电视字幕的形式为电视台提供赛事的信息，如竞赛计划、编排秩序信息、实时成绩、比赛成绩信息、颁奖信息等，是电视台获得比赛成绩信息的最主要渠道。</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28"/>
          <w:szCs w:val="24"/>
        </w:rPr>
      </w:pPr>
      <w:bookmarkStart w:id="20" w:name="_Toc55199051"/>
      <w:r>
        <w:rPr>
          <w:rFonts w:hint="eastAsia" w:ascii="仿宋" w:hAnsi="仿宋" w:eastAsia="仿宋"/>
          <w:b/>
          <w:bCs/>
          <w:sz w:val="28"/>
          <w:szCs w:val="24"/>
        </w:rPr>
        <w:t>1.3系统服务要求</w:t>
      </w:r>
      <w:bookmarkEnd w:id="20"/>
    </w:p>
    <w:p>
      <w:pPr>
        <w:spacing w:line="276" w:lineRule="auto"/>
        <w:ind w:firstLine="560"/>
        <w:rPr>
          <w:rFonts w:ascii="仿宋" w:hAnsi="仿宋" w:eastAsia="仿宋"/>
          <w:b/>
          <w:sz w:val="24"/>
          <w:szCs w:val="24"/>
        </w:rPr>
      </w:pPr>
      <w:r>
        <w:rPr>
          <w:rFonts w:hint="eastAsia" w:ascii="仿宋" w:hAnsi="仿宋" w:eastAsia="仿宋"/>
          <w:b/>
          <w:sz w:val="24"/>
          <w:szCs w:val="24"/>
          <w:u w:val="single"/>
        </w:rPr>
        <w:t>▲中标人所提供的电视字幕系统服务需满足国际大体联、国际（国内）单项体育联合协会的要求</w:t>
      </w:r>
      <w:r>
        <w:rPr>
          <w:rFonts w:hint="eastAsia" w:ascii="仿宋" w:hAnsi="仿宋" w:eastAsia="仿宋" w:cs="宋体"/>
          <w:kern w:val="0"/>
          <w:sz w:val="24"/>
          <w:szCs w:val="24"/>
          <w:lang w:bidi="ar"/>
        </w:rPr>
        <w:t>▲</w:t>
      </w:r>
      <w:r>
        <w:rPr>
          <w:rFonts w:hint="eastAsia" w:ascii="仿宋" w:hAnsi="仿宋" w:eastAsia="仿宋"/>
          <w:b/>
          <w:sz w:val="24"/>
          <w:szCs w:val="24"/>
        </w:rPr>
        <w:t>。</w:t>
      </w:r>
    </w:p>
    <w:p>
      <w:pPr>
        <w:spacing w:line="276" w:lineRule="auto"/>
        <w:ind w:firstLine="560"/>
        <w:rPr>
          <w:rFonts w:ascii="仿宋" w:hAnsi="仿宋" w:eastAsia="仿宋"/>
          <w:b/>
          <w:sz w:val="24"/>
          <w:szCs w:val="24"/>
        </w:rPr>
      </w:pPr>
    </w:p>
    <w:p>
      <w:pPr>
        <w:keepNext/>
        <w:keepLines/>
        <w:numPr>
          <w:ilvl w:val="0"/>
          <w:numId w:val="34"/>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电视字幕系统</w:t>
      </w:r>
    </w:p>
    <w:p>
      <w:pPr>
        <w:keepNext/>
        <w:keepLines/>
        <w:spacing w:before="120" w:after="120"/>
        <w:outlineLvl w:val="4"/>
        <w:rPr>
          <w:rFonts w:ascii="仿宋" w:hAnsi="仿宋" w:eastAsia="仿宋"/>
          <w:b/>
          <w:bCs/>
          <w:sz w:val="24"/>
          <w:szCs w:val="24"/>
        </w:rPr>
      </w:pPr>
      <w:r>
        <w:rPr>
          <w:rFonts w:hint="eastAsia" w:ascii="仿宋" w:hAnsi="仿宋" w:eastAsia="仿宋"/>
          <w:b/>
          <w:bCs/>
          <w:sz w:val="24"/>
          <w:szCs w:val="24"/>
        </w:rPr>
        <w:t>功能描述：</w:t>
      </w:r>
    </w:p>
    <w:p>
      <w:pPr>
        <w:spacing w:line="276" w:lineRule="auto"/>
        <w:ind w:firstLine="560"/>
        <w:rPr>
          <w:rFonts w:ascii="仿宋" w:hAnsi="仿宋" w:eastAsia="仿宋"/>
          <w:sz w:val="24"/>
          <w:szCs w:val="24"/>
        </w:rPr>
      </w:pPr>
      <w:r>
        <w:rPr>
          <w:rFonts w:hint="eastAsia" w:ascii="仿宋" w:hAnsi="仿宋" w:eastAsia="仿宋"/>
          <w:sz w:val="24"/>
          <w:szCs w:val="24"/>
        </w:rPr>
        <w:t>本届成都大运会包括体操、游泳、羽毛球、田径、击剑、乒乓球、篮球、排球、柔道、射箭、水球、跆拳道、跳水、网球、艺术体操、武术、赛艇、射击18个单项。电视字幕系统是一套直接服务于电视转播的信息发布系统。通过数据库接口、计时设备接口、记分数据接口、特殊设备接口来服务于电视转播，能够以电视字幕形式为电视台提供赛事信息服务，是电视台获得比赛成绩信息的最主要渠道。</w:t>
      </w:r>
    </w:p>
    <w:p>
      <w:pPr>
        <w:keepNext/>
        <w:keepLines/>
        <w:spacing w:before="120" w:after="120" w:line="377" w:lineRule="auto"/>
        <w:outlineLvl w:val="4"/>
        <w:rPr>
          <w:rFonts w:ascii="仿宋" w:hAnsi="仿宋" w:eastAsia="仿宋"/>
          <w:b/>
          <w:bCs/>
          <w:sz w:val="24"/>
          <w:szCs w:val="24"/>
        </w:rPr>
      </w:pPr>
      <w:r>
        <w:rPr>
          <w:rFonts w:hint="eastAsia" w:ascii="仿宋" w:hAnsi="仿宋" w:eastAsia="仿宋"/>
          <w:b/>
          <w:bCs/>
          <w:sz w:val="24"/>
          <w:szCs w:val="24"/>
        </w:rPr>
        <w:t>服务内容：</w:t>
      </w:r>
    </w:p>
    <w:p>
      <w:pPr>
        <w:spacing w:line="276" w:lineRule="auto"/>
        <w:ind w:firstLine="560"/>
        <w:rPr>
          <w:rFonts w:ascii="仿宋" w:hAnsi="仿宋" w:eastAsia="仿宋"/>
          <w:sz w:val="24"/>
          <w:szCs w:val="24"/>
        </w:rPr>
      </w:pPr>
      <w:r>
        <w:rPr>
          <w:rFonts w:hint="eastAsia" w:ascii="仿宋" w:hAnsi="仿宋" w:eastAsia="仿宋"/>
          <w:sz w:val="24"/>
          <w:szCs w:val="24"/>
        </w:rPr>
        <w:t>电视字幕系统是一套直接服务于电视转播的信息发布系统。以电视字幕的形式为电视台提供赛事的信息，如竞赛计划、编排秩序信息、实时成绩、比赛成绩信息、颁奖信息等，是电视台获得比赛成绩信息的最主要渠道。本系统服务不包括字幕机的提供。</w:t>
      </w:r>
    </w:p>
    <w:p>
      <w:pPr>
        <w:keepNext/>
        <w:keepLines/>
        <w:spacing w:before="120" w:after="120" w:line="377" w:lineRule="auto"/>
        <w:outlineLvl w:val="4"/>
        <w:rPr>
          <w:rFonts w:ascii="仿宋" w:hAnsi="仿宋" w:eastAsia="仿宋"/>
          <w:b/>
          <w:bCs/>
          <w:sz w:val="24"/>
          <w:szCs w:val="24"/>
        </w:rPr>
      </w:pPr>
      <w:r>
        <w:rPr>
          <w:rFonts w:hint="eastAsia" w:ascii="仿宋" w:hAnsi="仿宋" w:eastAsia="仿宋"/>
          <w:b/>
          <w:bCs/>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电视字幕系统使用先进的软硬件为各赛事信号的输出提供专业技术保障。</w:t>
      </w:r>
    </w:p>
    <w:p>
      <w:pPr>
        <w:spacing w:line="276" w:lineRule="auto"/>
        <w:ind w:firstLine="560"/>
        <w:rPr>
          <w:rFonts w:ascii="仿宋" w:hAnsi="仿宋" w:eastAsia="仿宋"/>
          <w:sz w:val="24"/>
          <w:szCs w:val="24"/>
        </w:rPr>
      </w:pPr>
      <w:r>
        <w:rPr>
          <w:rFonts w:hint="eastAsia" w:ascii="仿宋" w:hAnsi="仿宋" w:eastAsia="仿宋"/>
          <w:sz w:val="24"/>
          <w:szCs w:val="24"/>
        </w:rPr>
        <w:t>（1）准确性：必须从计时记分或成绩处理设备中获取正确的数据；</w:t>
      </w:r>
    </w:p>
    <w:p>
      <w:pPr>
        <w:spacing w:line="276" w:lineRule="auto"/>
        <w:ind w:firstLine="560"/>
        <w:rPr>
          <w:rFonts w:ascii="仿宋" w:hAnsi="仿宋" w:eastAsia="仿宋"/>
          <w:sz w:val="24"/>
          <w:szCs w:val="24"/>
        </w:rPr>
      </w:pPr>
      <w:r>
        <w:rPr>
          <w:rFonts w:hint="eastAsia" w:ascii="仿宋" w:hAnsi="仿宋" w:eastAsia="仿宋"/>
          <w:sz w:val="24"/>
          <w:szCs w:val="24"/>
        </w:rPr>
        <w:t>（2）适应能力：必须能够处理不同类型的计时记分设备数据并要求运行正常；</w:t>
      </w:r>
    </w:p>
    <w:p>
      <w:pPr>
        <w:spacing w:line="276" w:lineRule="auto"/>
        <w:ind w:firstLine="560"/>
        <w:rPr>
          <w:rFonts w:ascii="仿宋" w:hAnsi="仿宋" w:eastAsia="仿宋"/>
          <w:sz w:val="24"/>
          <w:szCs w:val="24"/>
        </w:rPr>
      </w:pPr>
      <w:r>
        <w:rPr>
          <w:rFonts w:hint="eastAsia" w:ascii="仿宋" w:hAnsi="仿宋" w:eastAsia="仿宋"/>
          <w:sz w:val="24"/>
          <w:szCs w:val="24"/>
        </w:rPr>
        <w:t>（3）协议：必须能够应用各种可靠的、有效的协议；</w:t>
      </w:r>
    </w:p>
    <w:p>
      <w:pPr>
        <w:spacing w:line="276" w:lineRule="auto"/>
        <w:ind w:firstLine="560"/>
        <w:rPr>
          <w:rFonts w:ascii="仿宋" w:hAnsi="仿宋" w:eastAsia="仿宋"/>
          <w:sz w:val="24"/>
          <w:szCs w:val="24"/>
        </w:rPr>
      </w:pPr>
      <w:r>
        <w:rPr>
          <w:rFonts w:hint="eastAsia" w:ascii="仿宋" w:hAnsi="仿宋" w:eastAsia="仿宋"/>
          <w:sz w:val="24"/>
          <w:szCs w:val="24"/>
        </w:rPr>
        <w:t>（4）简便：电视字幕系统与计时记分/成绩处理系统之间的连接必须简便易用。</w:t>
      </w:r>
    </w:p>
    <w:p>
      <w:pPr>
        <w:spacing w:line="276" w:lineRule="auto"/>
        <w:ind w:firstLine="560"/>
        <w:rPr>
          <w:rFonts w:ascii="仿宋" w:hAnsi="仿宋" w:eastAsia="仿宋"/>
          <w:sz w:val="24"/>
          <w:szCs w:val="24"/>
        </w:rPr>
      </w:pPr>
    </w:p>
    <w:p>
      <w:pPr>
        <w:keepNext/>
        <w:keepLines/>
        <w:numPr>
          <w:ilvl w:val="0"/>
          <w:numId w:val="34"/>
        </w:numPr>
        <w:tabs>
          <w:tab w:val="left" w:pos="480"/>
        </w:tabs>
        <w:spacing w:line="276" w:lineRule="auto"/>
        <w:outlineLvl w:val="2"/>
        <w:rPr>
          <w:rFonts w:ascii="仿宋" w:hAnsi="仿宋" w:eastAsia="仿宋"/>
          <w:b/>
          <w:kern w:val="0"/>
          <w:sz w:val="24"/>
          <w:szCs w:val="24"/>
        </w:rPr>
      </w:pPr>
      <w:bookmarkStart w:id="21" w:name="_Toc55199054"/>
      <w:r>
        <w:rPr>
          <w:rFonts w:hint="eastAsia" w:ascii="仿宋" w:hAnsi="仿宋" w:eastAsia="仿宋"/>
          <w:b/>
          <w:kern w:val="0"/>
          <w:sz w:val="24"/>
          <w:szCs w:val="24"/>
        </w:rPr>
        <w:t>系统保障</w:t>
      </w:r>
      <w:bookmarkEnd w:id="21"/>
    </w:p>
    <w:p>
      <w:pPr>
        <w:spacing w:line="276" w:lineRule="auto"/>
        <w:ind w:firstLine="560"/>
        <w:rPr>
          <w:rFonts w:ascii="仿宋" w:hAnsi="仿宋" w:eastAsia="仿宋"/>
          <w:sz w:val="24"/>
          <w:szCs w:val="24"/>
        </w:rPr>
      </w:pPr>
      <w:r>
        <w:rPr>
          <w:rFonts w:hint="eastAsia" w:ascii="仿宋" w:hAnsi="仿宋" w:eastAsia="仿宋"/>
          <w:sz w:val="24"/>
          <w:szCs w:val="24"/>
        </w:rPr>
        <w:t>系统保障包含电视字幕服务中通用设备计划、人员配置计划、人员培训计划等。</w:t>
      </w:r>
    </w:p>
    <w:p>
      <w:pPr>
        <w:spacing w:line="276" w:lineRule="auto"/>
        <w:ind w:firstLine="562"/>
        <w:rPr>
          <w:rFonts w:ascii="仿宋" w:hAnsi="仿宋" w:eastAsia="仿宋"/>
          <w:b/>
          <w:sz w:val="24"/>
          <w:szCs w:val="24"/>
        </w:rPr>
      </w:pPr>
      <w:r>
        <w:rPr>
          <w:rFonts w:hint="eastAsia" w:ascii="仿宋" w:hAnsi="仿宋" w:eastAsia="仿宋"/>
          <w:b/>
          <w:sz w:val="24"/>
          <w:szCs w:val="24"/>
        </w:rPr>
        <w:t>一、▲</w:t>
      </w:r>
      <w:r>
        <w:rPr>
          <w:rFonts w:hint="eastAsia" w:ascii="仿宋" w:hAnsi="仿宋" w:eastAsia="仿宋"/>
          <w:b/>
          <w:sz w:val="24"/>
          <w:szCs w:val="24"/>
          <w:u w:val="single"/>
        </w:rPr>
        <w:t>电视字幕系统人员配置包括不少于以下人员数量要求：电视字幕工程师30人▲</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二、成交投标人成交后需要按照国际大体联技术指南最新版本提出的建设要求进行系统建设，并且在大运会建设期间负责与国际大体联关于建设内容进行沟通确认。</w:t>
      </w:r>
    </w:p>
    <w:p>
      <w:pPr>
        <w:spacing w:after="240" w:afterLines="100" w:line="276" w:lineRule="auto"/>
        <w:ind w:firstLine="561"/>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szCs w:val="24"/>
          <w:u w:val="single"/>
        </w:rPr>
        <w:t>成交投标人所提供的电视字幕系统服务需满足国际大体联、国际（国内）单项体育联合协会的要求</w:t>
      </w:r>
      <w:r>
        <w:rPr>
          <w:rFonts w:hint="eastAsia" w:ascii="仿宋" w:hAnsi="仿宋" w:eastAsia="仿宋"/>
          <w:b/>
          <w:sz w:val="24"/>
          <w:szCs w:val="24"/>
        </w:rPr>
        <w:t>▲。</w:t>
      </w:r>
    </w:p>
    <w:p>
      <w:pPr>
        <w:keepNext/>
        <w:keepLines/>
        <w:numPr>
          <w:ilvl w:val="0"/>
          <w:numId w:val="34"/>
        </w:numPr>
        <w:tabs>
          <w:tab w:val="left" w:pos="480"/>
        </w:tabs>
        <w:spacing w:line="276" w:lineRule="auto"/>
        <w:outlineLvl w:val="2"/>
        <w:rPr>
          <w:rFonts w:ascii="仿宋" w:hAnsi="仿宋" w:eastAsia="仿宋"/>
          <w:b/>
          <w:kern w:val="0"/>
          <w:sz w:val="24"/>
          <w:szCs w:val="24"/>
        </w:rPr>
      </w:pPr>
      <w:bookmarkStart w:id="22" w:name="_Toc55199055"/>
      <w:r>
        <w:rPr>
          <w:rFonts w:hint="eastAsia" w:ascii="仿宋" w:hAnsi="仿宋" w:eastAsia="仿宋"/>
          <w:b/>
          <w:kern w:val="0"/>
          <w:sz w:val="24"/>
          <w:szCs w:val="24"/>
        </w:rPr>
        <w:t>赛事运行服务要求</w:t>
      </w:r>
      <w:bookmarkEnd w:id="22"/>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numPr>
          <w:ilvl w:val="0"/>
          <w:numId w:val="34"/>
        </w:numPr>
        <w:tabs>
          <w:tab w:val="left" w:pos="480"/>
        </w:tabs>
        <w:spacing w:line="276" w:lineRule="auto"/>
        <w:outlineLvl w:val="2"/>
        <w:rPr>
          <w:rFonts w:ascii="仿宋" w:hAnsi="仿宋" w:eastAsia="仿宋"/>
          <w:b/>
          <w:kern w:val="0"/>
          <w:sz w:val="24"/>
          <w:szCs w:val="24"/>
        </w:rPr>
      </w:pPr>
      <w:bookmarkStart w:id="23" w:name="_Toc55199056"/>
      <w:r>
        <w:rPr>
          <w:rFonts w:hint="eastAsia" w:ascii="仿宋" w:hAnsi="仿宋" w:eastAsia="仿宋"/>
          <w:kern w:val="0"/>
          <w:sz w:val="24"/>
          <w:szCs w:val="24"/>
        </w:rPr>
        <w:t>▲</w:t>
      </w:r>
      <w:r>
        <w:rPr>
          <w:rFonts w:hint="eastAsia" w:ascii="仿宋" w:hAnsi="仿宋" w:eastAsia="仿宋"/>
          <w:b/>
          <w:kern w:val="0"/>
          <w:sz w:val="24"/>
          <w:szCs w:val="24"/>
          <w:u w:val="single"/>
        </w:rPr>
        <w:t>系统专项设计</w:t>
      </w:r>
      <w:bookmarkEnd w:id="23"/>
      <w:r>
        <w:rPr>
          <w:rFonts w:hint="eastAsia" w:ascii="仿宋" w:hAnsi="仿宋" w:eastAsia="仿宋"/>
          <w:kern w:val="0"/>
          <w:sz w:val="24"/>
          <w:szCs w:val="24"/>
        </w:rPr>
        <w:t>▲</w:t>
      </w:r>
    </w:p>
    <w:p>
      <w:pPr>
        <w:spacing w:after="240" w:afterLines="100" w:line="276" w:lineRule="auto"/>
        <w:ind w:firstLine="482"/>
        <w:rPr>
          <w:rFonts w:ascii="仿宋" w:hAnsi="仿宋" w:eastAsia="仿宋"/>
          <w:b/>
          <w:sz w:val="24"/>
          <w:szCs w:val="24"/>
        </w:rPr>
      </w:pPr>
      <w:r>
        <w:rPr>
          <w:rFonts w:hint="eastAsia" w:ascii="仿宋" w:hAnsi="仿宋" w:eastAsia="仿宋"/>
          <w:b/>
          <w:sz w:val="24"/>
          <w:szCs w:val="24"/>
        </w:rPr>
        <w:t>投标人需按照甲方要求配合完成系统专项设计：包括但不限于《系统深化设计方案》、</w:t>
      </w:r>
      <w:r>
        <w:rPr>
          <w:rFonts w:ascii="仿宋" w:hAnsi="仿宋" w:eastAsia="仿宋" w:cs="Arial"/>
          <w:b/>
          <w:color w:val="000000"/>
          <w:sz w:val="24"/>
          <w:szCs w:val="24"/>
        </w:rPr>
        <w:t>《需求调研报告》、《需求规格说明书》、《数据库设计》、《概要设计》、《一馆一册》</w:t>
      </w:r>
      <w:r>
        <w:rPr>
          <w:rFonts w:hint="eastAsia" w:ascii="仿宋" w:hAnsi="仿宋" w:eastAsia="仿宋"/>
          <w:b/>
          <w:sz w:val="24"/>
          <w:szCs w:val="24"/>
        </w:rPr>
        <w:t>等文档以及各部分的子项目设计分册等内容。</w:t>
      </w:r>
    </w:p>
    <w:p>
      <w:pPr>
        <w:keepNext/>
        <w:keepLines/>
        <w:numPr>
          <w:ilvl w:val="0"/>
          <w:numId w:val="34"/>
        </w:numPr>
        <w:tabs>
          <w:tab w:val="left" w:pos="480"/>
        </w:tabs>
        <w:spacing w:line="276" w:lineRule="auto"/>
        <w:outlineLvl w:val="2"/>
        <w:rPr>
          <w:rFonts w:ascii="仿宋" w:hAnsi="仿宋" w:eastAsia="仿宋"/>
          <w:b/>
          <w:kern w:val="0"/>
          <w:sz w:val="24"/>
          <w:szCs w:val="24"/>
        </w:rPr>
      </w:pPr>
      <w:bookmarkStart w:id="24" w:name="_Toc55199057"/>
      <w:r>
        <w:rPr>
          <w:rFonts w:hint="eastAsia" w:ascii="仿宋" w:hAnsi="仿宋" w:eastAsia="仿宋"/>
          <w:b/>
          <w:kern w:val="0"/>
          <w:sz w:val="24"/>
          <w:szCs w:val="24"/>
        </w:rPr>
        <w:t>赛事运行保障</w:t>
      </w:r>
      <w:bookmarkEnd w:id="24"/>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keepNext/>
        <w:keepLines/>
        <w:numPr>
          <w:ilvl w:val="0"/>
          <w:numId w:val="34"/>
        </w:numPr>
        <w:tabs>
          <w:tab w:val="left" w:pos="480"/>
        </w:tabs>
        <w:spacing w:line="276" w:lineRule="auto"/>
        <w:outlineLvl w:val="2"/>
        <w:rPr>
          <w:rFonts w:ascii="仿宋" w:hAnsi="仿宋" w:eastAsia="仿宋"/>
          <w:b/>
          <w:kern w:val="0"/>
          <w:sz w:val="24"/>
          <w:szCs w:val="24"/>
        </w:rPr>
      </w:pPr>
      <w:bookmarkStart w:id="25" w:name="_Toc55199058"/>
      <w:r>
        <w:rPr>
          <w:rFonts w:hint="eastAsia" w:ascii="仿宋" w:hAnsi="仿宋" w:eastAsia="仿宋"/>
          <w:b/>
          <w:kern w:val="0"/>
          <w:sz w:val="24"/>
          <w:szCs w:val="24"/>
        </w:rPr>
        <w:t>赛时应急响应</w:t>
      </w:r>
      <w:bookmarkEnd w:id="25"/>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赛前将经过集成测试、测试赛、联试联调等多轮测试和演练，但由于综合性运动会信息技术存在“关门时间”和“实时性”的要求，因此赛时还需指定一套完备的应急预案，投标人应成立应急保障团队，从组织架构、工作流程、职责分工、应急人员等方面提出切实可行的计划，并在赛时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ind w:firstLine="560"/>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ind w:firstLine="560"/>
        <w:rPr>
          <w:rFonts w:ascii="仿宋" w:hAnsi="仿宋" w:eastAsia="仿宋"/>
          <w:sz w:val="24"/>
          <w:szCs w:val="24"/>
        </w:rPr>
      </w:pPr>
      <w:r>
        <w:rPr>
          <w:rFonts w:hint="eastAsia" w:ascii="仿宋" w:hAnsi="仿宋" w:eastAsia="仿宋"/>
          <w:sz w:val="24"/>
          <w:szCs w:val="24"/>
        </w:rPr>
        <w:t>3、需提供完备的电视字幕系统应急机制。</w:t>
      </w:r>
    </w:p>
    <w:p>
      <w:pPr>
        <w:keepNext/>
        <w:keepLines/>
        <w:numPr>
          <w:ilvl w:val="1"/>
          <w:numId w:val="0"/>
        </w:numPr>
        <w:spacing w:line="276" w:lineRule="auto"/>
        <w:ind w:right="-29" w:rightChars="-14"/>
        <w:outlineLvl w:val="1"/>
        <w:rPr>
          <w:rFonts w:ascii="仿宋" w:hAnsi="仿宋" w:eastAsia="仿宋"/>
          <w:b/>
          <w:bCs/>
          <w:sz w:val="24"/>
          <w:szCs w:val="24"/>
        </w:rPr>
      </w:pPr>
      <w:bookmarkStart w:id="26" w:name="_Toc55199059"/>
      <w:r>
        <w:rPr>
          <w:rFonts w:hint="eastAsia" w:ascii="仿宋" w:hAnsi="仿宋" w:eastAsia="仿宋"/>
          <w:b/>
          <w:bCs/>
          <w:sz w:val="24"/>
          <w:szCs w:val="24"/>
        </w:rPr>
        <w:t>服务功能清单</w:t>
      </w:r>
      <w:bookmarkEnd w:id="26"/>
      <w:r>
        <w:rPr>
          <w:rFonts w:hint="eastAsia" w:ascii="仿宋" w:hAnsi="仿宋" w:eastAsia="仿宋"/>
          <w:b/>
          <w:bCs/>
          <w:sz w:val="24"/>
          <w:szCs w:val="24"/>
        </w:rPr>
        <w:t>：</w:t>
      </w:r>
    </w:p>
    <w:tbl>
      <w:tblPr>
        <w:tblStyle w:val="58"/>
        <w:tblW w:w="8789" w:type="dxa"/>
        <w:tblInd w:w="5" w:type="dxa"/>
        <w:tblLayout w:type="autofit"/>
        <w:tblCellMar>
          <w:top w:w="0" w:type="dxa"/>
          <w:left w:w="108" w:type="dxa"/>
          <w:bottom w:w="0" w:type="dxa"/>
          <w:right w:w="108" w:type="dxa"/>
        </w:tblCellMar>
      </w:tblPr>
      <w:tblGrid>
        <w:gridCol w:w="1389"/>
        <w:gridCol w:w="7400"/>
      </w:tblGrid>
      <w:tr>
        <w:trPr>
          <w:trHeight w:val="285" w:hRule="atLeast"/>
          <w:tblHeader/>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740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CellMar>
            <w:top w:w="0" w:type="dxa"/>
            <w:left w:w="108" w:type="dxa"/>
            <w:bottom w:w="0" w:type="dxa"/>
            <w:right w:w="108" w:type="dxa"/>
          </w:tblCellMar>
        </w:tblPrEx>
        <w:trPr>
          <w:trHeight w:val="2440"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电视字幕系统</w:t>
            </w:r>
          </w:p>
        </w:tc>
        <w:tc>
          <w:tcPr>
            <w:tcW w:w="740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电视字幕系统-体操、游泳、羽毛球、田径、击剑、乒乓球、篮球、排球、柔道、射箭、水球、跆拳道、跳水、网球、艺术体操、武术、赛艇、射击18个单项</w:t>
            </w:r>
          </w:p>
        </w:tc>
      </w:tr>
    </w:tbl>
    <w:p>
      <w:bookmarkStart w:id="27" w:name="_Toc55199060"/>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1.5其它要求</w:t>
      </w:r>
      <w:bookmarkEnd w:id="27"/>
    </w:p>
    <w:p>
      <w:pPr>
        <w:keepNext/>
        <w:keepLines/>
        <w:numPr>
          <w:ilvl w:val="0"/>
          <w:numId w:val="35"/>
        </w:numPr>
        <w:tabs>
          <w:tab w:val="left" w:pos="480"/>
        </w:tabs>
        <w:spacing w:line="276" w:lineRule="auto"/>
        <w:outlineLvl w:val="2"/>
        <w:rPr>
          <w:rFonts w:ascii="仿宋" w:hAnsi="仿宋" w:eastAsia="仿宋"/>
          <w:b/>
          <w:kern w:val="0"/>
          <w:sz w:val="24"/>
          <w:szCs w:val="24"/>
        </w:rPr>
      </w:pPr>
      <w:bookmarkStart w:id="28" w:name="_Toc55199061"/>
      <w:r>
        <w:rPr>
          <w:rFonts w:hint="eastAsia" w:ascii="仿宋" w:hAnsi="仿宋" w:eastAsia="仿宋"/>
          <w:b/>
          <w:kern w:val="0"/>
          <w:sz w:val="24"/>
          <w:szCs w:val="24"/>
        </w:rPr>
        <w:t>人员管理要求</w:t>
      </w:r>
      <w:bookmarkEnd w:id="28"/>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人员构成：</w:t>
      </w:r>
    </w:p>
    <w:p>
      <w:pPr>
        <w:spacing w:line="276" w:lineRule="auto"/>
        <w:ind w:firstLine="560"/>
        <w:rPr>
          <w:rFonts w:ascii="仿宋" w:hAnsi="仿宋" w:eastAsia="仿宋"/>
          <w:sz w:val="24"/>
          <w:szCs w:val="24"/>
        </w:rPr>
      </w:pPr>
      <w:r>
        <w:rPr>
          <w:rFonts w:hint="eastAsia" w:ascii="仿宋" w:hAnsi="仿宋" w:eastAsia="仿宋"/>
          <w:sz w:val="24"/>
          <w:szCs w:val="24"/>
        </w:rPr>
        <w:t>完成电视字幕系统建设，投标人需设置完善的系统运行团队的人员构成及保障。</w:t>
      </w:r>
    </w:p>
    <w:p>
      <w:pPr>
        <w:spacing w:line="276" w:lineRule="auto"/>
        <w:ind w:firstLine="560"/>
        <w:rPr>
          <w:rFonts w:ascii="仿宋" w:hAnsi="仿宋" w:eastAsia="仿宋"/>
          <w:sz w:val="24"/>
          <w:szCs w:val="24"/>
        </w:rPr>
      </w:pPr>
      <w:r>
        <w:rPr>
          <w:rFonts w:hint="eastAsia" w:ascii="仿宋" w:hAnsi="仿宋" w:eastAsia="仿宋"/>
          <w:sz w:val="24"/>
          <w:szCs w:val="24"/>
        </w:rPr>
        <w:t>各组别需根据各自业务需求建设完善的人员构成，包括但不限于：电视字幕主管、电视字幕工程师。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人员要求：</w:t>
      </w:r>
    </w:p>
    <w:p>
      <w:pPr>
        <w:rPr>
          <w:rFonts w:ascii="仿宋" w:hAnsi="仿宋" w:eastAsia="仿宋"/>
          <w:sz w:val="24"/>
          <w:szCs w:val="24"/>
        </w:rPr>
      </w:pPr>
      <w:r>
        <w:rPr>
          <w:rFonts w:hint="eastAsia" w:ascii="仿宋" w:hAnsi="仿宋" w:eastAsia="仿宋"/>
          <w:sz w:val="24"/>
          <w:szCs w:val="24"/>
        </w:rPr>
        <w:t>各组别需根据各自业务需求建设完善的人员构成，包括但不限于：</w:t>
      </w:r>
    </w:p>
    <w:tbl>
      <w:tblPr>
        <w:tblStyle w:val="58"/>
        <w:tblW w:w="8784" w:type="dxa"/>
        <w:jc w:val="center"/>
        <w:tblLayout w:type="fixed"/>
        <w:tblCellMar>
          <w:top w:w="0" w:type="dxa"/>
          <w:left w:w="0" w:type="dxa"/>
          <w:bottom w:w="0" w:type="dxa"/>
          <w:right w:w="0" w:type="dxa"/>
        </w:tblCellMar>
      </w:tblPr>
      <w:tblGrid>
        <w:gridCol w:w="1212"/>
        <w:gridCol w:w="2047"/>
        <w:gridCol w:w="5525"/>
      </w:tblGrid>
      <w:tr>
        <w:tblPrEx>
          <w:tblCellMar>
            <w:top w:w="0" w:type="dxa"/>
            <w:left w:w="0" w:type="dxa"/>
            <w:bottom w:w="0" w:type="dxa"/>
            <w:right w:w="0" w:type="dxa"/>
          </w:tblCellMar>
        </w:tblPrEx>
        <w:trPr>
          <w:trHeight w:val="322" w:hRule="exact"/>
          <w:tblHeader/>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序号</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工作岗位</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rPr>
                <w:rFonts w:ascii="仿宋" w:hAnsi="仿宋" w:eastAsia="仿宋"/>
                <w:sz w:val="24"/>
                <w:szCs w:val="24"/>
              </w:rPr>
            </w:pPr>
            <w:r>
              <w:rPr>
                <w:rFonts w:hint="eastAsia" w:ascii="仿宋" w:hAnsi="仿宋" w:eastAsia="仿宋" w:cs="宋体"/>
                <w:b/>
                <w:bCs/>
                <w:sz w:val="24"/>
                <w:szCs w:val="24"/>
              </w:rPr>
              <w:t>岗位职责</w:t>
            </w:r>
            <w:r>
              <w:rPr>
                <w:rFonts w:ascii="仿宋" w:hAnsi="仿宋" w:eastAsia="仿宋" w:cs="宋体"/>
                <w:b/>
                <w:bCs/>
                <w:w w:val="98"/>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1</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sz w:val="24"/>
                <w:szCs w:val="24"/>
              </w:rPr>
              <w:t>电视字幕主管</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场馆内电视字幕总负责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2</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电视字幕工程师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负责电视字幕系统运行维护</w:t>
            </w:r>
            <w:r>
              <w:rPr>
                <w:rFonts w:ascii="仿宋" w:hAnsi="仿宋" w:eastAsia="仿宋" w:cs="宋体"/>
                <w:sz w:val="24"/>
                <w:szCs w:val="24"/>
              </w:rPr>
              <w:t xml:space="preserve"> </w:t>
            </w:r>
          </w:p>
        </w:tc>
      </w:tr>
    </w:tbl>
    <w:p>
      <w:pPr>
        <w:spacing w:line="276" w:lineRule="auto"/>
        <w:ind w:firstLine="560"/>
        <w:rPr>
          <w:rFonts w:ascii="仿宋" w:hAnsi="仿宋" w:eastAsia="仿宋"/>
          <w:sz w:val="24"/>
          <w:szCs w:val="24"/>
        </w:rPr>
      </w:pP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u w:val="single"/>
        </w:rPr>
        <w:t>到岗时间</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前期准备和建设期为自合同签订之日起至2021年3月；赛事运行保障阶段为2021年3月至2021年10月。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合同签订后第二日，系统的项目实施管理人员需到位。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2021年3月至6月为集成测试和测试赛，场馆技术支持人员按照全部岗位编制的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keepNext/>
        <w:keepLines/>
        <w:numPr>
          <w:ilvl w:val="0"/>
          <w:numId w:val="35"/>
        </w:numPr>
        <w:tabs>
          <w:tab w:val="left" w:pos="480"/>
        </w:tabs>
        <w:spacing w:line="276" w:lineRule="auto"/>
        <w:outlineLvl w:val="2"/>
        <w:rPr>
          <w:rFonts w:ascii="仿宋" w:hAnsi="仿宋" w:eastAsia="仿宋"/>
          <w:b/>
          <w:kern w:val="0"/>
          <w:sz w:val="24"/>
          <w:szCs w:val="24"/>
        </w:rPr>
      </w:pPr>
      <w:bookmarkStart w:id="29" w:name="_Toc55199062"/>
      <w:r>
        <w:rPr>
          <w:rFonts w:hint="eastAsia" w:ascii="仿宋" w:hAnsi="仿宋" w:eastAsia="仿宋"/>
          <w:b/>
          <w:kern w:val="0"/>
          <w:sz w:val="24"/>
          <w:szCs w:val="24"/>
        </w:rPr>
        <w:t>实施管理要求</w:t>
      </w:r>
      <w:bookmarkEnd w:id="29"/>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3、接到招标方提出的修改建议之后，投标人需在1天内向招标方提供系统修改评估意见。</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keepNext/>
        <w:keepLines/>
        <w:numPr>
          <w:ilvl w:val="0"/>
          <w:numId w:val="35"/>
        </w:numPr>
        <w:tabs>
          <w:tab w:val="left" w:pos="480"/>
        </w:tabs>
        <w:spacing w:line="276" w:lineRule="auto"/>
        <w:outlineLvl w:val="2"/>
        <w:rPr>
          <w:rFonts w:ascii="仿宋" w:hAnsi="仿宋" w:eastAsia="仿宋"/>
          <w:kern w:val="0"/>
          <w:sz w:val="24"/>
          <w:szCs w:val="24"/>
        </w:rPr>
      </w:pPr>
      <w:bookmarkStart w:id="30" w:name="_Toc55199063"/>
      <w:r>
        <w:rPr>
          <w:rFonts w:hint="eastAsia" w:ascii="仿宋" w:hAnsi="仿宋" w:eastAsia="仿宋"/>
          <w:kern w:val="0"/>
          <w:sz w:val="24"/>
          <w:szCs w:val="24"/>
        </w:rPr>
        <w:t>▲</w:t>
      </w:r>
      <w:r>
        <w:rPr>
          <w:rFonts w:hint="eastAsia" w:ascii="仿宋" w:hAnsi="仿宋" w:eastAsia="仿宋"/>
          <w:b/>
          <w:kern w:val="0"/>
          <w:sz w:val="24"/>
          <w:szCs w:val="24"/>
          <w:u w:val="single"/>
        </w:rPr>
        <w:t>服务期限</w:t>
      </w:r>
      <w:bookmarkEnd w:id="30"/>
      <w:r>
        <w:rPr>
          <w:rFonts w:hint="eastAsia" w:ascii="仿宋" w:hAnsi="仿宋" w:eastAsia="仿宋"/>
          <w:b/>
          <w:kern w:val="0"/>
          <w:sz w:val="24"/>
          <w:szCs w:val="24"/>
        </w:rPr>
        <w:t>▲</w:t>
      </w:r>
    </w:p>
    <w:p>
      <w:pPr>
        <w:spacing w:line="276" w:lineRule="auto"/>
        <w:ind w:firstLine="560"/>
        <w:rPr>
          <w:rFonts w:ascii="仿宋" w:hAnsi="仿宋" w:eastAsia="仿宋"/>
          <w:b/>
          <w:sz w:val="24"/>
          <w:szCs w:val="24"/>
        </w:rPr>
      </w:pPr>
      <w:bookmarkStart w:id="31" w:name="_Hlk55027179"/>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after="240" w:afterLines="100" w:line="276" w:lineRule="auto"/>
        <w:ind w:firstLine="561"/>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bookmarkEnd w:id="31"/>
      <w:r>
        <w:rPr>
          <w:rFonts w:hint="eastAsia" w:ascii="仿宋" w:hAnsi="仿宋" w:eastAsia="仿宋"/>
          <w:b/>
          <w:sz w:val="24"/>
          <w:szCs w:val="24"/>
        </w:rPr>
        <w:t>。</w:t>
      </w:r>
    </w:p>
    <w:p>
      <w:pPr>
        <w:keepNext/>
        <w:keepLines/>
        <w:numPr>
          <w:ilvl w:val="0"/>
          <w:numId w:val="35"/>
        </w:numPr>
        <w:tabs>
          <w:tab w:val="left" w:pos="480"/>
        </w:tabs>
        <w:spacing w:line="276" w:lineRule="auto"/>
        <w:outlineLvl w:val="2"/>
        <w:rPr>
          <w:rFonts w:ascii="仿宋" w:hAnsi="仿宋" w:eastAsia="仿宋"/>
          <w:b/>
          <w:kern w:val="0"/>
          <w:sz w:val="24"/>
          <w:szCs w:val="24"/>
        </w:rPr>
      </w:pPr>
      <w:bookmarkStart w:id="32" w:name="_Toc55199064"/>
      <w:r>
        <w:rPr>
          <w:rFonts w:hint="eastAsia" w:ascii="仿宋" w:hAnsi="仿宋" w:eastAsia="仿宋"/>
          <w:b/>
          <w:kern w:val="0"/>
          <w:sz w:val="24"/>
          <w:szCs w:val="24"/>
        </w:rPr>
        <w:t>培训要求</w:t>
      </w:r>
      <w:bookmarkEnd w:id="32"/>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培训目标 ：</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bookmarkStart w:id="33" w:name="_Toc55199066"/>
      <w:r>
        <w:rPr>
          <w:rFonts w:hint="eastAsia" w:ascii="仿宋" w:hAnsi="仿宋" w:eastAsia="仿宋"/>
          <w:b/>
          <w:bCs/>
          <w:sz w:val="28"/>
          <w:szCs w:val="24"/>
        </w:rPr>
        <w:t>1.6服务地点</w:t>
      </w:r>
      <w:bookmarkEnd w:id="33"/>
    </w:p>
    <w:p>
      <w:pPr>
        <w:adjustRightInd w:val="0"/>
        <w:snapToGrid w:val="0"/>
        <w:spacing w:line="276" w:lineRule="auto"/>
        <w:ind w:left="640"/>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bookmarkStart w:id="34" w:name="_Toc55199067"/>
      <w:r>
        <w:rPr>
          <w:rFonts w:hint="eastAsia" w:ascii="仿宋" w:hAnsi="仿宋" w:eastAsia="仿宋"/>
          <w:b/>
          <w:bCs/>
          <w:sz w:val="28"/>
          <w:szCs w:val="24"/>
        </w:rPr>
        <w:t>1.7考核标准和方法</w:t>
      </w:r>
      <w:bookmarkEnd w:id="34"/>
      <w:r>
        <w:rPr>
          <w:rFonts w:hint="eastAsia" w:ascii="仿宋" w:hAnsi="仿宋" w:eastAsia="仿宋"/>
          <w:b/>
          <w:bCs/>
          <w:sz w:val="28"/>
          <w:szCs w:val="24"/>
        </w:rPr>
        <w:t>：</w:t>
      </w:r>
    </w:p>
    <w:p>
      <w:pPr>
        <w:keepNext/>
        <w:keepLines/>
        <w:numPr>
          <w:ilvl w:val="2"/>
          <w:numId w:val="0"/>
        </w:numPr>
        <w:tabs>
          <w:tab w:val="left" w:pos="480"/>
        </w:tabs>
        <w:spacing w:line="276" w:lineRule="auto"/>
        <w:outlineLvl w:val="2"/>
        <w:rPr>
          <w:rFonts w:ascii="仿宋" w:hAnsi="仿宋" w:eastAsia="仿宋"/>
          <w:kern w:val="0"/>
          <w:sz w:val="24"/>
          <w:szCs w:val="24"/>
        </w:rPr>
      </w:pPr>
      <w:bookmarkStart w:id="35" w:name="_Toc55199069"/>
      <w:bookmarkStart w:id="36" w:name="_Hlk55027428"/>
      <w:r>
        <w:rPr>
          <w:rFonts w:hint="eastAsia" w:ascii="仿宋" w:hAnsi="仿宋" w:eastAsia="仿宋"/>
          <w:kern w:val="0"/>
          <w:sz w:val="24"/>
          <w:szCs w:val="24"/>
        </w:rPr>
        <w:t>考核标准及办法</w:t>
      </w:r>
      <w:bookmarkEnd w:id="35"/>
    </w:p>
    <w:tbl>
      <w:tblPr>
        <w:tblStyle w:val="58"/>
        <w:tblW w:w="9045" w:type="dxa"/>
        <w:tblInd w:w="0" w:type="dxa"/>
        <w:tblLayout w:type="fixed"/>
        <w:tblCellMar>
          <w:top w:w="0" w:type="dxa"/>
          <w:left w:w="108" w:type="dxa"/>
          <w:bottom w:w="0" w:type="dxa"/>
          <w:right w:w="108" w:type="dxa"/>
        </w:tblCellMar>
      </w:tblPr>
      <w:tblGrid>
        <w:gridCol w:w="561"/>
        <w:gridCol w:w="1128"/>
        <w:gridCol w:w="686"/>
        <w:gridCol w:w="3128"/>
        <w:gridCol w:w="3542"/>
      </w:tblGrid>
      <w:tr>
        <w:tblPrEx>
          <w:tblCellMar>
            <w:top w:w="0" w:type="dxa"/>
            <w:left w:w="108" w:type="dxa"/>
            <w:bottom w:w="0" w:type="dxa"/>
            <w:right w:w="108" w:type="dxa"/>
          </w:tblCellMar>
        </w:tblPrEx>
        <w:trPr>
          <w:trHeight w:val="330" w:hRule="atLeast"/>
          <w:tblHead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仿宋" w:hAnsi="仿宋" w:eastAsia="仿宋" w:cs="宋体"/>
                <w:b/>
                <w:sz w:val="22"/>
                <w:szCs w:val="24"/>
              </w:rPr>
            </w:pPr>
            <w:r>
              <w:rPr>
                <w:rFonts w:hint="eastAsia" w:ascii="仿宋" w:hAnsi="仿宋" w:eastAsia="仿宋" w:cs="宋体"/>
                <w:b/>
                <w:sz w:val="22"/>
                <w:szCs w:val="24"/>
                <w:lang w:bidi="ar"/>
              </w:rPr>
              <w:t>序号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服务内容</w:t>
            </w:r>
          </w:p>
        </w:tc>
        <w:tc>
          <w:tcPr>
            <w:tcW w:w="3129"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服务说明</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扣分说明</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按照用户要求提供相应数量、资质的人员</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2</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依照要求制定、更新服务方案和服务计划</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3</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方案计划的执行</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根据制定的服务方案、服务计划提供完整、可靠、优质的各类服务</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4</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根据制定的建设方案及进度计划进行项目建设</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5</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服务报告</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定期按照用户要求提交服务报告，不定期按照用户需求提交项目建设进度报告</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6</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应急演练</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根据制定的应急预案进行应急演练</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7</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项目经理、主管、工程师等应按预设规定和用户要求进行日常签到或考勤</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8</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安全管理</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服务期间，应尽量避免系统出现安全问题；系统出现安全问题后应及时按照预设流程或应急方案进行处置，做好记录；事后应进行专题分析，提交专题报告，并优化系统</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9</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服务期间，应尽量避免设备设施出现安全问题；设备设施出现安全问题后应及时按照预设流程或应急方案采取补救措施，做好记录；事后应进行专题分析，提交专题报告</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10</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服务响应</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11</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用户投诉</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受到用户单位接待对象、用户上级单位或用户投诉</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12</w:t>
            </w:r>
          </w:p>
        </w:tc>
        <w:tc>
          <w:tcPr>
            <w:tcW w:w="1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w:t>
            </w:r>
          </w:p>
        </w:tc>
        <w:tc>
          <w:tcPr>
            <w:tcW w:w="3129"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按照用户要求进行赛后资料收集整理、相关系统及数据移交、配合项目审计等相关工作</w:t>
            </w:r>
          </w:p>
        </w:tc>
        <w:tc>
          <w:tcPr>
            <w:tcW w:w="354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FF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FF0000"/>
          <w:sz w:val="24"/>
          <w:szCs w:val="24"/>
        </w:rPr>
        <w:t xml:space="preserve">。 </w:t>
      </w:r>
    </w:p>
    <w:bookmarkEnd w:id="36"/>
    <w:p>
      <w:pPr>
        <w:keepNext/>
        <w:keepLines/>
        <w:numPr>
          <w:ilvl w:val="1"/>
          <w:numId w:val="0"/>
        </w:numPr>
        <w:spacing w:before="240" w:beforeLines="100" w:line="276" w:lineRule="auto"/>
        <w:ind w:right="-29" w:rightChars="-14"/>
        <w:outlineLvl w:val="1"/>
        <w:rPr>
          <w:rFonts w:ascii="仿宋" w:hAnsi="仿宋" w:eastAsia="仿宋"/>
          <w:b/>
          <w:bCs/>
          <w:sz w:val="28"/>
          <w:szCs w:val="24"/>
        </w:rPr>
      </w:pPr>
      <w:bookmarkStart w:id="37" w:name="_Toc55199070"/>
      <w:r>
        <w:rPr>
          <w:rFonts w:hint="eastAsia" w:ascii="仿宋" w:hAnsi="仿宋" w:eastAsia="仿宋"/>
          <w:b/>
          <w:bCs/>
          <w:sz w:val="28"/>
          <w:szCs w:val="24"/>
        </w:rPr>
        <w:t>1.8 付款方式</w:t>
      </w:r>
      <w:bookmarkEnd w:id="37"/>
    </w:p>
    <w:p>
      <w:pPr>
        <w:spacing w:line="276" w:lineRule="auto"/>
        <w:ind w:firstLine="560"/>
        <w:rPr>
          <w:rFonts w:ascii="仿宋" w:hAnsi="仿宋" w:eastAsia="仿宋"/>
          <w:sz w:val="24"/>
          <w:szCs w:val="24"/>
        </w:rPr>
      </w:pPr>
      <w:r>
        <w:rPr>
          <w:rFonts w:hint="eastAsia" w:ascii="仿宋" w:hAnsi="仿宋" w:eastAsia="仿宋"/>
          <w:bCs/>
          <w:sz w:val="24"/>
          <w:szCs w:val="24"/>
        </w:rPr>
        <w:t>按照合同约定执行。</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bookmarkStart w:id="38" w:name="_Toc55199071"/>
      <w:r>
        <w:rPr>
          <w:rFonts w:hint="eastAsia" w:ascii="仿宋" w:hAnsi="仿宋" w:eastAsia="仿宋"/>
          <w:b/>
          <w:bCs/>
          <w:sz w:val="28"/>
          <w:szCs w:val="24"/>
        </w:rPr>
        <w:t>1.9违约责任</w:t>
      </w:r>
      <w:bookmarkEnd w:id="38"/>
    </w:p>
    <w:p>
      <w:pPr>
        <w:spacing w:line="276" w:lineRule="auto"/>
        <w:ind w:firstLine="560"/>
        <w:rPr>
          <w:rFonts w:ascii="仿宋" w:hAnsi="仿宋" w:eastAsia="仿宋"/>
          <w:sz w:val="24"/>
          <w:szCs w:val="24"/>
        </w:rPr>
      </w:pPr>
      <w:r>
        <w:rPr>
          <w:rFonts w:hint="eastAsia" w:ascii="仿宋" w:hAnsi="仿宋" w:eastAsia="仿宋"/>
          <w:sz w:val="24"/>
          <w:szCs w:val="24"/>
        </w:rPr>
        <w:t>一、甲乙双方应遵守并执行合同中的各项规定，保证合同的正常履行。</w:t>
      </w:r>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二、如因乙方工作人员在履行职务过程中出现影响甲方正常交易的情况，应当按照合同考核方式执行。由此而导致的甲方对任何第三方的法律责任等，乙方对此均应承担全部的赔偿责任。</w:t>
      </w:r>
    </w:p>
    <w:p>
      <w:pPr>
        <w:spacing w:line="276" w:lineRule="auto"/>
        <w:ind w:firstLine="560"/>
        <w:rPr>
          <w:rFonts w:ascii="仿宋" w:hAnsi="仿宋" w:eastAsia="仿宋"/>
          <w:sz w:val="24"/>
          <w:szCs w:val="24"/>
        </w:rPr>
      </w:pPr>
      <w:bookmarkStart w:id="39" w:name="_Toc55199072"/>
    </w:p>
    <w:p>
      <w:pPr>
        <w:keepNext/>
        <w:keepLines/>
        <w:numPr>
          <w:ilvl w:val="1"/>
          <w:numId w:val="0"/>
        </w:numPr>
        <w:spacing w:line="276" w:lineRule="auto"/>
        <w:ind w:right="-29" w:rightChars="-14"/>
        <w:outlineLvl w:val="1"/>
        <w:rPr>
          <w:rFonts w:ascii="仿宋" w:hAnsi="仿宋" w:eastAsia="仿宋"/>
          <w:b/>
          <w:bCs/>
          <w:sz w:val="28"/>
          <w:szCs w:val="28"/>
          <w:u w:val="single"/>
        </w:rPr>
      </w:pPr>
      <w:r>
        <w:rPr>
          <w:rFonts w:ascii="仿宋" w:hAnsi="仿宋" w:eastAsia="仿宋"/>
          <w:b/>
          <w:bCs/>
          <w:sz w:val="28"/>
          <w:szCs w:val="28"/>
        </w:rPr>
        <w:t>1.10</w:t>
      </w:r>
      <w:r>
        <w:rPr>
          <w:rFonts w:ascii="仿宋" w:hAnsi="仿宋" w:eastAsia="仿宋"/>
          <w:bCs/>
          <w:sz w:val="28"/>
          <w:szCs w:val="28"/>
        </w:rPr>
        <w:t xml:space="preserve"> </w:t>
      </w:r>
      <w:r>
        <w:rPr>
          <w:rFonts w:hint="eastAsia" w:ascii="仿宋" w:hAnsi="仿宋" w:eastAsia="仿宋"/>
          <w:bCs/>
          <w:sz w:val="28"/>
          <w:szCs w:val="28"/>
        </w:rPr>
        <w:t>▲</w:t>
      </w:r>
      <w:r>
        <w:rPr>
          <w:rFonts w:hint="eastAsia" w:ascii="仿宋" w:hAnsi="仿宋" w:eastAsia="仿宋"/>
          <w:b/>
          <w:sz w:val="28"/>
          <w:szCs w:val="28"/>
          <w:u w:val="single"/>
        </w:rPr>
        <w:t>投标人须对以下要求单独做出承诺函（承诺函格式自拟）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bookmarkEnd w:id="39"/>
    <w:p>
      <w:pPr>
        <w:spacing w:line="276" w:lineRule="auto"/>
        <w:ind w:firstLine="560"/>
        <w:rPr>
          <w:rFonts w:ascii="仿宋" w:hAnsi="仿宋" w:eastAsia="仿宋"/>
          <w:b/>
          <w:sz w:val="24"/>
          <w:szCs w:val="24"/>
        </w:rPr>
      </w:pPr>
    </w:p>
    <w:p>
      <w:pPr>
        <w:keepNext/>
        <w:keepLines/>
        <w:numPr>
          <w:ilvl w:val="1"/>
          <w:numId w:val="0"/>
        </w:numPr>
        <w:spacing w:line="276" w:lineRule="auto"/>
        <w:ind w:right="-29" w:rightChars="-14"/>
        <w:outlineLvl w:val="1"/>
        <w:rPr>
          <w:rFonts w:ascii="仿宋" w:hAnsi="仿宋" w:eastAsia="仿宋"/>
          <w:b/>
          <w:bCs/>
          <w:color w:val="FF0000"/>
          <w:sz w:val="36"/>
          <w:szCs w:val="24"/>
        </w:rPr>
      </w:pPr>
      <w:r>
        <w:rPr>
          <w:rFonts w:hint="eastAsia" w:ascii="仿宋" w:hAnsi="仿宋" w:eastAsia="仿宋"/>
          <w:b/>
          <w:bCs/>
          <w:color w:val="FF0000"/>
          <w:sz w:val="36"/>
          <w:szCs w:val="24"/>
        </w:rPr>
        <w:t>标项2需求文档</w:t>
      </w:r>
    </w:p>
    <w:p>
      <w:pPr>
        <w:spacing w:line="276" w:lineRule="auto"/>
        <w:ind w:firstLine="560"/>
        <w:rPr>
          <w:rFonts w:ascii="仿宋" w:hAnsi="仿宋" w:eastAsia="仿宋"/>
          <w:b/>
          <w:sz w:val="24"/>
          <w:szCs w:val="24"/>
        </w:rPr>
      </w:pPr>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1.1项目概况</w:t>
      </w:r>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spacing w:line="276" w:lineRule="auto"/>
        <w:ind w:firstLine="560"/>
        <w:rPr>
          <w:rFonts w:ascii="仿宋" w:hAnsi="仿宋" w:eastAsia="仿宋"/>
          <w:sz w:val="24"/>
          <w:szCs w:val="24"/>
        </w:rPr>
      </w:pPr>
      <w:r>
        <w:rPr>
          <w:rFonts w:hint="eastAsia" w:ascii="仿宋" w:hAnsi="仿宋" w:eastAsia="仿宋"/>
          <w:sz w:val="24"/>
          <w:szCs w:val="24"/>
        </w:rPr>
        <w:t>根据第31届世界大学生夏季运动会场馆布局，本次大运会初步计划使用49个场馆（其中新建场馆13个，维修改造场馆36个。分布于成都市16个区（市）县，对应18个竞赛项目的比赛和训练需求）。</w:t>
      </w:r>
    </w:p>
    <w:p>
      <w:pPr>
        <w:spacing w:after="240" w:afterLines="100" w:line="276" w:lineRule="auto"/>
        <w:ind w:firstLine="561"/>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 xml:space="preserve">1.2服务范围 </w:t>
      </w:r>
    </w:p>
    <w:p>
      <w:pPr>
        <w:spacing w:line="276" w:lineRule="auto"/>
        <w:ind w:firstLine="560"/>
        <w:rPr>
          <w:rFonts w:ascii="仿宋" w:hAnsi="仿宋" w:eastAsia="仿宋"/>
          <w:sz w:val="24"/>
          <w:szCs w:val="24"/>
        </w:rPr>
      </w:pPr>
      <w:r>
        <w:rPr>
          <w:rFonts w:hint="eastAsia" w:ascii="仿宋" w:hAnsi="仿宋" w:eastAsia="仿宋"/>
          <w:sz w:val="24"/>
          <w:szCs w:val="24"/>
        </w:rPr>
        <w:t>计时记分项目系统服务包括：计时记分系统将为大运会竞速类、评分类、记分类、对抗类共计1</w:t>
      </w:r>
      <w:r>
        <w:rPr>
          <w:rFonts w:ascii="仿宋" w:hAnsi="仿宋" w:eastAsia="仿宋"/>
          <w:sz w:val="24"/>
          <w:szCs w:val="24"/>
        </w:rPr>
        <w:t>7</w:t>
      </w:r>
      <w:r>
        <w:rPr>
          <w:rFonts w:hint="eastAsia" w:ascii="仿宋" w:hAnsi="仿宋" w:eastAsia="仿宋"/>
          <w:sz w:val="24"/>
          <w:szCs w:val="24"/>
        </w:rPr>
        <w:t>个项目提供计时记分服务，包括赛事过程中的计时记分设备部署、测试与操作、计时记分数据的采集、传输及专业显示屏显示等多项内容。赛时通过使用运行专业的计时记分设备及软件，保障赛事的成绩采集精准无误，第一时间为成绩处理系统提供相应数据。</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1.3系统服务要求</w:t>
      </w:r>
    </w:p>
    <w:p>
      <w:pPr>
        <w:spacing w:line="276" w:lineRule="auto"/>
        <w:ind w:firstLine="560"/>
        <w:rPr>
          <w:rFonts w:ascii="仿宋" w:hAnsi="仿宋" w:eastAsia="仿宋"/>
          <w:b/>
          <w:sz w:val="24"/>
          <w:szCs w:val="24"/>
        </w:rPr>
      </w:pPr>
      <w:r>
        <w:rPr>
          <w:rFonts w:hint="eastAsia" w:ascii="仿宋" w:hAnsi="仿宋" w:eastAsia="仿宋"/>
          <w:b/>
          <w:sz w:val="24"/>
          <w:szCs w:val="24"/>
          <w:u w:val="single"/>
        </w:rPr>
        <w:t>▲中标人所提供的计时记分系统服务需满足国际大体联、国际（国内）单项体育联合协会的要求</w:t>
      </w:r>
      <w:r>
        <w:rPr>
          <w:rFonts w:hint="eastAsia" w:ascii="仿宋" w:hAnsi="仿宋" w:eastAsia="仿宋" w:cs="宋体"/>
          <w:kern w:val="0"/>
          <w:sz w:val="24"/>
          <w:szCs w:val="24"/>
          <w:lang w:bidi="ar"/>
        </w:rPr>
        <w:t>▲</w:t>
      </w:r>
      <w:r>
        <w:rPr>
          <w:rFonts w:hint="eastAsia" w:ascii="仿宋" w:hAnsi="仿宋" w:eastAsia="仿宋"/>
          <w:b/>
          <w:sz w:val="24"/>
          <w:szCs w:val="24"/>
        </w:rPr>
        <w:t>。</w:t>
      </w:r>
    </w:p>
    <w:p>
      <w:pPr>
        <w:keepNext/>
        <w:keepLines/>
        <w:numPr>
          <w:ilvl w:val="0"/>
          <w:numId w:val="36"/>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计时记分系统</w:t>
      </w:r>
    </w:p>
    <w:p>
      <w:pPr>
        <w:keepNext/>
        <w:keepLines/>
        <w:spacing w:before="120" w:after="120" w:line="377" w:lineRule="auto"/>
        <w:outlineLvl w:val="4"/>
        <w:rPr>
          <w:rFonts w:ascii="仿宋" w:hAnsi="仿宋" w:eastAsia="仿宋"/>
          <w:b/>
          <w:bCs/>
          <w:sz w:val="24"/>
          <w:szCs w:val="24"/>
        </w:rPr>
      </w:pPr>
      <w:r>
        <w:rPr>
          <w:rFonts w:hint="eastAsia" w:ascii="仿宋" w:hAnsi="仿宋" w:eastAsia="仿宋"/>
          <w:b/>
          <w:bCs/>
          <w:sz w:val="24"/>
          <w:szCs w:val="24"/>
        </w:rPr>
        <w:t>功能描述：</w:t>
      </w:r>
    </w:p>
    <w:p>
      <w:pPr>
        <w:spacing w:line="276" w:lineRule="auto"/>
        <w:ind w:firstLine="560"/>
        <w:rPr>
          <w:rFonts w:ascii="仿宋" w:hAnsi="仿宋" w:eastAsia="仿宋"/>
          <w:sz w:val="24"/>
          <w:szCs w:val="24"/>
        </w:rPr>
      </w:pPr>
      <w:r>
        <w:rPr>
          <w:rFonts w:hint="eastAsia" w:ascii="仿宋" w:hAnsi="仿宋" w:eastAsia="仿宋"/>
          <w:sz w:val="24"/>
          <w:szCs w:val="24"/>
        </w:rPr>
        <w:t>计时记分系统需要为成都大运会包括体操、游泳、羽毛球、田径、击剑、乒乓球、篮球、排球、柔道、射箭、水球、跆拳道、跳水、网球、艺术体操、武术、赛艇等</w:t>
      </w:r>
      <w:r>
        <w:rPr>
          <w:rFonts w:hint="eastAsia" w:ascii="仿宋" w:hAnsi="仿宋" w:eastAsia="仿宋"/>
          <w:b/>
          <w:bCs/>
          <w:sz w:val="24"/>
          <w:szCs w:val="24"/>
        </w:rPr>
        <w:t>1</w:t>
      </w:r>
      <w:r>
        <w:rPr>
          <w:rFonts w:ascii="仿宋" w:hAnsi="仿宋" w:eastAsia="仿宋"/>
          <w:b/>
          <w:bCs/>
          <w:sz w:val="24"/>
          <w:szCs w:val="24"/>
        </w:rPr>
        <w:t>7</w:t>
      </w:r>
      <w:r>
        <w:rPr>
          <w:rFonts w:hint="eastAsia" w:ascii="仿宋" w:hAnsi="仿宋" w:eastAsia="仿宋"/>
          <w:b/>
          <w:bCs/>
          <w:sz w:val="24"/>
          <w:szCs w:val="24"/>
        </w:rPr>
        <w:t>个单项</w:t>
      </w:r>
      <w:r>
        <w:rPr>
          <w:rFonts w:hint="eastAsia" w:ascii="仿宋" w:hAnsi="仿宋" w:eastAsia="仿宋"/>
          <w:sz w:val="24"/>
          <w:szCs w:val="24"/>
        </w:rPr>
        <w:t>的竞速类、评分类、记分类、对抗类项目提供计时记分服务，包括赛事过程中的计时记分设备部署、测试与操作、计时记分数据的采集、传输及专业显示屏显示等多项内容。赛时通过使用运行专业的计时记分设备及软件，保障赛事的成绩采集精准无误，第一时间为成绩处理系统提供相应数据。</w:t>
      </w:r>
    </w:p>
    <w:p>
      <w:pPr>
        <w:keepNext/>
        <w:keepLines/>
        <w:spacing w:before="120" w:after="120" w:line="377" w:lineRule="auto"/>
        <w:outlineLvl w:val="4"/>
        <w:rPr>
          <w:rFonts w:ascii="仿宋" w:hAnsi="仿宋" w:eastAsia="仿宋"/>
          <w:b/>
          <w:bCs/>
          <w:sz w:val="24"/>
          <w:szCs w:val="24"/>
        </w:rPr>
      </w:pPr>
      <w:r>
        <w:rPr>
          <w:rFonts w:hint="eastAsia" w:ascii="仿宋" w:hAnsi="仿宋" w:eastAsia="仿宋"/>
          <w:b/>
          <w:bCs/>
          <w:sz w:val="24"/>
          <w:szCs w:val="24"/>
        </w:rPr>
        <w:t>服务内容：</w:t>
      </w:r>
    </w:p>
    <w:p>
      <w:pPr>
        <w:spacing w:line="276" w:lineRule="auto"/>
        <w:ind w:firstLine="560"/>
        <w:rPr>
          <w:rFonts w:ascii="仿宋" w:hAnsi="仿宋" w:eastAsia="仿宋"/>
          <w:sz w:val="24"/>
          <w:szCs w:val="24"/>
        </w:rPr>
      </w:pPr>
      <w:r>
        <w:rPr>
          <w:rFonts w:hint="eastAsia" w:ascii="仿宋" w:hAnsi="仿宋" w:eastAsia="仿宋"/>
          <w:sz w:val="24"/>
          <w:szCs w:val="24"/>
        </w:rPr>
        <w:t>计时记分系统将根据对竞赛项目的不同特点进行分类，主要分为竞速类项目、评分类项目、记分类项目、对抗类项目。竞速类项目的计时记分主要负责采集比赛的时间成绩；评分类项目的比赛是由裁判员对运动员的比赛表现进行评价，并通过打分的形式进行体现，将所有裁判员的打分按规则进行处理；记分类项目是指直接通过采集运动实测数值，经整理之后，按规则进行统计运动员的成绩；对抗类项目的通常需要采集的是综合性数据并随即跟踪处理，通过显示的方式辅助比赛的进行，同时为现场显示系统和电视转播系统提供服务。本系统服务范围不含射击项目。</w:t>
      </w:r>
    </w:p>
    <w:p>
      <w:pPr>
        <w:keepNext/>
        <w:keepLines/>
        <w:spacing w:before="120" w:after="120" w:line="377" w:lineRule="auto"/>
        <w:outlineLvl w:val="4"/>
        <w:rPr>
          <w:rFonts w:ascii="仿宋" w:hAnsi="仿宋" w:eastAsia="仿宋"/>
          <w:b/>
          <w:bCs/>
          <w:sz w:val="24"/>
          <w:szCs w:val="24"/>
        </w:rPr>
      </w:pPr>
      <w:r>
        <w:rPr>
          <w:rFonts w:hint="eastAsia" w:ascii="仿宋" w:hAnsi="仿宋" w:eastAsia="仿宋"/>
          <w:b/>
          <w:bCs/>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计时记分系统利用各种先进的计时硬件，配合软件与成绩处理系统进行数据交互，并将处理后的数据以最快的方式传输到各外部系统。</w:t>
      </w:r>
    </w:p>
    <w:p>
      <w:pPr>
        <w:spacing w:line="276" w:lineRule="auto"/>
        <w:ind w:firstLine="560"/>
        <w:rPr>
          <w:rFonts w:ascii="仿宋" w:hAnsi="仿宋" w:eastAsia="仿宋"/>
          <w:sz w:val="24"/>
          <w:szCs w:val="24"/>
        </w:rPr>
      </w:pPr>
      <w:r>
        <w:rPr>
          <w:rFonts w:hint="eastAsia" w:ascii="仿宋" w:hAnsi="仿宋" w:eastAsia="仿宋"/>
          <w:sz w:val="24"/>
          <w:szCs w:val="24"/>
        </w:rPr>
        <w:t>（1）准确性：能够为外部系统提供正确的计时记分数据；</w:t>
      </w:r>
    </w:p>
    <w:p>
      <w:pPr>
        <w:spacing w:line="276" w:lineRule="auto"/>
        <w:ind w:firstLine="560"/>
        <w:rPr>
          <w:rFonts w:ascii="仿宋" w:hAnsi="仿宋" w:eastAsia="仿宋"/>
          <w:sz w:val="24"/>
          <w:szCs w:val="24"/>
        </w:rPr>
      </w:pPr>
      <w:r>
        <w:rPr>
          <w:rFonts w:hint="eastAsia" w:ascii="仿宋" w:hAnsi="仿宋" w:eastAsia="仿宋"/>
          <w:sz w:val="24"/>
          <w:szCs w:val="24"/>
        </w:rPr>
        <w:t>（2）适应能力：必须能够处理不同类型的计时记分设备数据并要求运行正常；</w:t>
      </w:r>
    </w:p>
    <w:p>
      <w:pPr>
        <w:spacing w:line="276" w:lineRule="auto"/>
        <w:ind w:firstLine="560"/>
        <w:rPr>
          <w:rFonts w:ascii="仿宋" w:hAnsi="仿宋" w:eastAsia="仿宋"/>
          <w:sz w:val="24"/>
          <w:szCs w:val="24"/>
        </w:rPr>
      </w:pPr>
      <w:r>
        <w:rPr>
          <w:rFonts w:hint="eastAsia" w:ascii="仿宋" w:hAnsi="仿宋" w:eastAsia="仿宋"/>
          <w:sz w:val="24"/>
          <w:szCs w:val="24"/>
        </w:rPr>
        <w:t>（3）协议：必须能够应用各种可靠的、有效的协议；</w:t>
      </w:r>
    </w:p>
    <w:p>
      <w:pPr>
        <w:spacing w:line="276" w:lineRule="auto"/>
        <w:ind w:firstLine="560"/>
        <w:rPr>
          <w:rFonts w:ascii="仿宋" w:hAnsi="仿宋" w:eastAsia="仿宋"/>
          <w:sz w:val="24"/>
          <w:szCs w:val="24"/>
        </w:rPr>
      </w:pPr>
      <w:r>
        <w:rPr>
          <w:rFonts w:hint="eastAsia" w:ascii="仿宋" w:hAnsi="仿宋" w:eastAsia="仿宋"/>
          <w:sz w:val="24"/>
          <w:szCs w:val="24"/>
        </w:rPr>
        <w:t>（4）简便：计时记分系统与运动会赛事系统之间的连接必须简便易用。</w:t>
      </w:r>
    </w:p>
    <w:p>
      <w:pPr>
        <w:keepNext/>
        <w:keepLines/>
        <w:numPr>
          <w:ilvl w:val="0"/>
          <w:numId w:val="36"/>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系统保障</w:t>
      </w:r>
    </w:p>
    <w:p>
      <w:pPr>
        <w:spacing w:line="276" w:lineRule="auto"/>
        <w:ind w:firstLine="560"/>
        <w:rPr>
          <w:rFonts w:ascii="仿宋" w:hAnsi="仿宋" w:eastAsia="仿宋"/>
          <w:sz w:val="24"/>
          <w:szCs w:val="24"/>
        </w:rPr>
      </w:pPr>
      <w:r>
        <w:rPr>
          <w:rFonts w:hint="eastAsia" w:ascii="仿宋" w:hAnsi="仿宋" w:eastAsia="仿宋"/>
          <w:sz w:val="24"/>
          <w:szCs w:val="24"/>
        </w:rPr>
        <w:t>系统保障包含计时记分服务中通用设备计划、人员配置计划、人员培训计划等。</w:t>
      </w:r>
    </w:p>
    <w:p>
      <w:pPr>
        <w:spacing w:line="276" w:lineRule="auto"/>
        <w:ind w:firstLine="562"/>
        <w:rPr>
          <w:rFonts w:ascii="仿宋" w:hAnsi="仿宋" w:eastAsia="仿宋"/>
          <w:b/>
          <w:sz w:val="24"/>
          <w:szCs w:val="24"/>
        </w:rPr>
      </w:pPr>
      <w:r>
        <w:rPr>
          <w:rFonts w:hint="eastAsia" w:ascii="仿宋" w:hAnsi="仿宋" w:eastAsia="仿宋"/>
          <w:b/>
          <w:sz w:val="24"/>
          <w:szCs w:val="24"/>
        </w:rPr>
        <w:t>一、▲</w:t>
      </w:r>
      <w:r>
        <w:rPr>
          <w:rFonts w:hint="eastAsia" w:ascii="仿宋" w:hAnsi="仿宋" w:eastAsia="仿宋"/>
          <w:b/>
          <w:sz w:val="24"/>
          <w:szCs w:val="24"/>
          <w:u w:val="single"/>
        </w:rPr>
        <w:t>计时记分系统人员配置包括不少于以下人员数量要求：计时记分工程师180人▲</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二、成交投标人成交后需要按照国际大体联技术指南最新版本提出的建设要求进行系统建设，并且在大运会建设期间负责与国际大体联关于建设内容进行沟通确认。</w:t>
      </w:r>
    </w:p>
    <w:p>
      <w:pPr>
        <w:spacing w:line="276" w:lineRule="auto"/>
        <w:ind w:firstLine="562"/>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szCs w:val="24"/>
          <w:u w:val="single"/>
        </w:rPr>
        <w:t>成交投标人所提供的计时记分系统服务需满足国际大体联、国际（国内）单项体育联合协会的要求</w:t>
      </w:r>
      <w:r>
        <w:rPr>
          <w:rFonts w:hint="eastAsia" w:ascii="仿宋" w:hAnsi="仿宋" w:eastAsia="仿宋"/>
          <w:b/>
          <w:sz w:val="24"/>
          <w:szCs w:val="24"/>
        </w:rPr>
        <w:t>▲。</w:t>
      </w:r>
    </w:p>
    <w:p>
      <w:pPr>
        <w:keepNext/>
        <w:keepLines/>
        <w:numPr>
          <w:ilvl w:val="0"/>
          <w:numId w:val="36"/>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赛事运行服务要求</w:t>
      </w:r>
    </w:p>
    <w:p>
      <w:pPr>
        <w:spacing w:line="276" w:lineRule="auto"/>
        <w:ind w:firstLine="560"/>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numPr>
          <w:ilvl w:val="0"/>
          <w:numId w:val="36"/>
        </w:numPr>
        <w:tabs>
          <w:tab w:val="left" w:pos="480"/>
        </w:tabs>
        <w:spacing w:before="240" w:beforeLines="100" w:line="276" w:lineRule="auto"/>
        <w:ind w:left="480" w:hanging="480" w:hangingChars="200"/>
        <w:outlineLvl w:val="2"/>
        <w:rPr>
          <w:rFonts w:ascii="仿宋" w:hAnsi="仿宋" w:eastAsia="仿宋"/>
          <w:b/>
          <w:kern w:val="0"/>
          <w:sz w:val="24"/>
          <w:szCs w:val="24"/>
        </w:rPr>
      </w:pPr>
      <w:r>
        <w:rPr>
          <w:rFonts w:hint="eastAsia" w:ascii="仿宋" w:hAnsi="仿宋" w:eastAsia="仿宋"/>
          <w:kern w:val="0"/>
          <w:sz w:val="24"/>
          <w:szCs w:val="24"/>
        </w:rPr>
        <w:t>▲</w:t>
      </w:r>
      <w:r>
        <w:rPr>
          <w:rFonts w:hint="eastAsia" w:ascii="仿宋" w:hAnsi="仿宋" w:eastAsia="仿宋"/>
          <w:b/>
          <w:kern w:val="0"/>
          <w:sz w:val="24"/>
          <w:szCs w:val="24"/>
          <w:u w:val="single"/>
        </w:rPr>
        <w:t>系统专项设计</w:t>
      </w:r>
      <w:r>
        <w:rPr>
          <w:rFonts w:hint="eastAsia" w:ascii="仿宋" w:hAnsi="仿宋" w:eastAsia="仿宋"/>
          <w:kern w:val="0"/>
          <w:sz w:val="24"/>
          <w:szCs w:val="24"/>
        </w:rPr>
        <w:t>▲</w:t>
      </w:r>
    </w:p>
    <w:p>
      <w:pPr>
        <w:spacing w:line="360" w:lineRule="auto"/>
        <w:ind w:firstLine="482"/>
        <w:rPr>
          <w:rFonts w:ascii="仿宋" w:hAnsi="仿宋" w:eastAsia="仿宋"/>
          <w:b/>
          <w:sz w:val="24"/>
          <w:szCs w:val="24"/>
        </w:rPr>
      </w:pPr>
      <w:r>
        <w:rPr>
          <w:rFonts w:hint="eastAsia" w:ascii="仿宋" w:hAnsi="仿宋" w:eastAsia="仿宋"/>
          <w:b/>
          <w:sz w:val="24"/>
          <w:szCs w:val="24"/>
        </w:rPr>
        <w:t>投标人需按照招标方要求配合完成系统专项设计：包括但不限于《系统深化设计方案》、</w:t>
      </w:r>
      <w:r>
        <w:rPr>
          <w:rFonts w:ascii="仿宋" w:hAnsi="仿宋" w:eastAsia="仿宋" w:cs="Arial"/>
          <w:b/>
          <w:color w:val="000000"/>
          <w:sz w:val="24"/>
          <w:szCs w:val="24"/>
        </w:rPr>
        <w:t>《需求调研报告》、《需求规格说明书》、《数据库设计》、《概要设计》、《一馆一册》</w:t>
      </w:r>
      <w:r>
        <w:rPr>
          <w:rFonts w:hint="eastAsia" w:ascii="仿宋" w:hAnsi="仿宋" w:eastAsia="仿宋"/>
          <w:b/>
          <w:sz w:val="24"/>
          <w:szCs w:val="24"/>
        </w:rPr>
        <w:t>等文档以及各部分的子项目设计分册等内容。</w:t>
      </w:r>
    </w:p>
    <w:p>
      <w:pPr>
        <w:keepNext/>
        <w:keepLines/>
        <w:numPr>
          <w:ilvl w:val="0"/>
          <w:numId w:val="36"/>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赛事运行保障</w:t>
      </w:r>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line="276" w:lineRule="auto"/>
        <w:ind w:firstLine="560"/>
        <w:rPr>
          <w:rFonts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keepNext/>
        <w:keepLines/>
        <w:numPr>
          <w:ilvl w:val="0"/>
          <w:numId w:val="36"/>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赛时应急响应</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赛前将经过集成测试、测试赛、联试联调等多轮测试和演练，但由于综合性运动会信息技术存在“关门时间”和“实时性”的要求，因此赛时还需指定一套完备的应急预案，投标人应成立应急保障团队，从组织架构、工作流程、职责分工、应急人员等方面提出切实可行的计划，并在赛时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服务要求 ：</w:t>
      </w:r>
    </w:p>
    <w:p>
      <w:pPr>
        <w:spacing w:line="276" w:lineRule="auto"/>
        <w:ind w:firstLine="560"/>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ind w:firstLine="560"/>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ind w:firstLine="560"/>
        <w:rPr>
          <w:rFonts w:ascii="仿宋" w:hAnsi="仿宋" w:eastAsia="仿宋"/>
          <w:sz w:val="24"/>
          <w:szCs w:val="24"/>
        </w:rPr>
      </w:pPr>
      <w:r>
        <w:rPr>
          <w:rFonts w:hint="eastAsia" w:ascii="仿宋" w:hAnsi="仿宋" w:eastAsia="仿宋"/>
          <w:sz w:val="24"/>
          <w:szCs w:val="24"/>
        </w:rPr>
        <w:t>3、需提供完备的计时记分系统应急机制。</w:t>
      </w:r>
    </w:p>
    <w:p>
      <w:pPr>
        <w:keepNext/>
        <w:keepLines/>
        <w:numPr>
          <w:ilvl w:val="1"/>
          <w:numId w:val="0"/>
        </w:numPr>
        <w:spacing w:line="276" w:lineRule="auto"/>
        <w:ind w:right="-29" w:rightChars="-14"/>
        <w:outlineLvl w:val="1"/>
        <w:rPr>
          <w:rFonts w:ascii="仿宋" w:hAnsi="仿宋" w:eastAsia="仿宋"/>
          <w:b/>
          <w:bCs/>
          <w:sz w:val="24"/>
          <w:szCs w:val="24"/>
        </w:rPr>
      </w:pPr>
      <w:r>
        <w:rPr>
          <w:rFonts w:hint="eastAsia" w:ascii="仿宋" w:hAnsi="仿宋" w:eastAsia="仿宋"/>
          <w:b/>
          <w:bCs/>
          <w:sz w:val="24"/>
          <w:szCs w:val="24"/>
        </w:rPr>
        <w:t>服务功能清单：</w:t>
      </w:r>
    </w:p>
    <w:tbl>
      <w:tblPr>
        <w:tblStyle w:val="58"/>
        <w:tblW w:w="8789" w:type="dxa"/>
        <w:tblInd w:w="5" w:type="dxa"/>
        <w:tblLayout w:type="autofit"/>
        <w:tblCellMar>
          <w:top w:w="0" w:type="dxa"/>
          <w:left w:w="108" w:type="dxa"/>
          <w:bottom w:w="0" w:type="dxa"/>
          <w:right w:w="108" w:type="dxa"/>
        </w:tblCellMar>
      </w:tblPr>
      <w:tblGrid>
        <w:gridCol w:w="1389"/>
        <w:gridCol w:w="7400"/>
      </w:tblGrid>
      <w:tr>
        <w:tblPrEx>
          <w:tblCellMar>
            <w:top w:w="0" w:type="dxa"/>
            <w:left w:w="108" w:type="dxa"/>
            <w:bottom w:w="0" w:type="dxa"/>
            <w:right w:w="108" w:type="dxa"/>
          </w:tblCellMar>
        </w:tblPrEx>
        <w:trPr>
          <w:trHeight w:val="285" w:hRule="atLeast"/>
          <w:tblHeader/>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740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CellMar>
            <w:top w:w="0" w:type="dxa"/>
            <w:left w:w="108" w:type="dxa"/>
            <w:bottom w:w="0" w:type="dxa"/>
            <w:right w:w="108" w:type="dxa"/>
          </w:tblCellMar>
        </w:tblPrEx>
        <w:trPr>
          <w:trHeight w:val="1747"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计时记分系统</w:t>
            </w:r>
          </w:p>
        </w:tc>
        <w:tc>
          <w:tcPr>
            <w:tcW w:w="740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计时记分系统-体操、游泳、羽毛球、田径、击剑、乒乓球、篮球、排球、柔道、射箭、水球、跆拳道、跳水、网球、艺术体操、武术、赛艇1</w:t>
            </w:r>
            <w:r>
              <w:rPr>
                <w:rFonts w:ascii="仿宋" w:hAnsi="仿宋" w:eastAsia="仿宋" w:cs="宋体"/>
                <w:color w:val="000000"/>
                <w:sz w:val="24"/>
                <w:szCs w:val="24"/>
              </w:rPr>
              <w:t>7</w:t>
            </w:r>
            <w:r>
              <w:rPr>
                <w:rFonts w:hint="eastAsia" w:ascii="仿宋" w:hAnsi="仿宋" w:eastAsia="仿宋" w:cs="宋体"/>
                <w:color w:val="000000"/>
                <w:sz w:val="24"/>
                <w:szCs w:val="24"/>
              </w:rPr>
              <w:t>个单项</w:t>
            </w:r>
          </w:p>
        </w:tc>
      </w:tr>
    </w:tbl>
    <w:p>
      <w:pPr>
        <w:keepNext/>
        <w:keepLines/>
        <w:numPr>
          <w:ilvl w:val="1"/>
          <w:numId w:val="0"/>
        </w:numPr>
        <w:spacing w:before="240" w:beforeLines="100" w:after="120" w:afterLines="5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1.5其它要求</w:t>
      </w:r>
    </w:p>
    <w:p>
      <w:pPr>
        <w:keepNext/>
        <w:keepLines/>
        <w:numPr>
          <w:ilvl w:val="0"/>
          <w:numId w:val="37"/>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人员管理要求</w:t>
      </w:r>
    </w:p>
    <w:p>
      <w:pPr>
        <w:keepNext/>
        <w:keepLines/>
        <w:numPr>
          <w:ilvl w:val="3"/>
          <w:numId w:val="0"/>
        </w:numPr>
        <w:tabs>
          <w:tab w:val="left" w:pos="0"/>
        </w:tabs>
        <w:spacing w:before="120" w:beforeLines="50" w:line="276" w:lineRule="auto"/>
        <w:outlineLvl w:val="3"/>
        <w:rPr>
          <w:rFonts w:ascii="仿宋" w:hAnsi="仿宋" w:eastAsia="仿宋"/>
          <w:b/>
          <w:sz w:val="24"/>
          <w:szCs w:val="24"/>
        </w:rPr>
      </w:pPr>
      <w:r>
        <w:rPr>
          <w:rFonts w:hint="eastAsia" w:ascii="仿宋" w:hAnsi="仿宋" w:eastAsia="仿宋"/>
          <w:b/>
          <w:sz w:val="24"/>
          <w:szCs w:val="24"/>
        </w:rPr>
        <w:t>人员构成：</w:t>
      </w:r>
    </w:p>
    <w:p>
      <w:pPr>
        <w:spacing w:line="276" w:lineRule="auto"/>
        <w:ind w:firstLine="560"/>
        <w:rPr>
          <w:rFonts w:ascii="仿宋" w:hAnsi="仿宋" w:eastAsia="仿宋"/>
          <w:sz w:val="24"/>
          <w:szCs w:val="24"/>
        </w:rPr>
      </w:pPr>
      <w:r>
        <w:rPr>
          <w:rFonts w:hint="eastAsia" w:ascii="仿宋" w:hAnsi="仿宋" w:eastAsia="仿宋"/>
          <w:sz w:val="24"/>
          <w:szCs w:val="24"/>
        </w:rPr>
        <w:t>完成计时记分系统建设，投标人需设置完善的系统运行团队的人员以及系统运行保障机制。</w:t>
      </w:r>
    </w:p>
    <w:p>
      <w:pPr>
        <w:spacing w:line="276" w:lineRule="auto"/>
        <w:ind w:firstLine="560"/>
        <w:rPr>
          <w:rFonts w:ascii="仿宋" w:hAnsi="仿宋" w:eastAsia="仿宋"/>
          <w:sz w:val="24"/>
          <w:szCs w:val="24"/>
        </w:rPr>
      </w:pPr>
      <w:r>
        <w:rPr>
          <w:rFonts w:hint="eastAsia" w:ascii="仿宋" w:hAnsi="仿宋" w:eastAsia="仿宋"/>
          <w:sz w:val="24"/>
          <w:szCs w:val="24"/>
        </w:rPr>
        <w:t>各组别需根据各自业务需求建设完善的人员构成，包括但不限于：计时记分主管、计时记分工程师。</w:t>
      </w:r>
    </w:p>
    <w:p>
      <w:pPr>
        <w:keepNext/>
        <w:keepLines/>
        <w:numPr>
          <w:ilvl w:val="3"/>
          <w:numId w:val="0"/>
        </w:numPr>
        <w:tabs>
          <w:tab w:val="left" w:pos="0"/>
        </w:tabs>
        <w:spacing w:before="120" w:beforeLines="50" w:line="276" w:lineRule="auto"/>
        <w:outlineLvl w:val="3"/>
        <w:rPr>
          <w:rFonts w:ascii="仿宋" w:hAnsi="仿宋" w:eastAsia="仿宋"/>
          <w:b/>
          <w:sz w:val="24"/>
          <w:szCs w:val="24"/>
        </w:rPr>
      </w:pPr>
      <w:r>
        <w:rPr>
          <w:rFonts w:hint="eastAsia" w:ascii="仿宋" w:hAnsi="仿宋" w:eastAsia="仿宋"/>
          <w:b/>
          <w:sz w:val="24"/>
          <w:szCs w:val="24"/>
        </w:rPr>
        <w:t>人员要求：</w:t>
      </w:r>
    </w:p>
    <w:p>
      <w:pPr>
        <w:rPr>
          <w:rFonts w:ascii="仿宋" w:hAnsi="仿宋" w:eastAsia="仿宋"/>
          <w:sz w:val="24"/>
          <w:szCs w:val="24"/>
        </w:rPr>
      </w:pPr>
      <w:r>
        <w:rPr>
          <w:rFonts w:hint="eastAsia" w:ascii="仿宋" w:hAnsi="仿宋" w:eastAsia="仿宋"/>
          <w:sz w:val="24"/>
          <w:szCs w:val="24"/>
        </w:rPr>
        <w:t>各组别需根据各自业务需求建设完善的人员构成，包括但不限于：</w:t>
      </w:r>
    </w:p>
    <w:tbl>
      <w:tblPr>
        <w:tblStyle w:val="58"/>
        <w:tblW w:w="8784" w:type="dxa"/>
        <w:jc w:val="center"/>
        <w:tblLayout w:type="fixed"/>
        <w:tblCellMar>
          <w:top w:w="0" w:type="dxa"/>
          <w:left w:w="0" w:type="dxa"/>
          <w:bottom w:w="0" w:type="dxa"/>
          <w:right w:w="0" w:type="dxa"/>
        </w:tblCellMar>
      </w:tblPr>
      <w:tblGrid>
        <w:gridCol w:w="1212"/>
        <w:gridCol w:w="2047"/>
        <w:gridCol w:w="5525"/>
      </w:tblGrid>
      <w:tr>
        <w:tblPrEx>
          <w:tblCellMar>
            <w:top w:w="0" w:type="dxa"/>
            <w:left w:w="0" w:type="dxa"/>
            <w:bottom w:w="0" w:type="dxa"/>
            <w:right w:w="0" w:type="dxa"/>
          </w:tblCellMar>
        </w:tblPrEx>
        <w:trPr>
          <w:trHeight w:val="322" w:hRule="exact"/>
          <w:tblHeader/>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序号</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工作岗位</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rPr>
                <w:rFonts w:ascii="仿宋" w:hAnsi="仿宋" w:eastAsia="仿宋"/>
                <w:sz w:val="24"/>
                <w:szCs w:val="24"/>
              </w:rPr>
            </w:pPr>
            <w:r>
              <w:rPr>
                <w:rFonts w:hint="eastAsia" w:ascii="仿宋" w:hAnsi="仿宋" w:eastAsia="仿宋" w:cs="宋体"/>
                <w:b/>
                <w:bCs/>
                <w:sz w:val="24"/>
                <w:szCs w:val="24"/>
              </w:rPr>
              <w:t>岗位职责</w:t>
            </w:r>
            <w:r>
              <w:rPr>
                <w:rFonts w:ascii="仿宋" w:hAnsi="仿宋" w:eastAsia="仿宋" w:cs="宋体"/>
                <w:b/>
                <w:bCs/>
                <w:w w:val="98"/>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1</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sz w:val="24"/>
                <w:szCs w:val="24"/>
              </w:rPr>
              <w:t>计时记分主管</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计时记分系统总负责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2</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计时记分工程师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负责计时记分系统运行维护</w:t>
            </w:r>
            <w:r>
              <w:rPr>
                <w:rFonts w:ascii="仿宋" w:hAnsi="仿宋" w:eastAsia="仿宋" w:cs="宋体"/>
                <w:sz w:val="24"/>
                <w:szCs w:val="24"/>
              </w:rPr>
              <w:t xml:space="preserve"> </w:t>
            </w:r>
          </w:p>
        </w:tc>
      </w:tr>
    </w:tbl>
    <w:p>
      <w:pPr>
        <w:spacing w:line="276" w:lineRule="auto"/>
        <w:rPr>
          <w:rFonts w:ascii="仿宋" w:hAnsi="仿宋" w:eastAsia="仿宋"/>
          <w:sz w:val="24"/>
          <w:szCs w:val="24"/>
        </w:rPr>
      </w:pP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u w:val="single"/>
        </w:rPr>
        <w:t>到岗时间</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前期准备和建设期为自合同签订之日起至2021年3月；赛事运行保障阶段为2021年3月至2021年10月。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合同签订后第二日，系统的项目实施管理人员需到位。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2021年3月至6月为集成测试和测试赛，场馆技术支持人员按照全部岗位编制的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line="276" w:lineRule="auto"/>
        <w:ind w:firstLine="560"/>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keepNext/>
        <w:keepLines/>
        <w:numPr>
          <w:ilvl w:val="0"/>
          <w:numId w:val="37"/>
        </w:numPr>
        <w:tabs>
          <w:tab w:val="left" w:pos="480"/>
        </w:tabs>
        <w:spacing w:before="240" w:beforeLines="100" w:line="276" w:lineRule="auto"/>
        <w:ind w:left="482" w:hanging="482" w:hangingChars="200"/>
        <w:outlineLvl w:val="2"/>
        <w:rPr>
          <w:rFonts w:ascii="仿宋" w:hAnsi="仿宋" w:eastAsia="仿宋"/>
          <w:kern w:val="0"/>
          <w:sz w:val="24"/>
          <w:szCs w:val="24"/>
        </w:rPr>
      </w:pPr>
      <w:r>
        <w:rPr>
          <w:rFonts w:hint="eastAsia" w:ascii="仿宋" w:hAnsi="仿宋" w:eastAsia="仿宋"/>
          <w:b/>
          <w:kern w:val="0"/>
          <w:sz w:val="24"/>
          <w:szCs w:val="24"/>
        </w:rPr>
        <w:t>实施管理要求</w:t>
      </w:r>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3、接到招标方提出的修改建议之后，投标人需在1天内向招标方提供系统修改评估意见。</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line="276" w:lineRule="auto"/>
        <w:ind w:firstLine="560"/>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keepNext/>
        <w:keepLines/>
        <w:numPr>
          <w:ilvl w:val="0"/>
          <w:numId w:val="37"/>
        </w:numPr>
        <w:tabs>
          <w:tab w:val="left" w:pos="480"/>
        </w:tabs>
        <w:spacing w:before="120" w:beforeLines="50" w:line="276" w:lineRule="auto"/>
        <w:ind w:left="480" w:hanging="480" w:hangingChars="200"/>
        <w:outlineLvl w:val="2"/>
        <w:rPr>
          <w:rFonts w:ascii="仿宋" w:hAnsi="仿宋" w:eastAsia="仿宋"/>
          <w:kern w:val="0"/>
          <w:sz w:val="24"/>
          <w:szCs w:val="24"/>
        </w:rPr>
      </w:pPr>
      <w:r>
        <w:rPr>
          <w:rFonts w:hint="eastAsia" w:ascii="仿宋" w:hAnsi="仿宋" w:eastAsia="仿宋"/>
          <w:kern w:val="0"/>
          <w:sz w:val="24"/>
          <w:szCs w:val="24"/>
        </w:rPr>
        <w:t>▲</w:t>
      </w:r>
      <w:r>
        <w:rPr>
          <w:rFonts w:hint="eastAsia" w:ascii="仿宋" w:hAnsi="仿宋" w:eastAsia="仿宋"/>
          <w:b/>
          <w:kern w:val="0"/>
          <w:sz w:val="24"/>
          <w:szCs w:val="24"/>
          <w:u w:val="single"/>
        </w:rPr>
        <w:t>服务期限</w:t>
      </w:r>
      <w:r>
        <w:rPr>
          <w:rFonts w:hint="eastAsia" w:ascii="仿宋" w:hAnsi="仿宋" w:eastAsia="仿宋"/>
          <w:b/>
          <w:kern w:val="0"/>
          <w:sz w:val="24"/>
          <w:szCs w:val="24"/>
        </w:rPr>
        <w:t>▲</w:t>
      </w:r>
    </w:p>
    <w:p>
      <w:pPr>
        <w:spacing w:line="276" w:lineRule="auto"/>
        <w:ind w:firstLine="560"/>
        <w:rPr>
          <w:rFonts w:ascii="仿宋" w:hAnsi="仿宋" w:eastAsia="仿宋"/>
          <w:b/>
          <w:sz w:val="24"/>
          <w:szCs w:val="24"/>
        </w:rPr>
      </w:pPr>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line="276" w:lineRule="auto"/>
        <w:ind w:firstLine="560"/>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p>
    <w:p>
      <w:pPr>
        <w:keepNext/>
        <w:keepLines/>
        <w:numPr>
          <w:ilvl w:val="0"/>
          <w:numId w:val="37"/>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培训要求</w:t>
      </w:r>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培训目标：</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1.6服务地点</w:t>
      </w:r>
    </w:p>
    <w:p>
      <w:pPr>
        <w:adjustRightInd w:val="0"/>
        <w:snapToGrid w:val="0"/>
        <w:spacing w:line="276" w:lineRule="auto"/>
        <w:ind w:left="640"/>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1.7考核标准和方法</w:t>
      </w:r>
    </w:p>
    <w:p>
      <w:pPr>
        <w:keepNext/>
        <w:keepLines/>
        <w:numPr>
          <w:ilvl w:val="2"/>
          <w:numId w:val="0"/>
        </w:numPr>
        <w:tabs>
          <w:tab w:val="left" w:pos="480"/>
        </w:tabs>
        <w:spacing w:line="276" w:lineRule="auto"/>
        <w:outlineLvl w:val="2"/>
        <w:rPr>
          <w:rFonts w:ascii="仿宋" w:hAnsi="仿宋" w:eastAsia="仿宋"/>
          <w:kern w:val="0"/>
          <w:sz w:val="24"/>
          <w:szCs w:val="24"/>
        </w:rPr>
      </w:pPr>
      <w:r>
        <w:rPr>
          <w:rFonts w:hint="eastAsia" w:ascii="仿宋" w:hAnsi="仿宋" w:eastAsia="仿宋"/>
          <w:kern w:val="0"/>
          <w:sz w:val="24"/>
          <w:szCs w:val="24"/>
        </w:rPr>
        <w:t>考核标准及办法</w:t>
      </w:r>
    </w:p>
    <w:tbl>
      <w:tblPr>
        <w:tblStyle w:val="58"/>
        <w:tblW w:w="9045" w:type="dxa"/>
        <w:tblInd w:w="0" w:type="dxa"/>
        <w:tblLayout w:type="fixed"/>
        <w:tblCellMar>
          <w:top w:w="0" w:type="dxa"/>
          <w:left w:w="108" w:type="dxa"/>
          <w:bottom w:w="0" w:type="dxa"/>
          <w:right w:w="108" w:type="dxa"/>
        </w:tblCellMar>
      </w:tblPr>
      <w:tblGrid>
        <w:gridCol w:w="636"/>
        <w:gridCol w:w="1053"/>
        <w:gridCol w:w="686"/>
        <w:gridCol w:w="3128"/>
        <w:gridCol w:w="3542"/>
      </w:tblGrid>
      <w:tr>
        <w:tblPrEx>
          <w:tblCellMar>
            <w:top w:w="0" w:type="dxa"/>
            <w:left w:w="108" w:type="dxa"/>
            <w:bottom w:w="0" w:type="dxa"/>
            <w:right w:w="108" w:type="dxa"/>
          </w:tblCellMar>
        </w:tblPrEx>
        <w:trPr>
          <w:trHeight w:val="330" w:hRule="atLeast"/>
          <w:tblHeader/>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firstLine="0"/>
              <w:jc w:val="both"/>
              <w:rPr>
                <w:rFonts w:ascii="仿宋" w:hAnsi="仿宋" w:eastAsia="仿宋" w:cs="宋体"/>
                <w:b/>
                <w:sz w:val="22"/>
                <w:szCs w:val="24"/>
              </w:rPr>
            </w:pPr>
            <w:r>
              <w:rPr>
                <w:rFonts w:hint="eastAsia" w:ascii="仿宋" w:hAnsi="仿宋" w:eastAsia="仿宋" w:cs="宋体"/>
                <w:b/>
                <w:sz w:val="22"/>
                <w:szCs w:val="24"/>
                <w:lang w:bidi="ar"/>
              </w:rPr>
              <w:t>序号</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服务内容</w:t>
            </w:r>
          </w:p>
        </w:tc>
        <w:tc>
          <w:tcPr>
            <w:tcW w:w="3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服务说明</w:t>
            </w:r>
          </w:p>
        </w:tc>
        <w:tc>
          <w:tcPr>
            <w:tcW w:w="354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扣分说明</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按照用户要求提供相应数量、资质的人员</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2</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依照要求制定、更新服务方案和服务计划</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3</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方案计划的执行</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根据制定的服务方案、服务计划提供完整、可靠、优质的各类服务</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4</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根据制定的建设方案及进度计划进行项目建设</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5</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服务报告</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定期按照用户要求提交服务报告，不定期按照用户需求提交项目建设进度报告</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6</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应急演练</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根据制定的应急预案进行应急演练</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7</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项目经理、主管、工程师等应按预设规定和用户要求进行日常签到或考勤</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8</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安全管理</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服务期间，应尽量避免系统出现安全问题；系统出现安全问题后应及时按照预设流程或应急方案进行处置，做好记录；事后应进行专题分析，提交专题报告，并优化系统</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9</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服务期间，应尽量避免设备设施出现安全问题；设备设施出现安全问题后应及时按照预设流程或应急方案采取补救措施，做好记录；事后应进行专题分析，提交专题报告</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10</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服务响应</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11</w:t>
            </w:r>
          </w:p>
        </w:tc>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用户投诉</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受到用户单位接待对象、用户上级单位或用户投诉</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12</w:t>
            </w:r>
          </w:p>
        </w:tc>
        <w:tc>
          <w:tcPr>
            <w:tcW w:w="1053"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按照用户要求进行赛后资料收集整理、相关系统及数据移交、配合项目审计等相关工作</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FF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FF0000"/>
          <w:sz w:val="24"/>
          <w:szCs w:val="24"/>
        </w:rPr>
        <w:t xml:space="preserve">。 </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1.8付款方式</w:t>
      </w:r>
    </w:p>
    <w:p>
      <w:pPr>
        <w:spacing w:line="276" w:lineRule="auto"/>
        <w:ind w:firstLine="560"/>
        <w:rPr>
          <w:rFonts w:ascii="仿宋" w:hAnsi="仿宋" w:eastAsia="仿宋"/>
          <w:sz w:val="24"/>
          <w:szCs w:val="24"/>
        </w:rPr>
      </w:pPr>
      <w:r>
        <w:rPr>
          <w:rFonts w:hint="eastAsia" w:ascii="仿宋" w:hAnsi="仿宋" w:eastAsia="仿宋"/>
          <w:bCs/>
          <w:sz w:val="24"/>
          <w:szCs w:val="24"/>
        </w:rPr>
        <w:t>按照合同约定执行。</w:t>
      </w:r>
    </w:p>
    <w:p>
      <w:pPr>
        <w:keepNext/>
        <w:keepLines/>
        <w:numPr>
          <w:ilvl w:val="1"/>
          <w:numId w:val="0"/>
        </w:numPr>
        <w:spacing w:before="240" w:beforeLines="100" w:line="276" w:lineRule="auto"/>
        <w:ind w:right="-29" w:rightChars="-14"/>
        <w:outlineLvl w:val="1"/>
        <w:rPr>
          <w:rFonts w:ascii="仿宋" w:hAnsi="仿宋" w:eastAsia="仿宋"/>
          <w:b/>
          <w:bCs/>
          <w:sz w:val="24"/>
          <w:szCs w:val="24"/>
        </w:rPr>
      </w:pPr>
      <w:r>
        <w:rPr>
          <w:rFonts w:hint="eastAsia" w:ascii="仿宋" w:hAnsi="仿宋" w:eastAsia="仿宋"/>
          <w:b/>
          <w:bCs/>
          <w:sz w:val="28"/>
          <w:szCs w:val="24"/>
        </w:rPr>
        <w:t>1.9违约责任</w:t>
      </w:r>
    </w:p>
    <w:p>
      <w:pPr>
        <w:spacing w:line="276" w:lineRule="auto"/>
        <w:ind w:firstLine="560"/>
        <w:rPr>
          <w:rFonts w:ascii="仿宋" w:hAnsi="仿宋" w:eastAsia="仿宋"/>
          <w:sz w:val="24"/>
          <w:szCs w:val="24"/>
        </w:rPr>
      </w:pPr>
      <w:r>
        <w:rPr>
          <w:rFonts w:hint="eastAsia" w:ascii="仿宋" w:hAnsi="仿宋" w:eastAsia="仿宋"/>
          <w:sz w:val="24"/>
          <w:szCs w:val="24"/>
        </w:rPr>
        <w:t>一、甲乙双方应遵守并执行合同中的各项规定，保证合同的正常履行。</w:t>
      </w:r>
    </w:p>
    <w:p>
      <w:pPr>
        <w:spacing w:line="276" w:lineRule="auto"/>
        <w:ind w:firstLine="560"/>
        <w:rPr>
          <w:rFonts w:ascii="仿宋" w:hAnsi="仿宋" w:eastAsia="仿宋"/>
          <w:sz w:val="24"/>
          <w:szCs w:val="24"/>
        </w:rPr>
      </w:pPr>
      <w:r>
        <w:rPr>
          <w:rFonts w:hint="eastAsia" w:ascii="仿宋" w:hAnsi="仿宋" w:eastAsia="仿宋"/>
          <w:sz w:val="24"/>
          <w:szCs w:val="24"/>
        </w:rPr>
        <w:t>二、如因乙方工作人员在履行职务过程中出现影响甲方正常交易的情况，应当按照合同考核方式执行。由此而导致的甲方对任何第三方的法律责任等，乙方对此均应承担全部的赔偿责任。</w:t>
      </w:r>
    </w:p>
    <w:p>
      <w:pPr>
        <w:keepNext/>
        <w:keepLines/>
        <w:numPr>
          <w:ilvl w:val="1"/>
          <w:numId w:val="0"/>
        </w:numPr>
        <w:spacing w:line="276" w:lineRule="auto"/>
        <w:ind w:right="-29" w:rightChars="-14"/>
        <w:outlineLvl w:val="1"/>
        <w:rPr>
          <w:rFonts w:ascii="仿宋" w:hAnsi="仿宋" w:eastAsia="仿宋"/>
          <w:b/>
          <w:bCs/>
          <w:sz w:val="28"/>
          <w:szCs w:val="28"/>
          <w:u w:val="single"/>
        </w:rPr>
      </w:pPr>
      <w:r>
        <w:rPr>
          <w:rFonts w:ascii="仿宋" w:hAnsi="仿宋" w:eastAsia="仿宋"/>
          <w:b/>
          <w:bCs/>
          <w:sz w:val="28"/>
          <w:szCs w:val="28"/>
        </w:rPr>
        <w:t>1.10</w:t>
      </w:r>
      <w:r>
        <w:rPr>
          <w:rFonts w:ascii="仿宋" w:hAnsi="仿宋" w:eastAsia="仿宋"/>
          <w:bCs/>
          <w:sz w:val="28"/>
          <w:szCs w:val="28"/>
        </w:rPr>
        <w:t xml:space="preserve"> </w:t>
      </w:r>
      <w:r>
        <w:rPr>
          <w:rFonts w:hint="eastAsia" w:ascii="仿宋" w:hAnsi="仿宋" w:eastAsia="仿宋"/>
          <w:bCs/>
          <w:sz w:val="28"/>
          <w:szCs w:val="28"/>
        </w:rPr>
        <w:t>▲</w:t>
      </w:r>
      <w:r>
        <w:rPr>
          <w:rFonts w:hint="eastAsia" w:ascii="仿宋" w:hAnsi="仿宋" w:eastAsia="仿宋"/>
          <w:b/>
          <w:sz w:val="28"/>
          <w:szCs w:val="28"/>
          <w:u w:val="single"/>
        </w:rPr>
        <w:t>投标人须对以下要求单独做出承诺函（承诺函格式自拟）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p>
      <w:pPr>
        <w:spacing w:line="276" w:lineRule="auto"/>
        <w:ind w:firstLine="560"/>
        <w:rPr>
          <w:rFonts w:ascii="仿宋" w:hAnsi="仿宋" w:eastAsia="仿宋"/>
          <w:b/>
          <w:sz w:val="24"/>
          <w:szCs w:val="24"/>
        </w:rPr>
      </w:pPr>
    </w:p>
    <w:p>
      <w:pPr>
        <w:spacing w:line="276" w:lineRule="auto"/>
        <w:rPr>
          <w:rFonts w:ascii="宋体" w:hAnsi="宋体"/>
          <w:szCs w:val="24"/>
        </w:rPr>
      </w:pPr>
    </w:p>
    <w:p>
      <w:pPr>
        <w:keepNext/>
        <w:keepLines/>
        <w:numPr>
          <w:ilvl w:val="1"/>
          <w:numId w:val="0"/>
        </w:numPr>
        <w:spacing w:line="276" w:lineRule="auto"/>
        <w:ind w:right="-29" w:rightChars="-14"/>
        <w:outlineLvl w:val="1"/>
        <w:rPr>
          <w:rFonts w:ascii="仿宋" w:hAnsi="仿宋" w:eastAsia="仿宋"/>
          <w:b/>
          <w:bCs/>
          <w:color w:val="FF0000"/>
          <w:sz w:val="36"/>
          <w:szCs w:val="24"/>
        </w:rPr>
      </w:pPr>
      <w:r>
        <w:rPr>
          <w:rFonts w:hint="eastAsia" w:ascii="仿宋" w:hAnsi="仿宋" w:eastAsia="仿宋"/>
          <w:b/>
          <w:bCs/>
          <w:color w:val="FF0000"/>
          <w:sz w:val="36"/>
          <w:szCs w:val="24"/>
        </w:rPr>
        <w:t>标项3需求文档</w:t>
      </w:r>
    </w:p>
    <w:p>
      <w:pPr>
        <w:rPr>
          <w:rFonts w:ascii="Times New Roman" w:hAnsi="Times New Roman"/>
          <w:szCs w:val="24"/>
        </w:rPr>
      </w:pPr>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1.1项目概况</w:t>
      </w:r>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spacing w:line="276" w:lineRule="auto"/>
        <w:ind w:firstLine="560"/>
        <w:rPr>
          <w:rFonts w:ascii="仿宋" w:hAnsi="仿宋" w:eastAsia="仿宋"/>
          <w:sz w:val="24"/>
          <w:szCs w:val="24"/>
        </w:rPr>
      </w:pPr>
      <w:r>
        <w:rPr>
          <w:rFonts w:hint="eastAsia" w:ascii="仿宋" w:hAnsi="仿宋" w:eastAsia="仿宋"/>
          <w:sz w:val="24"/>
          <w:szCs w:val="24"/>
        </w:rPr>
        <w:t>“竞赛视频系统服务项目”是为了大运会而建设的竞赛视频服务的系统，主要服务包括竞赛监控系统、竞赛闭路系统、视频直播系统等，完成</w:t>
      </w:r>
      <w:r>
        <w:rPr>
          <w:rFonts w:ascii="仿宋" w:hAnsi="仿宋" w:eastAsia="仿宋"/>
          <w:sz w:val="24"/>
          <w:szCs w:val="24"/>
        </w:rPr>
        <w:t>4</w:t>
      </w:r>
      <w:r>
        <w:rPr>
          <w:rFonts w:hint="eastAsia" w:ascii="仿宋" w:hAnsi="仿宋" w:eastAsia="仿宋"/>
          <w:sz w:val="24"/>
          <w:szCs w:val="24"/>
        </w:rPr>
        <w:t>9个竞赛场馆和非竞赛场馆的竞赛视频服务服务。</w:t>
      </w:r>
    </w:p>
    <w:p>
      <w:pPr>
        <w:spacing w:line="276" w:lineRule="auto"/>
        <w:ind w:firstLine="560"/>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 xml:space="preserve">1.2服务范围 </w:t>
      </w:r>
    </w:p>
    <w:p>
      <w:pPr>
        <w:spacing w:line="276" w:lineRule="auto"/>
        <w:ind w:firstLine="560"/>
        <w:rPr>
          <w:rFonts w:ascii="仿宋" w:hAnsi="仿宋" w:eastAsia="仿宋"/>
          <w:sz w:val="24"/>
          <w:szCs w:val="24"/>
        </w:rPr>
      </w:pPr>
      <w:r>
        <w:rPr>
          <w:rFonts w:hint="eastAsia" w:ascii="仿宋" w:hAnsi="仿宋" w:eastAsia="仿宋"/>
          <w:sz w:val="24"/>
          <w:szCs w:val="24"/>
        </w:rPr>
        <w:t>本项目的服务内容包括：竞赛监控系统、竞赛闭路系统、视频直播系统等</w:t>
      </w:r>
      <w:r>
        <w:rPr>
          <w:rFonts w:ascii="仿宋" w:hAnsi="仿宋" w:eastAsia="仿宋"/>
          <w:sz w:val="24"/>
          <w:szCs w:val="24"/>
        </w:rPr>
        <w:t>3</w:t>
      </w:r>
      <w:r>
        <w:rPr>
          <w:rFonts w:hint="eastAsia" w:ascii="仿宋" w:hAnsi="仿宋" w:eastAsia="仿宋"/>
          <w:sz w:val="24"/>
          <w:szCs w:val="24"/>
        </w:rPr>
        <w:t>个方面，具体如下所述：</w:t>
      </w:r>
    </w:p>
    <w:p>
      <w:pPr>
        <w:spacing w:line="276" w:lineRule="auto"/>
        <w:ind w:firstLine="560"/>
        <w:rPr>
          <w:rFonts w:ascii="仿宋" w:hAnsi="仿宋" w:eastAsia="仿宋"/>
          <w:sz w:val="24"/>
          <w:szCs w:val="24"/>
        </w:rPr>
      </w:pPr>
      <w:r>
        <w:rPr>
          <w:rFonts w:hint="eastAsia" w:ascii="仿宋" w:hAnsi="仿宋" w:eastAsia="仿宋"/>
          <w:sz w:val="24"/>
          <w:szCs w:val="24"/>
        </w:rPr>
        <w:t>竞赛视频系统：竞赛视频系统是建立在安全、高效的GAMES专网上实现竞赛视频服务，根据比赛项目、比赛场馆和比赛类型的不同，为在现场运动员、教练员、裁判员等人员和不在比赛现场的指挥、管理和决策人员提供更加直观的竞赛视频信息和比赛成绩，以便其更好了解赛事进程。竞赛视频系统以更加直观、可视方式为用户提供竞赛视频信息，能够更好的提升受用群体的用户体验，为大运会添光增彩。竞赛视频系统包括：竞赛监控系统、竞赛闭路系统、视频直播系统。</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1.3系统服务要求</w:t>
      </w:r>
    </w:p>
    <w:p>
      <w:pPr>
        <w:spacing w:line="276" w:lineRule="auto"/>
        <w:ind w:firstLine="560"/>
        <w:rPr>
          <w:rFonts w:ascii="仿宋" w:hAnsi="仿宋" w:eastAsia="仿宋"/>
          <w:b/>
          <w:sz w:val="24"/>
          <w:szCs w:val="24"/>
        </w:rPr>
      </w:pPr>
      <w:r>
        <w:rPr>
          <w:rFonts w:hint="eastAsia" w:ascii="仿宋" w:hAnsi="仿宋" w:eastAsia="仿宋"/>
          <w:b/>
          <w:sz w:val="24"/>
          <w:szCs w:val="24"/>
          <w:u w:val="single"/>
        </w:rPr>
        <w:t>▲中标人所提供的竞赛视频系统服务需满足国际大体联、国际（国内）单项体育联合协会的要求</w:t>
      </w:r>
      <w:r>
        <w:rPr>
          <w:rFonts w:hint="eastAsia" w:ascii="仿宋" w:hAnsi="仿宋" w:eastAsia="仿宋" w:cs="宋体"/>
          <w:kern w:val="0"/>
          <w:sz w:val="24"/>
          <w:szCs w:val="24"/>
          <w:lang w:bidi="ar"/>
        </w:rPr>
        <w:t>▲</w:t>
      </w:r>
      <w:r>
        <w:rPr>
          <w:rFonts w:hint="eastAsia" w:ascii="仿宋" w:hAnsi="仿宋" w:eastAsia="仿宋"/>
          <w:b/>
          <w:sz w:val="24"/>
          <w:szCs w:val="24"/>
        </w:rPr>
        <w:t>。</w:t>
      </w: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竞赛视频系统</w:t>
      </w:r>
    </w:p>
    <w:p>
      <w:pPr>
        <w:keepNext/>
        <w:keepLines/>
        <w:spacing w:before="120" w:after="120" w:line="276" w:lineRule="auto"/>
        <w:outlineLvl w:val="4"/>
        <w:rPr>
          <w:rFonts w:ascii="仿宋" w:hAnsi="仿宋" w:eastAsia="仿宋"/>
          <w:b/>
          <w:bCs/>
          <w:sz w:val="24"/>
          <w:szCs w:val="24"/>
        </w:rPr>
      </w:pPr>
      <w:r>
        <w:rPr>
          <w:rFonts w:hint="eastAsia" w:ascii="仿宋" w:hAnsi="仿宋" w:eastAsia="仿宋"/>
          <w:b/>
          <w:bCs/>
          <w:sz w:val="24"/>
          <w:szCs w:val="24"/>
        </w:rPr>
        <w:t>功能描述：</w:t>
      </w:r>
    </w:p>
    <w:p>
      <w:pPr>
        <w:spacing w:line="276" w:lineRule="auto"/>
        <w:ind w:firstLine="560"/>
        <w:rPr>
          <w:rFonts w:ascii="仿宋" w:hAnsi="仿宋" w:eastAsia="仿宋"/>
          <w:sz w:val="24"/>
          <w:szCs w:val="24"/>
        </w:rPr>
      </w:pPr>
      <w:r>
        <w:rPr>
          <w:rFonts w:hint="eastAsia" w:ascii="仿宋" w:hAnsi="仿宋" w:eastAsia="仿宋"/>
          <w:sz w:val="24"/>
          <w:szCs w:val="24"/>
        </w:rPr>
        <w:t>竞赛视频系统是建立在安全、高效的GAMES专网上实现竞赛视频服务，根据比赛项目、比赛场馆和比赛类型的不同，为在现场运动员、教练员、裁判员等人员和不在比赛现场的指挥、管理和决策人员提供更加直观的竞赛视频信息和比赛成绩，以便其更好了解赛事进程。竞赛视频系统以更加直观、可视方式为用户提供竞赛视频信息，能够更好的提升受用群体的用户体验，为大运会添光增彩。</w:t>
      </w:r>
    </w:p>
    <w:p>
      <w:pPr>
        <w:spacing w:line="276" w:lineRule="auto"/>
        <w:ind w:firstLine="560"/>
        <w:rPr>
          <w:rFonts w:ascii="仿宋" w:hAnsi="仿宋" w:eastAsia="仿宋"/>
          <w:sz w:val="24"/>
          <w:szCs w:val="24"/>
        </w:rPr>
      </w:pPr>
      <w:r>
        <w:rPr>
          <w:rFonts w:hint="eastAsia" w:ascii="仿宋" w:hAnsi="仿宋" w:eastAsia="仿宋"/>
          <w:sz w:val="24"/>
          <w:szCs w:val="24"/>
        </w:rPr>
        <w:t>竞赛视频系统包括竞赛监控系统、竞赛闭路系统、视频直播系统。</w:t>
      </w:r>
    </w:p>
    <w:p>
      <w:pPr>
        <w:keepNext/>
        <w:keepLines/>
        <w:spacing w:before="120" w:after="120" w:line="276" w:lineRule="auto"/>
        <w:outlineLvl w:val="4"/>
        <w:rPr>
          <w:rFonts w:ascii="仿宋" w:hAnsi="仿宋" w:eastAsia="仿宋"/>
          <w:b/>
          <w:bCs/>
          <w:sz w:val="24"/>
          <w:szCs w:val="24"/>
        </w:rPr>
      </w:pPr>
      <w:r>
        <w:rPr>
          <w:rFonts w:hint="eastAsia" w:ascii="仿宋" w:hAnsi="仿宋" w:eastAsia="仿宋"/>
          <w:b/>
          <w:bCs/>
          <w:sz w:val="24"/>
          <w:szCs w:val="24"/>
        </w:rPr>
        <w:t>服务内容：</w:t>
      </w:r>
    </w:p>
    <w:p>
      <w:pPr>
        <w:spacing w:line="276" w:lineRule="auto"/>
        <w:ind w:firstLine="560"/>
        <w:rPr>
          <w:rFonts w:ascii="仿宋" w:hAnsi="仿宋" w:eastAsia="仿宋"/>
          <w:sz w:val="24"/>
          <w:szCs w:val="24"/>
        </w:rPr>
      </w:pPr>
      <w:r>
        <w:rPr>
          <w:rFonts w:hint="eastAsia" w:ascii="仿宋" w:hAnsi="仿宋" w:eastAsia="仿宋"/>
          <w:sz w:val="24"/>
          <w:szCs w:val="24"/>
        </w:rPr>
        <w:t>（一）竞赛监控系统</w:t>
      </w:r>
    </w:p>
    <w:p>
      <w:pPr>
        <w:spacing w:line="276" w:lineRule="auto"/>
        <w:ind w:firstLine="560"/>
        <w:rPr>
          <w:rFonts w:ascii="仿宋" w:hAnsi="仿宋" w:eastAsia="仿宋"/>
          <w:sz w:val="24"/>
          <w:szCs w:val="24"/>
        </w:rPr>
      </w:pPr>
      <w:r>
        <w:rPr>
          <w:rFonts w:hint="eastAsia" w:ascii="仿宋" w:hAnsi="仿宋" w:eastAsia="仿宋"/>
          <w:sz w:val="24"/>
          <w:szCs w:val="24"/>
        </w:rPr>
        <w:t>竞赛监控系统是本届大运会赛事指挥管理服务体系中的重要组成部分，为了满足不同人群对赛事情况的了解和监控，需要建设竞赛监控系统，为赛事综合运行管理中心和技术运行中心的管理、指挥、决策提供服务。该系统通过对现场视音频信号进行收集以网络信号的形式传输至本地服务器进行信号存储、处理，通过视频综合管理平台服务器将带有视频音频的图像传输实时至技术运行中心和综合运行管理中心。</w:t>
      </w:r>
    </w:p>
    <w:p>
      <w:pPr>
        <w:spacing w:line="276" w:lineRule="auto"/>
        <w:ind w:firstLine="560"/>
        <w:rPr>
          <w:rFonts w:ascii="仿宋" w:hAnsi="仿宋" w:eastAsia="仿宋"/>
          <w:sz w:val="24"/>
          <w:szCs w:val="24"/>
        </w:rPr>
      </w:pPr>
      <w:r>
        <w:rPr>
          <w:rFonts w:hint="eastAsia" w:ascii="仿宋" w:hAnsi="仿宋" w:eastAsia="仿宋"/>
          <w:sz w:val="24"/>
          <w:szCs w:val="24"/>
        </w:rPr>
        <w:t>（二）竞赛闭路系统</w:t>
      </w:r>
    </w:p>
    <w:p>
      <w:pPr>
        <w:spacing w:line="276" w:lineRule="auto"/>
        <w:ind w:firstLine="560"/>
        <w:rPr>
          <w:rFonts w:ascii="仿宋" w:hAnsi="仿宋" w:eastAsia="仿宋"/>
          <w:sz w:val="24"/>
          <w:szCs w:val="24"/>
        </w:rPr>
      </w:pPr>
      <w:r>
        <w:rPr>
          <w:rFonts w:hint="eastAsia" w:ascii="仿宋" w:hAnsi="仿宋" w:eastAsia="仿宋"/>
          <w:sz w:val="24"/>
          <w:szCs w:val="24"/>
        </w:rPr>
        <w:t>竞赛闭路系统在场馆内构建一套闭路系统，汇总本场馆视频直播信号、仲裁录像信号、大屏成绩显示信号等多路信息，为后场准备区、热身区、竞赛官员休息室、裁判员休息室等位置提供信息服务。竞赛闭路系统接收多个其他子系统的数据和视频信息，系统自身并不进行数据处理工作，系统的主要工作是接收信息，并根据需要决定输出的信号源。也可设置多路信号，由用户自行选择需要观看的信号源。竞赛闭路系统的服务对象包括后场热身区进行热身准备的运动员、教练员、竞赛官员、轮换上场的裁判员等。由于有多路信号源，因此最好选用有这方面工作经验的技术人员从事导播和信号切换等工作。</w:t>
      </w:r>
    </w:p>
    <w:p>
      <w:pPr>
        <w:spacing w:line="276" w:lineRule="auto"/>
        <w:ind w:firstLine="560"/>
        <w:rPr>
          <w:rFonts w:ascii="仿宋" w:hAnsi="仿宋" w:eastAsia="仿宋"/>
          <w:sz w:val="24"/>
          <w:szCs w:val="24"/>
        </w:rPr>
      </w:pPr>
      <w:r>
        <w:rPr>
          <w:rFonts w:hint="eastAsia" w:ascii="仿宋" w:hAnsi="仿宋" w:eastAsia="仿宋"/>
          <w:sz w:val="24"/>
          <w:szCs w:val="24"/>
        </w:rPr>
        <w:t>（三）视频直播系统</w:t>
      </w:r>
    </w:p>
    <w:p>
      <w:pPr>
        <w:spacing w:line="276" w:lineRule="auto"/>
        <w:ind w:firstLine="560"/>
        <w:rPr>
          <w:rFonts w:ascii="仿宋" w:hAnsi="仿宋" w:eastAsia="仿宋"/>
          <w:sz w:val="24"/>
          <w:szCs w:val="24"/>
        </w:rPr>
      </w:pPr>
      <w:r>
        <w:rPr>
          <w:rFonts w:hint="eastAsia" w:ascii="仿宋" w:hAnsi="仿宋" w:eastAsia="仿宋"/>
          <w:sz w:val="24"/>
          <w:szCs w:val="24"/>
        </w:rPr>
        <w:t>视频直播系统向赛事视频工作室、综合运行管理中心、技术运行中心的指挥管理人员以及其他授权用户提供全项目、全场馆、全场次的竞赛视频直播服务。大运会作为世界级别的综合性运动会，深受各国领导的高度关注，但因为电视直播播出时间和频道的限制，许多项目比赛将不在主转播机构的转播计划之内。视频直播系统将满足指挥管理人员在第一时间了解到各项目、各场馆、各场次的比赛情况。在比赛结束后，将保存比赛影像资料，以便相关人员观看。</w:t>
      </w:r>
    </w:p>
    <w:p>
      <w:pPr>
        <w:keepNext/>
        <w:keepLines/>
        <w:spacing w:before="120" w:after="120" w:line="276" w:lineRule="auto"/>
        <w:outlineLvl w:val="4"/>
        <w:rPr>
          <w:rFonts w:ascii="仿宋" w:hAnsi="仿宋" w:eastAsia="仿宋"/>
          <w:b/>
          <w:bCs/>
          <w:sz w:val="24"/>
          <w:szCs w:val="24"/>
        </w:rPr>
      </w:pPr>
      <w:r>
        <w:rPr>
          <w:rFonts w:hint="eastAsia" w:ascii="仿宋" w:hAnsi="仿宋" w:eastAsia="仿宋"/>
          <w:b/>
          <w:bCs/>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（1）竞赛视频系统将建立在安全、高效的GAMES专网上进行视频信号的传输，各个场馆输出的信号均为实时高清视频信号。</w:t>
      </w:r>
    </w:p>
    <w:p>
      <w:pPr>
        <w:spacing w:line="276" w:lineRule="auto"/>
        <w:ind w:firstLine="560"/>
        <w:rPr>
          <w:rFonts w:ascii="仿宋" w:hAnsi="仿宋" w:eastAsia="仿宋"/>
          <w:sz w:val="24"/>
          <w:szCs w:val="24"/>
        </w:rPr>
      </w:pPr>
      <w:r>
        <w:rPr>
          <w:rFonts w:hint="eastAsia" w:ascii="仿宋" w:hAnsi="仿宋" w:eastAsia="仿宋"/>
          <w:sz w:val="24"/>
          <w:szCs w:val="24"/>
        </w:rPr>
        <w:t>（2）竞赛监控系统需不对比赛的视频信号进行处理，将源视频信号以实时高清的信号传输至TOC、MOC。</w:t>
      </w:r>
    </w:p>
    <w:p>
      <w:pPr>
        <w:spacing w:line="276" w:lineRule="auto"/>
        <w:ind w:firstLine="56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）竞赛闭路系统可实时获取竞赛监控系统、仲裁录像系统、场馆大屏信息等信号源，可根据需求自主选择播放内容，要求系统稳定低延时。</w:t>
      </w:r>
    </w:p>
    <w:p>
      <w:pPr>
        <w:spacing w:line="276" w:lineRule="auto"/>
        <w:ind w:firstLine="56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）视频直播系统需对采集的音视频信号进行收集处理，并进行实时储存备份。要求对视频直播系统进行系统支撑，保障视频直播系统传输实时性和稳定性。</w:t>
      </w:r>
    </w:p>
    <w:p>
      <w:pPr>
        <w:spacing w:line="276" w:lineRule="auto"/>
        <w:ind w:firstLine="560"/>
        <w:rPr>
          <w:rFonts w:hint="eastAsia" w:ascii="仿宋" w:hAnsi="仿宋" w:eastAsia="仿宋"/>
          <w:sz w:val="24"/>
          <w:szCs w:val="24"/>
        </w:rPr>
      </w:pP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系统保障</w:t>
      </w:r>
    </w:p>
    <w:p>
      <w:pPr>
        <w:spacing w:line="276" w:lineRule="auto"/>
        <w:ind w:firstLine="560"/>
        <w:rPr>
          <w:rFonts w:ascii="仿宋" w:hAnsi="仿宋" w:eastAsia="仿宋"/>
          <w:sz w:val="24"/>
          <w:szCs w:val="24"/>
        </w:rPr>
      </w:pPr>
      <w:r>
        <w:rPr>
          <w:rFonts w:hint="eastAsia" w:ascii="仿宋" w:hAnsi="仿宋" w:eastAsia="仿宋"/>
          <w:sz w:val="24"/>
          <w:szCs w:val="24"/>
        </w:rPr>
        <w:t>系统保障包含竞赛视频服务中通用设备计划、人员配置计划、人员培训计划等。</w:t>
      </w:r>
    </w:p>
    <w:p>
      <w:pPr>
        <w:spacing w:line="276" w:lineRule="auto"/>
        <w:ind w:firstLine="562"/>
        <w:rPr>
          <w:rFonts w:ascii="仿宋" w:hAnsi="仿宋" w:eastAsia="仿宋"/>
          <w:b/>
          <w:sz w:val="24"/>
          <w:szCs w:val="24"/>
        </w:rPr>
      </w:pPr>
      <w:r>
        <w:rPr>
          <w:rFonts w:hint="eastAsia" w:ascii="仿宋" w:hAnsi="仿宋" w:eastAsia="仿宋"/>
          <w:b/>
          <w:sz w:val="24"/>
          <w:szCs w:val="24"/>
        </w:rPr>
        <w:t>一、▲</w:t>
      </w:r>
      <w:r>
        <w:rPr>
          <w:rFonts w:hint="eastAsia" w:ascii="仿宋" w:hAnsi="仿宋" w:eastAsia="仿宋"/>
          <w:b/>
          <w:sz w:val="24"/>
          <w:szCs w:val="24"/>
          <w:u w:val="single"/>
        </w:rPr>
        <w:t>竞赛视频系统人员配置包括不少于以下人员数量要求：竞赛闭路工程师58人、竞赛监控工程师32人、视频直播工程师58人▲</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二、成交投标人成交后需要按照国际大体联技术指南最新版本提出的建设要求进行系统建设，并且在大运会建设期间负责与国际大体联关于建设内容进行沟通确认。</w:t>
      </w:r>
    </w:p>
    <w:p>
      <w:pPr>
        <w:spacing w:line="276" w:lineRule="auto"/>
        <w:ind w:firstLine="562"/>
        <w:rPr>
          <w:rFonts w:hint="eastAsia"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szCs w:val="24"/>
          <w:u w:val="single"/>
        </w:rPr>
        <w:t>成交投标人所提供的竞赛视频系统服务需满足国际大体联、国际（国内）单项体育联合协会的要求</w:t>
      </w:r>
      <w:r>
        <w:rPr>
          <w:rFonts w:hint="eastAsia" w:ascii="仿宋" w:hAnsi="仿宋" w:eastAsia="仿宋"/>
          <w:b/>
          <w:sz w:val="24"/>
          <w:szCs w:val="24"/>
        </w:rPr>
        <w:t>▲。</w:t>
      </w:r>
    </w:p>
    <w:p>
      <w:pPr>
        <w:spacing w:line="276" w:lineRule="auto"/>
        <w:ind w:firstLine="562"/>
        <w:rPr>
          <w:rFonts w:hint="eastAsia" w:ascii="仿宋" w:hAnsi="仿宋" w:eastAsia="仿宋"/>
          <w:b/>
          <w:sz w:val="24"/>
          <w:szCs w:val="24"/>
        </w:rPr>
      </w:pP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赛事运行服务要求</w:t>
      </w:r>
    </w:p>
    <w:p>
      <w:pPr>
        <w:spacing w:line="276" w:lineRule="auto"/>
        <w:ind w:firstLine="560"/>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▲系统专项设计▲</w:t>
      </w:r>
    </w:p>
    <w:p>
      <w:pPr>
        <w:spacing w:line="276" w:lineRule="auto"/>
        <w:ind w:firstLine="482"/>
        <w:rPr>
          <w:rFonts w:ascii="仿宋" w:hAnsi="仿宋" w:eastAsia="仿宋"/>
          <w:b/>
          <w:sz w:val="24"/>
          <w:szCs w:val="24"/>
        </w:rPr>
      </w:pPr>
      <w:r>
        <w:rPr>
          <w:rFonts w:hint="eastAsia" w:ascii="仿宋" w:hAnsi="仿宋" w:eastAsia="仿宋"/>
          <w:b/>
          <w:sz w:val="24"/>
          <w:szCs w:val="24"/>
        </w:rPr>
        <w:t>投标人需按照招标方要求配合完成系统专项设计：包括但不限于《系统深化设计方案》、</w:t>
      </w:r>
      <w:r>
        <w:rPr>
          <w:rFonts w:ascii="仿宋" w:hAnsi="仿宋" w:eastAsia="仿宋"/>
          <w:b/>
          <w:sz w:val="24"/>
          <w:szCs w:val="24"/>
        </w:rPr>
        <w:t>《需求调研报告》、《需求规格说明书》、《数据库设计》、《概要设计》、《一馆一册》</w:t>
      </w:r>
      <w:r>
        <w:rPr>
          <w:rFonts w:hint="eastAsia" w:ascii="仿宋" w:hAnsi="仿宋" w:eastAsia="仿宋"/>
          <w:b/>
          <w:sz w:val="24"/>
          <w:szCs w:val="24"/>
        </w:rPr>
        <w:t>等文档以及各部分的子项目设计分册等内容。</w:t>
      </w: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赛事运行保障</w:t>
      </w:r>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line="276" w:lineRule="auto"/>
        <w:ind w:firstLine="560"/>
        <w:rPr>
          <w:rFonts w:hint="eastAsia"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spacing w:line="276" w:lineRule="auto"/>
        <w:ind w:firstLine="560"/>
        <w:rPr>
          <w:rFonts w:hint="eastAsia" w:ascii="仿宋" w:hAnsi="仿宋" w:eastAsia="仿宋"/>
          <w:sz w:val="24"/>
          <w:szCs w:val="24"/>
        </w:rPr>
      </w:pPr>
    </w:p>
    <w:p>
      <w:pPr>
        <w:keepNext/>
        <w:keepLines/>
        <w:numPr>
          <w:ilvl w:val="0"/>
          <w:numId w:val="38"/>
        </w:numPr>
        <w:tabs>
          <w:tab w:val="left" w:pos="480"/>
        </w:tabs>
        <w:spacing w:before="120" w:beforeLines="5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赛时应急响应</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赛前将经过集成测试、测试赛、联试联调等多轮测试和演练，但由于综合性运动会信息技术存在“关门时间”和“实时性”的要求，因此赛时还需指定一套完备的应急预案，投标人应成立应急保障团队，从组织架构、工作流程、职责分工、应急人员等方面提出切实可行的计划，并在赛时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ind w:firstLine="560"/>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ind w:firstLine="560"/>
        <w:rPr>
          <w:rFonts w:ascii="仿宋" w:hAnsi="仿宋" w:eastAsia="仿宋"/>
          <w:sz w:val="24"/>
          <w:szCs w:val="24"/>
        </w:rPr>
      </w:pPr>
      <w:r>
        <w:rPr>
          <w:rFonts w:hint="eastAsia" w:ascii="仿宋" w:hAnsi="仿宋" w:eastAsia="仿宋"/>
          <w:sz w:val="24"/>
          <w:szCs w:val="24"/>
        </w:rPr>
        <w:t>3、需提供完备的竞赛视频系统应急机制。</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1.4 服务功能清单</w:t>
      </w:r>
    </w:p>
    <w:tbl>
      <w:tblPr>
        <w:tblStyle w:val="58"/>
        <w:tblW w:w="8789" w:type="dxa"/>
        <w:tblInd w:w="5" w:type="dxa"/>
        <w:tblLayout w:type="autofit"/>
        <w:tblCellMar>
          <w:top w:w="0" w:type="dxa"/>
          <w:left w:w="108" w:type="dxa"/>
          <w:bottom w:w="0" w:type="dxa"/>
          <w:right w:w="108" w:type="dxa"/>
        </w:tblCellMar>
      </w:tblPr>
      <w:tblGrid>
        <w:gridCol w:w="1389"/>
        <w:gridCol w:w="7400"/>
      </w:tblGrid>
      <w:tr>
        <w:tblPrEx>
          <w:tblCellMar>
            <w:top w:w="0" w:type="dxa"/>
            <w:left w:w="108" w:type="dxa"/>
            <w:bottom w:w="0" w:type="dxa"/>
            <w:right w:w="108" w:type="dxa"/>
          </w:tblCellMar>
        </w:tblPrEx>
        <w:trPr>
          <w:trHeight w:val="285" w:hRule="atLeast"/>
          <w:tblHeader/>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740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CellMar>
            <w:top w:w="0" w:type="dxa"/>
            <w:left w:w="108" w:type="dxa"/>
            <w:bottom w:w="0" w:type="dxa"/>
            <w:right w:w="108" w:type="dxa"/>
          </w:tblCellMar>
        </w:tblPrEx>
        <w:trPr>
          <w:trHeight w:val="810" w:hRule="atLeast"/>
        </w:trPr>
        <w:tc>
          <w:tcPr>
            <w:tcW w:w="138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竞赛视频系统</w:t>
            </w:r>
          </w:p>
        </w:tc>
        <w:tc>
          <w:tcPr>
            <w:tcW w:w="7400" w:type="dxa"/>
            <w:tcBorders>
              <w:top w:val="nil"/>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竞赛监控系统-体操、游泳、羽毛球、田径、击剑、乒乓球、篮球、排球、柔道、射箭、水球、跆拳道、跳水、网球、艺术体操、武术、赛艇、射击18个单项</w:t>
            </w:r>
          </w:p>
        </w:tc>
      </w:tr>
      <w:tr>
        <w:tblPrEx>
          <w:tblCellMar>
            <w:top w:w="0" w:type="dxa"/>
            <w:left w:w="108" w:type="dxa"/>
            <w:bottom w:w="0" w:type="dxa"/>
            <w:right w:w="108" w:type="dxa"/>
          </w:tblCellMar>
        </w:tblPrEx>
        <w:trPr>
          <w:trHeight w:val="810" w:hRule="atLeast"/>
        </w:trPr>
        <w:tc>
          <w:tcPr>
            <w:tcW w:w="1389" w:type="dxa"/>
            <w:vMerge w:val="continue"/>
            <w:tcBorders>
              <w:top w:val="nil"/>
              <w:left w:val="single" w:color="auto" w:sz="4" w:space="0"/>
              <w:bottom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7400" w:type="dxa"/>
            <w:tcBorders>
              <w:top w:val="nil"/>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竞赛闭路系统-体操、游泳、羽毛球、田径、击剑、乒乓球、篮球、排球、柔道、射箭、水球、跆拳道、跳水、网球、艺术体操、武术、赛艇、射击18个单项</w:t>
            </w:r>
          </w:p>
        </w:tc>
      </w:tr>
      <w:tr>
        <w:tblPrEx>
          <w:tblCellMar>
            <w:top w:w="0" w:type="dxa"/>
            <w:left w:w="108" w:type="dxa"/>
            <w:bottom w:w="0" w:type="dxa"/>
            <w:right w:w="108" w:type="dxa"/>
          </w:tblCellMar>
        </w:tblPrEx>
        <w:trPr>
          <w:trHeight w:val="810" w:hRule="atLeast"/>
        </w:trPr>
        <w:tc>
          <w:tcPr>
            <w:tcW w:w="1389" w:type="dxa"/>
            <w:vMerge w:val="continue"/>
            <w:tcBorders>
              <w:top w:val="nil"/>
              <w:left w:val="single" w:color="auto" w:sz="4" w:space="0"/>
              <w:bottom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7400" w:type="dxa"/>
            <w:tcBorders>
              <w:top w:val="nil"/>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视频直播系统-体操、游泳、羽毛球、田径、击剑、乒乓球、篮球、排球、柔道、射箭、水球、跆拳道、跳水、网球、艺术体操、武术、赛艇、射击18个单项</w:t>
            </w:r>
          </w:p>
        </w:tc>
      </w:tr>
    </w:tbl>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1.5 其它要求</w:t>
      </w:r>
    </w:p>
    <w:p>
      <w:pPr>
        <w:keepNext/>
        <w:keepLines/>
        <w:numPr>
          <w:ilvl w:val="0"/>
          <w:numId w:val="39"/>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人员管理要求</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人员构成：</w:t>
      </w:r>
    </w:p>
    <w:p>
      <w:pPr>
        <w:spacing w:line="276" w:lineRule="auto"/>
        <w:ind w:firstLine="560"/>
        <w:rPr>
          <w:rFonts w:ascii="仿宋" w:hAnsi="仿宋" w:eastAsia="仿宋"/>
          <w:sz w:val="24"/>
          <w:szCs w:val="24"/>
        </w:rPr>
      </w:pPr>
      <w:r>
        <w:rPr>
          <w:rFonts w:hint="eastAsia" w:ascii="仿宋" w:hAnsi="仿宋" w:eastAsia="仿宋"/>
          <w:sz w:val="24"/>
          <w:szCs w:val="24"/>
        </w:rPr>
        <w:t>完成竞赛视频系统建设，投标人需设置完善的系统运行团队的人员构成。子系统运行保障包括：竞赛监控系统、竞赛闭路系统、视频直播系统。</w:t>
      </w:r>
    </w:p>
    <w:p>
      <w:pPr>
        <w:spacing w:line="276" w:lineRule="auto"/>
        <w:ind w:firstLine="560"/>
        <w:rPr>
          <w:rFonts w:ascii="仿宋" w:hAnsi="仿宋" w:eastAsia="仿宋"/>
          <w:sz w:val="24"/>
          <w:szCs w:val="24"/>
        </w:rPr>
      </w:pPr>
      <w:r>
        <w:rPr>
          <w:rFonts w:hint="eastAsia" w:ascii="仿宋" w:hAnsi="仿宋" w:eastAsia="仿宋"/>
          <w:sz w:val="24"/>
          <w:szCs w:val="24"/>
        </w:rPr>
        <w:t>各组别需根据各自业务需求建设完善的人员构成，包括但不限于：竞赛视频主管、竞赛闭路工程师、竞赛监控工程师、视频直播工程师。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人员要求：</w:t>
      </w:r>
    </w:p>
    <w:p>
      <w:pPr>
        <w:spacing w:line="276" w:lineRule="auto"/>
        <w:rPr>
          <w:rFonts w:ascii="仿宋" w:hAnsi="仿宋" w:eastAsia="仿宋"/>
          <w:sz w:val="24"/>
          <w:szCs w:val="24"/>
        </w:rPr>
      </w:pPr>
      <w:r>
        <w:rPr>
          <w:rFonts w:hint="eastAsia" w:ascii="仿宋" w:hAnsi="仿宋" w:eastAsia="仿宋"/>
          <w:sz w:val="24"/>
          <w:szCs w:val="24"/>
        </w:rPr>
        <w:t>各组别需根据各自业务需求建设完善的人员构成，包括但不限于：</w:t>
      </w:r>
    </w:p>
    <w:tbl>
      <w:tblPr>
        <w:tblStyle w:val="58"/>
        <w:tblW w:w="8784" w:type="dxa"/>
        <w:jc w:val="center"/>
        <w:tblLayout w:type="fixed"/>
        <w:tblCellMar>
          <w:top w:w="0" w:type="dxa"/>
          <w:left w:w="0" w:type="dxa"/>
          <w:bottom w:w="0" w:type="dxa"/>
          <w:right w:w="0" w:type="dxa"/>
        </w:tblCellMar>
      </w:tblPr>
      <w:tblGrid>
        <w:gridCol w:w="1212"/>
        <w:gridCol w:w="2047"/>
        <w:gridCol w:w="5525"/>
      </w:tblGrid>
      <w:tr>
        <w:tblPrEx>
          <w:tblCellMar>
            <w:top w:w="0" w:type="dxa"/>
            <w:left w:w="0" w:type="dxa"/>
            <w:bottom w:w="0" w:type="dxa"/>
            <w:right w:w="0" w:type="dxa"/>
          </w:tblCellMar>
        </w:tblPrEx>
        <w:trPr>
          <w:trHeight w:val="322" w:hRule="exact"/>
          <w:tblHeader/>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序号</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工作岗位</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rPr>
                <w:rFonts w:ascii="仿宋" w:hAnsi="仿宋" w:eastAsia="仿宋"/>
                <w:sz w:val="24"/>
                <w:szCs w:val="24"/>
              </w:rPr>
            </w:pPr>
            <w:r>
              <w:rPr>
                <w:rFonts w:hint="eastAsia" w:ascii="仿宋" w:hAnsi="仿宋" w:eastAsia="仿宋" w:cs="宋体"/>
                <w:b/>
                <w:bCs/>
                <w:sz w:val="24"/>
                <w:szCs w:val="24"/>
              </w:rPr>
              <w:t>岗位职责</w:t>
            </w:r>
            <w:r>
              <w:rPr>
                <w:rFonts w:ascii="仿宋" w:hAnsi="仿宋" w:eastAsia="仿宋" w:cs="宋体"/>
                <w:b/>
                <w:bCs/>
                <w:w w:val="98"/>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1</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sz w:val="24"/>
                <w:szCs w:val="24"/>
              </w:rPr>
              <w:t>竞赛视频主管</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场馆内竞赛视频总负责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2</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竞赛闭路工程师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场馆内竞赛闭路系统运行维护</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3</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竞赛监控工程师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竞赛监控系统运行维护</w:t>
            </w:r>
          </w:p>
        </w:tc>
      </w:tr>
      <w:tr>
        <w:tblPrEx>
          <w:tblCellMar>
            <w:top w:w="0" w:type="dxa"/>
            <w:left w:w="0" w:type="dxa"/>
            <w:bottom w:w="0" w:type="dxa"/>
            <w:right w:w="0" w:type="dxa"/>
          </w:tblCellMar>
        </w:tblPrEx>
        <w:trPr>
          <w:trHeight w:val="325"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4</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视频直播工程师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负责视频直播系统运行维护</w:t>
            </w:r>
          </w:p>
        </w:tc>
      </w:tr>
    </w:tbl>
    <w:p>
      <w:pPr>
        <w:spacing w:line="276" w:lineRule="auto"/>
        <w:rPr>
          <w:rFonts w:ascii="仿宋" w:hAnsi="仿宋" w:eastAsia="仿宋"/>
          <w:sz w:val="24"/>
          <w:szCs w:val="24"/>
        </w:rPr>
      </w:pP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u w:val="single"/>
        </w:rPr>
        <w:t>到岗时间</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前期准备和建设期为自合同签订之日起至2021年3月；赛事运行保障阶段为2021年3月至2021年10月。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合同签订后第二日，系统的项目实施管理人员需到位。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2021年3月至6月为集成测试和测试赛，场馆技术支持人员按照全部岗位编制的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line="276" w:lineRule="auto"/>
        <w:ind w:firstLine="560"/>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keepNext/>
        <w:keepLines/>
        <w:numPr>
          <w:ilvl w:val="0"/>
          <w:numId w:val="39"/>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实施管理要求</w:t>
      </w:r>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3、接到招标方提出的修改建议之后，投标人需在1天内向招标方提供系统修改评估意见。</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line="276" w:lineRule="auto"/>
        <w:ind w:firstLine="560"/>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keepNext/>
        <w:keepLines/>
        <w:numPr>
          <w:ilvl w:val="0"/>
          <w:numId w:val="39"/>
        </w:numPr>
        <w:tabs>
          <w:tab w:val="left" w:pos="480"/>
        </w:tabs>
        <w:spacing w:before="240" w:beforeLines="100" w:line="276" w:lineRule="auto"/>
        <w:ind w:left="482" w:hanging="482" w:hangingChars="200"/>
        <w:outlineLvl w:val="2"/>
        <w:rPr>
          <w:rFonts w:ascii="仿宋" w:hAnsi="仿宋" w:eastAsia="仿宋"/>
          <w:kern w:val="0"/>
          <w:sz w:val="24"/>
          <w:szCs w:val="24"/>
        </w:rPr>
      </w:pPr>
      <w:r>
        <w:rPr>
          <w:rFonts w:hint="eastAsia" w:ascii="仿宋" w:hAnsi="仿宋" w:eastAsia="仿宋"/>
          <w:b/>
          <w:kern w:val="0"/>
          <w:sz w:val="24"/>
          <w:szCs w:val="24"/>
        </w:rPr>
        <w:t>▲服务期限▲</w:t>
      </w:r>
    </w:p>
    <w:p>
      <w:pPr>
        <w:spacing w:line="276" w:lineRule="auto"/>
        <w:ind w:firstLine="560"/>
        <w:rPr>
          <w:rFonts w:ascii="仿宋" w:hAnsi="仿宋" w:eastAsia="仿宋"/>
          <w:b/>
          <w:sz w:val="24"/>
          <w:szCs w:val="24"/>
        </w:rPr>
      </w:pPr>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line="276" w:lineRule="auto"/>
        <w:ind w:firstLine="560"/>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p>
    <w:p>
      <w:pPr>
        <w:keepNext/>
        <w:keepLines/>
        <w:numPr>
          <w:ilvl w:val="0"/>
          <w:numId w:val="39"/>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培训要求</w:t>
      </w:r>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培训目标： </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1.6服务地点</w:t>
      </w:r>
    </w:p>
    <w:p>
      <w:pPr>
        <w:adjustRightInd w:val="0"/>
        <w:snapToGrid w:val="0"/>
        <w:spacing w:line="276" w:lineRule="auto"/>
        <w:ind w:left="640"/>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1.7考核标准和方法</w:t>
      </w:r>
    </w:p>
    <w:p>
      <w:pPr>
        <w:keepNext/>
        <w:keepLines/>
        <w:numPr>
          <w:ilvl w:val="2"/>
          <w:numId w:val="0"/>
        </w:numPr>
        <w:tabs>
          <w:tab w:val="left" w:pos="480"/>
        </w:tabs>
        <w:spacing w:line="276" w:lineRule="auto"/>
        <w:outlineLvl w:val="2"/>
        <w:rPr>
          <w:rFonts w:ascii="仿宋" w:hAnsi="仿宋" w:eastAsia="仿宋"/>
          <w:kern w:val="0"/>
          <w:sz w:val="24"/>
          <w:szCs w:val="24"/>
        </w:rPr>
      </w:pPr>
      <w:r>
        <w:rPr>
          <w:rFonts w:hint="eastAsia" w:ascii="仿宋" w:hAnsi="仿宋" w:eastAsia="仿宋"/>
          <w:kern w:val="0"/>
          <w:sz w:val="24"/>
          <w:szCs w:val="24"/>
        </w:rPr>
        <w:t>考核标准及办法</w:t>
      </w:r>
    </w:p>
    <w:tbl>
      <w:tblPr>
        <w:tblStyle w:val="58"/>
        <w:tblW w:w="9045" w:type="dxa"/>
        <w:tblInd w:w="0" w:type="dxa"/>
        <w:tblLayout w:type="fixed"/>
        <w:tblCellMar>
          <w:top w:w="0" w:type="dxa"/>
          <w:left w:w="108" w:type="dxa"/>
          <w:bottom w:w="0" w:type="dxa"/>
          <w:right w:w="108" w:type="dxa"/>
        </w:tblCellMar>
      </w:tblPr>
      <w:tblGrid>
        <w:gridCol w:w="817"/>
        <w:gridCol w:w="872"/>
        <w:gridCol w:w="686"/>
        <w:gridCol w:w="3128"/>
        <w:gridCol w:w="3542"/>
      </w:tblGrid>
      <w:tr>
        <w:tblPrEx>
          <w:tblCellMar>
            <w:top w:w="0" w:type="dxa"/>
            <w:left w:w="108" w:type="dxa"/>
            <w:bottom w:w="0" w:type="dxa"/>
            <w:right w:w="108" w:type="dxa"/>
          </w:tblCellMar>
        </w:tblPrEx>
        <w:trPr>
          <w:trHeight w:val="330"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firstLine="400"/>
              <w:jc w:val="center"/>
              <w:rPr>
                <w:rFonts w:ascii="仿宋" w:hAnsi="仿宋" w:eastAsia="仿宋" w:cs="宋体"/>
                <w:b/>
                <w:sz w:val="22"/>
                <w:szCs w:val="24"/>
              </w:rPr>
            </w:pPr>
            <w:r>
              <w:rPr>
                <w:rFonts w:hint="eastAsia" w:ascii="仿宋" w:hAnsi="仿宋" w:eastAsia="仿宋" w:cs="宋体"/>
                <w:b/>
                <w:sz w:val="22"/>
                <w:szCs w:val="24"/>
                <w:lang w:bidi="ar"/>
              </w:rPr>
              <w:t>序号</w:t>
            </w:r>
          </w:p>
        </w:tc>
        <w:tc>
          <w:tcPr>
            <w:tcW w:w="87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服务内容</w:t>
            </w:r>
          </w:p>
        </w:tc>
        <w:tc>
          <w:tcPr>
            <w:tcW w:w="3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服务说明</w:t>
            </w:r>
          </w:p>
        </w:tc>
        <w:tc>
          <w:tcPr>
            <w:tcW w:w="354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lang w:bidi="ar"/>
              </w:rPr>
              <w:t>扣分说明</w:t>
            </w:r>
          </w:p>
        </w:tc>
      </w:tr>
      <w:tr>
        <w:tblPrEx>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按照用户要求提供相应数量、资质的人员</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2</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依照要求制定、更新服务方案和服务计划</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3</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方案计划的执行</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根据制定的服务方案、服务计划提供完整、可靠、优质的各类服务</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4</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根据制定的建设方案及进度计划进行项目建设</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5</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服务报告</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定期按照用户要求提交服务报告，不定期按照用户需求提交项目建设进度报告</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6</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应急演练</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根据制定的应急预案进行应急演练</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7</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服务团队</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项目经理、主管、工程师等应按预设规定和用户要求进行日常签到或考勤</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8</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安全管理</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服务期间，应尽量避免系统出现安全问题；系统出现安全问题后应及时按照预设流程或应急方案进行处置，做好记录；事后应进行专题分析，提交专题报告，并优化系统</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9</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服务期间，应尽量避免设备设施出现安全问题；设备设施出现安全问题后应及时按照预设流程或应急方案采取补救措施，做好记录；事后应进行专题分析，提交专题报告</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10</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服务响应</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11</w:t>
            </w:r>
          </w:p>
        </w:tc>
        <w:tc>
          <w:tcPr>
            <w:tcW w:w="872"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用户投诉</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受到用户单位接待对象、用户上级单位或用户投诉</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12</w:t>
            </w:r>
          </w:p>
        </w:tc>
        <w:tc>
          <w:tcPr>
            <w:tcW w:w="87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赛事收尾</w:t>
            </w:r>
          </w:p>
        </w:tc>
        <w:tc>
          <w:tcPr>
            <w:tcW w:w="3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按照用户要求进行赛后资料收集整理、相关系统及数据移交、配合项目审计等相关工作</w:t>
            </w:r>
          </w:p>
        </w:tc>
        <w:tc>
          <w:tcPr>
            <w:tcW w:w="354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lang w:bidi="ar"/>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FF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FF0000"/>
          <w:sz w:val="24"/>
          <w:szCs w:val="24"/>
        </w:rPr>
        <w:t xml:space="preserve">。 </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1.8 付款方式</w:t>
      </w:r>
    </w:p>
    <w:p>
      <w:pPr>
        <w:spacing w:line="276" w:lineRule="auto"/>
        <w:ind w:firstLine="560"/>
        <w:rPr>
          <w:rFonts w:ascii="仿宋" w:hAnsi="仿宋" w:eastAsia="仿宋"/>
          <w:sz w:val="24"/>
          <w:szCs w:val="24"/>
        </w:rPr>
      </w:pPr>
      <w:r>
        <w:rPr>
          <w:rFonts w:hint="eastAsia" w:ascii="仿宋" w:hAnsi="仿宋" w:eastAsia="仿宋"/>
          <w:bCs/>
          <w:sz w:val="24"/>
          <w:szCs w:val="24"/>
        </w:rPr>
        <w:t>按照合同约定执行。</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1.9违约责任</w:t>
      </w:r>
    </w:p>
    <w:p>
      <w:pPr>
        <w:spacing w:line="276" w:lineRule="auto"/>
        <w:ind w:firstLine="560"/>
        <w:rPr>
          <w:rFonts w:ascii="仿宋" w:hAnsi="仿宋" w:eastAsia="仿宋"/>
          <w:sz w:val="24"/>
          <w:szCs w:val="24"/>
        </w:rPr>
      </w:pPr>
      <w:r>
        <w:rPr>
          <w:rFonts w:hint="eastAsia" w:ascii="仿宋" w:hAnsi="仿宋" w:eastAsia="仿宋"/>
          <w:sz w:val="24"/>
          <w:szCs w:val="24"/>
        </w:rPr>
        <w:t>一、甲乙双方应遵守并执行合同中的各项规定，保证合同的正常履行。</w:t>
      </w:r>
    </w:p>
    <w:p>
      <w:pPr>
        <w:spacing w:line="276" w:lineRule="auto"/>
        <w:ind w:firstLine="560"/>
        <w:rPr>
          <w:rFonts w:ascii="仿宋" w:hAnsi="仿宋" w:eastAsia="仿宋"/>
          <w:sz w:val="24"/>
          <w:szCs w:val="24"/>
        </w:rPr>
      </w:pPr>
      <w:r>
        <w:rPr>
          <w:rFonts w:hint="eastAsia" w:ascii="仿宋" w:hAnsi="仿宋" w:eastAsia="仿宋"/>
          <w:sz w:val="24"/>
          <w:szCs w:val="24"/>
        </w:rPr>
        <w:t>二、如因乙方工作人员在履行职务过程中出现影响甲方正常交易的情况，应当按照合同考核方式执行。由此而导致的甲方对任何第三方的法律责任等，乙方对此均应承担全部的赔偿责任。</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28"/>
          <w:szCs w:val="28"/>
          <w:u w:val="single"/>
        </w:rPr>
      </w:pPr>
      <w:r>
        <w:rPr>
          <w:rFonts w:ascii="仿宋" w:hAnsi="仿宋" w:eastAsia="仿宋"/>
          <w:b/>
          <w:bCs/>
          <w:sz w:val="28"/>
          <w:szCs w:val="28"/>
        </w:rPr>
        <w:t>1.10</w:t>
      </w:r>
      <w:r>
        <w:rPr>
          <w:rFonts w:ascii="仿宋" w:hAnsi="仿宋" w:eastAsia="仿宋"/>
          <w:bCs/>
          <w:sz w:val="28"/>
          <w:szCs w:val="28"/>
        </w:rPr>
        <w:t xml:space="preserve"> </w:t>
      </w:r>
      <w:r>
        <w:rPr>
          <w:rFonts w:hint="eastAsia" w:ascii="仿宋" w:hAnsi="仿宋" w:eastAsia="仿宋"/>
          <w:bCs/>
          <w:sz w:val="28"/>
          <w:szCs w:val="28"/>
        </w:rPr>
        <w:t>▲</w:t>
      </w:r>
      <w:r>
        <w:rPr>
          <w:rFonts w:hint="eastAsia" w:ascii="仿宋" w:hAnsi="仿宋" w:eastAsia="仿宋"/>
          <w:b/>
          <w:sz w:val="28"/>
          <w:szCs w:val="28"/>
          <w:u w:val="single"/>
        </w:rPr>
        <w:t>投标人须对以下要求单独做出承诺函（承诺函格式自拟）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p>
      <w:pPr>
        <w:spacing w:line="276" w:lineRule="auto"/>
        <w:ind w:firstLine="560"/>
        <w:rPr>
          <w:rFonts w:ascii="仿宋" w:hAnsi="仿宋" w:eastAsia="仿宋"/>
          <w:b/>
          <w:sz w:val="24"/>
          <w:szCs w:val="24"/>
        </w:rPr>
      </w:pPr>
    </w:p>
    <w:p>
      <w:pPr>
        <w:spacing w:line="276" w:lineRule="auto"/>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color w:val="FF0000"/>
          <w:sz w:val="36"/>
          <w:szCs w:val="24"/>
        </w:rPr>
      </w:pPr>
      <w:r>
        <w:rPr>
          <w:rFonts w:hint="eastAsia" w:ascii="仿宋" w:hAnsi="仿宋" w:eastAsia="仿宋"/>
          <w:b/>
          <w:bCs/>
          <w:color w:val="FF0000"/>
          <w:sz w:val="36"/>
          <w:szCs w:val="24"/>
        </w:rPr>
        <w:t>标项4需求文档</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1.1项目概况</w:t>
      </w:r>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spacing w:line="276" w:lineRule="auto"/>
        <w:ind w:firstLine="560"/>
        <w:rPr>
          <w:rFonts w:ascii="仿宋" w:hAnsi="仿宋" w:eastAsia="仿宋"/>
          <w:sz w:val="24"/>
          <w:szCs w:val="24"/>
        </w:rPr>
      </w:pPr>
      <w:r>
        <w:rPr>
          <w:rFonts w:hint="eastAsia" w:ascii="仿宋" w:hAnsi="仿宋" w:eastAsia="仿宋"/>
          <w:sz w:val="24"/>
          <w:szCs w:val="24"/>
        </w:rPr>
        <w:t>根据第31届世界大学生夏季运动会场馆布局，本次大运会初步计划使用49个场馆（其中新建场馆13个，维修改造场馆36个。分布于成都市16个区（市）县，对应18个竞赛项目的比赛和训练需求），以及综合运行管理中心（MOC）、主新闻中心、国际广播中心、运动员村等十余个非竞赛场馆。</w:t>
      </w:r>
    </w:p>
    <w:p>
      <w:pPr>
        <w:spacing w:line="276" w:lineRule="auto"/>
        <w:ind w:firstLine="560"/>
        <w:rPr>
          <w:rFonts w:ascii="仿宋" w:hAnsi="仿宋" w:eastAsia="仿宋"/>
          <w:sz w:val="24"/>
          <w:szCs w:val="24"/>
        </w:rPr>
      </w:pPr>
      <w:r>
        <w:rPr>
          <w:rFonts w:hint="eastAsia" w:ascii="仿宋" w:hAnsi="仿宋" w:eastAsia="仿宋"/>
          <w:sz w:val="24"/>
          <w:szCs w:val="24"/>
        </w:rPr>
        <w:t>“综合及场馆成绩系统” 是大运会信息化系统的核心组成部分，主要服务包括中央成绩系统、信息发布系统、成绩处理系统、公共大屏显示控制系统、技术统计系统以及评论员系统。</w:t>
      </w:r>
    </w:p>
    <w:p>
      <w:pPr>
        <w:spacing w:line="276" w:lineRule="auto"/>
        <w:ind w:firstLine="560"/>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 xml:space="preserve">1.2服务范围 </w:t>
      </w:r>
    </w:p>
    <w:p>
      <w:pPr>
        <w:spacing w:line="276" w:lineRule="auto"/>
        <w:ind w:firstLine="560"/>
        <w:rPr>
          <w:rFonts w:ascii="仿宋" w:hAnsi="仿宋" w:eastAsia="仿宋"/>
          <w:sz w:val="24"/>
          <w:szCs w:val="24"/>
        </w:rPr>
      </w:pPr>
      <w:r>
        <w:rPr>
          <w:rFonts w:hint="eastAsia" w:ascii="仿宋" w:hAnsi="仿宋" w:eastAsia="仿宋"/>
          <w:sz w:val="24"/>
          <w:szCs w:val="24"/>
        </w:rPr>
        <w:t>本项目的服务内容包括：中央成绩系统、信息发布系统、成绩处理系统、大屏显示系统、技术统计系统以及评论员系统等</w:t>
      </w:r>
      <w:r>
        <w:rPr>
          <w:rFonts w:ascii="仿宋" w:hAnsi="仿宋" w:eastAsia="仿宋"/>
          <w:sz w:val="24"/>
          <w:szCs w:val="24"/>
        </w:rPr>
        <w:t>6</w:t>
      </w:r>
      <w:r>
        <w:rPr>
          <w:rFonts w:hint="eastAsia" w:ascii="仿宋" w:hAnsi="仿宋" w:eastAsia="仿宋"/>
          <w:sz w:val="24"/>
          <w:szCs w:val="24"/>
        </w:rPr>
        <w:t>个方面，具体如下所述：</w:t>
      </w:r>
    </w:p>
    <w:p>
      <w:pPr>
        <w:spacing w:line="276" w:lineRule="auto"/>
        <w:ind w:firstLine="56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中央成绩系统：中央成绩系统需实现对竞赛信息系统内部以及与外系统之间进行通信协议和数据传输、交换，承载数据的流入、流出和管理，完成各种管理和配置工作；完成各种计划，安排与数据自动处理，对数据进行存储。中央成绩系统包括：公共代码与通讯协议，数据通讯平台，核心管理子系统，综合成绩处理模块和中央数据资源库。</w:t>
      </w:r>
    </w:p>
    <w:p>
      <w:pPr>
        <w:spacing w:line="276" w:lineRule="auto"/>
        <w:ind w:firstLine="56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信息发布系统：信息发布系统是大运会信息系统的重要组成部分，是组委会官员、参赛人员、新闻媒体、社会公众等获取运动会竞赛信息的重要渠道。信息发布系统包括：内部竞赛信息核查系统、竞赛信息发布系统、移动竞赛信息发布系统、信息发布接口。</w:t>
      </w:r>
    </w:p>
    <w:p>
      <w:pPr>
        <w:spacing w:line="276" w:lineRule="auto"/>
        <w:ind w:firstLine="560"/>
        <w:rPr>
          <w:rFonts w:ascii="仿宋" w:hAnsi="仿宋" w:eastAsia="仿宋"/>
          <w:sz w:val="24"/>
          <w:szCs w:val="24"/>
        </w:rPr>
      </w:pPr>
      <w:r>
        <w:rPr>
          <w:rFonts w:hint="eastAsia" w:ascii="仿宋" w:hAnsi="仿宋" w:eastAsia="仿宋"/>
          <w:sz w:val="24"/>
          <w:szCs w:val="24"/>
        </w:rPr>
        <w:t>（3）成绩处理系统：成绩处理系统负责现场成绩处理的所有协同技术系统，其中包括比赛编排、场次管理和控制，竞赛数据的采集、统计、处理，生成各种竞赛表单；与其它系统进行数据交换，协助监控、管理比赛进程，保证场馆成绩系统中各子系统的协同工作。</w:t>
      </w:r>
    </w:p>
    <w:p>
      <w:pPr>
        <w:spacing w:line="276" w:lineRule="auto"/>
        <w:ind w:firstLine="560"/>
        <w:rPr>
          <w:rFonts w:ascii="仿宋" w:hAnsi="仿宋" w:eastAsia="仿宋"/>
          <w:sz w:val="24"/>
          <w:szCs w:val="24"/>
        </w:rPr>
      </w:pPr>
      <w:r>
        <w:rPr>
          <w:rFonts w:hint="eastAsia" w:ascii="仿宋" w:hAnsi="仿宋" w:eastAsia="仿宋"/>
          <w:sz w:val="24"/>
          <w:szCs w:val="24"/>
        </w:rPr>
        <w:t>（4）公共大屏显示控制系统是一套直接服务于现场的信息发布系统。以特定的显示方式为现场观众提供赛事的信息，如竞赛计划、编排秩序信息、实时成绩、比赛成绩信息、颁奖信息等，是现场观众、裁判运动员获得比赛成绩信息的最直接的方式。</w:t>
      </w:r>
    </w:p>
    <w:p>
      <w:pPr>
        <w:spacing w:line="276" w:lineRule="auto"/>
        <w:ind w:firstLine="560"/>
        <w:rPr>
          <w:rFonts w:ascii="仿宋" w:hAnsi="仿宋" w:eastAsia="仿宋"/>
          <w:sz w:val="24"/>
          <w:szCs w:val="24"/>
        </w:rPr>
      </w:pPr>
      <w:r>
        <w:rPr>
          <w:rFonts w:hint="eastAsia" w:ascii="仿宋" w:hAnsi="仿宋" w:eastAsia="仿宋"/>
          <w:sz w:val="24"/>
          <w:szCs w:val="24"/>
        </w:rPr>
        <w:t>（5）技术统计系统：本系统要求为赛前从信息交换系统获取比赛时间、名单等信息，并输入首发名单、出场序、球衣颜色等信息，赛中，由技术统计裁判或者指定技术操作员负责技术统计系统的现场操作，并通过与数据交换系统的数据接口，实时将比赛数据发送给数据交换系统进行后续处理，赛后对统计的数据进行综合评定分析。本系统服务范围为篮球、排球、水球、网球项目。</w:t>
      </w:r>
    </w:p>
    <w:p>
      <w:pPr>
        <w:spacing w:line="276" w:lineRule="auto"/>
        <w:ind w:firstLine="560"/>
        <w:rPr>
          <w:rFonts w:ascii="仿宋" w:hAnsi="仿宋" w:eastAsia="仿宋"/>
          <w:sz w:val="24"/>
          <w:szCs w:val="24"/>
        </w:rPr>
      </w:pPr>
      <w:r>
        <w:rPr>
          <w:rFonts w:hint="eastAsia" w:ascii="仿宋" w:hAnsi="仿宋" w:eastAsia="仿宋"/>
          <w:sz w:val="24"/>
          <w:szCs w:val="24"/>
        </w:rPr>
        <w:t>（6）评论员系统：评论员系统要求在运动会比赛期间，为现场转播评论员实时地提供当前成绩信息，方便评论员对比赛进行更详尽的现场报道。该系统负责向评论员实时地提供详细的成绩，以便协助他们提高公众的临场体验。评论员通过评论席上设置的工作站访问CIS系统。在比赛的任何期间、任何比赛场馆，评论员都可以通过评论员系统获取不同项目、不同比赛场馆的实时成绩、奖牌数据、比赛进程以及日常比赛工作时刻表等信息，随时了解比赛的情况。评论员系统项目需根据主转播商所确定的直播项目确定。</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1.3系统服务要求</w:t>
      </w:r>
    </w:p>
    <w:p>
      <w:pPr>
        <w:spacing w:line="276" w:lineRule="auto"/>
        <w:ind w:firstLine="560"/>
        <w:rPr>
          <w:rFonts w:ascii="仿宋" w:hAnsi="仿宋" w:eastAsia="仿宋"/>
          <w:b/>
          <w:sz w:val="24"/>
          <w:szCs w:val="24"/>
        </w:rPr>
      </w:pPr>
      <w:r>
        <w:rPr>
          <w:rFonts w:hint="eastAsia" w:ascii="仿宋" w:hAnsi="仿宋" w:eastAsia="仿宋"/>
          <w:b/>
          <w:sz w:val="24"/>
          <w:szCs w:val="24"/>
          <w:u w:val="single"/>
        </w:rPr>
        <w:t>▲中标人所提供的综合及场馆成绩系统服务需满足国际大体联、国际（国内）单项体育联合协会的要求</w:t>
      </w:r>
      <w:r>
        <w:rPr>
          <w:rFonts w:hint="eastAsia" w:ascii="仿宋" w:hAnsi="仿宋" w:eastAsia="仿宋" w:cs="宋体"/>
          <w:kern w:val="0"/>
          <w:sz w:val="24"/>
          <w:szCs w:val="24"/>
          <w:lang w:bidi="ar"/>
        </w:rPr>
        <w:t>▲</w:t>
      </w:r>
      <w:r>
        <w:rPr>
          <w:rFonts w:hint="eastAsia" w:ascii="仿宋" w:hAnsi="仿宋" w:eastAsia="仿宋"/>
          <w:b/>
          <w:sz w:val="24"/>
          <w:szCs w:val="24"/>
        </w:rPr>
        <w:t>。</w:t>
      </w:r>
    </w:p>
    <w:p>
      <w:pPr>
        <w:keepNext/>
        <w:keepLines/>
        <w:numPr>
          <w:ilvl w:val="0"/>
          <w:numId w:val="40"/>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综合及场馆成绩系统</w:t>
      </w:r>
    </w:p>
    <w:p>
      <w:pPr>
        <w:keepNext/>
        <w:keepLines/>
        <w:numPr>
          <w:ilvl w:val="1"/>
          <w:numId w:val="0"/>
        </w:numPr>
        <w:spacing w:before="240" w:beforeLines="100" w:line="276" w:lineRule="auto"/>
        <w:ind w:right="-29" w:rightChars="-14"/>
        <w:outlineLvl w:val="1"/>
        <w:rPr>
          <w:rFonts w:ascii="仿宋" w:hAnsi="仿宋" w:eastAsia="仿宋"/>
          <w:b/>
          <w:bCs/>
          <w:sz w:val="24"/>
          <w:szCs w:val="24"/>
        </w:rPr>
      </w:pPr>
      <w:r>
        <w:rPr>
          <w:rFonts w:hint="eastAsia" w:ascii="仿宋" w:hAnsi="仿宋" w:eastAsia="仿宋"/>
          <w:b/>
          <w:bCs/>
          <w:sz w:val="24"/>
          <w:szCs w:val="24"/>
        </w:rPr>
        <w:t>功能描述：</w:t>
      </w:r>
    </w:p>
    <w:p>
      <w:pPr>
        <w:spacing w:line="276" w:lineRule="auto"/>
        <w:ind w:firstLine="560"/>
        <w:rPr>
          <w:rFonts w:ascii="仿宋" w:hAnsi="仿宋" w:eastAsia="仿宋"/>
          <w:sz w:val="24"/>
          <w:szCs w:val="24"/>
        </w:rPr>
      </w:pPr>
      <w:r>
        <w:rPr>
          <w:rFonts w:hint="eastAsia" w:ascii="仿宋" w:hAnsi="仿宋" w:eastAsia="仿宋"/>
          <w:sz w:val="24"/>
          <w:szCs w:val="24"/>
        </w:rPr>
        <w:t>综合及场馆成绩系统包括中央成绩系统、信息发布系统、成绩处理系统、公共大屏显示控制系统、技术统计系统以及评论员系统。</w:t>
      </w:r>
    </w:p>
    <w:p>
      <w:pPr>
        <w:spacing w:line="276" w:lineRule="auto"/>
        <w:ind w:firstLine="560"/>
        <w:rPr>
          <w:rFonts w:ascii="仿宋" w:hAnsi="仿宋" w:eastAsia="仿宋"/>
          <w:sz w:val="24"/>
          <w:szCs w:val="24"/>
        </w:rPr>
      </w:pPr>
      <w:r>
        <w:rPr>
          <w:rFonts w:hint="eastAsia" w:ascii="仿宋" w:hAnsi="仿宋" w:eastAsia="仿宋"/>
          <w:sz w:val="24"/>
          <w:szCs w:val="24"/>
        </w:rPr>
        <w:t>其中中央成绩系统是竞赛信息系统的核心部分，也是竞赛信息系统的综合业务系统。中央成绩系统需遵循数据处理及时、系统运行稳定、数据操作安全、可配置管理的原则进行设计。中央成绩系统需实现对竞赛信息系统内部以及与外系统之间进行通信协议和数据传输、交换，承载数据的流入、流出和管理，完成各种管理和配置工作；完成各种计划，安排与数据自动处理，对数据进行存储。</w:t>
      </w:r>
    </w:p>
    <w:p>
      <w:pPr>
        <w:spacing w:line="276" w:lineRule="auto"/>
        <w:ind w:firstLine="560"/>
        <w:rPr>
          <w:rFonts w:ascii="仿宋" w:hAnsi="仿宋" w:eastAsia="仿宋"/>
          <w:sz w:val="24"/>
          <w:szCs w:val="24"/>
        </w:rPr>
      </w:pPr>
      <w:r>
        <w:rPr>
          <w:rFonts w:hint="eastAsia" w:ascii="仿宋" w:hAnsi="仿宋" w:eastAsia="仿宋"/>
          <w:sz w:val="24"/>
          <w:szCs w:val="24"/>
        </w:rPr>
        <w:t>信息发布系统的内部竞赛信息核查系统承担着运动会综合信息的内部查询任务，确保运动会各种数据在发布时准确无误；竞赛信息发布网站是执委会对社会公众发布竞赛信息的权威出口；随着移动互联网的迅猛发展及智能手机的普及，移动端发布系统的使用将更加方便用户进行运动会竞赛信息查询；信息发布接口向执委会官方网站、MOC、第三方系统等提供运动会竞赛信息发布服务。打印分发服务系统负责管理和监控场馆成绩系统所产生的成绩报告的打印和分发。</w:t>
      </w:r>
    </w:p>
    <w:p>
      <w:pPr>
        <w:spacing w:line="276" w:lineRule="auto"/>
        <w:ind w:firstLine="560"/>
        <w:rPr>
          <w:rFonts w:ascii="仿宋" w:hAnsi="仿宋" w:eastAsia="仿宋"/>
          <w:sz w:val="24"/>
          <w:szCs w:val="24"/>
        </w:rPr>
      </w:pPr>
      <w:r>
        <w:rPr>
          <w:rFonts w:hint="eastAsia" w:ascii="仿宋" w:hAnsi="仿宋" w:eastAsia="仿宋"/>
          <w:sz w:val="24"/>
          <w:szCs w:val="24"/>
        </w:rPr>
        <w:t>成绩处理系统主要包括成绩数据采集系统负责对比赛成绩进行采集；现场成绩处理系统是场馆成绩系统的核心，主要包括代码管理、基础数据管理、安全管理、赛事配置、数据下载、竞赛计划、报名报项管理、现场编排、单场成绩处理、综合成绩处理；现场成绩打印根据竞赛业务需求提供报表设计、报表管理和报表打印的功能；数据交换系统负责成绩处理系统各子系统的数据和文件的交换，保证各子系统协同工作。</w:t>
      </w:r>
    </w:p>
    <w:p>
      <w:pPr>
        <w:spacing w:line="276" w:lineRule="auto"/>
        <w:ind w:firstLine="560"/>
        <w:rPr>
          <w:rFonts w:ascii="仿宋" w:hAnsi="仿宋" w:eastAsia="仿宋"/>
          <w:sz w:val="24"/>
          <w:szCs w:val="24"/>
        </w:rPr>
      </w:pPr>
      <w:r>
        <w:rPr>
          <w:rFonts w:hint="eastAsia" w:ascii="仿宋" w:hAnsi="仿宋" w:eastAsia="仿宋"/>
          <w:sz w:val="24"/>
          <w:szCs w:val="24"/>
        </w:rPr>
        <w:t>公共大屏显示控制系统是一套直接服务于现场的信息发布系统。以特定的显示方式为现场观众提供赛事的信息，如竞赛计划、编排秩序信息、实时成绩、比赛成绩信息、颁奖信息等，是现场观众、裁判运动员获得比赛成绩信息的最直接的方式。</w:t>
      </w:r>
    </w:p>
    <w:p>
      <w:pPr>
        <w:spacing w:line="276" w:lineRule="auto"/>
        <w:ind w:firstLine="560"/>
        <w:rPr>
          <w:rFonts w:ascii="仿宋" w:hAnsi="仿宋" w:eastAsia="仿宋"/>
          <w:sz w:val="24"/>
          <w:szCs w:val="24"/>
        </w:rPr>
      </w:pPr>
      <w:r>
        <w:rPr>
          <w:rFonts w:hint="eastAsia" w:ascii="仿宋" w:hAnsi="仿宋" w:eastAsia="仿宋"/>
          <w:sz w:val="24"/>
          <w:szCs w:val="24"/>
        </w:rPr>
        <w:t>技术统计系统的服务要求为赛前从信息交换系统获取比赛时间、名单等信息，并输入首发名单、出场序、球衣颜色等信息，赛中，由技术统计裁判或者指定技术操作员负责技术统计系统的现场操作，并通过与数据交换系统的数据接口，实时将比赛数据发送给数据交换系统进行后续处理，赛后对统计的数据进行综合评定分析。</w:t>
      </w:r>
    </w:p>
    <w:p>
      <w:pPr>
        <w:spacing w:line="276" w:lineRule="auto"/>
        <w:ind w:firstLine="560"/>
        <w:rPr>
          <w:rFonts w:ascii="仿宋" w:hAnsi="仿宋" w:eastAsia="仿宋"/>
          <w:sz w:val="24"/>
          <w:szCs w:val="24"/>
        </w:rPr>
      </w:pPr>
      <w:r>
        <w:rPr>
          <w:rFonts w:hint="eastAsia" w:ascii="仿宋" w:hAnsi="仿宋" w:eastAsia="仿宋"/>
          <w:sz w:val="24"/>
          <w:szCs w:val="24"/>
        </w:rPr>
        <w:t>评论员系统在运动会比赛期间，为现场转播评论员实时地提供当前成绩信息，方便评论员对比赛进行更详尽的现场报道。该系统负责向评论员实时地提供详细的成绩，以便协助他们提高公众的临场体验。评论员通过评论席上设置的工作站访问CIS系统。在比赛的任何期间、任何比赛场馆，评论员都可以通过评论员系统获取不同项目、不同比赛场馆的实时成绩、奖牌数据、比赛进程以及日常比赛工作时刻表等信息，随时了解比赛的情况。</w:t>
      </w:r>
    </w:p>
    <w:p>
      <w:pPr>
        <w:keepNext/>
        <w:keepLines/>
        <w:spacing w:before="280" w:after="290" w:line="376" w:lineRule="auto"/>
        <w:outlineLvl w:val="4"/>
        <w:rPr>
          <w:rFonts w:ascii="仿宋" w:hAnsi="仿宋" w:eastAsia="仿宋"/>
          <w:b/>
          <w:bCs/>
          <w:sz w:val="24"/>
          <w:szCs w:val="24"/>
        </w:rPr>
      </w:pPr>
      <w:r>
        <w:rPr>
          <w:rFonts w:hint="eastAsia" w:ascii="仿宋" w:hAnsi="仿宋" w:eastAsia="仿宋"/>
          <w:b/>
          <w:bCs/>
          <w:sz w:val="24"/>
          <w:szCs w:val="24"/>
        </w:rPr>
        <w:t>服务内容：</w:t>
      </w:r>
    </w:p>
    <w:p>
      <w:pPr>
        <w:spacing w:line="276" w:lineRule="auto"/>
        <w:ind w:firstLine="560"/>
        <w:rPr>
          <w:rFonts w:ascii="仿宋" w:hAnsi="仿宋" w:eastAsia="仿宋"/>
          <w:sz w:val="24"/>
          <w:szCs w:val="24"/>
        </w:rPr>
      </w:pPr>
      <w:r>
        <w:rPr>
          <w:rFonts w:hint="eastAsia" w:ascii="仿宋" w:hAnsi="仿宋" w:eastAsia="仿宋"/>
          <w:sz w:val="24"/>
          <w:szCs w:val="24"/>
        </w:rPr>
        <w:t>（一）中央成绩系统</w:t>
      </w:r>
    </w:p>
    <w:p>
      <w:pPr>
        <w:spacing w:line="276" w:lineRule="auto"/>
        <w:ind w:firstLine="560"/>
        <w:rPr>
          <w:rFonts w:ascii="仿宋" w:hAnsi="仿宋" w:eastAsia="仿宋"/>
          <w:sz w:val="24"/>
          <w:szCs w:val="24"/>
        </w:rPr>
      </w:pPr>
      <w:r>
        <w:rPr>
          <w:rFonts w:hint="eastAsia" w:ascii="仿宋" w:hAnsi="仿宋" w:eastAsia="仿宋"/>
          <w:sz w:val="24"/>
          <w:szCs w:val="24"/>
        </w:rPr>
        <w:t>中央成绩系统由公共代码与通讯协议，数据通讯平台，核心管理子系统，综合成绩处理模块和中央数据资源库组成。</w:t>
      </w:r>
    </w:p>
    <w:p>
      <w:pPr>
        <w:spacing w:line="276" w:lineRule="auto"/>
        <w:ind w:firstLine="560"/>
        <w:rPr>
          <w:rFonts w:ascii="仿宋" w:hAnsi="仿宋" w:eastAsia="仿宋"/>
          <w:sz w:val="24"/>
          <w:szCs w:val="24"/>
        </w:rPr>
      </w:pPr>
      <w:r>
        <w:rPr>
          <w:rFonts w:hint="eastAsia" w:ascii="仿宋" w:hAnsi="仿宋" w:eastAsia="仿宋"/>
          <w:sz w:val="24"/>
          <w:szCs w:val="24"/>
        </w:rPr>
        <w:t>在报名工作结束后，竞赛报名系统把所有运动员、裁判员的报名报项信息发送给中央成绩系统，由中央成绩系统下发给场馆成绩系统、竞赛视频系统以及信息发布系统。</w:t>
      </w:r>
    </w:p>
    <w:p>
      <w:pPr>
        <w:spacing w:line="276" w:lineRule="auto"/>
        <w:ind w:firstLine="560"/>
        <w:rPr>
          <w:rFonts w:ascii="仿宋" w:hAnsi="仿宋" w:eastAsia="仿宋"/>
          <w:sz w:val="24"/>
          <w:szCs w:val="24"/>
        </w:rPr>
      </w:pPr>
      <w:r>
        <w:rPr>
          <w:rFonts w:hint="eastAsia" w:ascii="仿宋" w:hAnsi="仿宋" w:eastAsia="仿宋"/>
          <w:sz w:val="24"/>
          <w:szCs w:val="24"/>
        </w:rPr>
        <w:t>赛前，中央成绩系统把公告代码与通讯协议下发给场馆成绩系统、竞赛视频系统以及信息发布系统；把运动员和裁判员报名报项信息等下发给场馆成绩系统和信息发布系统；同时，从场馆成绩系统搜集各项目的竞赛计划并下发给竞赛视频系统和信息发布系统。</w:t>
      </w:r>
    </w:p>
    <w:p>
      <w:pPr>
        <w:spacing w:line="276" w:lineRule="auto"/>
        <w:ind w:firstLine="560"/>
        <w:rPr>
          <w:rFonts w:ascii="仿宋" w:hAnsi="仿宋" w:eastAsia="仿宋"/>
          <w:sz w:val="24"/>
          <w:szCs w:val="24"/>
        </w:rPr>
      </w:pPr>
      <w:r>
        <w:rPr>
          <w:rFonts w:hint="eastAsia" w:ascii="仿宋" w:hAnsi="仿宋" w:eastAsia="仿宋"/>
          <w:sz w:val="24"/>
          <w:szCs w:val="24"/>
        </w:rPr>
        <w:t>赛中，中央成绩系统从场馆成绩系统获取动态竞赛信息，进行名次排名等综合成绩处理工作，并向信息发布系统提供最新动态竞赛信息。</w:t>
      </w:r>
    </w:p>
    <w:p>
      <w:pPr>
        <w:spacing w:line="276" w:lineRule="auto"/>
        <w:ind w:firstLine="560"/>
        <w:rPr>
          <w:rFonts w:ascii="仿宋" w:hAnsi="仿宋" w:eastAsia="仿宋"/>
          <w:sz w:val="24"/>
          <w:szCs w:val="24"/>
        </w:rPr>
      </w:pPr>
      <w:r>
        <w:rPr>
          <w:rFonts w:hint="eastAsia" w:ascii="仿宋" w:hAnsi="仿宋" w:eastAsia="仿宋"/>
          <w:sz w:val="24"/>
          <w:szCs w:val="24"/>
        </w:rPr>
        <w:t>中央成绩系统包含模块和子系统如下：</w:t>
      </w:r>
    </w:p>
    <w:p>
      <w:pPr>
        <w:spacing w:line="276" w:lineRule="auto"/>
        <w:ind w:firstLine="560"/>
        <w:rPr>
          <w:rFonts w:ascii="仿宋" w:hAnsi="仿宋" w:eastAsia="仿宋"/>
          <w:sz w:val="24"/>
          <w:szCs w:val="24"/>
        </w:rPr>
      </w:pPr>
      <w:r>
        <w:rPr>
          <w:rFonts w:hint="eastAsia" w:ascii="仿宋" w:hAnsi="仿宋" w:eastAsia="仿宋"/>
          <w:sz w:val="24"/>
          <w:szCs w:val="24"/>
        </w:rPr>
        <w:t>1.公共代码与通讯协议：提供赛事成绩系统内部以及可能用到的与外系统之间进行通信的基础协议和数据代码。</w:t>
      </w:r>
    </w:p>
    <w:p>
      <w:pPr>
        <w:spacing w:line="276" w:lineRule="auto"/>
        <w:ind w:firstLine="560"/>
        <w:rPr>
          <w:rFonts w:ascii="仿宋" w:hAnsi="仿宋" w:eastAsia="仿宋"/>
          <w:sz w:val="24"/>
          <w:szCs w:val="24"/>
        </w:rPr>
      </w:pPr>
      <w:r>
        <w:rPr>
          <w:rFonts w:hint="eastAsia" w:ascii="仿宋" w:hAnsi="仿宋" w:eastAsia="仿宋"/>
          <w:sz w:val="24"/>
          <w:szCs w:val="24"/>
        </w:rPr>
        <w:t>2.数据通讯平台：承载中央成绩系统数据的流入流出和管理功能，是连接综合应用系统和现场应用系统的枢纽。</w:t>
      </w:r>
    </w:p>
    <w:p>
      <w:pPr>
        <w:spacing w:line="276" w:lineRule="auto"/>
        <w:ind w:firstLine="560"/>
        <w:rPr>
          <w:rFonts w:ascii="仿宋" w:hAnsi="仿宋" w:eastAsia="仿宋"/>
          <w:sz w:val="24"/>
          <w:szCs w:val="24"/>
        </w:rPr>
      </w:pPr>
      <w:r>
        <w:rPr>
          <w:rFonts w:hint="eastAsia" w:ascii="仿宋" w:hAnsi="仿宋" w:eastAsia="仿宋"/>
          <w:sz w:val="24"/>
          <w:szCs w:val="24"/>
        </w:rPr>
        <w:t>3.核心管理系统：主要完成中央成绩系统的各种管理和配置工作，包括编码管理、应用安全管理、运动会配置管理等。</w:t>
      </w:r>
    </w:p>
    <w:p>
      <w:pPr>
        <w:spacing w:line="276" w:lineRule="auto"/>
        <w:ind w:firstLine="560"/>
        <w:rPr>
          <w:rFonts w:ascii="仿宋" w:hAnsi="仿宋" w:eastAsia="仿宋"/>
          <w:sz w:val="24"/>
          <w:szCs w:val="24"/>
        </w:rPr>
      </w:pPr>
      <w:r>
        <w:rPr>
          <w:rFonts w:hint="eastAsia" w:ascii="仿宋" w:hAnsi="仿宋" w:eastAsia="仿宋"/>
          <w:sz w:val="24"/>
          <w:szCs w:val="24"/>
        </w:rPr>
        <w:t>4.综合成绩处理系统：完成中央成绩系统的各种计划，安排与数据自动处理。包括赛事计划管理，分数计算，破纪录管理等。</w:t>
      </w:r>
    </w:p>
    <w:p>
      <w:pPr>
        <w:spacing w:line="276" w:lineRule="auto"/>
        <w:ind w:firstLine="560"/>
        <w:rPr>
          <w:rFonts w:ascii="仿宋" w:hAnsi="仿宋" w:eastAsia="仿宋"/>
          <w:sz w:val="24"/>
          <w:szCs w:val="24"/>
        </w:rPr>
      </w:pPr>
      <w:r>
        <w:rPr>
          <w:rFonts w:hint="eastAsia" w:ascii="仿宋" w:hAnsi="仿宋" w:eastAsia="仿宋"/>
          <w:sz w:val="24"/>
          <w:szCs w:val="24"/>
        </w:rPr>
        <w:t>5.中央数据资源库：存储中央成绩系统的所有数据。</w:t>
      </w:r>
    </w:p>
    <w:p>
      <w:pPr>
        <w:spacing w:line="276" w:lineRule="auto"/>
        <w:ind w:firstLine="560"/>
        <w:rPr>
          <w:rFonts w:ascii="仿宋" w:hAnsi="仿宋" w:eastAsia="仿宋"/>
          <w:sz w:val="24"/>
          <w:szCs w:val="24"/>
        </w:rPr>
      </w:pPr>
      <w:r>
        <w:rPr>
          <w:rFonts w:hint="eastAsia" w:ascii="仿宋" w:hAnsi="仿宋" w:eastAsia="仿宋"/>
          <w:sz w:val="24"/>
          <w:szCs w:val="24"/>
        </w:rPr>
        <w:t>（二）信息发布系统</w:t>
      </w:r>
    </w:p>
    <w:p>
      <w:pPr>
        <w:spacing w:line="276" w:lineRule="auto"/>
        <w:ind w:firstLine="560"/>
        <w:rPr>
          <w:rFonts w:ascii="仿宋" w:hAnsi="仿宋" w:eastAsia="仿宋"/>
          <w:sz w:val="24"/>
          <w:szCs w:val="24"/>
        </w:rPr>
      </w:pPr>
      <w:r>
        <w:rPr>
          <w:rFonts w:hint="eastAsia" w:ascii="仿宋" w:hAnsi="仿宋" w:eastAsia="仿宋"/>
          <w:sz w:val="24"/>
          <w:szCs w:val="24"/>
        </w:rPr>
        <w:t>信息发布系统由以下几个分系统组成：</w:t>
      </w:r>
    </w:p>
    <w:p>
      <w:pPr>
        <w:spacing w:line="276" w:lineRule="auto"/>
        <w:ind w:firstLine="56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内网竞赛核查系统</w:t>
      </w:r>
    </w:p>
    <w:p>
      <w:pPr>
        <w:spacing w:line="276" w:lineRule="auto"/>
        <w:ind w:firstLine="560"/>
        <w:rPr>
          <w:rFonts w:ascii="仿宋" w:hAnsi="仿宋" w:eastAsia="仿宋"/>
          <w:sz w:val="24"/>
          <w:szCs w:val="24"/>
        </w:rPr>
      </w:pPr>
      <w:r>
        <w:rPr>
          <w:rFonts w:hint="eastAsia" w:ascii="仿宋" w:hAnsi="仿宋" w:eastAsia="仿宋"/>
          <w:sz w:val="24"/>
          <w:szCs w:val="24"/>
        </w:rPr>
        <w:t>内部竞赛信息核查系统承担着运动会综合信息的内部查询任务，确保运动会各种数据在发布时的准确无误，在运动会运行服务期间，内部竞赛信息核查系统提供静态信息查询与动态信息查询。静态信息将在赛前准备完成，主要包括本届运动会信息、代表团信息、运动员信息、运动员参赛报项信息等。动态信息是在运动会运行期间产生的竞赛成绩信息，随着比赛进程向前发展，动态信息将越来越丰富。</w:t>
      </w:r>
    </w:p>
    <w:p>
      <w:pPr>
        <w:spacing w:line="276" w:lineRule="auto"/>
        <w:ind w:firstLine="56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竞赛信息发布系统</w:t>
      </w:r>
    </w:p>
    <w:p>
      <w:pPr>
        <w:spacing w:line="276" w:lineRule="auto"/>
        <w:ind w:firstLine="560"/>
        <w:rPr>
          <w:rFonts w:ascii="仿宋" w:hAnsi="仿宋" w:eastAsia="仿宋"/>
          <w:sz w:val="24"/>
          <w:szCs w:val="24"/>
        </w:rPr>
      </w:pPr>
      <w:r>
        <w:rPr>
          <w:rFonts w:hint="eastAsia" w:ascii="仿宋" w:hAnsi="仿宋" w:eastAsia="仿宋"/>
          <w:sz w:val="24"/>
          <w:szCs w:val="24"/>
        </w:rPr>
        <w:t>竞赛信息发布网站是执委会对社会公众发布竞赛信息的最权威出口，通过浏览器/服务器结构提供竞赛信息查询服务。官方网站的竞赛信息查询主要对比赛赛程、奖牌、竞赛表单、平破纪录信息、比赛成绩、代表团成绩等动态信息进行查询以及运动员报名报项等静态信息的查询；</w:t>
      </w:r>
    </w:p>
    <w:p>
      <w:pPr>
        <w:spacing w:line="276" w:lineRule="auto"/>
        <w:ind w:firstLine="560"/>
        <w:rPr>
          <w:rFonts w:ascii="仿宋" w:hAnsi="仿宋" w:eastAsia="仿宋"/>
          <w:sz w:val="24"/>
          <w:szCs w:val="24"/>
        </w:rPr>
      </w:pPr>
      <w:r>
        <w:rPr>
          <w:rFonts w:hint="eastAsia" w:ascii="仿宋" w:hAnsi="仿宋" w:eastAsia="仿宋"/>
          <w:sz w:val="24"/>
          <w:szCs w:val="24"/>
        </w:rPr>
        <w:t>3．移动竞赛信息发布系统</w:t>
      </w:r>
    </w:p>
    <w:p>
      <w:pPr>
        <w:spacing w:line="276" w:lineRule="auto"/>
        <w:ind w:firstLine="560"/>
        <w:rPr>
          <w:rFonts w:ascii="仿宋" w:hAnsi="仿宋" w:eastAsia="仿宋"/>
          <w:sz w:val="24"/>
          <w:szCs w:val="24"/>
        </w:rPr>
      </w:pPr>
      <w:r>
        <w:rPr>
          <w:rFonts w:hint="eastAsia" w:ascii="仿宋" w:hAnsi="仿宋" w:eastAsia="仿宋"/>
          <w:sz w:val="24"/>
          <w:szCs w:val="24"/>
        </w:rPr>
        <w:t>随着移动互联网的迅猛发展及智能手机的普及，移动端发布系统的使用将更加方便用户进行运动会竞赛信息查询，在运动会运行服务期间，只要有智能手机、有网络，就能随时实现对竞赛信息进行查询，移动端发布系统实现的目标是准确、及时、便捷的查询各类竞赛信息；</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信息发布接口</w:t>
      </w:r>
    </w:p>
    <w:p>
      <w:pPr>
        <w:spacing w:line="276" w:lineRule="auto"/>
        <w:ind w:firstLine="560"/>
        <w:rPr>
          <w:rFonts w:ascii="仿宋" w:hAnsi="仿宋" w:eastAsia="仿宋"/>
          <w:sz w:val="24"/>
          <w:szCs w:val="24"/>
        </w:rPr>
      </w:pPr>
      <w:r>
        <w:rPr>
          <w:rFonts w:hint="eastAsia" w:ascii="仿宋" w:hAnsi="仿宋" w:eastAsia="仿宋"/>
          <w:sz w:val="24"/>
          <w:szCs w:val="24"/>
        </w:rPr>
        <w:t>信息发布接口系统向执委会官方网站、综合运行管理中心(MOC)、第三方系统等提供运动会竞赛信息发布服务，信息发布接口作为竞赛信息系统对外发布数据的重要接口，需要与官方网站和其它第三方的合作伙伴进行数据对接，接口系统的服务对象的不同，导致对系统的专业性上有着极高的要求，提供的接口数据和内容上有着很大不同，因此进行信息发布接口设计时应密切与官方网站和其他第三方机构配合。</w:t>
      </w:r>
    </w:p>
    <w:p>
      <w:pPr>
        <w:spacing w:line="276" w:lineRule="auto"/>
        <w:ind w:firstLine="56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打印分发系统</w:t>
      </w:r>
    </w:p>
    <w:p>
      <w:pPr>
        <w:spacing w:line="276" w:lineRule="auto"/>
        <w:ind w:firstLine="560"/>
        <w:rPr>
          <w:rFonts w:ascii="仿宋" w:hAnsi="仿宋" w:eastAsia="仿宋"/>
          <w:sz w:val="24"/>
          <w:szCs w:val="24"/>
        </w:rPr>
      </w:pPr>
      <w:r>
        <w:rPr>
          <w:rFonts w:hint="eastAsia" w:ascii="仿宋" w:hAnsi="仿宋" w:eastAsia="仿宋"/>
          <w:sz w:val="24"/>
          <w:szCs w:val="24"/>
        </w:rPr>
        <w:t>打印分发系统负责管理和监控场馆成绩系统所产生的成绩报告的打印和分发。包括接收、存储、跟踪和发送报告，最终通过打印分发系统将报告发送至竞赛、媒体、官员等订阅的客户。</w:t>
      </w:r>
    </w:p>
    <w:p>
      <w:pPr>
        <w:spacing w:line="276" w:lineRule="auto"/>
        <w:ind w:firstLine="560"/>
        <w:rPr>
          <w:rFonts w:ascii="仿宋" w:hAnsi="仿宋" w:eastAsia="仿宋"/>
          <w:sz w:val="24"/>
          <w:szCs w:val="24"/>
        </w:rPr>
      </w:pPr>
      <w:r>
        <w:rPr>
          <w:rFonts w:hint="eastAsia" w:ascii="仿宋" w:hAnsi="仿宋" w:eastAsia="仿宋"/>
          <w:sz w:val="24"/>
          <w:szCs w:val="24"/>
        </w:rPr>
        <w:t>（三）成绩处理系统</w:t>
      </w:r>
    </w:p>
    <w:p>
      <w:pPr>
        <w:spacing w:line="276" w:lineRule="auto"/>
        <w:ind w:firstLine="560"/>
        <w:rPr>
          <w:rFonts w:ascii="仿宋" w:hAnsi="仿宋" w:eastAsia="仿宋"/>
          <w:sz w:val="24"/>
          <w:szCs w:val="24"/>
        </w:rPr>
      </w:pPr>
      <w:r>
        <w:rPr>
          <w:rFonts w:hint="eastAsia" w:ascii="仿宋" w:hAnsi="仿宋" w:eastAsia="仿宋"/>
          <w:sz w:val="24"/>
          <w:szCs w:val="24"/>
        </w:rPr>
        <w:t>成绩处理系统主要包括成绩数据采集系统负责对比赛成绩进行采集；</w:t>
      </w:r>
    </w:p>
    <w:p>
      <w:pPr>
        <w:spacing w:line="276" w:lineRule="auto"/>
        <w:ind w:firstLine="560"/>
        <w:rPr>
          <w:rFonts w:ascii="仿宋" w:hAnsi="仿宋" w:eastAsia="仿宋"/>
          <w:sz w:val="24"/>
          <w:szCs w:val="24"/>
        </w:rPr>
      </w:pPr>
      <w:r>
        <w:rPr>
          <w:rFonts w:hint="eastAsia" w:ascii="仿宋" w:hAnsi="仿宋" w:eastAsia="仿宋"/>
          <w:sz w:val="24"/>
          <w:szCs w:val="24"/>
        </w:rPr>
        <w:t>现场成绩处理系统是场馆成绩系统的核心，主要包括代码管理、基础数据管理、安全管理、赛事配置、数据下载、竞赛计划、报名报项管理、现场编排、单场成绩处理、综合成绩处理；</w:t>
      </w:r>
    </w:p>
    <w:p>
      <w:pPr>
        <w:spacing w:line="276" w:lineRule="auto"/>
        <w:ind w:firstLine="560"/>
        <w:rPr>
          <w:rFonts w:ascii="仿宋" w:hAnsi="仿宋" w:eastAsia="仿宋"/>
          <w:sz w:val="24"/>
          <w:szCs w:val="24"/>
        </w:rPr>
      </w:pPr>
      <w:r>
        <w:rPr>
          <w:rFonts w:hint="eastAsia" w:ascii="仿宋" w:hAnsi="仿宋" w:eastAsia="仿宋"/>
          <w:sz w:val="24"/>
          <w:szCs w:val="24"/>
        </w:rPr>
        <w:t>现场成绩打印根据竞赛业务需求提供报表设计、报表管理和报表打印的功能；</w:t>
      </w:r>
    </w:p>
    <w:p>
      <w:pPr>
        <w:spacing w:line="276" w:lineRule="auto"/>
        <w:ind w:firstLine="560"/>
        <w:rPr>
          <w:rFonts w:ascii="仿宋" w:hAnsi="仿宋" w:eastAsia="仿宋"/>
          <w:sz w:val="24"/>
          <w:szCs w:val="24"/>
        </w:rPr>
      </w:pPr>
      <w:r>
        <w:rPr>
          <w:rFonts w:hint="eastAsia" w:ascii="仿宋" w:hAnsi="仿宋" w:eastAsia="仿宋"/>
          <w:sz w:val="24"/>
          <w:szCs w:val="24"/>
        </w:rPr>
        <w:t>数据交换系统负责成绩处理系统各子系统的数据和文件的交换，保证各子系统协同工作。</w:t>
      </w:r>
    </w:p>
    <w:p>
      <w:pPr>
        <w:spacing w:line="276" w:lineRule="auto"/>
        <w:ind w:firstLine="560"/>
        <w:rPr>
          <w:rFonts w:ascii="仿宋" w:hAnsi="仿宋" w:eastAsia="仿宋"/>
          <w:sz w:val="24"/>
          <w:szCs w:val="24"/>
        </w:rPr>
      </w:pPr>
      <w:r>
        <w:rPr>
          <w:rFonts w:hint="eastAsia" w:ascii="仿宋" w:hAnsi="仿宋" w:eastAsia="仿宋"/>
          <w:sz w:val="24"/>
          <w:szCs w:val="24"/>
        </w:rPr>
        <w:t>（四）公共大屏显示控制系统</w:t>
      </w:r>
    </w:p>
    <w:p>
      <w:pPr>
        <w:spacing w:line="276" w:lineRule="auto"/>
        <w:ind w:firstLine="560"/>
        <w:rPr>
          <w:rFonts w:ascii="仿宋" w:hAnsi="仿宋" w:eastAsia="仿宋"/>
          <w:sz w:val="24"/>
          <w:szCs w:val="24"/>
        </w:rPr>
      </w:pPr>
      <w:r>
        <w:rPr>
          <w:rFonts w:hint="eastAsia" w:ascii="仿宋" w:hAnsi="仿宋" w:eastAsia="仿宋"/>
          <w:sz w:val="24"/>
          <w:szCs w:val="24"/>
        </w:rPr>
        <w:t>公共大屏显示控制系统是一套直接服务于现场的信息发布系统。</w:t>
      </w:r>
    </w:p>
    <w:p>
      <w:pPr>
        <w:spacing w:line="276" w:lineRule="auto"/>
        <w:ind w:firstLine="560"/>
        <w:rPr>
          <w:rFonts w:ascii="仿宋" w:hAnsi="仿宋" w:eastAsia="仿宋"/>
          <w:sz w:val="24"/>
          <w:szCs w:val="24"/>
        </w:rPr>
      </w:pPr>
      <w:r>
        <w:rPr>
          <w:rFonts w:hint="eastAsia" w:ascii="仿宋" w:hAnsi="仿宋" w:eastAsia="仿宋"/>
          <w:sz w:val="24"/>
          <w:szCs w:val="24"/>
        </w:rPr>
        <w:t>公共大屏显示控制系统以特定的显示方式为现场观众提供赛事的信息，如竞赛计划、编排秩序信息、实时成绩、比赛成绩信息、颁奖信息等，是现场观众、裁判运动员获得比赛成绩信息。</w:t>
      </w:r>
    </w:p>
    <w:p>
      <w:pPr>
        <w:spacing w:line="276" w:lineRule="auto"/>
        <w:ind w:firstLine="560"/>
        <w:rPr>
          <w:rFonts w:ascii="仿宋" w:hAnsi="仿宋" w:eastAsia="仿宋"/>
          <w:sz w:val="24"/>
          <w:szCs w:val="24"/>
        </w:rPr>
      </w:pPr>
      <w:r>
        <w:rPr>
          <w:rFonts w:hint="eastAsia" w:ascii="仿宋" w:hAnsi="仿宋" w:eastAsia="仿宋"/>
          <w:sz w:val="24"/>
          <w:szCs w:val="24"/>
        </w:rPr>
        <w:t>（五）技术统计系统</w:t>
      </w:r>
    </w:p>
    <w:p>
      <w:pPr>
        <w:spacing w:line="276" w:lineRule="auto"/>
        <w:ind w:firstLine="560"/>
        <w:rPr>
          <w:rFonts w:ascii="仿宋" w:hAnsi="仿宋" w:eastAsia="仿宋"/>
          <w:sz w:val="24"/>
          <w:szCs w:val="24"/>
        </w:rPr>
      </w:pPr>
      <w:r>
        <w:rPr>
          <w:rFonts w:hint="eastAsia" w:ascii="仿宋" w:hAnsi="仿宋" w:eastAsia="仿宋"/>
          <w:sz w:val="24"/>
          <w:szCs w:val="24"/>
        </w:rPr>
        <w:t>技术统计的服务要求为：</w:t>
      </w:r>
    </w:p>
    <w:p>
      <w:pPr>
        <w:spacing w:line="276" w:lineRule="auto"/>
        <w:ind w:firstLine="560"/>
        <w:rPr>
          <w:rFonts w:ascii="仿宋" w:hAnsi="仿宋" w:eastAsia="仿宋"/>
          <w:sz w:val="24"/>
          <w:szCs w:val="24"/>
        </w:rPr>
      </w:pPr>
      <w:r>
        <w:rPr>
          <w:rFonts w:hint="eastAsia" w:ascii="仿宋" w:hAnsi="仿宋" w:eastAsia="仿宋"/>
          <w:sz w:val="24"/>
          <w:szCs w:val="24"/>
        </w:rPr>
        <w:t>赛前从信息交换系统获取比赛时间、名单等信息，并输入首发名单、出场序、球衣颜色等信息。</w:t>
      </w:r>
    </w:p>
    <w:p>
      <w:pPr>
        <w:spacing w:line="276" w:lineRule="auto"/>
        <w:ind w:firstLine="560"/>
        <w:rPr>
          <w:rFonts w:ascii="仿宋" w:hAnsi="仿宋" w:eastAsia="仿宋"/>
          <w:sz w:val="24"/>
          <w:szCs w:val="24"/>
        </w:rPr>
      </w:pPr>
      <w:r>
        <w:rPr>
          <w:rFonts w:hint="eastAsia" w:ascii="仿宋" w:hAnsi="仿宋" w:eastAsia="仿宋"/>
          <w:sz w:val="24"/>
          <w:szCs w:val="24"/>
        </w:rPr>
        <w:t>在赛中，由技术统计裁判或者指定技术操作员负责技术统计系统的现场操作，并通过与数据交换系统的数据接口，实时将比赛数据发送给数据交换系统进行后续处理。</w:t>
      </w:r>
    </w:p>
    <w:p>
      <w:pPr>
        <w:spacing w:line="276" w:lineRule="auto"/>
        <w:ind w:firstLine="560"/>
        <w:rPr>
          <w:rFonts w:ascii="仿宋" w:hAnsi="仿宋" w:eastAsia="仿宋"/>
          <w:sz w:val="24"/>
          <w:szCs w:val="24"/>
        </w:rPr>
      </w:pPr>
      <w:r>
        <w:rPr>
          <w:rFonts w:hint="eastAsia" w:ascii="仿宋" w:hAnsi="仿宋" w:eastAsia="仿宋"/>
          <w:sz w:val="24"/>
          <w:szCs w:val="24"/>
        </w:rPr>
        <w:t>在赛后对统计的数据进行综合评定分析。</w:t>
      </w:r>
    </w:p>
    <w:p>
      <w:pPr>
        <w:spacing w:line="276" w:lineRule="auto"/>
        <w:ind w:firstLine="560"/>
        <w:rPr>
          <w:rFonts w:ascii="仿宋" w:hAnsi="仿宋" w:eastAsia="仿宋"/>
          <w:sz w:val="24"/>
          <w:szCs w:val="24"/>
        </w:rPr>
      </w:pPr>
      <w:r>
        <w:rPr>
          <w:rFonts w:hint="eastAsia" w:ascii="仿宋" w:hAnsi="仿宋" w:eastAsia="仿宋"/>
          <w:sz w:val="24"/>
          <w:szCs w:val="24"/>
        </w:rPr>
        <w:t>本系统服务范围为篮球、排球、水球、网球项目。</w:t>
      </w:r>
    </w:p>
    <w:p>
      <w:pPr>
        <w:spacing w:line="276" w:lineRule="auto"/>
        <w:ind w:firstLine="560"/>
        <w:rPr>
          <w:rFonts w:ascii="仿宋" w:hAnsi="仿宋" w:eastAsia="仿宋"/>
          <w:sz w:val="24"/>
          <w:szCs w:val="24"/>
        </w:rPr>
      </w:pPr>
      <w:r>
        <w:rPr>
          <w:rFonts w:hint="eastAsia" w:ascii="仿宋" w:hAnsi="仿宋" w:eastAsia="仿宋"/>
          <w:sz w:val="24"/>
          <w:szCs w:val="24"/>
        </w:rPr>
        <w:t>（六）评论员系统</w:t>
      </w:r>
    </w:p>
    <w:p>
      <w:pPr>
        <w:spacing w:line="276" w:lineRule="auto"/>
        <w:ind w:firstLine="560"/>
        <w:rPr>
          <w:rFonts w:ascii="仿宋" w:hAnsi="仿宋" w:eastAsia="仿宋"/>
          <w:sz w:val="24"/>
          <w:szCs w:val="24"/>
        </w:rPr>
      </w:pPr>
      <w:r>
        <w:rPr>
          <w:rFonts w:hint="eastAsia" w:ascii="仿宋" w:hAnsi="仿宋" w:eastAsia="仿宋"/>
          <w:sz w:val="24"/>
          <w:szCs w:val="24"/>
        </w:rPr>
        <w:t>评论员系统需要在运动会比赛期间，为现场转播评论员实时地提供当前成绩信息，方便评论员对比赛进行更详尽的现场报道。该系统负责向评论员实时地提供详细的成绩，以便协助他们提高公众的临场体验。评论员通过评论席上设置的工作站访问CIS系统。在比赛的任何期间、任何比赛场馆，评论员都可以通过评论员系统获取不同项目、不同比赛场馆的实时成绩、奖牌数据、比赛进程以及日常比赛工作时刻表等信息，随时了解比赛的情况。</w:t>
      </w:r>
    </w:p>
    <w:p>
      <w:pPr>
        <w:spacing w:line="276" w:lineRule="auto"/>
        <w:ind w:firstLine="560"/>
        <w:rPr>
          <w:rFonts w:ascii="仿宋" w:hAnsi="仿宋" w:eastAsia="仿宋"/>
          <w:sz w:val="24"/>
          <w:szCs w:val="24"/>
        </w:rPr>
      </w:pPr>
      <w:r>
        <w:rPr>
          <w:rFonts w:hint="eastAsia" w:ascii="仿宋" w:hAnsi="仿宋" w:eastAsia="仿宋"/>
          <w:sz w:val="24"/>
          <w:szCs w:val="24"/>
        </w:rPr>
        <w:t>评论员系统项目需根据主转播商所确定的直播项目确定。</w:t>
      </w:r>
    </w:p>
    <w:p>
      <w:pPr>
        <w:spacing w:line="276" w:lineRule="auto"/>
        <w:ind w:firstLine="560"/>
        <w:rPr>
          <w:rFonts w:ascii="仿宋" w:hAnsi="仿宋" w:eastAsia="仿宋"/>
          <w:sz w:val="24"/>
          <w:szCs w:val="24"/>
        </w:rPr>
      </w:pPr>
    </w:p>
    <w:p>
      <w:pPr>
        <w:keepNext/>
        <w:keepLines/>
        <w:spacing w:before="280" w:after="290" w:line="376" w:lineRule="auto"/>
        <w:outlineLvl w:val="4"/>
        <w:rPr>
          <w:rFonts w:ascii="仿宋" w:hAnsi="仿宋" w:eastAsia="仿宋"/>
          <w:b/>
          <w:bCs/>
          <w:sz w:val="24"/>
          <w:szCs w:val="24"/>
        </w:rPr>
      </w:pPr>
      <w:r>
        <w:rPr>
          <w:rFonts w:hint="eastAsia" w:ascii="仿宋" w:hAnsi="仿宋" w:eastAsia="仿宋"/>
          <w:b/>
          <w:bCs/>
          <w:sz w:val="24"/>
          <w:szCs w:val="24"/>
        </w:rPr>
        <w:t>服务要求：</w:t>
      </w:r>
    </w:p>
    <w:p>
      <w:pPr>
        <w:spacing w:line="276" w:lineRule="auto"/>
        <w:ind w:firstLine="562"/>
        <w:rPr>
          <w:rFonts w:ascii="仿宋" w:hAnsi="仿宋" w:eastAsia="仿宋"/>
          <w:sz w:val="24"/>
          <w:szCs w:val="24"/>
        </w:rPr>
      </w:pPr>
      <w:r>
        <w:rPr>
          <w:rFonts w:hint="eastAsia" w:ascii="仿宋" w:hAnsi="仿宋" w:eastAsia="仿宋"/>
          <w:sz w:val="24"/>
          <w:szCs w:val="24"/>
        </w:rPr>
        <w:t>综合及场馆成绩系统服务要求如下：</w:t>
      </w:r>
    </w:p>
    <w:p>
      <w:pPr>
        <w:spacing w:line="276" w:lineRule="auto"/>
        <w:ind w:firstLine="562"/>
        <w:rPr>
          <w:rFonts w:ascii="仿宋" w:hAnsi="仿宋" w:eastAsia="仿宋"/>
          <w:sz w:val="24"/>
          <w:szCs w:val="24"/>
        </w:rPr>
      </w:pPr>
      <w:r>
        <w:rPr>
          <w:rFonts w:hint="eastAsia" w:ascii="仿宋" w:hAnsi="仿宋" w:eastAsia="仿宋"/>
          <w:sz w:val="24"/>
          <w:szCs w:val="24"/>
        </w:rPr>
        <w:t>（一）中央成绩系统：</w:t>
      </w:r>
    </w:p>
    <w:p>
      <w:pPr>
        <w:spacing w:line="276" w:lineRule="auto"/>
        <w:ind w:firstLine="562"/>
        <w:rPr>
          <w:rFonts w:ascii="仿宋" w:hAnsi="仿宋" w:eastAsia="仿宋"/>
          <w:b/>
          <w:bCs/>
          <w:sz w:val="24"/>
          <w:szCs w:val="24"/>
        </w:rPr>
      </w:pPr>
      <w:r>
        <w:rPr>
          <w:rFonts w:hint="eastAsia" w:ascii="仿宋" w:hAnsi="仿宋" w:eastAsia="仿宋"/>
          <w:b/>
          <w:bCs/>
          <w:sz w:val="24"/>
          <w:szCs w:val="24"/>
        </w:rPr>
        <w:t>1．数据处理及时</w:t>
      </w:r>
    </w:p>
    <w:p>
      <w:pPr>
        <w:spacing w:line="276" w:lineRule="auto"/>
        <w:ind w:firstLine="560"/>
        <w:rPr>
          <w:rFonts w:ascii="仿宋" w:hAnsi="仿宋" w:eastAsia="仿宋"/>
          <w:sz w:val="24"/>
          <w:szCs w:val="24"/>
        </w:rPr>
      </w:pPr>
      <w:r>
        <w:rPr>
          <w:rFonts w:hint="eastAsia" w:ascii="仿宋" w:hAnsi="仿宋" w:eastAsia="仿宋"/>
          <w:sz w:val="24"/>
          <w:szCs w:val="24"/>
        </w:rPr>
        <w:t>1）在一个处理事务内接收与处理现场成绩系统数据。</w:t>
      </w:r>
    </w:p>
    <w:p>
      <w:pPr>
        <w:spacing w:line="276" w:lineRule="auto"/>
        <w:ind w:firstLine="560"/>
        <w:rPr>
          <w:rFonts w:ascii="仿宋" w:hAnsi="仿宋" w:eastAsia="仿宋"/>
          <w:sz w:val="24"/>
          <w:szCs w:val="24"/>
        </w:rPr>
      </w:pPr>
      <w:r>
        <w:rPr>
          <w:rFonts w:hint="eastAsia" w:ascii="仿宋" w:hAnsi="仿宋" w:eastAsia="仿宋"/>
          <w:sz w:val="24"/>
          <w:szCs w:val="24"/>
        </w:rPr>
        <w:t>2）及时通知信息发布系统更新发布信息。</w:t>
      </w:r>
    </w:p>
    <w:p>
      <w:pPr>
        <w:spacing w:line="276" w:lineRule="auto"/>
        <w:ind w:firstLine="562"/>
        <w:rPr>
          <w:rFonts w:ascii="仿宋" w:hAnsi="仿宋" w:eastAsia="仿宋"/>
          <w:b/>
          <w:bCs/>
          <w:sz w:val="24"/>
          <w:szCs w:val="24"/>
        </w:rPr>
      </w:pPr>
      <w:r>
        <w:rPr>
          <w:rFonts w:hint="eastAsia" w:ascii="仿宋" w:hAnsi="仿宋" w:eastAsia="仿宋"/>
          <w:b/>
          <w:bCs/>
          <w:sz w:val="24"/>
          <w:szCs w:val="24"/>
        </w:rPr>
        <w:t>2．系统运行稳定</w:t>
      </w:r>
    </w:p>
    <w:p>
      <w:pPr>
        <w:spacing w:line="276" w:lineRule="auto"/>
        <w:ind w:firstLine="560"/>
        <w:rPr>
          <w:rFonts w:ascii="仿宋" w:hAnsi="仿宋" w:eastAsia="仿宋"/>
          <w:sz w:val="24"/>
          <w:szCs w:val="24"/>
        </w:rPr>
      </w:pPr>
      <w:r>
        <w:rPr>
          <w:rFonts w:hint="eastAsia" w:ascii="仿宋" w:hAnsi="仿宋" w:eastAsia="仿宋"/>
          <w:sz w:val="24"/>
          <w:szCs w:val="24"/>
        </w:rPr>
        <w:t>1）中央成绩系统软件系统本身的稳定性；</w:t>
      </w:r>
    </w:p>
    <w:p>
      <w:pPr>
        <w:spacing w:line="276" w:lineRule="auto"/>
        <w:ind w:firstLine="560"/>
        <w:rPr>
          <w:rFonts w:ascii="仿宋" w:hAnsi="仿宋" w:eastAsia="仿宋"/>
          <w:sz w:val="24"/>
          <w:szCs w:val="24"/>
        </w:rPr>
      </w:pPr>
      <w:r>
        <w:rPr>
          <w:rFonts w:hint="eastAsia" w:ascii="仿宋" w:hAnsi="仿宋" w:eastAsia="仿宋"/>
          <w:sz w:val="24"/>
          <w:szCs w:val="24"/>
        </w:rPr>
        <w:t>2）中央成绩系统与其它系统进行数据通讯与数据交换的稳定性；</w:t>
      </w:r>
    </w:p>
    <w:p>
      <w:pPr>
        <w:spacing w:line="276" w:lineRule="auto"/>
        <w:ind w:firstLine="560"/>
        <w:rPr>
          <w:rFonts w:ascii="仿宋" w:hAnsi="仿宋" w:eastAsia="仿宋"/>
          <w:sz w:val="24"/>
          <w:szCs w:val="24"/>
        </w:rPr>
      </w:pPr>
      <w:r>
        <w:rPr>
          <w:rFonts w:hint="eastAsia" w:ascii="仿宋" w:hAnsi="仿宋" w:eastAsia="仿宋"/>
          <w:sz w:val="24"/>
          <w:szCs w:val="24"/>
        </w:rPr>
        <w:t>3）中央成绩系统硬件设备与性能的冗余设计，必须足以抗拒任何高峰阈值的冲击。</w:t>
      </w:r>
    </w:p>
    <w:p>
      <w:pPr>
        <w:spacing w:line="276" w:lineRule="auto"/>
        <w:ind w:firstLine="562"/>
        <w:rPr>
          <w:rFonts w:ascii="仿宋" w:hAnsi="仿宋" w:eastAsia="仿宋"/>
          <w:b/>
          <w:bCs/>
          <w:sz w:val="24"/>
          <w:szCs w:val="24"/>
        </w:rPr>
      </w:pPr>
      <w:r>
        <w:rPr>
          <w:rFonts w:hint="eastAsia" w:ascii="仿宋" w:hAnsi="仿宋" w:eastAsia="仿宋"/>
          <w:b/>
          <w:bCs/>
          <w:sz w:val="24"/>
          <w:szCs w:val="24"/>
        </w:rPr>
        <w:t>3．数据操作安全</w:t>
      </w:r>
    </w:p>
    <w:p>
      <w:pPr>
        <w:spacing w:line="276" w:lineRule="auto"/>
        <w:ind w:firstLine="560"/>
        <w:rPr>
          <w:rFonts w:ascii="仿宋" w:hAnsi="仿宋" w:eastAsia="仿宋"/>
          <w:sz w:val="24"/>
          <w:szCs w:val="24"/>
        </w:rPr>
      </w:pPr>
      <w:r>
        <w:rPr>
          <w:rFonts w:hint="eastAsia" w:ascii="仿宋" w:hAnsi="仿宋" w:eastAsia="仿宋"/>
          <w:sz w:val="24"/>
          <w:szCs w:val="24"/>
        </w:rPr>
        <w:t>在运动会运行服务期间，众多的系统需要与中央成绩系统进行数据交互，因此要对所有操作人员的权限和行为进行有效控制。此外对具体业务数据设置控制状态，以控制数据操作行为。</w:t>
      </w:r>
    </w:p>
    <w:p>
      <w:pPr>
        <w:spacing w:line="276" w:lineRule="auto"/>
        <w:ind w:firstLine="562"/>
        <w:rPr>
          <w:rFonts w:ascii="仿宋" w:hAnsi="仿宋" w:eastAsia="仿宋"/>
          <w:b/>
          <w:bCs/>
          <w:sz w:val="24"/>
          <w:szCs w:val="24"/>
        </w:rPr>
      </w:pPr>
      <w:r>
        <w:rPr>
          <w:rFonts w:hint="eastAsia" w:ascii="仿宋" w:hAnsi="仿宋" w:eastAsia="仿宋"/>
          <w:b/>
          <w:bCs/>
          <w:sz w:val="24"/>
          <w:szCs w:val="24"/>
        </w:rPr>
        <w:t>4．可配置可管理</w:t>
      </w:r>
    </w:p>
    <w:p>
      <w:pPr>
        <w:spacing w:line="276" w:lineRule="auto"/>
        <w:ind w:firstLine="560"/>
        <w:rPr>
          <w:rFonts w:ascii="仿宋" w:hAnsi="仿宋" w:eastAsia="仿宋"/>
          <w:sz w:val="24"/>
          <w:szCs w:val="24"/>
        </w:rPr>
      </w:pPr>
      <w:r>
        <w:rPr>
          <w:rFonts w:hint="eastAsia" w:ascii="仿宋" w:hAnsi="仿宋" w:eastAsia="仿宋"/>
          <w:sz w:val="24"/>
          <w:szCs w:val="24"/>
        </w:rPr>
        <w:t>设计单独的管理模块，对中央成绩系统进行集中配置。中央成绩系统的任务业务数据，对中央成绩系统应用程序来说都是可视的，可管理的，且任何操作都是可追溯的。</w:t>
      </w:r>
    </w:p>
    <w:p>
      <w:pPr>
        <w:spacing w:line="276" w:lineRule="auto"/>
        <w:ind w:firstLine="560"/>
        <w:rPr>
          <w:rFonts w:ascii="仿宋" w:hAnsi="仿宋" w:eastAsia="仿宋"/>
          <w:sz w:val="24"/>
          <w:szCs w:val="24"/>
        </w:rPr>
      </w:pPr>
    </w:p>
    <w:p>
      <w:pPr>
        <w:spacing w:line="276" w:lineRule="auto"/>
        <w:ind w:firstLine="560"/>
        <w:rPr>
          <w:rFonts w:ascii="仿宋" w:hAnsi="仿宋" w:eastAsia="仿宋"/>
          <w:sz w:val="24"/>
          <w:szCs w:val="24"/>
        </w:rPr>
      </w:pPr>
      <w:r>
        <w:rPr>
          <w:rFonts w:hint="eastAsia" w:ascii="仿宋" w:hAnsi="仿宋" w:eastAsia="仿宋"/>
          <w:sz w:val="24"/>
          <w:szCs w:val="24"/>
        </w:rPr>
        <w:t>（二）信息发布系统：</w:t>
      </w:r>
    </w:p>
    <w:p>
      <w:pPr>
        <w:spacing w:line="276" w:lineRule="auto"/>
        <w:ind w:firstLine="560"/>
        <w:rPr>
          <w:rFonts w:ascii="仿宋" w:hAnsi="仿宋" w:eastAsia="仿宋"/>
          <w:sz w:val="24"/>
          <w:szCs w:val="24"/>
        </w:rPr>
      </w:pPr>
      <w:r>
        <w:rPr>
          <w:rFonts w:hint="eastAsia" w:ascii="仿宋" w:hAnsi="仿宋" w:eastAsia="仿宋"/>
          <w:sz w:val="24"/>
          <w:szCs w:val="24"/>
        </w:rPr>
        <w:t>信息发布系统是大运会信息系统的重要组成部分，是执委会官员、参赛人员、新闻媒体、社会公众等获取运动会竞赛信息的重要渠道。信息发布系统应遵循信息及时、内容丰富、数据准确、界面友好的基本原则进行设计。</w:t>
      </w:r>
    </w:p>
    <w:p>
      <w:pPr>
        <w:spacing w:line="276" w:lineRule="auto"/>
        <w:ind w:firstLine="560"/>
        <w:rPr>
          <w:rFonts w:ascii="仿宋" w:hAnsi="仿宋" w:eastAsia="仿宋"/>
          <w:sz w:val="24"/>
          <w:szCs w:val="24"/>
        </w:rPr>
      </w:pPr>
      <w:r>
        <w:rPr>
          <w:rFonts w:hint="eastAsia" w:ascii="仿宋" w:hAnsi="仿宋" w:eastAsia="仿宋"/>
          <w:sz w:val="24"/>
          <w:szCs w:val="24"/>
        </w:rPr>
        <w:t>信息发布系统的设计应遵循的基本原则是：</w:t>
      </w:r>
    </w:p>
    <w:p>
      <w:pPr>
        <w:spacing w:line="276" w:lineRule="auto"/>
        <w:ind w:firstLine="56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．信息及时</w:t>
      </w:r>
    </w:p>
    <w:p>
      <w:pPr>
        <w:spacing w:line="276" w:lineRule="auto"/>
        <w:ind w:firstLine="560"/>
        <w:rPr>
          <w:rFonts w:ascii="仿宋" w:hAnsi="仿宋" w:eastAsia="仿宋"/>
          <w:sz w:val="24"/>
          <w:szCs w:val="24"/>
        </w:rPr>
      </w:pPr>
      <w:r>
        <w:rPr>
          <w:rFonts w:hint="eastAsia" w:ascii="仿宋" w:hAnsi="仿宋" w:eastAsia="仿宋"/>
          <w:sz w:val="24"/>
          <w:szCs w:val="24"/>
        </w:rPr>
        <w:t>信息发布系统的用户群首要关注的是及时的赛事信息，无论是信息查询，还是官方网站发布结果，信息发布系统都必须考虑信息的时效性能，也只有及时的信息才是有意义的。</w:t>
      </w:r>
    </w:p>
    <w:p>
      <w:pPr>
        <w:spacing w:line="276" w:lineRule="auto"/>
        <w:ind w:firstLine="560"/>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．内容丰富</w:t>
      </w:r>
    </w:p>
    <w:p>
      <w:pPr>
        <w:spacing w:line="276" w:lineRule="auto"/>
        <w:ind w:firstLine="560"/>
        <w:rPr>
          <w:rFonts w:ascii="仿宋" w:hAnsi="仿宋" w:eastAsia="仿宋"/>
          <w:sz w:val="24"/>
          <w:szCs w:val="24"/>
        </w:rPr>
      </w:pPr>
      <w:r>
        <w:rPr>
          <w:rFonts w:hint="eastAsia" w:ascii="仿宋" w:hAnsi="仿宋" w:eastAsia="仿宋"/>
          <w:sz w:val="24"/>
          <w:szCs w:val="24"/>
        </w:rPr>
        <w:t>信息发布的展示手段多种多样，信息发布系统需要能够提供完备、丰富的内容，以利于发布平台为用户呈现最完美的使用体验。</w:t>
      </w:r>
    </w:p>
    <w:p>
      <w:pPr>
        <w:spacing w:line="276" w:lineRule="auto"/>
        <w:ind w:firstLine="560"/>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．数据准确</w:t>
      </w:r>
    </w:p>
    <w:p>
      <w:pPr>
        <w:spacing w:line="276" w:lineRule="auto"/>
        <w:ind w:firstLine="560"/>
        <w:rPr>
          <w:rFonts w:ascii="仿宋" w:hAnsi="仿宋" w:eastAsia="仿宋"/>
          <w:sz w:val="24"/>
          <w:szCs w:val="24"/>
        </w:rPr>
      </w:pPr>
      <w:r>
        <w:rPr>
          <w:rFonts w:hint="eastAsia" w:ascii="仿宋" w:hAnsi="仿宋" w:eastAsia="仿宋"/>
          <w:sz w:val="24"/>
          <w:szCs w:val="24"/>
        </w:rPr>
        <w:t>信息发布的数据必须保证其准确性，如果信息发布的数据发生错误而被公布，则可能引起不必要的信息误导，将造成不良的影响。因此，信息发布系统设计时，必须保证其数据与源一致，不能引入任何的计算或二次处理。</w:t>
      </w:r>
    </w:p>
    <w:p>
      <w:pPr>
        <w:spacing w:line="276" w:lineRule="auto"/>
        <w:ind w:firstLine="560"/>
        <w:rPr>
          <w:rFonts w:ascii="仿宋" w:hAnsi="仿宋" w:eastAsia="仿宋"/>
          <w:b/>
          <w:sz w:val="24"/>
          <w:szCs w:val="24"/>
        </w:rPr>
      </w:pPr>
      <w:r>
        <w:rPr>
          <w:rFonts w:ascii="仿宋" w:hAnsi="仿宋" w:eastAsia="仿宋"/>
          <w:b/>
          <w:sz w:val="24"/>
          <w:szCs w:val="24"/>
        </w:rPr>
        <w:t>4</w:t>
      </w:r>
      <w:r>
        <w:rPr>
          <w:rFonts w:hint="eastAsia" w:ascii="仿宋" w:hAnsi="仿宋" w:eastAsia="仿宋"/>
          <w:b/>
          <w:sz w:val="24"/>
          <w:szCs w:val="24"/>
        </w:rPr>
        <w:t>．界面友好</w:t>
      </w:r>
    </w:p>
    <w:p>
      <w:pPr>
        <w:spacing w:line="276" w:lineRule="auto"/>
        <w:ind w:firstLine="560"/>
        <w:rPr>
          <w:rFonts w:ascii="仿宋" w:hAnsi="仿宋" w:eastAsia="仿宋"/>
          <w:sz w:val="24"/>
          <w:szCs w:val="24"/>
        </w:rPr>
      </w:pPr>
      <w:r>
        <w:rPr>
          <w:rFonts w:hint="eastAsia" w:ascii="仿宋" w:hAnsi="仿宋" w:eastAsia="仿宋"/>
          <w:sz w:val="24"/>
          <w:szCs w:val="24"/>
        </w:rPr>
        <w:t>信息查询要提供美观、统一的操作界面。</w:t>
      </w:r>
    </w:p>
    <w:p>
      <w:pPr>
        <w:spacing w:line="276" w:lineRule="auto"/>
        <w:ind w:firstLine="560"/>
        <w:rPr>
          <w:rFonts w:ascii="仿宋" w:hAnsi="仿宋" w:eastAsia="仿宋"/>
          <w:sz w:val="24"/>
          <w:szCs w:val="24"/>
        </w:rPr>
      </w:pPr>
      <w:r>
        <w:rPr>
          <w:rFonts w:hint="eastAsia" w:ascii="仿宋" w:hAnsi="仿宋" w:eastAsia="仿宋"/>
          <w:sz w:val="24"/>
          <w:szCs w:val="24"/>
        </w:rPr>
        <w:t>（三）场馆成绩系统</w:t>
      </w:r>
    </w:p>
    <w:p>
      <w:pPr>
        <w:spacing w:line="276" w:lineRule="auto"/>
        <w:ind w:firstLine="560"/>
        <w:rPr>
          <w:rFonts w:ascii="仿宋" w:hAnsi="仿宋" w:eastAsia="仿宋"/>
          <w:sz w:val="24"/>
          <w:szCs w:val="24"/>
        </w:rPr>
      </w:pPr>
      <w:r>
        <w:rPr>
          <w:rFonts w:hint="eastAsia" w:ascii="仿宋" w:hAnsi="仿宋" w:eastAsia="仿宋"/>
          <w:sz w:val="24"/>
          <w:szCs w:val="24"/>
        </w:rPr>
        <w:t>场馆成绩系统将建立在安全、高效的GAMES专网内进行数据的传输，各个场馆通过高效交换机收发数据，进行数据的交互。</w:t>
      </w:r>
    </w:p>
    <w:p>
      <w:pPr>
        <w:spacing w:line="276" w:lineRule="auto"/>
        <w:ind w:firstLine="560"/>
        <w:rPr>
          <w:rFonts w:ascii="仿宋" w:hAnsi="仿宋" w:eastAsia="仿宋"/>
          <w:sz w:val="24"/>
          <w:szCs w:val="24"/>
        </w:rPr>
      </w:pPr>
      <w:r>
        <w:rPr>
          <w:rFonts w:hint="eastAsia" w:ascii="仿宋" w:hAnsi="仿宋" w:eastAsia="仿宋"/>
          <w:sz w:val="24"/>
          <w:szCs w:val="24"/>
        </w:rPr>
        <w:t>场馆成绩系统中的成绩处理系统对计时记分系统传输的数据进行数据交互，并将处理后的数据以最快的方式传输到各外部系统。</w:t>
      </w:r>
    </w:p>
    <w:p>
      <w:pPr>
        <w:spacing w:line="276" w:lineRule="auto"/>
        <w:ind w:firstLine="560"/>
        <w:rPr>
          <w:rFonts w:ascii="仿宋" w:hAnsi="仿宋" w:eastAsia="仿宋"/>
          <w:sz w:val="24"/>
          <w:szCs w:val="24"/>
        </w:rPr>
      </w:pPr>
      <w:r>
        <w:rPr>
          <w:rFonts w:hint="eastAsia" w:ascii="仿宋" w:hAnsi="仿宋" w:eastAsia="仿宋"/>
          <w:sz w:val="24"/>
          <w:szCs w:val="24"/>
        </w:rPr>
        <w:t>（1）准确性：必须从计时记分设备中获取正确的数据；</w:t>
      </w:r>
    </w:p>
    <w:p>
      <w:pPr>
        <w:spacing w:line="276" w:lineRule="auto"/>
        <w:ind w:firstLine="560"/>
        <w:rPr>
          <w:rFonts w:ascii="仿宋" w:hAnsi="仿宋" w:eastAsia="仿宋"/>
          <w:sz w:val="24"/>
          <w:szCs w:val="24"/>
        </w:rPr>
      </w:pPr>
      <w:r>
        <w:rPr>
          <w:rFonts w:hint="eastAsia" w:ascii="仿宋" w:hAnsi="仿宋" w:eastAsia="仿宋"/>
          <w:sz w:val="24"/>
          <w:szCs w:val="24"/>
        </w:rPr>
        <w:t>（2）适应能力：必须能够处理不同类型的计时记分设备并要求运行正常；</w:t>
      </w:r>
    </w:p>
    <w:p>
      <w:pPr>
        <w:spacing w:line="276" w:lineRule="auto"/>
        <w:ind w:firstLine="560"/>
        <w:rPr>
          <w:rFonts w:ascii="仿宋" w:hAnsi="仿宋" w:eastAsia="仿宋"/>
          <w:sz w:val="24"/>
          <w:szCs w:val="24"/>
        </w:rPr>
      </w:pPr>
      <w:r>
        <w:rPr>
          <w:rFonts w:hint="eastAsia" w:ascii="仿宋" w:hAnsi="仿宋" w:eastAsia="仿宋"/>
          <w:sz w:val="24"/>
          <w:szCs w:val="24"/>
        </w:rPr>
        <w:t>（3）协议：必须能够生成、存储、应用各种可靠的、有效的协议；</w:t>
      </w:r>
    </w:p>
    <w:p>
      <w:pPr>
        <w:spacing w:line="276" w:lineRule="auto"/>
        <w:ind w:firstLine="560"/>
        <w:rPr>
          <w:rFonts w:ascii="仿宋" w:hAnsi="仿宋" w:eastAsia="仿宋"/>
          <w:sz w:val="24"/>
          <w:szCs w:val="24"/>
        </w:rPr>
      </w:pPr>
      <w:r>
        <w:rPr>
          <w:rFonts w:hint="eastAsia" w:ascii="仿宋" w:hAnsi="仿宋" w:eastAsia="仿宋"/>
          <w:sz w:val="24"/>
          <w:szCs w:val="24"/>
        </w:rPr>
        <w:t>（4）简便：运动会赛事系统与计时记分系统之间的连接必须简便易用。</w:t>
      </w:r>
    </w:p>
    <w:p>
      <w:pPr>
        <w:spacing w:line="276" w:lineRule="auto"/>
        <w:ind w:firstLine="560"/>
        <w:rPr>
          <w:rFonts w:ascii="仿宋" w:hAnsi="仿宋" w:eastAsia="仿宋"/>
          <w:sz w:val="24"/>
          <w:szCs w:val="24"/>
        </w:rPr>
      </w:pPr>
      <w:r>
        <w:rPr>
          <w:rFonts w:hint="eastAsia" w:ascii="仿宋" w:hAnsi="仿宋" w:eastAsia="仿宋"/>
          <w:sz w:val="24"/>
          <w:szCs w:val="24"/>
        </w:rPr>
        <w:t>公共大屏系统采用统一的模板以及操作流程进行展示操作。</w:t>
      </w:r>
    </w:p>
    <w:p>
      <w:pPr>
        <w:spacing w:line="276" w:lineRule="auto"/>
        <w:ind w:firstLine="560"/>
        <w:rPr>
          <w:rFonts w:ascii="仿宋" w:hAnsi="仿宋" w:eastAsia="仿宋"/>
          <w:sz w:val="24"/>
          <w:szCs w:val="24"/>
        </w:rPr>
      </w:pPr>
      <w:r>
        <w:rPr>
          <w:rFonts w:hint="eastAsia" w:ascii="仿宋" w:hAnsi="仿宋" w:eastAsia="仿宋"/>
          <w:sz w:val="24"/>
          <w:szCs w:val="24"/>
        </w:rPr>
        <w:t>技术统计系统的服务要求为赛前从信息交换系统获取比赛时间、名单等信息，并输入首发名单、出场序、球衣颜色等信息，赛中，由技术统计裁判或者指定技术操作员负责技术统计系统的现场操作，并通过与数据交换系统的数据接口，实时将比赛数据发送给数据交换系统进行后续处理，赛后对统计的数据进行综合评定分析。</w:t>
      </w:r>
    </w:p>
    <w:p>
      <w:pPr>
        <w:spacing w:line="276" w:lineRule="auto"/>
        <w:ind w:firstLine="560"/>
        <w:rPr>
          <w:rFonts w:ascii="仿宋" w:hAnsi="仿宋" w:eastAsia="仿宋"/>
          <w:sz w:val="24"/>
          <w:szCs w:val="24"/>
        </w:rPr>
      </w:pPr>
      <w:r>
        <w:rPr>
          <w:rFonts w:hint="eastAsia" w:ascii="仿宋" w:hAnsi="仿宋" w:eastAsia="仿宋"/>
          <w:sz w:val="24"/>
          <w:szCs w:val="24"/>
        </w:rPr>
        <w:t>评论员系统在运动会比赛期间，为现场转播评论员实时地提供当前成绩信息，方便评论员对比赛进行更详尽的现场报道。在比赛的任何期间、任何比赛场馆，评论员都可以通过评论员系统获取不同项目、不同比赛场馆的实时成绩、奖牌数据、比赛进程以及日常比赛工作时刻表等信息，随时了解比赛的情况。</w:t>
      </w:r>
    </w:p>
    <w:p>
      <w:pPr>
        <w:keepNext/>
        <w:keepLines/>
        <w:numPr>
          <w:ilvl w:val="0"/>
          <w:numId w:val="40"/>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系统保障</w:t>
      </w:r>
    </w:p>
    <w:p>
      <w:pPr>
        <w:spacing w:line="276" w:lineRule="auto"/>
        <w:ind w:firstLine="560"/>
        <w:rPr>
          <w:rFonts w:ascii="仿宋" w:hAnsi="仿宋" w:eastAsia="仿宋"/>
          <w:sz w:val="24"/>
          <w:szCs w:val="24"/>
        </w:rPr>
      </w:pPr>
      <w:r>
        <w:rPr>
          <w:rFonts w:hint="eastAsia" w:ascii="仿宋" w:hAnsi="仿宋" w:eastAsia="仿宋"/>
          <w:sz w:val="24"/>
          <w:szCs w:val="24"/>
        </w:rPr>
        <w:t>系统保障包含综合及场馆成绩系统服务中通用设备计划、人员配置计划、人员培训计划等。</w:t>
      </w:r>
    </w:p>
    <w:p>
      <w:pPr>
        <w:numPr>
          <w:ilvl w:val="0"/>
          <w:numId w:val="41"/>
        </w:numPr>
        <w:spacing w:line="276" w:lineRule="auto"/>
        <w:rPr>
          <w:rFonts w:ascii="仿宋" w:hAnsi="仿宋" w:eastAsia="仿宋"/>
          <w:b/>
          <w:sz w:val="24"/>
          <w:szCs w:val="24"/>
        </w:rPr>
      </w:pPr>
      <w:r>
        <w:rPr>
          <w:rFonts w:hint="eastAsia" w:ascii="仿宋" w:hAnsi="仿宋" w:eastAsia="仿宋"/>
          <w:b/>
          <w:sz w:val="24"/>
          <w:szCs w:val="24"/>
        </w:rPr>
        <w:t>▲</w:t>
      </w:r>
      <w:r>
        <w:rPr>
          <w:rFonts w:hint="eastAsia" w:ascii="仿宋" w:hAnsi="仿宋" w:eastAsia="仿宋"/>
          <w:b/>
          <w:sz w:val="24"/>
          <w:szCs w:val="24"/>
          <w:u w:val="single"/>
        </w:rPr>
        <w:t>场馆成绩系统人员配置包括不少于以下人员数量要求：成绩经理</w:t>
      </w:r>
      <w:r>
        <w:rPr>
          <w:rFonts w:ascii="仿宋" w:hAnsi="仿宋" w:eastAsia="仿宋"/>
          <w:b/>
          <w:sz w:val="24"/>
          <w:szCs w:val="24"/>
          <w:u w:val="single"/>
        </w:rPr>
        <w:t>19</w:t>
      </w:r>
      <w:r>
        <w:rPr>
          <w:rFonts w:hint="eastAsia" w:ascii="仿宋" w:hAnsi="仿宋" w:eastAsia="仿宋"/>
          <w:b/>
          <w:sz w:val="24"/>
          <w:szCs w:val="24"/>
          <w:u w:val="single"/>
        </w:rPr>
        <w:t>人、成绩处理工程师</w:t>
      </w:r>
      <w:r>
        <w:rPr>
          <w:rFonts w:ascii="仿宋" w:hAnsi="仿宋" w:eastAsia="仿宋"/>
          <w:b/>
          <w:sz w:val="24"/>
          <w:szCs w:val="24"/>
          <w:u w:val="single"/>
        </w:rPr>
        <w:t>128</w:t>
      </w:r>
      <w:r>
        <w:rPr>
          <w:rFonts w:hint="eastAsia" w:ascii="仿宋" w:hAnsi="仿宋" w:eastAsia="仿宋"/>
          <w:b/>
          <w:sz w:val="24"/>
          <w:szCs w:val="24"/>
          <w:u w:val="single"/>
        </w:rPr>
        <w:t>人、技术统计工程师</w:t>
      </w:r>
      <w:r>
        <w:rPr>
          <w:rFonts w:ascii="仿宋" w:hAnsi="仿宋" w:eastAsia="仿宋"/>
          <w:b/>
          <w:sz w:val="24"/>
          <w:szCs w:val="24"/>
          <w:u w:val="single"/>
        </w:rPr>
        <w:t>49</w:t>
      </w:r>
      <w:r>
        <w:rPr>
          <w:rFonts w:hint="eastAsia" w:ascii="仿宋" w:hAnsi="仿宋" w:eastAsia="仿宋"/>
          <w:b/>
          <w:sz w:val="24"/>
          <w:szCs w:val="24"/>
          <w:u w:val="single"/>
        </w:rPr>
        <w:t>人、公共显示屏控制工程师</w:t>
      </w:r>
      <w:r>
        <w:rPr>
          <w:rFonts w:ascii="仿宋" w:hAnsi="仿宋" w:eastAsia="仿宋"/>
          <w:b/>
          <w:sz w:val="24"/>
          <w:szCs w:val="24"/>
          <w:u w:val="single"/>
        </w:rPr>
        <w:t>29</w:t>
      </w:r>
      <w:r>
        <w:rPr>
          <w:rFonts w:hint="eastAsia" w:ascii="仿宋" w:hAnsi="仿宋" w:eastAsia="仿宋"/>
          <w:b/>
          <w:sz w:val="24"/>
          <w:szCs w:val="24"/>
          <w:u w:val="single"/>
        </w:rPr>
        <w:t>人、评论员系统工程师</w:t>
      </w:r>
      <w:r>
        <w:rPr>
          <w:rFonts w:ascii="仿宋" w:hAnsi="仿宋" w:eastAsia="仿宋"/>
          <w:b/>
          <w:sz w:val="24"/>
          <w:szCs w:val="24"/>
          <w:u w:val="single"/>
        </w:rPr>
        <w:t>18</w:t>
      </w:r>
      <w:r>
        <w:rPr>
          <w:rFonts w:hint="eastAsia" w:ascii="仿宋" w:hAnsi="仿宋" w:eastAsia="仿宋"/>
          <w:b/>
          <w:sz w:val="24"/>
          <w:szCs w:val="24"/>
          <w:u w:val="single"/>
        </w:rPr>
        <w:t>人▲</w:t>
      </w:r>
      <w:r>
        <w:rPr>
          <w:rFonts w:hint="eastAsia" w:ascii="仿宋" w:hAnsi="仿宋" w:eastAsia="仿宋"/>
          <w:b/>
          <w:sz w:val="24"/>
          <w:szCs w:val="24"/>
        </w:rPr>
        <w:t>。</w:t>
      </w:r>
    </w:p>
    <w:p>
      <w:pPr>
        <w:numPr>
          <w:ilvl w:val="0"/>
          <w:numId w:val="41"/>
        </w:numPr>
        <w:spacing w:line="276" w:lineRule="auto"/>
        <w:rPr>
          <w:rFonts w:ascii="仿宋" w:hAnsi="仿宋" w:eastAsia="仿宋"/>
          <w:b/>
          <w:sz w:val="24"/>
          <w:szCs w:val="24"/>
        </w:rPr>
      </w:pPr>
      <w:r>
        <w:rPr>
          <w:rFonts w:hint="eastAsia" w:ascii="仿宋" w:hAnsi="仿宋" w:eastAsia="仿宋"/>
          <w:b/>
          <w:sz w:val="24"/>
          <w:szCs w:val="24"/>
          <w:u w:val="single"/>
        </w:rPr>
        <w:t>中央成绩系统人员配置包括不少于以下人员数量要求：主管1人、副主管1人、工程师6人、应急人员10人。</w:t>
      </w:r>
    </w:p>
    <w:p>
      <w:pPr>
        <w:numPr>
          <w:ilvl w:val="0"/>
          <w:numId w:val="41"/>
        </w:numPr>
        <w:spacing w:line="276" w:lineRule="auto"/>
        <w:rPr>
          <w:rFonts w:ascii="仿宋" w:hAnsi="仿宋" w:eastAsia="仿宋"/>
          <w:b/>
          <w:sz w:val="24"/>
          <w:szCs w:val="24"/>
        </w:rPr>
      </w:pPr>
      <w:r>
        <w:rPr>
          <w:rFonts w:hint="eastAsia" w:ascii="仿宋" w:hAnsi="仿宋" w:eastAsia="仿宋"/>
          <w:b/>
          <w:sz w:val="24"/>
          <w:szCs w:val="24"/>
          <w:u w:val="single"/>
        </w:rPr>
        <w:t>信息发布系统人员配置包括不少于以下人员数量要求：主管1人、副主管2人、工程师16人、应急人员5人。</w:t>
      </w:r>
    </w:p>
    <w:p>
      <w:pPr>
        <w:numPr>
          <w:ilvl w:val="0"/>
          <w:numId w:val="41"/>
        </w:numPr>
        <w:spacing w:line="276" w:lineRule="auto"/>
        <w:rPr>
          <w:rFonts w:ascii="仿宋" w:hAnsi="仿宋" w:eastAsia="仿宋"/>
          <w:sz w:val="24"/>
          <w:szCs w:val="24"/>
        </w:rPr>
      </w:pPr>
      <w:r>
        <w:rPr>
          <w:rFonts w:hint="eastAsia" w:ascii="仿宋" w:hAnsi="仿宋" w:eastAsia="仿宋"/>
          <w:sz w:val="24"/>
          <w:szCs w:val="24"/>
        </w:rPr>
        <w:t>成交投标人成交后需要按照国际大体联技术指南最新版本提出的建设要求进行系统建设，并且在大运会建设期间负责与国际大体联关于建设内容进行沟通确认。</w:t>
      </w:r>
    </w:p>
    <w:p>
      <w:pPr>
        <w:numPr>
          <w:ilvl w:val="0"/>
          <w:numId w:val="41"/>
        </w:numPr>
        <w:spacing w:line="276" w:lineRule="auto"/>
        <w:rPr>
          <w:rFonts w:ascii="仿宋" w:hAnsi="仿宋" w:eastAsia="仿宋"/>
          <w:b/>
          <w:sz w:val="24"/>
          <w:szCs w:val="24"/>
        </w:rPr>
      </w:pPr>
      <w:r>
        <w:rPr>
          <w:rFonts w:hint="eastAsia" w:ascii="仿宋" w:hAnsi="仿宋" w:eastAsia="仿宋"/>
          <w:b/>
          <w:sz w:val="24"/>
          <w:szCs w:val="24"/>
        </w:rPr>
        <w:t>▲</w:t>
      </w:r>
      <w:r>
        <w:rPr>
          <w:rFonts w:hint="eastAsia" w:ascii="仿宋" w:hAnsi="仿宋" w:eastAsia="仿宋"/>
          <w:b/>
          <w:sz w:val="24"/>
          <w:szCs w:val="24"/>
          <w:u w:val="single"/>
        </w:rPr>
        <w:t>成交投标人所提供的综合及场馆成绩系统服务需满足国际大体联、国际（国内）单项体育联合协会的要求</w:t>
      </w:r>
      <w:r>
        <w:rPr>
          <w:rFonts w:hint="eastAsia" w:ascii="仿宋" w:hAnsi="仿宋" w:eastAsia="仿宋"/>
          <w:b/>
          <w:sz w:val="24"/>
          <w:szCs w:val="24"/>
        </w:rPr>
        <w:t>▲。</w:t>
      </w:r>
    </w:p>
    <w:p>
      <w:pPr>
        <w:keepNext/>
        <w:keepLines/>
        <w:numPr>
          <w:ilvl w:val="0"/>
          <w:numId w:val="40"/>
        </w:numPr>
        <w:tabs>
          <w:tab w:val="left" w:pos="480"/>
        </w:tabs>
        <w:spacing w:before="240" w:beforeLines="100" w:line="276" w:lineRule="auto"/>
        <w:ind w:left="482" w:hanging="482" w:hangingChars="200"/>
        <w:outlineLvl w:val="2"/>
        <w:rPr>
          <w:rFonts w:ascii="仿宋" w:hAnsi="仿宋" w:eastAsia="仿宋"/>
          <w:kern w:val="0"/>
          <w:sz w:val="24"/>
          <w:szCs w:val="24"/>
        </w:rPr>
      </w:pPr>
      <w:r>
        <w:rPr>
          <w:rFonts w:hint="eastAsia" w:ascii="仿宋" w:hAnsi="仿宋" w:eastAsia="仿宋"/>
          <w:b/>
          <w:kern w:val="0"/>
          <w:sz w:val="24"/>
          <w:szCs w:val="24"/>
        </w:rPr>
        <w:t>赛事运行服务要求</w:t>
      </w:r>
    </w:p>
    <w:p>
      <w:pPr>
        <w:spacing w:line="276" w:lineRule="auto"/>
        <w:ind w:firstLine="560"/>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numPr>
          <w:ilvl w:val="0"/>
          <w:numId w:val="40"/>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▲系统专项设计▲</w:t>
      </w:r>
    </w:p>
    <w:p>
      <w:pPr>
        <w:spacing w:line="360" w:lineRule="auto"/>
        <w:ind w:firstLine="482"/>
        <w:rPr>
          <w:rFonts w:ascii="仿宋" w:hAnsi="仿宋" w:eastAsia="仿宋"/>
          <w:b/>
          <w:sz w:val="24"/>
          <w:szCs w:val="24"/>
        </w:rPr>
      </w:pPr>
      <w:r>
        <w:rPr>
          <w:rFonts w:hint="eastAsia" w:ascii="仿宋" w:hAnsi="仿宋" w:eastAsia="仿宋"/>
          <w:b/>
          <w:sz w:val="24"/>
          <w:szCs w:val="24"/>
        </w:rPr>
        <w:t>投标人需按照招标方要求配合完成系统专项设计：包括但不限于《系统深化设计方案》、《需求调研报告》、《需求规格说明书》、《数据库设计》、《概要设计》、《一馆一册》等文档以及各部分的子项目设计分册等内容。</w:t>
      </w:r>
    </w:p>
    <w:p>
      <w:pPr>
        <w:keepNext/>
        <w:keepLines/>
        <w:numPr>
          <w:ilvl w:val="0"/>
          <w:numId w:val="40"/>
        </w:numPr>
        <w:tabs>
          <w:tab w:val="left" w:pos="480"/>
        </w:tabs>
        <w:spacing w:before="240" w:beforeLines="100" w:line="276" w:lineRule="auto"/>
        <w:ind w:left="482" w:hanging="482" w:hangingChars="200"/>
        <w:outlineLvl w:val="2"/>
        <w:rPr>
          <w:rFonts w:ascii="仿宋" w:hAnsi="仿宋" w:eastAsia="仿宋"/>
          <w:kern w:val="0"/>
          <w:sz w:val="24"/>
          <w:szCs w:val="24"/>
        </w:rPr>
      </w:pPr>
      <w:r>
        <w:rPr>
          <w:rFonts w:hint="eastAsia" w:ascii="仿宋" w:hAnsi="仿宋" w:eastAsia="仿宋"/>
          <w:b/>
          <w:kern w:val="0"/>
          <w:sz w:val="24"/>
          <w:szCs w:val="24"/>
        </w:rPr>
        <w:t>赛事运行保障</w:t>
      </w:r>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line="276" w:lineRule="auto"/>
        <w:ind w:firstLine="560"/>
        <w:rPr>
          <w:rFonts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keepNext/>
        <w:keepLines/>
        <w:numPr>
          <w:ilvl w:val="0"/>
          <w:numId w:val="40"/>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赛时应急响应</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赛前将经过集成测试、测试赛、联试联调等多轮测试和演练，但由于综合性运动会信息技术存在“关门时间”和“实时性”的要求，因此赛时还需指定一套完备的应急预案，投标人应成立应急保障团队，从组织架构、工作流程、职责分工、应急人员等方面提出切实可行的计划，并在赛时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服务要求</w:t>
      </w:r>
    </w:p>
    <w:p>
      <w:pPr>
        <w:spacing w:line="276" w:lineRule="auto"/>
        <w:ind w:firstLine="560"/>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ind w:firstLine="560"/>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ind w:firstLine="560"/>
        <w:rPr>
          <w:rFonts w:ascii="仿宋" w:hAnsi="仿宋" w:eastAsia="仿宋"/>
          <w:sz w:val="24"/>
          <w:szCs w:val="24"/>
        </w:rPr>
      </w:pPr>
      <w:r>
        <w:rPr>
          <w:rFonts w:hint="eastAsia" w:ascii="仿宋" w:hAnsi="仿宋" w:eastAsia="仿宋"/>
          <w:sz w:val="24"/>
          <w:szCs w:val="24"/>
        </w:rPr>
        <w:t>3、需提供完备的综合及场馆成绩系统应急机制。</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1.4服务功能清单</w:t>
      </w:r>
    </w:p>
    <w:tbl>
      <w:tblPr>
        <w:tblStyle w:val="58"/>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389" w:type="dxa"/>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7400" w:type="dxa"/>
            <w:shd w:val="clear" w:color="auto" w:fill="auto"/>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restart"/>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场馆成绩系统</w:t>
            </w:r>
          </w:p>
        </w:tc>
        <w:tc>
          <w:tcPr>
            <w:tcW w:w="7400" w:type="dxa"/>
            <w:shd w:val="clear" w:color="auto" w:fill="auto"/>
            <w:noWrap/>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技术统计系统-篮球、排球、水球、网球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成绩处理系统-体操、游泳、羽毛球、田径、击剑、乒乓球、篮球、排球、柔道、射箭、水球、跆拳道、跳水、网球、艺术体操、武术、赛艇、射击18个单项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评论员系统-根据持权转播商具体安排确定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公共显示屏控制子系统-体操、游泳、羽毛球、田径、击剑、乒乓球、篮球、排球、柔道、射箭、水球、跆拳道、跳水、网球、艺术体操、武术、赛艇、射击18个单项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restart"/>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中央成绩系统</w:t>
            </w: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公共代码与通讯协议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数据通讯平台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核心管理系统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综合成绩处理系统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中央数据资源库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restart"/>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信息发布系统</w:t>
            </w: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内网竞赛核查系统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竞赛信息发布系统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移动竞赛信息发布系统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信息发布接口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9" w:type="dxa"/>
            <w:vMerge w:val="continue"/>
            <w:vAlign w:val="center"/>
          </w:tcPr>
          <w:p>
            <w:pPr>
              <w:spacing w:line="276" w:lineRule="auto"/>
              <w:ind w:firstLine="38" w:firstLineChars="16"/>
              <w:rPr>
                <w:rFonts w:ascii="仿宋" w:hAnsi="仿宋" w:eastAsia="仿宋" w:cs="宋体"/>
                <w:color w:val="000000"/>
                <w:sz w:val="24"/>
                <w:szCs w:val="24"/>
              </w:rPr>
            </w:pPr>
          </w:p>
        </w:tc>
        <w:tc>
          <w:tcPr>
            <w:tcW w:w="7400" w:type="dxa"/>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打印分发系统</w:t>
            </w:r>
          </w:p>
        </w:tc>
      </w:tr>
    </w:tbl>
    <w:p>
      <w:pPr>
        <w:rPr>
          <w:rFonts w:ascii="仿宋" w:hAnsi="仿宋" w:eastAsia="仿宋"/>
          <w:sz w:val="24"/>
          <w:szCs w:val="24"/>
        </w:rPr>
      </w:pP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1.5 其它要求</w:t>
      </w:r>
    </w:p>
    <w:p>
      <w:pPr>
        <w:keepNext/>
        <w:keepLines/>
        <w:numPr>
          <w:ilvl w:val="0"/>
          <w:numId w:val="42"/>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人员管理要求</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人员构成</w:t>
      </w:r>
    </w:p>
    <w:p>
      <w:pPr>
        <w:spacing w:line="276" w:lineRule="auto"/>
        <w:ind w:firstLine="560"/>
        <w:rPr>
          <w:rFonts w:ascii="仿宋" w:hAnsi="仿宋" w:eastAsia="仿宋"/>
          <w:sz w:val="24"/>
          <w:szCs w:val="24"/>
        </w:rPr>
      </w:pPr>
      <w:r>
        <w:rPr>
          <w:rFonts w:hint="eastAsia" w:ascii="仿宋" w:hAnsi="仿宋" w:eastAsia="仿宋"/>
          <w:sz w:val="24"/>
          <w:szCs w:val="24"/>
        </w:rPr>
        <w:t>完成综合及场馆成绩系统建设，投标人需设置完善的系统运行团队的人员构成。子系统运行保障包括：中央成绩系统、信息发布系统、成绩处理系统、公共大屏显示控制系统、技术统计系统、评论员系统。</w:t>
      </w:r>
    </w:p>
    <w:p>
      <w:pPr>
        <w:spacing w:line="276" w:lineRule="auto"/>
        <w:ind w:firstLine="560"/>
        <w:rPr>
          <w:rFonts w:ascii="仿宋" w:hAnsi="仿宋" w:eastAsia="仿宋"/>
          <w:sz w:val="24"/>
          <w:szCs w:val="24"/>
        </w:rPr>
      </w:pPr>
      <w:r>
        <w:rPr>
          <w:rFonts w:hint="eastAsia" w:ascii="仿宋" w:hAnsi="仿宋" w:eastAsia="仿宋"/>
          <w:sz w:val="24"/>
          <w:szCs w:val="24"/>
        </w:rPr>
        <w:t>各组别需根据各自业务需求建设完善的人员构成，包括但不限于：竞赛视频主管、竞赛闭路工程师、竞赛监控工程师、视频直播工程师。</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人员要求</w:t>
      </w:r>
    </w:p>
    <w:p>
      <w:pPr>
        <w:rPr>
          <w:rFonts w:ascii="仿宋" w:hAnsi="仿宋" w:eastAsia="仿宋"/>
          <w:sz w:val="24"/>
          <w:szCs w:val="24"/>
        </w:rPr>
      </w:pPr>
      <w:r>
        <w:rPr>
          <w:rFonts w:hint="eastAsia" w:ascii="仿宋" w:hAnsi="仿宋" w:eastAsia="仿宋"/>
          <w:sz w:val="24"/>
          <w:szCs w:val="24"/>
        </w:rPr>
        <w:t>各组别需根据各自业务需求建设完善的人员构成，包括但不限于：</w:t>
      </w:r>
    </w:p>
    <w:tbl>
      <w:tblPr>
        <w:tblStyle w:val="58"/>
        <w:tblW w:w="8784" w:type="dxa"/>
        <w:jc w:val="center"/>
        <w:tblLayout w:type="fixed"/>
        <w:tblCellMar>
          <w:top w:w="0" w:type="dxa"/>
          <w:left w:w="0" w:type="dxa"/>
          <w:bottom w:w="0" w:type="dxa"/>
          <w:right w:w="0" w:type="dxa"/>
        </w:tblCellMar>
      </w:tblPr>
      <w:tblGrid>
        <w:gridCol w:w="988"/>
        <w:gridCol w:w="2268"/>
        <w:gridCol w:w="5528"/>
      </w:tblGrid>
      <w:tr>
        <w:tblPrEx>
          <w:tblCellMar>
            <w:top w:w="0" w:type="dxa"/>
            <w:left w:w="0" w:type="dxa"/>
            <w:bottom w:w="0" w:type="dxa"/>
            <w:right w:w="0" w:type="dxa"/>
          </w:tblCellMar>
        </w:tblPrEx>
        <w:trPr>
          <w:trHeight w:val="322" w:hRule="exact"/>
          <w:tblHeader/>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序号</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工作岗位</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rPr>
                <w:rFonts w:ascii="仿宋" w:hAnsi="仿宋" w:eastAsia="仿宋"/>
                <w:sz w:val="24"/>
                <w:szCs w:val="24"/>
              </w:rPr>
            </w:pPr>
            <w:r>
              <w:rPr>
                <w:rFonts w:hint="eastAsia" w:ascii="仿宋" w:hAnsi="仿宋" w:eastAsia="仿宋" w:cs="宋体"/>
                <w:b/>
                <w:bCs/>
                <w:sz w:val="24"/>
                <w:szCs w:val="24"/>
              </w:rPr>
              <w:t>岗位职责</w:t>
            </w:r>
            <w:r>
              <w:rPr>
                <w:rFonts w:ascii="仿宋" w:hAnsi="仿宋" w:eastAsia="仿宋" w:cs="宋体"/>
                <w:b/>
                <w:bCs/>
                <w:w w:val="98"/>
                <w:sz w:val="24"/>
                <w:szCs w:val="24"/>
              </w:rPr>
              <w:t xml:space="preserve"> </w:t>
            </w:r>
          </w:p>
        </w:tc>
      </w:tr>
      <w:tr>
        <w:tblPrEx>
          <w:tblCellMar>
            <w:top w:w="0" w:type="dxa"/>
            <w:left w:w="0" w:type="dxa"/>
            <w:bottom w:w="0" w:type="dxa"/>
            <w:right w:w="0" w:type="dxa"/>
          </w:tblCellMar>
        </w:tblPrEx>
        <w:trPr>
          <w:trHeight w:val="322"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1</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sz w:val="24"/>
                <w:szCs w:val="24"/>
              </w:rPr>
              <w:t>场馆成绩主管</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场馆内成绩系统总负责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2</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成绩处理工程师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负责成绩处理系统运行维护</w:t>
            </w:r>
          </w:p>
        </w:tc>
      </w:tr>
      <w:tr>
        <w:tblPrEx>
          <w:tblCellMar>
            <w:top w:w="0" w:type="dxa"/>
            <w:left w:w="0" w:type="dxa"/>
            <w:bottom w:w="0" w:type="dxa"/>
            <w:right w:w="0" w:type="dxa"/>
          </w:tblCellMar>
        </w:tblPrEx>
        <w:trPr>
          <w:trHeight w:val="322"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3</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技术统计工程师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负责技术统计系统运行维护</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4</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公共显示屏控制工程师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负责公共显示屏控制系统运行维护</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hint="eastAsia" w:ascii="仿宋" w:hAnsi="仿宋" w:eastAsia="仿宋" w:cs="宋体"/>
                <w:sz w:val="24"/>
                <w:szCs w:val="24"/>
              </w:rPr>
              <w:t>5</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评论员系统主管</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场馆内评论员系统总负责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hint="eastAsia" w:ascii="仿宋" w:hAnsi="仿宋" w:eastAsia="仿宋" w:cs="宋体"/>
                <w:sz w:val="24"/>
                <w:szCs w:val="24"/>
              </w:rPr>
              <w:t>6</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评论员系统工程师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负责评论员系统运行维护</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hint="eastAsia" w:ascii="仿宋" w:hAnsi="仿宋" w:eastAsia="仿宋" w:cs="宋体"/>
                <w:sz w:val="24"/>
                <w:szCs w:val="24"/>
              </w:rPr>
              <w:t>7</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中央成绩主管</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场馆内中央系统总负责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ascii="仿宋" w:hAnsi="仿宋" w:eastAsia="仿宋" w:cs="宋体"/>
                <w:sz w:val="24"/>
                <w:szCs w:val="24"/>
              </w:rPr>
              <w:t>8</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中央成绩工程师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负责中央成绩系统运行维护</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ascii="仿宋" w:hAnsi="仿宋" w:eastAsia="仿宋" w:cs="宋体"/>
                <w:sz w:val="24"/>
                <w:szCs w:val="24"/>
              </w:rPr>
              <w:t>9</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信息发布主管</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场馆内信息发布系统总负责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5" w:hRule="exact"/>
          <w:jc w:val="center"/>
        </w:trPr>
        <w:tc>
          <w:tcPr>
            <w:tcW w:w="98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cs="宋体"/>
                <w:sz w:val="24"/>
                <w:szCs w:val="24"/>
              </w:rPr>
            </w:pPr>
            <w:r>
              <w:rPr>
                <w:rFonts w:ascii="仿宋" w:hAnsi="仿宋" w:eastAsia="仿宋" w:cs="宋体"/>
                <w:sz w:val="24"/>
                <w:szCs w:val="24"/>
              </w:rPr>
              <w:t>10</w:t>
            </w:r>
          </w:p>
        </w:tc>
        <w:tc>
          <w:tcPr>
            <w:tcW w:w="226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信息发布工程师</w:t>
            </w:r>
          </w:p>
        </w:tc>
        <w:tc>
          <w:tcPr>
            <w:tcW w:w="5528"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cs="宋体"/>
                <w:sz w:val="24"/>
                <w:szCs w:val="24"/>
              </w:rPr>
            </w:pPr>
            <w:r>
              <w:rPr>
                <w:rFonts w:hint="eastAsia" w:ascii="仿宋" w:hAnsi="仿宋" w:eastAsia="仿宋" w:cs="宋体"/>
                <w:sz w:val="24"/>
                <w:szCs w:val="24"/>
              </w:rPr>
              <w:t>负责信息发布系统运行维护</w:t>
            </w:r>
          </w:p>
        </w:tc>
      </w:tr>
    </w:tbl>
    <w:p>
      <w:pPr>
        <w:spacing w:line="276" w:lineRule="auto"/>
        <w:ind w:firstLine="560"/>
        <w:rPr>
          <w:rFonts w:ascii="仿宋" w:hAnsi="仿宋" w:eastAsia="仿宋"/>
          <w:sz w:val="24"/>
          <w:szCs w:val="24"/>
        </w:rPr>
      </w:pP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u w:val="single"/>
        </w:rPr>
        <w:t>到岗时间</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前期准备和建设期为自合同签订之日起至2021年3月；赛事运行保障阶段为2021年3月至2021年10月。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合同签订后第二日，系统的项目实施管理人员需到位。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2021年3月至6月为集成测试和测试赛，场馆技术支持人员按照全部岗位编制的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line="276" w:lineRule="auto"/>
        <w:ind w:firstLine="560"/>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keepNext/>
        <w:keepLines/>
        <w:numPr>
          <w:ilvl w:val="0"/>
          <w:numId w:val="42"/>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实施管理要求</w:t>
      </w:r>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3、接到招标方提出的修改建议之后，投标人需在1天内向招标方提供系统修改评估意见。</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line="276" w:lineRule="auto"/>
        <w:ind w:firstLine="560"/>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keepNext/>
        <w:keepLines/>
        <w:numPr>
          <w:ilvl w:val="0"/>
          <w:numId w:val="42"/>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▲服务期限▲</w:t>
      </w:r>
    </w:p>
    <w:p>
      <w:pPr>
        <w:spacing w:line="276" w:lineRule="auto"/>
        <w:ind w:firstLine="560"/>
        <w:rPr>
          <w:rFonts w:ascii="仿宋" w:hAnsi="仿宋" w:eastAsia="仿宋"/>
          <w:b/>
          <w:sz w:val="24"/>
          <w:szCs w:val="24"/>
        </w:rPr>
      </w:pPr>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line="276" w:lineRule="auto"/>
        <w:ind w:firstLine="560"/>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p>
    <w:p>
      <w:pPr>
        <w:keepNext/>
        <w:keepLines/>
        <w:numPr>
          <w:ilvl w:val="0"/>
          <w:numId w:val="42"/>
        </w:numPr>
        <w:tabs>
          <w:tab w:val="left" w:pos="480"/>
        </w:tabs>
        <w:spacing w:before="240" w:beforeLines="100" w:line="276" w:lineRule="auto"/>
        <w:ind w:left="482" w:hanging="482" w:hangingChars="200"/>
        <w:outlineLvl w:val="2"/>
        <w:rPr>
          <w:rFonts w:ascii="仿宋" w:hAnsi="仿宋" w:eastAsia="仿宋"/>
          <w:b/>
          <w:kern w:val="0"/>
          <w:sz w:val="24"/>
          <w:szCs w:val="24"/>
        </w:rPr>
      </w:pPr>
      <w:r>
        <w:rPr>
          <w:rFonts w:hint="eastAsia" w:ascii="仿宋" w:hAnsi="仿宋" w:eastAsia="仿宋"/>
          <w:b/>
          <w:kern w:val="0"/>
          <w:sz w:val="24"/>
          <w:szCs w:val="24"/>
        </w:rPr>
        <w:t>培训要求</w:t>
      </w:r>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培训目标 </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 xml:space="preserve">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1.6服务地点</w:t>
      </w:r>
    </w:p>
    <w:p>
      <w:pPr>
        <w:adjustRightInd w:val="0"/>
        <w:snapToGrid w:val="0"/>
        <w:spacing w:line="276" w:lineRule="auto"/>
        <w:ind w:left="640"/>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1.7考核标准和方法</w:t>
      </w:r>
    </w:p>
    <w:p>
      <w:pPr>
        <w:keepNext/>
        <w:keepLines/>
        <w:numPr>
          <w:ilvl w:val="2"/>
          <w:numId w:val="0"/>
        </w:numPr>
        <w:tabs>
          <w:tab w:val="left" w:pos="480"/>
        </w:tabs>
        <w:spacing w:line="276" w:lineRule="auto"/>
        <w:outlineLvl w:val="2"/>
        <w:rPr>
          <w:rFonts w:ascii="仿宋" w:hAnsi="仿宋" w:eastAsia="仿宋"/>
          <w:kern w:val="0"/>
          <w:sz w:val="24"/>
          <w:szCs w:val="24"/>
        </w:rPr>
      </w:pPr>
      <w:r>
        <w:rPr>
          <w:rFonts w:hint="eastAsia" w:ascii="仿宋" w:hAnsi="仿宋" w:eastAsia="仿宋"/>
          <w:kern w:val="0"/>
          <w:sz w:val="24"/>
          <w:szCs w:val="24"/>
        </w:rPr>
        <w:t>考核标准及办法</w:t>
      </w:r>
    </w:p>
    <w:tbl>
      <w:tblPr>
        <w:tblStyle w:val="58"/>
        <w:tblW w:w="9045" w:type="dxa"/>
        <w:tblInd w:w="0" w:type="dxa"/>
        <w:tblLayout w:type="fixed"/>
        <w:tblCellMar>
          <w:top w:w="0" w:type="dxa"/>
          <w:left w:w="108" w:type="dxa"/>
          <w:bottom w:w="0" w:type="dxa"/>
          <w:right w:w="108" w:type="dxa"/>
        </w:tblCellMar>
      </w:tblPr>
      <w:tblGrid>
        <w:gridCol w:w="561"/>
        <w:gridCol w:w="1128"/>
        <w:gridCol w:w="686"/>
        <w:gridCol w:w="2978"/>
        <w:gridCol w:w="3692"/>
      </w:tblGrid>
      <w:tr>
        <w:tblPrEx>
          <w:tblCellMar>
            <w:top w:w="0" w:type="dxa"/>
            <w:left w:w="108" w:type="dxa"/>
            <w:bottom w:w="0" w:type="dxa"/>
            <w:right w:w="108" w:type="dxa"/>
          </w:tblCellMar>
        </w:tblPrEx>
        <w:trPr>
          <w:trHeight w:val="330" w:hRule="atLeast"/>
          <w:tblHead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仿宋" w:hAnsi="仿宋" w:eastAsia="仿宋" w:cs="宋体"/>
                <w:b/>
                <w:szCs w:val="21"/>
              </w:rPr>
            </w:pPr>
            <w:r>
              <w:rPr>
                <w:rFonts w:hint="eastAsia" w:ascii="仿宋" w:hAnsi="仿宋" w:eastAsia="仿宋" w:cs="宋体"/>
                <w:b/>
                <w:szCs w:val="21"/>
                <w:lang w:bidi="ar"/>
              </w:rPr>
              <w:t>序号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Cs w:val="21"/>
              </w:rPr>
            </w:pPr>
            <w:r>
              <w:rPr>
                <w:rFonts w:hint="eastAsia" w:ascii="仿宋" w:hAnsi="仿宋" w:eastAsia="仿宋" w:cs="宋体"/>
                <w:b/>
                <w:szCs w:val="21"/>
                <w:lang w:bidi="ar"/>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Cs w:val="21"/>
              </w:rPr>
            </w:pPr>
            <w:r>
              <w:rPr>
                <w:rFonts w:hint="eastAsia" w:ascii="仿宋" w:hAnsi="仿宋" w:eastAsia="仿宋" w:cs="宋体"/>
                <w:b/>
                <w:szCs w:val="21"/>
                <w:lang w:bidi="ar"/>
              </w:rPr>
              <w:t>服务内容</w:t>
            </w:r>
          </w:p>
        </w:tc>
        <w:tc>
          <w:tcPr>
            <w:tcW w:w="297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Cs w:val="21"/>
              </w:rPr>
            </w:pPr>
            <w:r>
              <w:rPr>
                <w:rFonts w:hint="eastAsia" w:ascii="仿宋" w:hAnsi="仿宋" w:eastAsia="仿宋" w:cs="宋体"/>
                <w:b/>
                <w:szCs w:val="21"/>
                <w:lang w:bidi="ar"/>
              </w:rPr>
              <w:t>服务说明</w:t>
            </w:r>
          </w:p>
        </w:tc>
        <w:tc>
          <w:tcPr>
            <w:tcW w:w="369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Cs w:val="21"/>
              </w:rPr>
            </w:pPr>
            <w:r>
              <w:rPr>
                <w:rFonts w:hint="eastAsia" w:ascii="仿宋" w:hAnsi="仿宋" w:eastAsia="仿宋" w:cs="宋体"/>
                <w:b/>
                <w:szCs w:val="21"/>
                <w:lang w:bidi="ar"/>
              </w:rPr>
              <w:t>扣分说明</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1</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服务团队</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按照用户要求提供相应数量、资质的人员</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2</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方案计划</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依照要求制定、更新服务方案和服务计划</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3</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方案计划的执行</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根据制定的服务方案、服务计划提供完整、可靠、优质的各类服务</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4</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根据制定的建设方案及进度计划进行项目建设</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5</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服务报告</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定期按照用户要求提交服务报告，不定期按照用户需求提交项目建设进度报告</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6</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应急演练</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根据制定的应急预案进行应急演练</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7</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服务团队</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项目经理、主管、工程师等应按预设规定和用户要求进行日常签到或考勤</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8</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安全管理</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服务期间，应尽量避免系统出现安全问题；系统出现安全问题后应及时按照预设流程或应急方案进行处置，做好记录；事后应进行专题分析，提交专题报告，并优化系统</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9</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服务期间，应尽量避免设备设施出现安全问题；设备设施出现安全问题后应及时按照预设流程或应急方案采取补救措施，做好记录；事后应进行专题分析，提交专题报告</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10</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服务响应</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11</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Cs w:val="21"/>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用户投诉</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受到用户单位接待对象、用户上级单位或用户投诉</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12</w:t>
            </w:r>
          </w:p>
        </w:tc>
        <w:tc>
          <w:tcPr>
            <w:tcW w:w="1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赛事收尾</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按照用户要求进行赛后资料收集整理、相关系统及数据移交、配合项目审计等相关工作</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Cs w:val="21"/>
              </w:rPr>
            </w:pPr>
            <w:r>
              <w:rPr>
                <w:rFonts w:hint="eastAsia" w:ascii="仿宋" w:hAnsi="仿宋" w:eastAsia="仿宋" w:cs="宋体"/>
                <w:szCs w:val="21"/>
                <w:lang w:bidi="ar"/>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FF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FF0000"/>
          <w:sz w:val="24"/>
          <w:szCs w:val="24"/>
        </w:rPr>
        <w:t xml:space="preserve">。 </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1.8 付款方式</w:t>
      </w:r>
    </w:p>
    <w:p>
      <w:pPr>
        <w:spacing w:line="276" w:lineRule="auto"/>
        <w:ind w:firstLine="560"/>
        <w:rPr>
          <w:rFonts w:ascii="仿宋" w:hAnsi="仿宋" w:eastAsia="仿宋"/>
          <w:sz w:val="24"/>
          <w:szCs w:val="24"/>
        </w:rPr>
      </w:pPr>
      <w:r>
        <w:rPr>
          <w:rFonts w:hint="eastAsia" w:ascii="仿宋" w:hAnsi="仿宋" w:eastAsia="仿宋"/>
          <w:bCs/>
          <w:sz w:val="24"/>
          <w:szCs w:val="24"/>
        </w:rPr>
        <w:t>按照合同约定执行。</w:t>
      </w:r>
    </w:p>
    <w:p>
      <w:pPr>
        <w:keepNext/>
        <w:keepLines/>
        <w:numPr>
          <w:ilvl w:val="1"/>
          <w:numId w:val="0"/>
        </w:numPr>
        <w:spacing w:before="240" w:beforeLines="100" w:line="276" w:lineRule="auto"/>
        <w:ind w:right="-29" w:rightChars="-14"/>
        <w:outlineLvl w:val="1"/>
        <w:rPr>
          <w:rFonts w:ascii="仿宋" w:hAnsi="仿宋" w:eastAsia="仿宋"/>
          <w:b/>
          <w:bCs/>
          <w:sz w:val="28"/>
          <w:szCs w:val="24"/>
        </w:rPr>
      </w:pPr>
      <w:r>
        <w:rPr>
          <w:rFonts w:hint="eastAsia" w:ascii="仿宋" w:hAnsi="仿宋" w:eastAsia="仿宋"/>
          <w:b/>
          <w:bCs/>
          <w:sz w:val="28"/>
          <w:szCs w:val="24"/>
        </w:rPr>
        <w:t>1.9 违约责任</w:t>
      </w:r>
    </w:p>
    <w:p>
      <w:pPr>
        <w:spacing w:line="276" w:lineRule="auto"/>
        <w:ind w:firstLine="560"/>
        <w:rPr>
          <w:rFonts w:ascii="仿宋" w:hAnsi="仿宋" w:eastAsia="仿宋"/>
          <w:sz w:val="24"/>
          <w:szCs w:val="24"/>
        </w:rPr>
      </w:pPr>
      <w:r>
        <w:rPr>
          <w:rFonts w:hint="eastAsia" w:ascii="仿宋" w:hAnsi="仿宋" w:eastAsia="仿宋"/>
          <w:sz w:val="24"/>
          <w:szCs w:val="24"/>
        </w:rPr>
        <w:t>一、甲乙双方应遵守并执行合同中的各项规定，保证合同的正常履行。</w:t>
      </w:r>
    </w:p>
    <w:p>
      <w:pPr>
        <w:spacing w:line="276" w:lineRule="auto"/>
        <w:ind w:firstLine="560"/>
        <w:rPr>
          <w:rFonts w:ascii="仿宋" w:hAnsi="仿宋" w:eastAsia="仿宋"/>
          <w:sz w:val="24"/>
          <w:szCs w:val="24"/>
        </w:rPr>
      </w:pPr>
      <w:r>
        <w:rPr>
          <w:rFonts w:hint="eastAsia" w:ascii="仿宋" w:hAnsi="仿宋" w:eastAsia="仿宋"/>
          <w:sz w:val="24"/>
          <w:szCs w:val="24"/>
        </w:rPr>
        <w:t>二、如因乙方工作人员在履行职务过程中出现影响甲方正常交易的情况，应当按照合同考核方式执行。由此而导致的甲方对任何第三方的法律责任等，乙方对此均应承担全部的赔偿责任。</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28"/>
          <w:szCs w:val="28"/>
          <w:u w:val="single"/>
        </w:rPr>
      </w:pPr>
      <w:r>
        <w:rPr>
          <w:rFonts w:ascii="仿宋" w:hAnsi="仿宋" w:eastAsia="仿宋"/>
          <w:b/>
          <w:bCs/>
          <w:sz w:val="28"/>
          <w:szCs w:val="28"/>
        </w:rPr>
        <w:t>1.10</w:t>
      </w:r>
      <w:r>
        <w:rPr>
          <w:rFonts w:ascii="仿宋" w:hAnsi="仿宋" w:eastAsia="仿宋"/>
          <w:bCs/>
          <w:sz w:val="28"/>
          <w:szCs w:val="28"/>
        </w:rPr>
        <w:t xml:space="preserve"> </w:t>
      </w:r>
      <w:r>
        <w:rPr>
          <w:rFonts w:hint="eastAsia" w:ascii="仿宋" w:hAnsi="仿宋" w:eastAsia="仿宋"/>
          <w:bCs/>
          <w:sz w:val="28"/>
          <w:szCs w:val="28"/>
        </w:rPr>
        <w:t>▲</w:t>
      </w:r>
      <w:r>
        <w:rPr>
          <w:rFonts w:hint="eastAsia" w:ascii="仿宋" w:hAnsi="仿宋" w:eastAsia="仿宋"/>
          <w:b/>
          <w:sz w:val="28"/>
          <w:szCs w:val="28"/>
          <w:u w:val="single"/>
        </w:rPr>
        <w:t>投标人须对以下要求单独做出承诺函（承诺函格式自拟）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p>
      <w:pPr>
        <w:spacing w:line="276" w:lineRule="auto"/>
        <w:ind w:firstLine="560"/>
        <w:rPr>
          <w:rFonts w:ascii="仿宋" w:hAnsi="仿宋" w:eastAsia="仿宋"/>
          <w:b/>
          <w:sz w:val="24"/>
          <w:szCs w:val="24"/>
        </w:rPr>
      </w:pPr>
    </w:p>
    <w:p>
      <w:pPr>
        <w:spacing w:line="276" w:lineRule="auto"/>
        <w:ind w:firstLine="560"/>
        <w:rPr>
          <w:rFonts w:ascii="仿宋" w:hAnsi="仿宋" w:eastAsia="仿宋"/>
          <w:b/>
          <w:sz w:val="24"/>
          <w:szCs w:val="24"/>
        </w:rPr>
      </w:pPr>
    </w:p>
    <w:p>
      <w:pPr>
        <w:rPr>
          <w:rFonts w:ascii="仿宋" w:hAnsi="仿宋" w:eastAsia="仿宋"/>
          <w:color w:val="000000" w:themeColor="text1"/>
          <w:sz w:val="28"/>
          <w:szCs w:val="28"/>
          <w14:textFill>
            <w14:solidFill>
              <w14:schemeClr w14:val="tx1"/>
            </w14:solidFill>
          </w14:textFill>
        </w:rPr>
      </w:pPr>
    </w:p>
    <w:p>
      <w:pPr>
        <w:pStyle w:val="54"/>
        <w:jc w:val="left"/>
        <w:rPr>
          <w:rFonts w:ascii="宋体" w:hAnsi="宋体"/>
          <w:color w:val="000000" w:themeColor="text1"/>
          <w14:textFill>
            <w14:solidFill>
              <w14:schemeClr w14:val="tx1"/>
            </w14:solidFill>
          </w14:textFill>
        </w:rPr>
      </w:pPr>
      <w:r>
        <w:rPr>
          <w:rFonts w:hint="eastAsia" w:hAnsi="宋体"/>
          <w:b w:val="0"/>
          <w:color w:val="000000" w:themeColor="text1"/>
          <w:sz w:val="36"/>
          <w:szCs w:val="36"/>
          <w14:textFill>
            <w14:solidFill>
              <w14:schemeClr w14:val="tx1"/>
            </w14:solidFill>
          </w14:textFill>
        </w:rPr>
        <w:t xml:space="preserve">        </w:t>
      </w:r>
      <w:bookmarkStart w:id="40" w:name="_Toc51935131"/>
      <w:r>
        <w:rPr>
          <w:rFonts w:hAnsi="宋体"/>
          <w:color w:val="000000" w:themeColor="text1"/>
          <w:sz w:val="36"/>
          <w:szCs w:val="36"/>
          <w14:textFill>
            <w14:solidFill>
              <w14:schemeClr w14:val="tx1"/>
            </w14:solidFill>
          </w14:textFill>
        </w:rPr>
        <w:t xml:space="preserve"> </w:t>
      </w:r>
      <w:bookmarkStart w:id="41" w:name="_Toc51935132"/>
      <w:r>
        <w:rPr>
          <w:rFonts w:hint="eastAsia" w:hAnsi="宋体"/>
          <w:color w:val="000000" w:themeColor="text1"/>
          <w:sz w:val="36"/>
          <w:szCs w:val="36"/>
          <w14:textFill>
            <w14:solidFill>
              <w14:schemeClr w14:val="tx1"/>
            </w14:solidFill>
          </w14:textFill>
        </w:rPr>
        <w:t xml:space="preserve">    </w:t>
      </w:r>
      <w:r>
        <w:rPr>
          <w:rFonts w:hint="eastAsia" w:ascii="仿宋" w:hAnsi="仿宋" w:eastAsia="仿宋"/>
          <w:color w:val="000000" w:themeColor="text1"/>
          <w:sz w:val="36"/>
          <w:szCs w:val="36"/>
          <w14:textFill>
            <w14:solidFill>
              <w14:schemeClr w14:val="tx1"/>
            </w14:solidFill>
          </w14:textFill>
        </w:rPr>
        <w:t xml:space="preserve">第五章  </w:t>
      </w:r>
      <w:r>
        <w:rPr>
          <w:rFonts w:hint="eastAsia" w:ascii="宋体" w:hAnsi="宋体"/>
          <w:color w:val="000000" w:themeColor="text1"/>
          <w14:textFill>
            <w14:solidFill>
              <w14:schemeClr w14:val="tx1"/>
            </w14:solidFill>
          </w14:textFill>
        </w:rPr>
        <w:t>采购合同</w:t>
      </w:r>
      <w:bookmarkEnd w:id="40"/>
      <w:bookmarkEnd w:id="41"/>
    </w:p>
    <w:p>
      <w:pPr>
        <w:spacing w:line="360" w:lineRule="auto"/>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合同编号：</w:t>
      </w:r>
    </w:p>
    <w:p>
      <w:pPr>
        <w:spacing w:line="440" w:lineRule="exact"/>
        <w:rPr>
          <w:rFonts w:ascii="宋体" w:hAnsi="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采购单位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中标单位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为了保证本合同项目的顺利进行，根据《中华人民共和国政府采购法》、《中华人民共和国合同法》等相关法律、法规的规定及甲方关于“     </w:t>
      </w:r>
      <w:r>
        <w:rPr>
          <w:rFonts w:hint="eastAsia" w:ascii="宋体" w:hAnsi="宋体" w:cs="宋体"/>
          <w:bCs/>
          <w:color w:val="000000" w:themeColor="text1"/>
          <w:u w:val="single"/>
          <w14:textFill>
            <w14:solidFill>
              <w14:schemeClr w14:val="tx1"/>
            </w14:solidFill>
          </w14:textFill>
        </w:rPr>
        <w:t>”</w:t>
      </w:r>
      <w:r>
        <w:rPr>
          <w:rFonts w:hint="eastAsia" w:ascii="宋体" w:hAnsi="宋体" w:cs="宋体"/>
          <w:bCs/>
          <w:color w:val="000000" w:themeColor="text1"/>
          <w14:textFill>
            <w14:solidFill>
              <w14:schemeClr w14:val="tx1"/>
            </w14:solidFill>
          </w14:textFill>
        </w:rPr>
        <w:t>项目的招标结果和招标文件</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招标编号：ZB2021-03</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的要求，经甲乙双方协商一致，签订本合同，共同遵守。</w:t>
      </w:r>
    </w:p>
    <w:p>
      <w:pPr>
        <w:tabs>
          <w:tab w:val="left" w:pos="900"/>
        </w:tabs>
        <w:spacing w:line="440" w:lineRule="exact"/>
        <w:ind w:firstLine="474" w:firstLineChars="225"/>
        <w:rPr>
          <w:rFonts w:ascii="宋体" w:hAnsi="宋体" w:cs="宋体"/>
          <w:b/>
          <w:color w:val="000000" w:themeColor="text1"/>
          <w14:textFill>
            <w14:solidFill>
              <w14:schemeClr w14:val="tx1"/>
            </w14:solidFill>
          </w14:textFill>
        </w:rPr>
      </w:pPr>
      <w:bookmarkStart w:id="42" w:name="_Toc24810"/>
      <w:bookmarkStart w:id="43" w:name="_Toc16824"/>
      <w:r>
        <w:rPr>
          <w:rFonts w:ascii="宋体" w:hAnsi="宋体" w:cs="宋体"/>
          <w:b/>
          <w:color w:val="000000" w:themeColor="text1"/>
          <w14:textFill>
            <w14:solidFill>
              <w14:schemeClr w14:val="tx1"/>
            </w14:solidFill>
          </w14:textFill>
        </w:rPr>
        <w:t>1.</w:t>
      </w:r>
      <w:r>
        <w:rPr>
          <w:rFonts w:hint="eastAsia" w:ascii="宋体" w:hAnsi="宋体" w:cs="宋体"/>
          <w:b/>
          <w:color w:val="000000" w:themeColor="text1"/>
          <w14:textFill>
            <w14:solidFill>
              <w14:schemeClr w14:val="tx1"/>
            </w14:solidFill>
          </w14:textFill>
        </w:rPr>
        <w:t>定义</w:t>
      </w:r>
      <w:bookmarkEnd w:id="42"/>
      <w:bookmarkEnd w:id="43"/>
    </w:p>
    <w:p>
      <w:pPr>
        <w:tabs>
          <w:tab w:val="left" w:pos="900"/>
        </w:tabs>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本合同中的下列术语应解释为：</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“合同”系指本合同，包括本合同附带的所有附件、附录和构成合同的其它文件，除非另有特别说明或限定。</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“合同款”系指根据本合同约定，甲方需就乙方提供的服务内容向乙方支付的款项。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14:textFill>
            <w14:solidFill>
              <w14:schemeClr w14:val="tx1"/>
            </w14:solidFill>
          </w14:textFill>
        </w:rPr>
        <w:t>“人员”系指作为雇员由乙方雇佣并被分配执行本合同服务内容的人员。</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“服务”系指由乙方根据本合同服务内容要求所实施的工作。</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14:textFill>
            <w14:solidFill>
              <w14:schemeClr w14:val="tx1"/>
            </w14:solidFill>
          </w14:textFill>
        </w:rPr>
        <w:t>“甲方”系指与供应单位签署服务合同的单位（含最终用户），即买方。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14:textFill>
            <w14:solidFill>
              <w14:schemeClr w14:val="tx1"/>
            </w14:solidFill>
          </w14:textFill>
        </w:rPr>
        <w:t>“乙方”系指根据合同约定提供服务的供应单位，即卖方。</w:t>
      </w:r>
    </w:p>
    <w:p>
      <w:pPr>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“现场”系指合同约定服务内容实施地点。</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14:textFill>
            <w14:solidFill>
              <w14:schemeClr w14:val="tx1"/>
            </w14:solidFill>
          </w14:textFill>
        </w:rPr>
        <w:t>“必要的支持”系为保证乙方执行合同项下的服务所必须，甲方免费提供的数据、服务、设备以及便利。</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t>“项目”系指“”项目。</w:t>
      </w:r>
    </w:p>
    <w:p>
      <w:pPr>
        <w:tabs>
          <w:tab w:val="left" w:pos="851"/>
        </w:tabs>
        <w:spacing w:line="440" w:lineRule="exact"/>
        <w:ind w:firstLine="422" w:firstLineChars="200"/>
        <w:rPr>
          <w:rFonts w:ascii="宋体" w:hAnsi="宋体" w:cs="宋体"/>
          <w:b/>
          <w:color w:val="000000" w:themeColor="text1"/>
          <w14:textFill>
            <w14:solidFill>
              <w14:schemeClr w14:val="tx1"/>
            </w14:solidFill>
          </w14:textFill>
        </w:rPr>
      </w:pPr>
      <w:bookmarkStart w:id="44" w:name="_Toc2368"/>
      <w:bookmarkStart w:id="45" w:name="_Toc32760"/>
      <w:r>
        <w:rPr>
          <w:rFonts w:hint="eastAsia" w:ascii="宋体" w:hAnsi="宋体" w:cs="宋体"/>
          <w:b/>
          <w:color w:val="000000" w:themeColor="text1"/>
          <w:kern w:val="0"/>
          <w14:textFill>
            <w14:solidFill>
              <w14:schemeClr w14:val="tx1"/>
            </w14:solidFill>
          </w14:textFill>
        </w:rPr>
        <w:t>2.</w:t>
      </w:r>
      <w:r>
        <w:rPr>
          <w:rFonts w:hint="eastAsia" w:ascii="宋体" w:hAnsi="宋体" w:cs="宋体"/>
          <w:b/>
          <w:color w:val="000000" w:themeColor="text1"/>
          <w14:textFill>
            <w14:solidFill>
              <w14:schemeClr w14:val="tx1"/>
            </w14:solidFill>
          </w14:textFill>
        </w:rPr>
        <w:t>项目概况：</w:t>
      </w:r>
    </w:p>
    <w:p>
      <w:pPr>
        <w:tabs>
          <w:tab w:val="left" w:pos="851"/>
        </w:tabs>
        <w:spacing w:line="440" w:lineRule="exact"/>
        <w:ind w:firstLine="422" w:firstLineChars="200"/>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3.服务内容：</w:t>
      </w:r>
    </w:p>
    <w:p>
      <w:pPr>
        <w:tabs>
          <w:tab w:val="left" w:pos="851"/>
        </w:tabs>
        <w:spacing w:line="440" w:lineRule="exact"/>
        <w:ind w:firstLine="42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 项目服务要求，详见本合同附件。</w:t>
      </w:r>
    </w:p>
    <w:bookmarkEnd w:id="44"/>
    <w:bookmarkEnd w:id="45"/>
    <w:p>
      <w:pPr>
        <w:tabs>
          <w:tab w:val="left" w:pos="5865"/>
        </w:tabs>
        <w:spacing w:line="440" w:lineRule="exact"/>
        <w:ind w:firstLine="422" w:firstLineChars="200"/>
        <w:rPr>
          <w:rFonts w:ascii="宋体" w:hAnsi="宋体" w:cs="宋体"/>
          <w:b/>
          <w:color w:val="000000" w:themeColor="text1"/>
          <w14:textFill>
            <w14:solidFill>
              <w14:schemeClr w14:val="tx1"/>
            </w14:solidFill>
          </w14:textFill>
        </w:rPr>
      </w:pPr>
      <w:bookmarkStart w:id="46" w:name="_Toc2258"/>
      <w:bookmarkStart w:id="47" w:name="_Toc14579"/>
      <w:r>
        <w:rPr>
          <w:rFonts w:ascii="宋体" w:hAnsi="宋体" w:cs="宋体"/>
          <w:b/>
          <w:color w:val="000000" w:themeColor="text1"/>
          <w14:textFill>
            <w14:solidFill>
              <w14:schemeClr w14:val="tx1"/>
            </w14:solidFill>
          </w14:textFill>
        </w:rPr>
        <w:t xml:space="preserve">5. </w:t>
      </w:r>
      <w:r>
        <w:rPr>
          <w:rFonts w:hint="eastAsia" w:ascii="宋体" w:hAnsi="宋体" w:cs="宋体"/>
          <w:b/>
          <w:color w:val="000000" w:themeColor="text1"/>
          <w14:textFill>
            <w14:solidFill>
              <w14:schemeClr w14:val="tx1"/>
            </w14:solidFill>
          </w14:textFill>
        </w:rPr>
        <w:t>双方权利和义务</w:t>
      </w:r>
      <w:bookmarkEnd w:id="46"/>
      <w:bookmarkEnd w:id="47"/>
      <w:r>
        <w:rPr>
          <w:rFonts w:ascii="宋体" w:hAnsi="宋体" w:cs="宋体"/>
          <w:b/>
          <w:color w:val="000000" w:themeColor="text1"/>
          <w14:textFill>
            <w14:solidFill>
              <w14:schemeClr w14:val="tx1"/>
            </w14:solidFill>
          </w14:textFill>
        </w:rPr>
        <w:tab/>
      </w:r>
    </w:p>
    <w:p>
      <w:pPr>
        <w:tabs>
          <w:tab w:val="left" w:pos="5865"/>
        </w:tabs>
        <w:spacing w:line="440" w:lineRule="exact"/>
        <w:ind w:firstLine="420" w:firstLineChars="200"/>
        <w:rPr>
          <w:rFonts w:ascii="宋体" w:hAnsi="宋体" w:cs="宋体"/>
          <w:b/>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w:t>
      </w:r>
      <w:r>
        <w:rPr>
          <w:rFonts w:hint="eastAsia" w:ascii="宋体" w:hAnsi="宋体" w:cs="宋体"/>
          <w:b/>
          <w:color w:val="000000" w:themeColor="text1"/>
          <w14:textFill>
            <w14:solidFill>
              <w14:schemeClr w14:val="tx1"/>
            </w14:solidFill>
          </w14:textFill>
        </w:rPr>
        <w:t>甲方权利与义务：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5.1.1 </w:t>
      </w:r>
      <w:r>
        <w:rPr>
          <w:rFonts w:hint="eastAsia" w:ascii="宋体" w:hAnsi="宋体" w:cs="宋体"/>
          <w:color w:val="000000" w:themeColor="text1"/>
          <w14:textFill>
            <w14:solidFill>
              <w14:schemeClr w14:val="tx1"/>
            </w14:solidFill>
          </w14:textFill>
        </w:rPr>
        <w:t>甲方有权利对项目活动的相关细节进行监督及了解，决定项目的实施方案。</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5.1.2 </w:t>
      </w:r>
      <w:r>
        <w:rPr>
          <w:rFonts w:hint="eastAsia" w:ascii="宋体" w:hAnsi="宋体" w:cs="宋体"/>
          <w:color w:val="000000" w:themeColor="text1"/>
          <w14:textFill>
            <w14:solidFill>
              <w14:schemeClr w14:val="tx1"/>
            </w14:solidFill>
          </w14:textFill>
        </w:rPr>
        <w:t>甲方有权利根据临时情况向乙方提出活动修改意见，经双方协商后实施。</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w:t>
      </w:r>
      <w:r>
        <w:rPr>
          <w:rFonts w:hint="eastAsia" w:ascii="宋体" w:hAnsi="宋体" w:cs="宋体"/>
          <w:color w:val="000000" w:themeColor="text1"/>
          <w14:textFill>
            <w14:solidFill>
              <w14:schemeClr w14:val="tx1"/>
            </w14:solidFill>
          </w14:textFill>
        </w:rPr>
        <w:t>甲方非因不可抗力因素如需延期开展项目活动，应提前</w:t>
      </w:r>
      <w:r>
        <w:rPr>
          <w:rFonts w:ascii="宋体" w:hAnsi="宋体" w:cs="宋体"/>
          <w:color w:val="000000" w:themeColor="text1"/>
          <w:u w:val="single"/>
          <w14:textFill>
            <w14:solidFill>
              <w14:schemeClr w14:val="tx1"/>
            </w14:solidFill>
          </w14:textFill>
        </w:rPr>
        <w:t xml:space="preserve"> 30</w:t>
      </w:r>
      <w:r>
        <w:rPr>
          <w:rFonts w:hint="eastAsia" w:ascii="宋体" w:hAnsi="宋体" w:cs="宋体"/>
          <w:color w:val="000000" w:themeColor="text1"/>
          <w14:textFill>
            <w14:solidFill>
              <w14:schemeClr w14:val="tx1"/>
            </w14:solidFill>
          </w14:textFill>
        </w:rPr>
        <w:t>日告知乙方，双方协商修改活动安排。</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5.1.4</w:t>
      </w:r>
      <w:r>
        <w:rPr>
          <w:rFonts w:hint="eastAsia" w:ascii="宋体" w:hAnsi="宋体" w:cs="宋体"/>
          <w:color w:val="000000" w:themeColor="text1"/>
          <w14:textFill>
            <w14:solidFill>
              <w14:schemeClr w14:val="tx1"/>
            </w14:solidFill>
          </w14:textFill>
        </w:rPr>
        <w:t>甲方应按照合同约定，积极配合乙方开展工作。</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5.1.5</w:t>
      </w:r>
      <w:r>
        <w:rPr>
          <w:rFonts w:hint="eastAsia" w:ascii="宋体" w:hAnsi="宋体" w:cs="宋体"/>
          <w:color w:val="000000" w:themeColor="text1"/>
          <w14:textFill>
            <w14:solidFill>
              <w14:schemeClr w14:val="tx1"/>
            </w14:solidFill>
          </w14:textFill>
        </w:rPr>
        <w:t>甲方应按合同约定履行付款的义务。</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5.1.6</w:t>
      </w:r>
      <w:r>
        <w:rPr>
          <w:rFonts w:hint="eastAsia" w:ascii="宋体" w:hAnsi="宋体" w:cs="宋体"/>
          <w:color w:val="000000" w:themeColor="text1"/>
          <w14:textFill>
            <w14:solidFill>
              <w14:schemeClr w14:val="tx1"/>
            </w14:solidFill>
          </w14:textFill>
        </w:rPr>
        <w:t>甲方应按合同约定履行其他的相应义务。</w:t>
      </w:r>
    </w:p>
    <w:p>
      <w:pPr>
        <w:spacing w:line="440" w:lineRule="exact"/>
        <w:ind w:firstLine="422" w:firstLineChars="200"/>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5.2 </w:t>
      </w:r>
      <w:r>
        <w:rPr>
          <w:rFonts w:hint="eastAsia" w:ascii="宋体" w:hAnsi="宋体" w:cs="宋体"/>
          <w:b/>
          <w:color w:val="000000" w:themeColor="text1"/>
          <w14:textFill>
            <w14:solidFill>
              <w14:schemeClr w14:val="tx1"/>
            </w14:solidFill>
          </w14:textFill>
        </w:rPr>
        <w:t>乙方权利与义务：</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5.2.1</w:t>
      </w:r>
      <w:r>
        <w:rPr>
          <w:rFonts w:hint="eastAsia" w:ascii="宋体" w:hAnsi="宋体" w:cs="宋体"/>
          <w:color w:val="000000" w:themeColor="text1"/>
          <w14:textFill>
            <w14:solidFill>
              <w14:schemeClr w14:val="tx1"/>
            </w14:solidFill>
          </w14:textFill>
        </w:rPr>
        <w:t>乙方负责全部项目的相关策划、组织、实施、调度，确保证项目活动的顺利进行。</w:t>
      </w:r>
    </w:p>
    <w:p>
      <w:pPr>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5.2.2</w:t>
      </w:r>
      <w:r>
        <w:rPr>
          <w:rFonts w:hint="eastAsia" w:ascii="宋体" w:hAnsi="宋体" w:cs="宋体"/>
          <w:color w:val="000000" w:themeColor="text1"/>
          <w14:textFill>
            <w14:solidFill>
              <w14:schemeClr w14:val="tx1"/>
            </w14:solidFill>
          </w14:textFill>
        </w:rPr>
        <w:t>乙方应具备符合提供服务的专业资格，并保证选派的工作人员具备相关的专业能力及较高的素质。</w:t>
      </w:r>
    </w:p>
    <w:p>
      <w:pPr>
        <w:tabs>
          <w:tab w:val="left" w:pos="720"/>
        </w:tabs>
        <w:spacing w:line="44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t>3 乙方应按合同约定履行其他的相应义务。</w:t>
      </w:r>
    </w:p>
    <w:p>
      <w:pPr>
        <w:snapToGrid w:val="0"/>
        <w:spacing w:line="440" w:lineRule="exact"/>
        <w:rPr>
          <w:rFonts w:ascii="宋体" w:hAnsi="宋体" w:cs="宋体"/>
          <w:color w:val="000000" w:themeColor="text1"/>
          <w14:textFill>
            <w14:solidFill>
              <w14:schemeClr w14:val="tx1"/>
            </w14:solidFill>
          </w14:textFill>
        </w:rPr>
      </w:pPr>
      <w:bookmarkStart w:id="48" w:name="_Toc27234"/>
      <w:bookmarkStart w:id="49" w:name="_Toc23580"/>
      <w:r>
        <w:rPr>
          <w:rFonts w:ascii="宋体" w:hAnsi="宋体" w:cs="宋体"/>
          <w:b/>
          <w:bCs/>
          <w:color w:val="000000" w:themeColor="text1"/>
          <w14:textFill>
            <w14:solidFill>
              <w14:schemeClr w14:val="tx1"/>
            </w14:solidFill>
          </w14:textFill>
        </w:rPr>
        <w:t>6.</w:t>
      </w:r>
      <w:r>
        <w:rPr>
          <w:rFonts w:hint="eastAsia" w:ascii="宋体" w:hAnsi="宋体" w:cs="宋体"/>
          <w:b/>
          <w:bCs/>
          <w:color w:val="000000" w:themeColor="text1"/>
          <w14:textFill>
            <w14:solidFill>
              <w14:schemeClr w14:val="tx1"/>
            </w14:solidFill>
          </w14:textFill>
        </w:rPr>
        <w:t>服务费及资金付款进度</w:t>
      </w:r>
      <w:bookmarkEnd w:id="48"/>
      <w:bookmarkEnd w:id="49"/>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6.1 </w:t>
      </w:r>
      <w:r>
        <w:rPr>
          <w:rFonts w:hint="eastAsia" w:ascii="宋体" w:hAnsi="宋体" w:cs="宋体"/>
          <w:color w:val="000000" w:themeColor="text1"/>
          <w14:textFill>
            <w14:solidFill>
              <w14:schemeClr w14:val="tx1"/>
            </w14:solidFill>
          </w14:textFill>
        </w:rPr>
        <w:t>本次项目的费用为人民币     万元，包括但不限于执行该项目所产生的赛事信息服务费用、人员费用、差旅费等所有费用。</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6.2合同签署生效后，在15个工作日内支付合同总价的40%。支付依据：项目合同。</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6.3正式比赛顺利完成后，在15个工作日内支付合同总价的50%。支付依据：服务总结报告、验收证明。</w:t>
      </w:r>
    </w:p>
    <w:p>
      <w:pPr>
        <w:pStyle w:val="157"/>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6.4赛事收尾终验通过后，在15个工作日内支付</w:t>
      </w:r>
      <w:r>
        <w:rPr>
          <w:rFonts w:hint="eastAsia" w:ascii="宋体" w:hAnsi="宋体" w:cs="宋体"/>
          <w:color w:val="000000" w:themeColor="text1"/>
          <w14:textFill>
            <w14:solidFill>
              <w14:schemeClr w14:val="tx1"/>
            </w14:solidFill>
          </w14:textFill>
        </w:rPr>
        <w:t>合同总价的</w:t>
      </w:r>
      <w:r>
        <w:rPr>
          <w:rFonts w:ascii="宋体" w:hAnsi="宋体" w:cs="宋体"/>
          <w:color w:val="000000" w:themeColor="text1"/>
          <w14:textFill>
            <w14:solidFill>
              <w14:schemeClr w14:val="tx1"/>
            </w14:solidFill>
          </w14:textFill>
        </w:rPr>
        <w:t>10%。支付依据：资料移交报告、验收证明。</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w:t>
      </w:r>
      <w:r>
        <w:rPr>
          <w:rFonts w:hint="eastAsia" w:ascii="宋体" w:hAnsi="宋体" w:cs="宋体"/>
          <w:color w:val="000000" w:themeColor="text1"/>
          <w14:textFill>
            <w14:solidFill>
              <w14:schemeClr w14:val="tx1"/>
            </w14:solidFill>
          </w14:textFill>
        </w:rPr>
        <w:t>5银行信息：甲方应将本合同项下所有费用付至乙方以下银行账户。</w:t>
      </w:r>
    </w:p>
    <w:p>
      <w:pPr>
        <w:snapToGrid w:val="0"/>
        <w:spacing w:line="440" w:lineRule="exact"/>
        <w:ind w:left="42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账户名称：XXX</w:t>
      </w:r>
      <w:r>
        <w:rPr>
          <w:rFonts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账号：XXX</w:t>
      </w:r>
    </w:p>
    <w:p>
      <w:pPr>
        <w:snapToGrid w:val="0"/>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开户行： XXX</w:t>
      </w:r>
    </w:p>
    <w:p>
      <w:pPr>
        <w:snapToGrid w:val="0"/>
        <w:spacing w:line="440" w:lineRule="exact"/>
        <w:rPr>
          <w:rFonts w:ascii="宋体" w:hAnsi="宋体" w:cs="宋体"/>
          <w:color w:val="000000" w:themeColor="text1"/>
          <w14:textFill>
            <w14:solidFill>
              <w14:schemeClr w14:val="tx1"/>
            </w14:solidFill>
          </w14:textFill>
        </w:rPr>
      </w:pPr>
      <w:bookmarkStart w:id="50" w:name="_Toc4212"/>
      <w:bookmarkStart w:id="51" w:name="_Toc23438"/>
      <w:r>
        <w:rPr>
          <w:rFonts w:ascii="宋体" w:hAnsi="宋体" w:cs="宋体"/>
          <w:b/>
          <w:bCs/>
          <w:color w:val="000000" w:themeColor="text1"/>
          <w14:textFill>
            <w14:solidFill>
              <w14:schemeClr w14:val="tx1"/>
            </w14:solidFill>
          </w14:textFill>
        </w:rPr>
        <w:t>7.</w:t>
      </w:r>
      <w:r>
        <w:rPr>
          <w:rFonts w:hint="eastAsia" w:ascii="宋体" w:hAnsi="宋体" w:cs="宋体"/>
          <w:b/>
          <w:bCs/>
          <w:color w:val="000000" w:themeColor="text1"/>
          <w14:textFill>
            <w14:solidFill>
              <w14:schemeClr w14:val="tx1"/>
            </w14:solidFill>
          </w14:textFill>
        </w:rPr>
        <w:t>合同终止和违约责任</w:t>
      </w:r>
      <w:bookmarkEnd w:id="50"/>
      <w:bookmarkEnd w:id="51"/>
    </w:p>
    <w:p>
      <w:pPr>
        <w:snapToGrid w:val="0"/>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在下述条件下，本合同书可提前终止：</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7.1 </w:t>
      </w:r>
      <w:r>
        <w:rPr>
          <w:rFonts w:hint="eastAsia" w:ascii="宋体" w:hAnsi="宋体" w:cs="宋体"/>
          <w:color w:val="000000" w:themeColor="text1"/>
          <w14:textFill>
            <w14:solidFill>
              <w14:schemeClr w14:val="tx1"/>
            </w14:solidFill>
          </w14:textFill>
        </w:rPr>
        <w:t>如果一方破产，或正在进行清算程序，或其财产的实质性部分被没收或扣押，则另一方可经书面通知该方而立即终止本合同，并有权要求其赔偿由此造成的损失；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7.2 </w:t>
      </w:r>
      <w:r>
        <w:rPr>
          <w:rFonts w:hint="eastAsia" w:ascii="宋体" w:hAnsi="宋体" w:cs="宋体"/>
          <w:color w:val="000000" w:themeColor="text1"/>
          <w14:textFill>
            <w14:solidFill>
              <w14:schemeClr w14:val="tx1"/>
            </w14:solidFill>
          </w14:textFill>
        </w:rPr>
        <w:t>如果一方的所有权、组织结构、控制与管理发生重大变化，而导致其不能履行本合同的，则另一方可经书面通知该方而立即终止本合同，并有权要求其赔偿由此造成的损失；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7.3 </w:t>
      </w:r>
      <w:r>
        <w:rPr>
          <w:rFonts w:hint="eastAsia" w:ascii="宋体" w:hAnsi="宋体" w:cs="宋体"/>
          <w:color w:val="000000" w:themeColor="text1"/>
          <w14:textFill>
            <w14:solidFill>
              <w14:schemeClr w14:val="tx1"/>
            </w14:solidFill>
          </w14:textFill>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7.4 </w:t>
      </w:r>
      <w:r>
        <w:rPr>
          <w:rFonts w:hint="eastAsia" w:ascii="宋体" w:hAnsi="宋体" w:cs="宋体"/>
          <w:color w:val="000000" w:themeColor="text1"/>
          <w14:textFill>
            <w14:solidFill>
              <w14:schemeClr w14:val="tx1"/>
            </w14:solidFill>
          </w14:textFill>
        </w:rPr>
        <w:t>如果本合同一方不按照合同约定履行义务，则应按照下述规定承担违约责任：</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7.4.1 </w:t>
      </w:r>
      <w:r>
        <w:rPr>
          <w:rFonts w:hint="eastAsia" w:ascii="宋体" w:hAnsi="宋体" w:cs="宋体"/>
          <w:color w:val="000000" w:themeColor="text1"/>
          <w14:textFill>
            <w14:solidFill>
              <w14:schemeClr w14:val="tx1"/>
            </w14:solidFill>
          </w14:textFill>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％的违约金。</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7.4.2 </w:t>
      </w:r>
      <w:r>
        <w:rPr>
          <w:rFonts w:hint="eastAsia" w:ascii="宋体" w:hAnsi="宋体" w:cs="宋体"/>
          <w:color w:val="000000" w:themeColor="text1"/>
          <w14:textFill>
            <w14:solidFill>
              <w14:schemeClr w14:val="tx1"/>
            </w14:solidFill>
          </w14:textFill>
        </w:rPr>
        <w:t>甲方应当根据本合同约定按时向乙方付款，无正当理由迟延付款的，每迟延支付一日，应支付迟延付款金额</w:t>
      </w:r>
      <w:r>
        <w:rPr>
          <w:rFonts w:ascii="宋体" w:hAnsi="宋体" w:cs="宋体"/>
          <w:color w:val="000000" w:themeColor="text1"/>
          <w14:textFill>
            <w14:solidFill>
              <w14:schemeClr w14:val="tx1"/>
            </w14:solidFill>
          </w14:textFill>
        </w:rPr>
        <w:t>0.1</w:t>
      </w:r>
      <w:r>
        <w:rPr>
          <w:rFonts w:hint="eastAsia" w:ascii="宋体" w:hAnsi="宋体" w:cs="宋体"/>
          <w:color w:val="000000" w:themeColor="text1"/>
          <w14:textFill>
            <w14:solidFill>
              <w14:schemeClr w14:val="tx1"/>
            </w14:solidFill>
          </w14:textFill>
        </w:rPr>
        <w:t>‰的违约金。</w:t>
      </w:r>
    </w:p>
    <w:p>
      <w:pPr>
        <w:snapToGrid w:val="0"/>
        <w:spacing w:line="440" w:lineRule="exact"/>
        <w:rPr>
          <w:rFonts w:ascii="宋体" w:hAnsi="宋体" w:cs="宋体"/>
          <w:b/>
          <w:bCs/>
          <w:color w:val="000000" w:themeColor="text1"/>
          <w14:textFill>
            <w14:solidFill>
              <w14:schemeClr w14:val="tx1"/>
            </w14:solidFill>
          </w14:textFill>
        </w:rPr>
      </w:pPr>
      <w:bookmarkStart w:id="52" w:name="_Toc29778"/>
      <w:bookmarkStart w:id="53" w:name="_Toc27960"/>
      <w:r>
        <w:rPr>
          <w:rFonts w:ascii="宋体" w:hAnsi="宋体" w:cs="宋体"/>
          <w:b/>
          <w:bCs/>
          <w:color w:val="000000" w:themeColor="text1"/>
          <w14:textFill>
            <w14:solidFill>
              <w14:schemeClr w14:val="tx1"/>
            </w14:solidFill>
          </w14:textFill>
        </w:rPr>
        <w:t>8.</w:t>
      </w:r>
      <w:r>
        <w:rPr>
          <w:rFonts w:hint="eastAsia" w:ascii="宋体" w:hAnsi="宋体" w:cs="宋体"/>
          <w:b/>
          <w:bCs/>
          <w:color w:val="000000" w:themeColor="text1"/>
          <w14:textFill>
            <w14:solidFill>
              <w14:schemeClr w14:val="tx1"/>
            </w14:solidFill>
          </w14:textFill>
        </w:rPr>
        <w:t>不可抗力</w:t>
      </w:r>
      <w:bookmarkEnd w:id="52"/>
      <w:bookmarkEnd w:id="53"/>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8.1 </w:t>
      </w:r>
      <w:r>
        <w:rPr>
          <w:rFonts w:hint="eastAsia" w:ascii="宋体" w:hAnsi="宋体" w:cs="宋体"/>
          <w:color w:val="000000" w:themeColor="text1"/>
          <w14:textFill>
            <w14:solidFill>
              <w14:schemeClr w14:val="tx1"/>
            </w14:solidFill>
          </w14:textFill>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8.2 </w:t>
      </w:r>
      <w:r>
        <w:rPr>
          <w:rFonts w:hint="eastAsia" w:ascii="宋体" w:hAnsi="宋体" w:cs="宋体"/>
          <w:color w:val="000000" w:themeColor="text1"/>
          <w14:textFill>
            <w14:solidFill>
              <w14:schemeClr w14:val="tx1"/>
            </w14:solidFill>
          </w14:textFill>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pPr>
        <w:snapToGrid w:val="0"/>
        <w:spacing w:line="44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8.3 </w:t>
      </w:r>
      <w:r>
        <w:rPr>
          <w:rFonts w:hint="eastAsia" w:ascii="宋体" w:hAnsi="宋体" w:cs="宋体"/>
          <w:color w:val="000000" w:themeColor="text1"/>
          <w14:textFill>
            <w14:solidFill>
              <w14:schemeClr w14:val="tx1"/>
            </w14:solidFill>
          </w14:textFill>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pPr>
        <w:autoSpaceDE w:val="0"/>
        <w:autoSpaceDN w:val="0"/>
        <w:adjustRightInd w:val="0"/>
        <w:spacing w:line="440" w:lineRule="exact"/>
        <w:ind w:firstLine="413" w:firstLineChars="196"/>
        <w:rPr>
          <w:rFonts w:ascii="宋体" w:hAnsi="宋体"/>
          <w:b/>
          <w:bCs/>
          <w:color w:val="000000" w:themeColor="text1"/>
          <w:kern w:val="0"/>
          <w14:textFill>
            <w14:solidFill>
              <w14:schemeClr w14:val="tx1"/>
            </w14:solidFill>
          </w14:textFill>
        </w:rPr>
      </w:pPr>
      <w:bookmarkStart w:id="54" w:name="_Toc7221"/>
      <w:bookmarkStart w:id="55" w:name="_Toc12058"/>
      <w:r>
        <w:rPr>
          <w:rFonts w:ascii="宋体" w:hAnsi="宋体" w:cs="宋体"/>
          <w:b/>
          <w:bCs/>
          <w:color w:val="000000" w:themeColor="text1"/>
          <w:kern w:val="0"/>
          <w:lang w:val="zh-CN"/>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知识产权、保密</w:t>
      </w:r>
      <w:bookmarkEnd w:id="54"/>
      <w:bookmarkEnd w:id="55"/>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lang w:val="zh-CN"/>
          <w14:textFill>
            <w14:solidFill>
              <w14:schemeClr w14:val="tx1"/>
            </w14:solidFill>
          </w14:textFill>
        </w:rPr>
        <w:t>合同双方保证，一方向另一方提供的文件、资料不会侵犯任何第三方的知识产权或其他合法权益，若因此给另一方造成损失的，由提供方依法承担相应法律责任。</w:t>
      </w:r>
    </w:p>
    <w:p>
      <w:pPr>
        <w:autoSpaceDE w:val="0"/>
        <w:autoSpaceDN w:val="0"/>
        <w:adjustRightInd w:val="0"/>
        <w:spacing w:line="440" w:lineRule="exact"/>
        <w:ind w:firstLine="560"/>
        <w:rPr>
          <w:rFonts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甲方享有本合同项下</w:t>
      </w:r>
      <w:r>
        <w:rPr>
          <w:rFonts w:hint="eastAsia" w:ascii="宋体" w:hAnsi="宋体"/>
          <w:b/>
          <w:color w:val="000000" w:themeColor="text1"/>
          <w14:textFill>
            <w14:solidFill>
              <w14:schemeClr w14:val="tx1"/>
            </w14:solidFill>
          </w14:textFill>
        </w:rPr>
        <w:t>所涉及到的技术成果、开发平台、关键技术、秘密信息、技术资料、文件</w:t>
      </w:r>
      <w:r>
        <w:rPr>
          <w:rFonts w:hint="eastAsia" w:ascii="宋体" w:hAnsi="宋体" w:cs="宋体"/>
          <w:color w:val="000000" w:themeColor="text1"/>
          <w:kern w:val="0"/>
          <w:lang w:val="zh-CN"/>
          <w14:textFill>
            <w14:solidFill>
              <w14:schemeClr w14:val="tx1"/>
            </w14:solidFill>
          </w14:textFill>
        </w:rPr>
        <w:t>等内容的完整的知识产权，未经甲方书面确认，乙方不得转让、许可或以其他方式提供给任何第三方使用；否则，甲方有权解除合同并依法追究乙方违约责任。</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lang w:val="zh-CN"/>
          <w14:textFill>
            <w14:solidFill>
              <w14:schemeClr w14:val="tx1"/>
            </w14:solidFill>
          </w14:textFill>
        </w:rPr>
        <w:t>本合同涉及的文件、资料内容属于甲方商业秘密，除为履行本合同所必须外，未经甲方授权乙方无权向第三方公开。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w:t>
      </w:r>
      <w:r>
        <w:rPr>
          <w:rFonts w:hint="eastAsia" w:ascii="宋体" w:hAnsi="宋体" w:cs="宋体"/>
          <w:color w:val="000000" w:themeColor="text1"/>
          <w:kern w:val="0"/>
          <w:lang w:val="zh-CN"/>
          <w14:textFill>
            <w14:solidFill>
              <w14:schemeClr w14:val="tx1"/>
            </w14:solidFill>
          </w14:textFill>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9.4.1</w:t>
      </w:r>
      <w:r>
        <w:rPr>
          <w:rFonts w:hint="eastAsia" w:ascii="宋体" w:hAnsi="宋体" w:cs="宋体"/>
          <w:color w:val="000000" w:themeColor="text1"/>
          <w:kern w:val="0"/>
          <w:lang w:val="zh-CN"/>
          <w14:textFill>
            <w14:solidFill>
              <w14:schemeClr w14:val="tx1"/>
            </w14:solidFill>
          </w14:textFill>
        </w:rPr>
        <w:t>依法律法规的规定；</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9.4.2 </w:t>
      </w:r>
      <w:r>
        <w:rPr>
          <w:rFonts w:hint="eastAsia" w:ascii="宋体" w:hAnsi="宋体" w:cs="宋体"/>
          <w:color w:val="000000" w:themeColor="text1"/>
          <w:kern w:val="0"/>
          <w:lang w:val="zh-CN"/>
          <w14:textFill>
            <w14:solidFill>
              <w14:schemeClr w14:val="tx1"/>
            </w14:solidFill>
          </w14:textFill>
        </w:rPr>
        <w:t>依任何有管辖权的政府机关、监管机构或自律组织的要求；</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9.4.3</w:t>
      </w:r>
      <w:r>
        <w:rPr>
          <w:rFonts w:hint="eastAsia" w:ascii="宋体" w:hAnsi="宋体" w:cs="宋体"/>
          <w:color w:val="000000" w:themeColor="text1"/>
          <w:kern w:val="0"/>
          <w:lang w:val="zh-CN"/>
          <w14:textFill>
            <w14:solidFill>
              <w14:schemeClr w14:val="tx1"/>
            </w14:solidFill>
          </w14:textFill>
        </w:rPr>
        <w:t>在收到对方披露的保密信息之时或之前已从对该保密信息无保密义务的第三方合法知悉该信息；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9.4.4 </w:t>
      </w:r>
      <w:r>
        <w:rPr>
          <w:rFonts w:hint="eastAsia" w:ascii="宋体" w:hAnsi="宋体" w:cs="宋体"/>
          <w:color w:val="000000" w:themeColor="text1"/>
          <w:kern w:val="0"/>
          <w:lang w:val="zh-CN"/>
          <w14:textFill>
            <w14:solidFill>
              <w14:schemeClr w14:val="tx1"/>
            </w14:solidFill>
          </w14:textFill>
        </w:rPr>
        <w:t>非因乙方过错，而使信息已经公开；</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9.4.5</w:t>
      </w:r>
      <w:r>
        <w:rPr>
          <w:rFonts w:hint="eastAsia" w:ascii="宋体" w:hAnsi="宋体" w:cs="宋体"/>
          <w:color w:val="000000" w:themeColor="text1"/>
          <w:kern w:val="0"/>
          <w:lang w:val="zh-CN"/>
          <w14:textFill>
            <w14:solidFill>
              <w14:schemeClr w14:val="tx1"/>
            </w14:solidFill>
          </w14:textFill>
        </w:rPr>
        <w:t>合同双方事先达成书面认可；</w:t>
      </w:r>
    </w:p>
    <w:p>
      <w:pPr>
        <w:autoSpaceDE w:val="0"/>
        <w:autoSpaceDN w:val="0"/>
        <w:adjustRightInd w:val="0"/>
        <w:spacing w:line="440" w:lineRule="exact"/>
        <w:ind w:firstLine="630"/>
        <w:rPr>
          <w:rFonts w:ascii="宋体" w:hAns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本条款的使用不因本合同的终止而失效；自其中某项秘密信息依法被公开披露、丧失保密性之日起，本合同约定的保密义务对该信息不再适用。</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56" w:name="_Toc20922"/>
      <w:bookmarkStart w:id="57" w:name="_Toc26449"/>
      <w:r>
        <w:rPr>
          <w:rFonts w:ascii="宋体" w:hAnsi="宋体" w:cs="宋体"/>
          <w:b/>
          <w:bCs/>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争议解决</w:t>
      </w:r>
      <w:bookmarkEnd w:id="56"/>
      <w:bookmarkEnd w:id="57"/>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10.1 </w:t>
      </w:r>
      <w:r>
        <w:rPr>
          <w:rFonts w:hint="eastAsia" w:ascii="宋体" w:hAnsi="宋体" w:cs="宋体"/>
          <w:color w:val="000000" w:themeColor="text1"/>
          <w14:textFill>
            <w14:solidFill>
              <w14:schemeClr w14:val="tx1"/>
            </w14:solidFill>
          </w14:textFill>
        </w:rPr>
        <w:t>如果甲乙双方就本合同的履行发生任何争议，双方应首先通过友好协商解决该等争议。如果在协商开始的</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日内双方无法解决争议，则提交给位于北京市的中国国际经济贸易仲裁委员会，依据委员会实施的仲裁规则进行仲裁。该仲裁裁决是终局性的并对三方具有约束力。</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58" w:name="_Toc2658"/>
      <w:bookmarkStart w:id="59" w:name="_Toc17905"/>
      <w:r>
        <w:rPr>
          <w:rFonts w:ascii="宋体" w:hAnsi="宋体" w:cs="宋体"/>
          <w:b/>
          <w:color w:val="000000" w:themeColor="text1"/>
          <w:kern w:val="0"/>
          <w14:textFill>
            <w14:solidFill>
              <w14:schemeClr w14:val="tx1"/>
            </w14:solidFill>
          </w14:textFill>
        </w:rPr>
        <w:t>11.</w:t>
      </w:r>
      <w:r>
        <w:rPr>
          <w:rFonts w:hint="eastAsia" w:ascii="宋体" w:hAnsi="宋体" w:cs="宋体"/>
          <w:b/>
          <w:color w:val="000000" w:themeColor="text1"/>
          <w:kern w:val="0"/>
          <w14:textFill>
            <w14:solidFill>
              <w14:schemeClr w14:val="tx1"/>
            </w14:solidFill>
          </w14:textFill>
        </w:rPr>
        <w:t>通知</w:t>
      </w:r>
      <w:bookmarkEnd w:id="58"/>
      <w:bookmarkEnd w:id="59"/>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w:t>
      </w:r>
      <w:r>
        <w:rPr>
          <w:rFonts w:hint="eastAsia" w:ascii="宋体" w:hAnsi="宋体" w:cs="宋体"/>
          <w:color w:val="000000" w:themeColor="text1"/>
          <w14:textFill>
            <w14:solidFill>
              <w14:schemeClr w14:val="tx1"/>
            </w14:solidFill>
          </w14:textFill>
        </w:rPr>
        <w:t>本合同任何一方给另一方的通知都应以书面或电传、电报、传真的形式发送，而另一方应以书面形式确认并发送到对方明确的地址。</w:t>
      </w:r>
    </w:p>
    <w:p>
      <w:pPr>
        <w:snapToGrid w:val="0"/>
        <w:spacing w:line="440" w:lineRule="exact"/>
        <w:ind w:firstLine="474" w:firstLineChars="225"/>
        <w:rPr>
          <w:rFonts w:ascii="宋体" w:hAnsi="宋体" w:cs="宋体"/>
          <w:color w:val="000000" w:themeColor="text1"/>
          <w14:textFill>
            <w14:solidFill>
              <w14:schemeClr w14:val="tx1"/>
            </w14:solidFill>
          </w14:textFill>
        </w:rPr>
      </w:pPr>
      <w:bookmarkStart w:id="60" w:name="_Toc29310"/>
      <w:bookmarkStart w:id="61" w:name="_Toc20904"/>
      <w:r>
        <w:rPr>
          <w:rFonts w:ascii="宋体" w:hAnsi="宋体" w:cs="宋体"/>
          <w:b/>
          <w:color w:val="000000" w:themeColor="text1"/>
          <w:kern w:val="0"/>
          <w14:textFill>
            <w14:solidFill>
              <w14:schemeClr w14:val="tx1"/>
            </w14:solidFill>
          </w14:textFill>
        </w:rPr>
        <w:t>12.</w:t>
      </w:r>
      <w:r>
        <w:rPr>
          <w:rFonts w:hint="eastAsia" w:ascii="宋体" w:hAnsi="宋体" w:cs="宋体"/>
          <w:b/>
          <w:color w:val="000000" w:themeColor="text1"/>
          <w:kern w:val="0"/>
          <w14:textFill>
            <w14:solidFill>
              <w14:schemeClr w14:val="tx1"/>
            </w14:solidFill>
          </w14:textFill>
        </w:rPr>
        <w:t>合同生效及其它</w:t>
      </w:r>
      <w:bookmarkEnd w:id="60"/>
      <w:bookmarkEnd w:id="61"/>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三方本着善意和合作的目的，同意就本项目组织中发生的不可预见的变化进行友好协商，并签署书面确认，以修正并取代本合同的约定。如没有签署书面确认，双方以本合同为准。</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12.2</w:t>
      </w:r>
      <w:r>
        <w:rPr>
          <w:rFonts w:hint="eastAsia" w:ascii="宋体" w:hAnsi="宋体" w:cs="宋体"/>
          <w:color w:val="000000" w:themeColor="text1"/>
          <w14:textFill>
            <w14:solidFill>
              <w14:schemeClr w14:val="tx1"/>
            </w14:solidFill>
          </w14:textFill>
        </w:rPr>
        <w:t>本合同一式七份，甲方持五份、乙方持二份，经双方签字盖章后即发生法律效力，且均具有同等法律效力。</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附件：1、服务方案</w:t>
      </w:r>
    </w:p>
    <w:p>
      <w:pPr>
        <w:snapToGrid w:val="0"/>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2、费用明细单</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甲方（采购单位）：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　　　　　　</w:t>
      </w:r>
      <w:r>
        <w:rPr>
          <w:rFonts w:ascii="宋体" w:hAnsi="宋体" w:cs="宋体"/>
          <w:color w:val="000000" w:themeColor="text1"/>
          <w14:textFill>
            <w14:solidFill>
              <w14:schemeClr w14:val="tx1"/>
            </w14:solidFill>
          </w14:textFill>
        </w:rPr>
        <w:tab/>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签订时间：  年 月 日</w:t>
      </w:r>
    </w:p>
    <w:p>
      <w:pPr>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乙方（中标单位）：</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（公章）</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法定代表或授权代表：</w:t>
      </w:r>
    </w:p>
    <w:p>
      <w:pPr>
        <w:spacing w:line="440" w:lineRule="exact"/>
        <w:ind w:firstLine="472" w:firstLineChars="22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签订时间：   年 月 日 </w:t>
      </w:r>
    </w:p>
    <w:p>
      <w:pPr>
        <w:pStyle w:val="31"/>
        <w:spacing w:before="120" w:after="120" w:line="360" w:lineRule="auto"/>
        <w:jc w:val="center"/>
        <w:outlineLvl w:val="0"/>
        <w:rPr>
          <w:rFonts w:ascii="仿宋" w:hAnsi="仿宋" w:eastAsia="仿宋"/>
          <w:b/>
          <w:color w:val="000000" w:themeColor="text1"/>
          <w:sz w:val="36"/>
          <w:szCs w:val="36"/>
          <w14:textFill>
            <w14:solidFill>
              <w14:schemeClr w14:val="tx1"/>
            </w14:solidFill>
          </w14:textFill>
        </w:rPr>
      </w:pPr>
      <w:r>
        <w:rPr>
          <w:rFonts w:ascii="仿宋_GB2312" w:eastAsia="仿宋_GB2312"/>
          <w:snapToGrid w:val="0"/>
          <w:color w:val="000000" w:themeColor="text1"/>
          <w:kern w:val="0"/>
          <w:sz w:val="30"/>
          <w:szCs w:val="30"/>
          <w14:textFill>
            <w14:solidFill>
              <w14:schemeClr w14:val="tx1"/>
            </w14:solidFill>
          </w14:textFill>
        </w:rPr>
        <w:br w:type="page"/>
      </w:r>
      <w:bookmarkStart w:id="62" w:name="_Toc51935133"/>
      <w:r>
        <w:rPr>
          <w:rFonts w:hint="eastAsia" w:ascii="仿宋" w:hAnsi="仿宋" w:eastAsia="仿宋"/>
          <w:b/>
          <w:color w:val="000000" w:themeColor="text1"/>
          <w:sz w:val="36"/>
          <w:szCs w:val="36"/>
          <w14:textFill>
            <w14:solidFill>
              <w14:schemeClr w14:val="tx1"/>
            </w14:solidFill>
          </w14:textFill>
        </w:rPr>
        <w:t>第六章</w:t>
      </w:r>
      <w:r>
        <w:rPr>
          <w:rFonts w:ascii="仿宋" w:hAnsi="仿宋" w:eastAsia="仿宋"/>
          <w:b/>
          <w:color w:val="000000" w:themeColor="text1"/>
          <w:sz w:val="36"/>
          <w:szCs w:val="36"/>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投标文件格式附件</w:t>
      </w:r>
      <w:bookmarkEnd w:id="62"/>
    </w:p>
    <w:p>
      <w:pPr>
        <w:pStyle w:val="31"/>
        <w:spacing w:before="120" w:after="120" w:line="360" w:lineRule="auto"/>
        <w:jc w:val="center"/>
        <w:rPr>
          <w:rFonts w:ascii="仿宋" w:hAnsi="仿宋" w:eastAsia="仿宋"/>
          <w:b/>
          <w:color w:val="000000" w:themeColor="text1"/>
          <w:sz w:val="36"/>
          <w:szCs w:val="36"/>
          <w14:textFill>
            <w14:solidFill>
              <w14:schemeClr w14:val="tx1"/>
            </w14:solidFill>
          </w14:textFill>
        </w:rPr>
      </w:pPr>
    </w:p>
    <w:p>
      <w:pPr>
        <w:pStyle w:val="7"/>
        <w:numPr>
          <w:ilvl w:val="5"/>
          <w:numId w:val="0"/>
        </w:numPr>
        <w:jc w:val="center"/>
        <w:rPr>
          <w:rFonts w:ascii="仿宋" w:hAnsi="仿宋" w:eastAsia="仿宋"/>
          <w:color w:val="000000" w:themeColor="text1"/>
          <w:sz w:val="30"/>
          <w14:textFill>
            <w14:solidFill>
              <w14:schemeClr w14:val="tx1"/>
            </w14:solidFill>
          </w14:textFill>
        </w:rPr>
      </w:pPr>
      <w:bookmarkStart w:id="63" w:name="_Toc125713437"/>
      <w:bookmarkStart w:id="64" w:name="_Toc32581647"/>
      <w:r>
        <w:rPr>
          <w:rFonts w:hint="eastAsia" w:ascii="仿宋" w:hAnsi="仿宋" w:eastAsia="仿宋"/>
          <w:color w:val="000000" w:themeColor="text1"/>
          <w14:textFill>
            <w14:solidFill>
              <w14:schemeClr w14:val="tx1"/>
            </w14:solidFill>
          </w14:textFill>
        </w:rPr>
        <w:t>投标人提交文件须知</w:t>
      </w:r>
      <w:bookmarkEnd w:id="63"/>
      <w:bookmarkEnd w:id="64"/>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2.所附表格中要求回答的全部问题和信息都必须正面回答。</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本资格声明的签字人应保证全部声明和问题的回答是真实的和准确的。</w:t>
      </w:r>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5.投标人提交的材料将被保密保存，但不退还。</w:t>
      </w:r>
    </w:p>
    <w:p>
      <w:pPr>
        <w:adjustRightInd w:val="0"/>
        <w:snapToGrid w:val="0"/>
        <w:spacing w:before="120" w:after="120" w:line="360" w:lineRule="auto"/>
        <w:rPr>
          <w:rFonts w:ascii="仿宋" w:hAnsi="仿宋" w:eastAsia="仿宋"/>
          <w:b/>
          <w:color w:val="000000" w:themeColor="text1"/>
          <w:sz w:val="36"/>
          <w:szCs w:val="36"/>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全部文件应按投标人须知中规定的语言和份数提交。</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line="460" w:lineRule="exact"/>
        <w:ind w:firstLine="58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28"/>
          <w:szCs w:val="28"/>
          <w14:textFill>
            <w14:solidFill>
              <w14:schemeClr w14:val="tx1"/>
            </w14:solidFill>
          </w14:textFill>
        </w:rPr>
        <w:t xml:space="preserve"> </w:t>
      </w:r>
    </w:p>
    <w:p>
      <w:pPr>
        <w:ind w:right="-110"/>
        <w:rPr>
          <w:rFonts w:ascii="仿宋" w:hAnsi="仿宋" w:eastAsia="仿宋"/>
          <w:color w:val="000000" w:themeColor="text1"/>
          <w:spacing w:val="40"/>
          <w:sz w:val="52"/>
          <w:szCs w:val="52"/>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ZB2021-03</w:t>
      </w:r>
      <w:r>
        <w:rPr>
          <w:rFonts w:hint="eastAsia" w:ascii="仿宋" w:hAnsi="仿宋" w:eastAsia="仿宋"/>
          <w:color w:val="000000" w:themeColor="text1"/>
          <w:sz w:val="36"/>
          <w:szCs w:val="36"/>
          <w:lang w:eastAsia="zh-CN"/>
          <w14:textFill>
            <w14:solidFill>
              <w14:schemeClr w14:val="tx1"/>
            </w14:solidFill>
          </w14:textFill>
        </w:rPr>
        <w:t>（</w:t>
      </w:r>
      <w:r>
        <w:rPr>
          <w:rFonts w:hint="eastAsia" w:ascii="仿宋" w:hAnsi="仿宋" w:eastAsia="仿宋"/>
          <w:color w:val="000000" w:themeColor="text1"/>
          <w:sz w:val="36"/>
          <w:szCs w:val="36"/>
          <w:lang w:val="en-US" w:eastAsia="zh-CN"/>
          <w14:textFill>
            <w14:solidFill>
              <w14:schemeClr w14:val="tx1"/>
            </w14:solidFill>
          </w14:textFill>
        </w:rPr>
        <w:t xml:space="preserve">标项 </w:t>
      </w:r>
      <w:r>
        <w:rPr>
          <w:rFonts w:hint="eastAsia" w:ascii="仿宋" w:hAnsi="仿宋" w:eastAsia="仿宋"/>
          <w:color w:val="000000" w:themeColor="text1"/>
          <w:sz w:val="36"/>
          <w:szCs w:val="36"/>
          <w:lang w:eastAsia="zh-CN"/>
          <w14:textFill>
            <w14:solidFill>
              <w14:schemeClr w14:val="tx1"/>
            </w14:solidFill>
          </w14:textFill>
        </w:rPr>
        <w:t>）</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p>
    <w:tbl>
      <w:tblPr>
        <w:tblStyle w:val="58"/>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pPr>
              <w:spacing w:before="120"/>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服务投标总价（已优惠或折扣后）</w:t>
            </w:r>
          </w:p>
        </w:tc>
        <w:tc>
          <w:tcPr>
            <w:tcW w:w="4102" w:type="dxa"/>
            <w:vAlign w:val="center"/>
          </w:tcPr>
          <w:p>
            <w:pPr>
              <w:spacing w:before="12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jc w:val="center"/>
              <w:rPr>
                <w:color w:val="000000" w:themeColor="text1"/>
                <w:szCs w:val="21"/>
                <w14:textFill>
                  <w14:solidFill>
                    <w14:schemeClr w14:val="tx1"/>
                  </w14:solidFill>
                </w14:textFill>
              </w:rPr>
            </w:pPr>
          </w:p>
        </w:tc>
        <w:tc>
          <w:tcPr>
            <w:tcW w:w="4102" w:type="dxa"/>
          </w:tcPr>
          <w:p>
            <w:pPr>
              <w:jc w:val="center"/>
              <w:rPr>
                <w:color w:val="000000" w:themeColor="text1"/>
                <w:szCs w:val="21"/>
                <w14:textFill>
                  <w14:solidFill>
                    <w14:schemeClr w14:val="tx1"/>
                  </w14:solidFill>
                </w14:textFill>
              </w:rPr>
            </w:pPr>
          </w:p>
        </w:tc>
      </w:tr>
    </w:tbl>
    <w:p>
      <w:pPr>
        <w:spacing w:before="120" w:before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说明：开标一览表中的“服务投标总价”应是本项目投标服务的全部费用的报价，包括但不限于以下费用：</w:t>
      </w:r>
      <w:r>
        <w:rPr>
          <w:rFonts w:hint="eastAsia"/>
          <w:color w:val="000000" w:themeColor="text1"/>
          <w14:textFill>
            <w14:solidFill>
              <w14:schemeClr w14:val="tx1"/>
            </w14:solidFill>
          </w14:textFill>
        </w:rPr>
        <w:t>人工费用、系统服务费、设备使用费用、食宿费、交通费、劳务费、税金</w:t>
      </w:r>
      <w:r>
        <w:rPr>
          <w:rFonts w:hint="eastAsia" w:ascii="宋体" w:hAnsi="宋体"/>
          <w:color w:val="000000" w:themeColor="text1"/>
          <w:szCs w:val="21"/>
          <w14:textFill>
            <w14:solidFill>
              <w14:schemeClr w14:val="tx1"/>
            </w14:solidFill>
          </w14:textFill>
        </w:rPr>
        <w:t>及其他所有相关费用的总和。</w:t>
      </w:r>
    </w:p>
    <w:p>
      <w:pPr>
        <w:spacing w:before="120" w:beforeLines="50"/>
        <w:rPr>
          <w:color w:val="000000" w:themeColor="text1"/>
          <w:szCs w:val="21"/>
          <w14:textFill>
            <w14:solidFill>
              <w14:schemeClr w14:val="tx1"/>
            </w14:solidFill>
          </w14:textFill>
        </w:rPr>
      </w:pPr>
    </w:p>
    <w:p>
      <w:pPr>
        <w:spacing w:before="120" w:beforeLines="5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投标总价大写金额：</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特别说明事项：</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投标人全称（公章）：</w:t>
      </w:r>
      <w:r>
        <w:rPr>
          <w:color w:val="000000" w:themeColor="text1"/>
          <w:szCs w:val="2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法定代表人或授权的投标人代表签字：</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511" w:firstLineChars="213"/>
        <w:jc w:val="center"/>
        <w:rPr>
          <w:rFonts w:hAnsi="宋体" w:eastAsia="仿宋_GB2312"/>
          <w:b/>
          <w:color w:val="000000" w:themeColor="text1"/>
          <w:sz w:val="36"/>
          <w:szCs w:val="36"/>
          <w14:textFill>
            <w14:solidFill>
              <w14:schemeClr w14:val="tx1"/>
            </w14:solidFill>
          </w14:textFill>
        </w:rPr>
      </w:pPr>
      <w:r>
        <w:rPr>
          <w:color w:val="000000" w:themeColor="text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ZB2021-03</w:t>
      </w:r>
      <w:r>
        <w:rPr>
          <w:rFonts w:hint="eastAsia" w:ascii="仿宋" w:hAnsi="仿宋" w:eastAsia="仿宋"/>
          <w:color w:val="000000" w:themeColor="text1"/>
          <w:sz w:val="36"/>
          <w:szCs w:val="36"/>
          <w:lang w:eastAsia="zh-CN"/>
          <w14:textFill>
            <w14:solidFill>
              <w14:schemeClr w14:val="tx1"/>
            </w14:solidFill>
          </w14:textFill>
        </w:rPr>
        <w:t>（</w:t>
      </w:r>
      <w:r>
        <w:rPr>
          <w:rFonts w:hint="eastAsia" w:ascii="仿宋" w:hAnsi="仿宋" w:eastAsia="仿宋"/>
          <w:color w:val="000000" w:themeColor="text1"/>
          <w:sz w:val="36"/>
          <w:szCs w:val="36"/>
          <w:lang w:val="en-US" w:eastAsia="zh-CN"/>
          <w14:textFill>
            <w14:solidFill>
              <w14:schemeClr w14:val="tx1"/>
            </w14:solidFill>
          </w14:textFill>
        </w:rPr>
        <w:t xml:space="preserve">标项 </w:t>
      </w:r>
      <w:r>
        <w:rPr>
          <w:rFonts w:hint="eastAsia" w:ascii="仿宋" w:hAnsi="仿宋" w:eastAsia="仿宋"/>
          <w:color w:val="000000" w:themeColor="text1"/>
          <w:sz w:val="36"/>
          <w:szCs w:val="36"/>
          <w:lang w:eastAsia="zh-CN"/>
          <w14:textFill>
            <w14:solidFill>
              <w14:schemeClr w14:val="tx1"/>
            </w14:solidFill>
          </w14:textFill>
        </w:rPr>
        <w:t>）</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（2）法定代表人证明书或授权委托书(格式见附件)；</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（4）提供有效的依法缴纳税收证明（至投标文件递交截止日一年内一年内任意一个月的完税凭证或税务部门出具的证明），依法免税的投标人须提供相应文件证明其依法免税；</w:t>
      </w:r>
    </w:p>
    <w:p>
      <w:pPr>
        <w:snapToGrid w:val="0"/>
        <w:spacing w:line="460" w:lineRule="exact"/>
        <w:ind w:firstLine="588" w:firstLineChars="196"/>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88" w:firstLineChars="196"/>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投标人基本开户银行出具的资信证明，或参与本采购项目两年内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（7）联合投标协议书（若需要）;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（8）联合投标授权委托书（若需要）;</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ZB2021-03</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line="460" w:lineRule="exact"/>
        <w:ind w:firstLine="200"/>
        <w:rPr>
          <w:rFonts w:ascii="仿宋" w:hAnsi="仿宋" w:eastAsia="仿宋"/>
          <w:color w:val="000000" w:themeColor="text1"/>
          <w:sz w:val="30"/>
          <w:szCs w:val="30"/>
          <w:u w:val="single"/>
          <w14:textFill>
            <w14:solidFill>
              <w14:schemeClr w14:val="tx1"/>
            </w14:solidFill>
          </w14:textFill>
        </w:rPr>
      </w:pP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60288;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DhjztUAAAAIAQAADwAAAAAAAAABACAA&#10;AAAiAAAAZHJzL2Rvd25yZXYueG1sUEsBAhQAFAAAAAgAh07iQIFNf77XAQAAoQMAAA4AAAAAAAAA&#10;AQAgAAAAJAEAAGRycy9lMm9Eb2MueG1sUEsFBgAAAAAGAAYAWQEAAG0FA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r>
        <w:rPr>
          <w:rFonts w:ascii="仿宋" w:hAnsi="仿宋" w:eastAsia="仿宋"/>
          <w:color w:val="000000" w:themeColor="text1"/>
          <w:sz w:val="30"/>
          <w:szCs w:val="30"/>
          <w:u w:val="single"/>
          <w14:textFill>
            <w14:solidFill>
              <w14:schemeClr w14:val="tx1"/>
            </w14:solidFill>
          </w14:textFill>
        </w:rPr>
        <w:t xml:space="preserve">                                       </w:t>
      </w: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（姓名）系</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（投标人名称）的法定代表人，现授权委托本单位在职职工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投标人代表印刷体姓名：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签字：</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投标人代表身份证号：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（身份证复印件附后）</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投标人全称（公章）：</w:t>
      </w:r>
      <w:r>
        <w:rPr>
          <w:rFonts w:hint="eastAsia" w:ascii="宋体" w:hAnsi="宋体"/>
          <w:color w:val="000000" w:themeColor="text1"/>
          <w:u w:val="single"/>
          <w14:textFill>
            <w14:solidFill>
              <w14:schemeClr w14:val="tx1"/>
            </w14:solidFill>
          </w14:textFill>
        </w:rPr>
        <w:t xml:space="preserve">                                       </w:t>
      </w:r>
    </w:p>
    <w:p>
      <w:pPr>
        <w:widowControl/>
        <w:jc w:val="left"/>
        <w:rPr>
          <w:rFonts w:ascii="仿宋" w:hAnsi="仿宋" w:eastAsia="仿宋"/>
          <w:color w:val="000000" w:themeColor="text1"/>
          <w:sz w:val="30"/>
          <w:szCs w:val="30"/>
          <w:u w:val="single"/>
          <w14:textFill>
            <w14:solidFill>
              <w14:schemeClr w14:val="tx1"/>
            </w14:solidFill>
          </w14:textFill>
        </w:rPr>
        <w:sectPr>
          <w:pgSz w:w="11906" w:h="16838"/>
          <w:pgMar w:top="1558" w:right="1531" w:bottom="468" w:left="1531" w:header="851" w:footer="851" w:gutter="0"/>
          <w:pgNumType w:chapStyle="1" w:chapSep="colon"/>
          <w:cols w:space="720" w:num="1"/>
          <w:docGrid w:linePitch="286" w:charSpace="0"/>
        </w:sect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附件5：</w:t>
      </w:r>
    </w:p>
    <w:p>
      <w:pPr>
        <w:pStyle w:val="17"/>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各方经协商，就响应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组织实施的编号为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号的招标活动联合进行投标之事宜，达成如下协议：</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一、各方一致决定，以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为主办人进行投标，并按照招标文件的规定分别提交资格文件。</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17"/>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pStyle w:val="17"/>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签订的《联合投标协议书》的内容，主办人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现授权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p>
    <w:p>
      <w:pPr>
        <w:pStyle w:val="17"/>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pStyle w:val="17"/>
        <w:overflowPunct w:val="0"/>
        <w:spacing w:line="460" w:lineRule="exact"/>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c>
          <w:tcPr>
            <w:tcW w:w="4264" w:type="dxa"/>
          </w:tcPr>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   （公章）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     （签章）</w:t>
            </w: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7"/>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  年  月   日</w:t>
            </w:r>
          </w:p>
        </w:tc>
      </w:tr>
    </w:tbl>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ZB2021-03</w:t>
      </w:r>
      <w:r>
        <w:rPr>
          <w:rFonts w:hint="eastAsia" w:ascii="仿宋" w:hAnsi="仿宋" w:eastAsia="仿宋"/>
          <w:color w:val="000000" w:themeColor="text1"/>
          <w:sz w:val="36"/>
          <w:szCs w:val="36"/>
          <w14:textFill>
            <w14:solidFill>
              <w14:schemeClr w14:val="tx1"/>
            </w14:solidFill>
          </w14:textFill>
        </w:rPr>
        <w:t>（标项）</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（4）项目总体解决方案（可包含且不限于对项目总体要求的理解、项目总体架构及技术解决方案等，须包含项目需求的各类方案）；</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（5）项目实施计划（可包含且不限于保证工期的组织方案及人力资源安排、项目组人员清单等，须包含项目需求的各类计划和预案）；</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（8）售后服务计划（可包含且不限于对用户故障的响应、处理、定期巡检、备品备件、常用耗材提供、驻点人员情况等）；</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pPr>
        <w:snapToGrid w:val="0"/>
        <w:spacing w:before="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（11）案例的业绩证明（投标人业绩情况一览表、合同复印件、合同履行证明等）；</w:t>
      </w: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（12）投标方认为需要的其他文件资料。</w:t>
      </w: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spacing w:val="20"/>
          <w:kern w:val="0"/>
          <w:sz w:val="30"/>
          <w:szCs w:val="30"/>
        </w:rPr>
      </w:pPr>
      <w:r>
        <w:rPr>
          <w:rFonts w:hint="eastAsia" w:ascii="仿宋" w:hAnsi="仿宋" w:eastAsia="仿宋"/>
          <w:color w:val="000000" w:themeColor="text1"/>
          <w:sz w:val="30"/>
          <w:szCs w:val="30"/>
          <w14:textFill>
            <w14:solidFill>
              <w14:schemeClr w14:val="tx1"/>
            </w14:solidFill>
          </w14:textFill>
        </w:rPr>
        <w:t>注：</w:t>
      </w:r>
      <w:r>
        <w:rPr>
          <w:rFonts w:hint="eastAsia" w:ascii="仿宋" w:hAnsi="仿宋" w:eastAsia="仿宋"/>
          <w:color w:val="000000"/>
          <w:sz w:val="30"/>
          <w:szCs w:val="30"/>
        </w:rPr>
        <w:t>投标人应根据招标文件中所采购服务的内容和要求逐项响应并在“偏离情况”栏注明“正偏离”、“负偏离”或“无偏离”</w:t>
      </w:r>
    </w:p>
    <w:p>
      <w:pPr>
        <w:pStyle w:val="23"/>
        <w:rPr>
          <w:rFonts w:ascii="仿宋" w:hAnsi="仿宋" w:eastAsia="仿宋"/>
          <w:color w:val="000000" w:themeColor="text1"/>
          <w:spacing w:val="20"/>
          <w:kern w:val="0"/>
          <w:sz w:val="30"/>
          <w:szCs w:val="30"/>
          <w14:textFill>
            <w14:solidFill>
              <w14:schemeClr w14:val="tx1"/>
            </w14:solidFill>
          </w14:textFill>
        </w:rPr>
      </w:pP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Times New Roman"/>
                <w:color w:val="000000"/>
                <w:kern w:val="2"/>
                <w:sz w:val="28"/>
                <w:szCs w:val="28"/>
                <w:lang w:val="en-US" w:eastAsia="zh-CN" w:bidi="ar-SA"/>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Times New Roman"/>
                <w:color w:val="000000"/>
                <w:kern w:val="2"/>
                <w:sz w:val="28"/>
                <w:szCs w:val="28"/>
                <w:lang w:val="en-US" w:eastAsia="zh-CN" w:bidi="ar-SA"/>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Times New Roman"/>
                <w:color w:val="000000"/>
                <w:kern w:val="2"/>
                <w:sz w:val="28"/>
                <w:szCs w:val="28"/>
                <w:lang w:val="en-US" w:eastAsia="zh-CN" w:bidi="ar-SA"/>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jc w:val="left"/>
        <w:rPr>
          <w:rFonts w:ascii="仿宋" w:hAnsi="仿宋" w:eastAsia="仿宋"/>
          <w:b/>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2160" w:type="dxa"/>
            <w:gridSpan w:val="2"/>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42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160" w:type="dxa"/>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r>
        <w:rPr>
          <w:rFonts w:hint="eastAsia" w:ascii="仿宋" w:hAnsi="仿宋" w:eastAsia="仿宋"/>
          <w:color w:val="000000" w:themeColor="text1"/>
          <w:sz w:val="30"/>
          <w:szCs w:val="30"/>
          <w:u w:val="single"/>
          <w14:textFill>
            <w14:solidFill>
              <w14:schemeClr w14:val="tx1"/>
            </w14:solidFill>
          </w14:textFill>
        </w:rPr>
        <w:t xml:space="preserve">            </w:t>
      </w:r>
    </w:p>
    <w:p>
      <w:pPr>
        <w:widowControl/>
        <w:jc w:val="left"/>
        <w:rPr>
          <w:rFonts w:ascii="仿宋" w:hAnsi="仿宋" w:eastAsia="仿宋"/>
          <w:color w:val="000000" w:themeColor="text1"/>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法定代表人印刷体姓名：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授权投标代表印刷体姓名：</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签字：</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r>
        <w:rPr>
          <w:rFonts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pStyle w:val="486"/>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r>
        <w:rPr>
          <w:rFonts w:hint="eastAsia" w:ascii="宋体" w:hAnsi="宋体"/>
          <w:color w:val="000000" w:themeColor="text1"/>
          <w:sz w:val="28"/>
          <w:u w:val="single"/>
          <w14:textFill>
            <w14:solidFill>
              <w14:schemeClr w14:val="tx1"/>
            </w14:solidFill>
          </w14:textFill>
        </w:rPr>
        <w:t xml:space="preserve">                    </w:t>
      </w:r>
      <w:r>
        <w:rPr>
          <w:rFonts w:ascii="宋体" w:hAnsi="宋体"/>
          <w:color w:val="000000" w:themeColor="text1"/>
          <w:sz w:val="28"/>
          <w:u w:val="single"/>
          <w14:textFill>
            <w14:solidFill>
              <w14:schemeClr w14:val="tx1"/>
            </w14:solidFill>
          </w14:textFill>
        </w:rPr>
        <w:t xml:space="preserve">            </w:t>
      </w:r>
      <w:r>
        <w:rPr>
          <w:rFonts w:hint="eastAsia" w:ascii="宋体" w:hAnsi="宋体"/>
          <w:color w:val="000000" w:themeColor="text1"/>
          <w:sz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4"/>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（1）投标报价明细表（见附件15）；</w:t>
      </w:r>
    </w:p>
    <w:p>
      <w:pPr>
        <w:pStyle w:val="34"/>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4"/>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（3）中小企业声明函（见附件16）；</w:t>
      </w:r>
    </w:p>
    <w:p>
      <w:pPr>
        <w:pStyle w:val="50"/>
        <w:widowControl w:val="0"/>
        <w:spacing w:after="120" w:line="460" w:lineRule="exact"/>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（4）残疾人福利企业声明函（见附件17）。</w:t>
      </w:r>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投 标 报 价 明 细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b/>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8"/>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小微企业价格合计金额大写：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r>
              <w:rPr>
                <w:rFonts w:hint="eastAsia" w:ascii="仿宋" w:hAnsi="仿宋" w:eastAsia="仿宋"/>
                <w:b/>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w:t>
            </w:r>
          </w:p>
          <w:p>
            <w:pPr>
              <w:snapToGrid w:val="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授权代表签名：                              日期： </w:t>
      </w:r>
    </w:p>
    <w:p>
      <w:pPr>
        <w:snapToGrid w:val="0"/>
        <w:spacing w:line="312" w:lineRule="auto"/>
        <w:ind w:firstLine="750" w:firstLineChars="250"/>
        <w:jc w:val="left"/>
        <w:rPr>
          <w:rFonts w:ascii="仿宋" w:hAnsi="仿宋" w:eastAsia="仿宋"/>
          <w:b/>
          <w:color w:val="000000" w:themeColor="text1"/>
          <w:sz w:val="36"/>
          <w:szCs w:val="36"/>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附件16：</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t xml:space="preserve">中小企业声明函（货物） </w:t>
      </w:r>
    </w:p>
    <w:p>
      <w:pPr>
        <w:snapToGrid w:val="0"/>
        <w:spacing w:line="312"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本公司（联合体）郑重声明，根据《政府采购促进中小 企业发展管理办法》（财库﹝2020﹞46 号）的规定，本公司（联合体）参加</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（单位名称）的</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 （标的名称） ，属于（采购文件中明确的所属行业）行业；制造商为（企业名称），从业人员</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人，营业收入为 万元，资产总额为 万元</w:t>
      </w:r>
      <w:r>
        <w:rPr>
          <w:rFonts w:ascii="仿宋" w:hAnsi="仿宋" w:eastAsia="仿宋"/>
          <w:color w:val="000000" w:themeColor="text1"/>
          <w:sz w:val="30"/>
          <w:szCs w:val="30"/>
          <w:vertAlign w:val="superscript"/>
          <w14:textFill>
            <w14:solidFill>
              <w14:schemeClr w14:val="tx1"/>
            </w14:solidFill>
          </w14:textFill>
        </w:rPr>
        <w:t xml:space="preserve"> 1</w:t>
      </w:r>
      <w:r>
        <w:rPr>
          <w:rFonts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2. （标的名称） ，属于（采购文件中明确的所属行业） 行业；制造商为（企业名称），从业人员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人，营业收入为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万元，资产总额为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万元，属于（中型企业、小型企业、微型企业）； </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p>
    <w:p>
      <w:pPr>
        <w:snapToGrid w:val="0"/>
        <w:spacing w:line="312"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themeColor="text1"/>
          <w:sz w:val="30"/>
          <w:szCs w:val="30"/>
          <w14:textFill>
            <w14:solidFill>
              <w14:schemeClr w14:val="tx1"/>
            </w14:solidFill>
          </w14:textFill>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企业名称（盖章）：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日 期：</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2" name="直接连接符 2"/>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UPt3WAAAACAEAAA8AAAAA&#10;AAAAAQAgAAAAIgAAAGRycy9kb3ducmV2LnhtbFBLAQIUABQAAAAIAIdO4kBl3DJo3QEAAJ4DAAAO&#10;AAAAAAAAAAEAIAAAACUBAABkcnMvZTJvRG9jLnhtbFBLBQYAAAAABgAGAFkBAAB0BQAAAAA=&#10;">
                <v:fill on="f" focussize="0,0"/>
                <v:stroke weight="0.5pt" color="#000000 [3213]"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（标的名称），属于（采购文件中明确的所属行业）；承建（承接）企业为（企业名称），从业人员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企业名称（盖章）： </w:t>
      </w:r>
    </w:p>
    <w:p>
      <w:pPr>
        <w:snapToGrid w:val="0"/>
        <w:spacing w:line="312" w:lineRule="auto"/>
        <w:ind w:right="1444" w:firstLine="750" w:firstLineChars="250"/>
        <w:jc w:val="righ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日 期：</w:t>
      </w:r>
    </w:p>
    <w:p>
      <w:pPr>
        <w:snapToGrid w:val="0"/>
        <w:spacing w:line="312" w:lineRule="auto"/>
        <w:ind w:firstLine="904" w:firstLineChars="250"/>
        <w:rPr>
          <w:rFonts w:ascii="仿宋" w:hAnsi="仿宋" w:eastAsia="仿宋"/>
          <w:b/>
          <w:color w:val="000000" w:themeColor="text1"/>
          <w:sz w:val="36"/>
          <w:szCs w:val="36"/>
          <w14:textFill>
            <w14:solidFill>
              <w14:schemeClr w14:val="tx1"/>
            </w14:solidFill>
          </w14:textFill>
        </w:rPr>
      </w:pPr>
    </w:p>
    <w:p>
      <w:pPr>
        <w:snapToGrid w:val="0"/>
        <w:spacing w:line="312" w:lineRule="auto"/>
        <w:ind w:firstLine="904" w:firstLineChars="250"/>
        <w:rPr>
          <w:rFonts w:ascii="仿宋" w:hAnsi="仿宋" w:eastAsia="仿宋"/>
          <w:b/>
          <w:color w:val="000000" w:themeColor="text1"/>
          <w:sz w:val="36"/>
          <w:szCs w:val="36"/>
          <w14:textFill>
            <w14:solidFill>
              <w14:schemeClr w14:val="tx1"/>
            </w14:solidFill>
          </w14:textFill>
        </w:rPr>
      </w:pPr>
    </w:p>
    <w:p>
      <w:pPr>
        <w:snapToGrid w:val="0"/>
        <w:spacing w:line="312" w:lineRule="auto"/>
        <w:rPr>
          <w:rFonts w:ascii="仿宋" w:hAnsi="仿宋" w:eastAsia="仿宋"/>
          <w:b/>
          <w:color w:val="000000" w:themeColor="text1"/>
          <w:sz w:val="36"/>
          <w:szCs w:val="36"/>
          <w14:textFill>
            <w14:solidFill>
              <w14:schemeClr w14:val="tx1"/>
            </w14:solidFill>
          </w14:textFill>
        </w:rPr>
      </w:pP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3" name="直接连接符 3"/>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5pt;margin-top:16.7pt;height:1.7pt;width:397.7pt;z-index:25166336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NQ+3dYAAAAIAQAADwAAAAAA&#10;AAABACAAAAAiAAAAZHJzL2Rvd25yZXYueG1sUEsBAhQAFAAAAAgAh07iQN/M22rcAQAAngMAAA4A&#10;AAAAAAAAAQAgAAAAJQEAAGRycy9lMm9Eb2MueG1sUEsFBgAAAAAGAAYAWQEAAHMFAAAAAA==&#10;">
                <v:fill on="f" focussize="0,0"/>
                <v:stroke weight="0.5pt" color="#000000 [3213]"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rPr>
          <w:rFonts w:ascii="仿宋" w:hAnsi="仿宋" w:eastAsia="仿宋"/>
          <w:b/>
          <w:color w:val="000000" w:themeColor="text1"/>
          <w:sz w:val="36"/>
          <w:szCs w:val="36"/>
          <w14:textFill>
            <w14:solidFill>
              <w14:schemeClr w14:val="tx1"/>
            </w14:solidFill>
          </w14:textFill>
        </w:rPr>
      </w:pPr>
    </w:p>
    <w:p>
      <w:pPr>
        <w:snapToGrid w:val="0"/>
        <w:spacing w:line="312" w:lineRule="auto"/>
        <w:ind w:firstLine="904" w:firstLineChars="250"/>
        <w:rPr>
          <w:rFonts w:ascii="仿宋" w:hAnsi="仿宋" w:eastAsia="仿宋"/>
          <w:b/>
          <w:color w:val="000000" w:themeColor="text1"/>
          <w:sz w:val="36"/>
          <w:szCs w:val="36"/>
          <w14:textFill>
            <w14:solidFill>
              <w14:schemeClr w14:val="tx1"/>
            </w14:solidFill>
          </w14:textFill>
        </w:rPr>
      </w:pPr>
    </w:p>
    <w:p>
      <w:pPr>
        <w:snapToGrid w:val="0"/>
        <w:spacing w:line="312" w:lineRule="auto"/>
        <w:ind w:firstLine="753" w:firstLineChars="2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备注说明：</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联合体投标时，联合体各方均为小型、微型企业的，联合体各方须提供《中小企业声明函》；联合体其中一方为小型、微型企业的，联合协议中须约定小型、微型企业的协议合同金额占到联合体协议合同总额30%以上。</w:t>
      </w:r>
    </w:p>
    <w:p>
      <w:pPr>
        <w:rPr>
          <w:rFonts w:ascii="仿宋" w:hAnsi="仿宋" w:eastAsia="仿宋"/>
          <w:color w:val="000000" w:themeColor="text1"/>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28"/>
          <w:szCs w:val="28"/>
          <w14:textFill>
            <w14:solidFill>
              <w14:schemeClr w14:val="tx1"/>
            </w14:solidFill>
          </w14:textFill>
        </w:rPr>
        <w:t>（以下附件在递交投标文件时单独提供即可，无需密封进投标文件）</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附件18：</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投标文件接收回执</w:t>
      </w:r>
    </w:p>
    <w:p>
      <w:pPr>
        <w:spacing w:line="588" w:lineRule="exact"/>
        <w:rPr>
          <w:rFonts w:ascii="仿宋_GB2312" w:eastAsia="仿宋_GB2312"/>
          <w:b/>
          <w:color w:val="000000" w:themeColor="text1"/>
          <w:spacing w:val="6"/>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_</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（投标人全称）</w:t>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_</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你单位递交的以下项目投标文件，经查验，投标文件的包装、密封情况符合招标文件要求，已于</w:t>
      </w:r>
      <w:r>
        <w:rPr>
          <w:rFonts w:hint="eastAsia" w:ascii="仿宋" w:hAnsi="仿宋" w:eastAsia="仿宋"/>
          <w:color w:val="000000" w:themeColor="text1"/>
          <w:sz w:val="28"/>
          <w:szCs w:val="28"/>
          <w:u w:val="single"/>
          <w14:textFill>
            <w14:solidFill>
              <w14:schemeClr w14:val="tx1"/>
            </w14:solidFill>
          </w14:textFill>
        </w:rPr>
        <w:t xml:space="preserve">    年   月   日   时 分</w:t>
      </w:r>
      <w:r>
        <w:rPr>
          <w:rFonts w:hint="eastAsia" w:ascii="仿宋" w:hAnsi="仿宋" w:eastAsia="仿宋"/>
          <w:color w:val="000000" w:themeColor="text1"/>
          <w:sz w:val="28"/>
          <w:szCs w:val="28"/>
          <w14:textFill>
            <w14:solidFill>
              <w14:schemeClr w14:val="tx1"/>
            </w14:solidFill>
          </w14:textFill>
        </w:rPr>
        <w:t>由我中心工作人员接受。</w:t>
      </w:r>
    </w:p>
    <w:tbl>
      <w:tblPr>
        <w:tblStyle w:val="58"/>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60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 项</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tc>
      </w:tr>
    </w:tbl>
    <w:p>
      <w:pPr>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请仔细阅读以下内容：</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1、本回执中除接收时间、接收人签名以外均为必填，如因信息填写错误、疏漏等造成投标文件接收出现任何问题，责任由投标单位自负。</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2、标项填写方式：如该项目只有一个标项填“1”，多个标项请填写投标的完整标项号。</w:t>
      </w:r>
    </w:p>
    <w:p>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3、本回执投标单位按要求填写打印后，由授权代表携带至投标现场，与投标文件一并交至招标方现场工作人员。如投标人递交投标文件时未提供回执，视同不需要回执。</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30"/>
          <w:szCs w:val="30"/>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国家体育总局体育器材装备中心</w:t>
      </w:r>
    </w:p>
    <w:p>
      <w:pPr>
        <w:wordWrap w:val="0"/>
        <w:snapToGrid w:val="0"/>
        <w:spacing w:line="360" w:lineRule="auto"/>
        <w:ind w:firstLine="600" w:firstLineChars="200"/>
        <w:jc w:val="righ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接收人签名或签章：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808"/>
        <w:widowControl w:val="0"/>
        <w:snapToGrid w:val="0"/>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附件19：</w:t>
      </w:r>
    </w:p>
    <w:p>
      <w:pPr>
        <w:pStyle w:val="808"/>
        <w:widowControl w:val="0"/>
        <w:snapToGrid w:val="0"/>
        <w:spacing w:line="500" w:lineRule="exact"/>
        <w:jc w:val="center"/>
        <w:rPr>
          <w:rFonts w:ascii="仿宋" w:hAnsi="仿宋" w:eastAsia="仿宋" w:cs="方正小标宋简体"/>
          <w:b/>
          <w:color w:val="000000" w:themeColor="text1"/>
          <w:sz w:val="32"/>
          <w:szCs w:val="32"/>
          <w14:textFill>
            <w14:solidFill>
              <w14:schemeClr w14:val="tx1"/>
            </w14:solidFill>
          </w14:textFill>
        </w:rPr>
      </w:pPr>
      <w:r>
        <w:rPr>
          <w:rFonts w:hint="eastAsia" w:ascii="仿宋" w:hAnsi="仿宋" w:eastAsia="仿宋" w:cs="方正小标宋简体"/>
          <w:b/>
          <w:color w:val="000000" w:themeColor="text1"/>
          <w:sz w:val="32"/>
          <w:szCs w:val="32"/>
          <w14:textFill>
            <w14:solidFill>
              <w14:schemeClr w14:val="tx1"/>
            </w14:solidFill>
          </w14:textFill>
        </w:rPr>
        <w:t>政府采购活动现场确认声明书</w:t>
      </w:r>
    </w:p>
    <w:p>
      <w:pPr>
        <w:pStyle w:val="808"/>
        <w:widowControl w:val="0"/>
        <w:snapToGrid w:val="0"/>
        <w:spacing w:line="500" w:lineRule="exact"/>
        <w:jc w:val="both"/>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kern w:val="0"/>
          <w:sz w:val="24"/>
          <w:szCs w:val="24"/>
          <w14:textFill>
            <w14:solidFill>
              <w14:schemeClr w14:val="tx1"/>
            </w14:solidFill>
          </w14:textFill>
        </w:rPr>
        <w:t>国家体育总局体育器材装备中心：</w:t>
      </w:r>
    </w:p>
    <w:p>
      <w:pPr>
        <w:pStyle w:val="808"/>
        <w:widowControl w:val="0"/>
        <w:snapToGrid w:val="0"/>
        <w:spacing w:line="480" w:lineRule="exact"/>
        <w:ind w:firstLine="504" w:firstLineChars="200"/>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本人经由</w:t>
      </w:r>
      <w:r>
        <w:rPr>
          <w:rFonts w:hint="eastAsia" w:ascii="仿宋" w:hAnsi="仿宋" w:eastAsia="仿宋"/>
          <w:color w:val="000000" w:themeColor="text1"/>
          <w:spacing w:val="6"/>
          <w:sz w:val="24"/>
          <w:szCs w:val="24"/>
          <w:u w:val="single"/>
          <w14:textFill>
            <w14:solidFill>
              <w14:schemeClr w14:val="tx1"/>
            </w14:solidFill>
          </w14:textFill>
        </w:rPr>
        <w:t xml:space="preserve">                  （单位）</w:t>
      </w:r>
      <w:r>
        <w:rPr>
          <w:rFonts w:hint="eastAsia" w:ascii="仿宋" w:hAnsi="仿宋" w:eastAsia="仿宋"/>
          <w:color w:val="000000" w:themeColor="text1"/>
          <w:spacing w:val="6"/>
          <w:sz w:val="24"/>
          <w:szCs w:val="24"/>
          <w14:textFill>
            <w14:solidFill>
              <w14:schemeClr w14:val="tx1"/>
            </w14:solidFill>
          </w14:textFill>
        </w:rPr>
        <w:t>负责人</w:t>
      </w:r>
      <w:r>
        <w:rPr>
          <w:rFonts w:hint="eastAsia" w:ascii="仿宋" w:hAnsi="仿宋" w:eastAsia="仿宋"/>
          <w:color w:val="000000" w:themeColor="text1"/>
          <w:spacing w:val="6"/>
          <w:sz w:val="24"/>
          <w:szCs w:val="24"/>
          <w:u w:val="single"/>
          <w14:textFill>
            <w14:solidFill>
              <w14:schemeClr w14:val="tx1"/>
            </w14:solidFill>
          </w14:textFill>
        </w:rPr>
        <w:t xml:space="preserve">        （姓名）</w:t>
      </w:r>
      <w:r>
        <w:rPr>
          <w:rFonts w:hint="eastAsia" w:ascii="仿宋" w:hAnsi="仿宋" w:eastAsia="仿宋"/>
          <w:color w:val="000000" w:themeColor="text1"/>
          <w:spacing w:val="6"/>
          <w:sz w:val="24"/>
          <w:szCs w:val="24"/>
          <w14:textFill>
            <w14:solidFill>
              <w14:schemeClr w14:val="tx1"/>
            </w14:solidFill>
          </w14:textFill>
        </w:rPr>
        <w:t>合法授权参加</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项目（编号：</w:t>
      </w:r>
      <w:r>
        <w:rPr>
          <w:rFonts w:hint="eastAsia" w:ascii="仿宋" w:hAnsi="仿宋" w:eastAsia="仿宋"/>
          <w:color w:val="000000" w:themeColor="text1"/>
          <w:spacing w:val="6"/>
          <w:sz w:val="24"/>
          <w:szCs w:val="24"/>
          <w:u w:val="single"/>
          <w14:textFill>
            <w14:solidFill>
              <w14:schemeClr w14:val="tx1"/>
            </w14:solidFill>
          </w14:textFill>
        </w:rPr>
        <w:t xml:space="preserve">        </w:t>
      </w:r>
      <w:r>
        <w:rPr>
          <w:rFonts w:hint="eastAsia" w:ascii="仿宋" w:hAnsi="仿宋" w:eastAsia="仿宋"/>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807"/>
        <w:widowControl/>
        <w:numPr>
          <w:ilvl w:val="0"/>
          <w:numId w:val="43"/>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本单位与采购人之间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A.投资关系    B.行政隶属关系    C.业务指导关系</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D.其他可能</w:t>
      </w:r>
      <w:r>
        <w:rPr>
          <w:rFonts w:hint="eastAsia" w:ascii="仿宋" w:hAnsi="仿宋" w:eastAsia="仿宋"/>
          <w:color w:val="000000" w:themeColor="text1"/>
          <w:sz w:val="24"/>
          <w:szCs w:val="24"/>
          <w14:textFill>
            <w14:solidFill>
              <w14:schemeClr w14:val="tx1"/>
            </w14:solidFill>
          </w14:textFill>
        </w:rPr>
        <w:t>影响采购公正的</w:t>
      </w:r>
      <w:r>
        <w:rPr>
          <w:rFonts w:hint="eastAsia" w:ascii="仿宋" w:hAnsi="仿宋" w:eastAsia="仿宋"/>
          <w:color w:val="000000" w:themeColor="text1"/>
          <w:kern w:val="0"/>
          <w:sz w:val="24"/>
          <w:szCs w:val="24"/>
          <w14:textFill>
            <w14:solidFill>
              <w14:schemeClr w14:val="tx1"/>
            </w14:solidFill>
          </w14:textFill>
        </w:rPr>
        <w:t>利害关系</w:t>
      </w:r>
      <w:r>
        <w:rPr>
          <w:rFonts w:hint="eastAsia" w:ascii="仿宋" w:hAnsi="仿宋" w:eastAsia="仿宋"/>
          <w:color w:val="000000" w:themeColor="text1"/>
          <w:kern w:val="0"/>
          <w:sz w:val="24"/>
          <w:szCs w:val="24"/>
          <w:u w:val="single"/>
          <w14:textFill>
            <w14:solidFill>
              <w14:schemeClr w14:val="tx1"/>
            </w14:solidFill>
          </w14:textFill>
        </w:rPr>
        <w:t xml:space="preserve">（如有，请如实说明）                 </w:t>
      </w:r>
      <w:r>
        <w:rPr>
          <w:rFonts w:hint="eastAsia" w:ascii="仿宋" w:hAnsi="仿宋" w:eastAsia="仿宋"/>
          <w:color w:val="000000" w:themeColor="text1"/>
          <w:kern w:val="0"/>
          <w:sz w:val="24"/>
          <w:szCs w:val="24"/>
          <w14:textFill>
            <w14:solidFill>
              <w14:schemeClr w14:val="tx1"/>
            </w14:solidFill>
          </w14:textFill>
        </w:rPr>
        <w:t>。</w:t>
      </w:r>
    </w:p>
    <w:p>
      <w:pPr>
        <w:pStyle w:val="807"/>
        <w:widowControl/>
        <w:snapToGrid w:val="0"/>
        <w:spacing w:line="4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pacing w:val="6"/>
          <w:sz w:val="24"/>
          <w:szCs w:val="24"/>
          <w14:textFill>
            <w14:solidFill>
              <w14:schemeClr w14:val="tx1"/>
            </w14:solidFill>
          </w14:textFill>
        </w:rPr>
        <w:t xml:space="preserve">  二、</w:t>
      </w:r>
      <w:r>
        <w:rPr>
          <w:rFonts w:hint="eastAsia" w:ascii="仿宋" w:hAnsi="仿宋" w:eastAsia="仿宋"/>
          <w:color w:val="000000" w:themeColor="text1"/>
          <w:kern w:val="0"/>
          <w:sz w:val="24"/>
          <w:szCs w:val="24"/>
          <w14:textFill>
            <w14:solidFill>
              <w14:schemeClr w14:val="tx1"/>
            </w14:solidFill>
          </w14:textFill>
        </w:rPr>
        <w:t xml:space="preserve">现已清楚知道参加本项目采购活动的其他所有供应商名称，本单位 </w:t>
      </w:r>
      <w:r>
        <w:rPr>
          <w:rFonts w:hint="eastAsia" w:ascii="仿宋" w:hAnsi="仿宋" w:eastAsia="仿宋" w:cs="宋体"/>
          <w:color w:val="000000" w:themeColor="text1"/>
          <w:kern w:val="0"/>
          <w:sz w:val="24"/>
          <w:szCs w:val="24"/>
          <w14:textFill>
            <w14:solidFill>
              <w14:schemeClr w14:val="tx1"/>
            </w14:solidFill>
          </w14:textFill>
        </w:rPr>
        <w:t>□与其他所有供应商之间均</w:t>
      </w:r>
      <w:r>
        <w:rPr>
          <w:rFonts w:hint="eastAsia" w:ascii="仿宋" w:hAnsi="仿宋" w:eastAsia="仿宋"/>
          <w:color w:val="000000" w:themeColor="text1"/>
          <w:kern w:val="0"/>
          <w:sz w:val="24"/>
          <w:szCs w:val="24"/>
          <w14:textFill>
            <w14:solidFill>
              <w14:schemeClr w14:val="tx1"/>
            </w14:solidFill>
          </w14:textFill>
        </w:rPr>
        <w:t xml:space="preserve">不存在利害关系 </w:t>
      </w:r>
      <w:r>
        <w:rPr>
          <w:rFonts w:hint="eastAsia" w:ascii="仿宋" w:hAnsi="仿宋" w:eastAsia="仿宋" w:cs="宋体"/>
          <w:color w:val="000000" w:themeColor="text1"/>
          <w:kern w:val="0"/>
          <w:sz w:val="24"/>
          <w:szCs w:val="24"/>
          <w14:textFill>
            <w14:solidFill>
              <w14:schemeClr w14:val="tx1"/>
            </w14:solidFill>
          </w14:textFill>
        </w:rPr>
        <w:t>□与</w:t>
      </w:r>
      <w:r>
        <w:rPr>
          <w:rFonts w:hint="eastAsia" w:ascii="仿宋" w:hAnsi="仿宋" w:eastAsia="仿宋" w:cs="宋体"/>
          <w:color w:val="000000" w:themeColor="text1"/>
          <w:kern w:val="0"/>
          <w:sz w:val="24"/>
          <w:szCs w:val="24"/>
          <w:u w:val="single"/>
          <w14:textFill>
            <w14:solidFill>
              <w14:schemeClr w14:val="tx1"/>
            </w14:solidFill>
          </w14:textFill>
        </w:rPr>
        <w:t xml:space="preserve">           （供应商名称）</w:t>
      </w:r>
      <w:r>
        <w:rPr>
          <w:rFonts w:hint="eastAsia" w:ascii="仿宋" w:hAnsi="仿宋" w:eastAsia="仿宋" w:cs="宋体"/>
          <w:color w:val="000000" w:themeColor="text1"/>
          <w:kern w:val="0"/>
          <w:sz w:val="24"/>
          <w:szCs w:val="24"/>
          <w14:textFill>
            <w14:solidFill>
              <w14:schemeClr w14:val="tx1"/>
            </w14:solidFill>
          </w14:textFill>
        </w:rPr>
        <w:t>之间</w:t>
      </w:r>
      <w:r>
        <w:rPr>
          <w:rFonts w:hint="eastAsia" w:ascii="仿宋" w:hAnsi="仿宋" w:eastAsia="仿宋"/>
          <w:color w:val="000000" w:themeColor="text1"/>
          <w:kern w:val="0"/>
          <w:sz w:val="24"/>
          <w:szCs w:val="24"/>
          <w14:textFill>
            <w14:solidFill>
              <w14:schemeClr w14:val="tx1"/>
            </w14:solidFill>
          </w14:textFill>
        </w:rPr>
        <w:t>存在下列利害关系</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A.法定代表人或负责人或实际控制人是同一人</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B.法定代表人或负责人或实际控制人是夫妻关系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C.法定代表人或负责人或实际控制人是直系血亲关系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D.法定代表人或负责人或实际控制人存在三代以内旁系血亲关系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E.法定代表人或负责人或实际控制人存在近姻亲关系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F.法定代表人或负责人或实际控制人存在股份控制或实际控制关系</w:t>
      </w:r>
    </w:p>
    <w:p>
      <w:pPr>
        <w:pStyle w:val="808"/>
        <w:widowControl w:val="0"/>
        <w:snapToGrid w:val="0"/>
        <w:spacing w:line="480" w:lineRule="exact"/>
        <w:jc w:val="both"/>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G.存在共同直接或间接投资设立子公司、联营企业和合营企业情况</w:t>
      </w:r>
    </w:p>
    <w:p>
      <w:pPr>
        <w:pStyle w:val="808"/>
        <w:widowControl w:val="0"/>
        <w:snapToGrid w:val="0"/>
        <w:spacing w:line="480" w:lineRule="exact"/>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H.存在分级代理或代销关系、同一生产制造商关系、</w:t>
      </w:r>
      <w:r>
        <w:rPr>
          <w:rFonts w:hint="eastAsia" w:ascii="仿宋" w:hAnsi="仿宋" w:eastAsia="仿宋"/>
          <w:color w:val="000000" w:themeColor="text1"/>
          <w:sz w:val="24"/>
          <w:szCs w:val="24"/>
          <w14:textFill>
            <w14:solidFill>
              <w14:schemeClr w14:val="tx1"/>
            </w14:solidFill>
          </w14:textFill>
        </w:rPr>
        <w:t>管理关系、重要业务（占主营业务收入50%以上）或重要财务往来关系（如融资）等其他实质性控制关系</w:t>
      </w:r>
    </w:p>
    <w:p>
      <w:pPr>
        <w:pStyle w:val="808"/>
        <w:widowControl w:val="0"/>
        <w:snapToGrid w:val="0"/>
        <w:spacing w:line="480" w:lineRule="exact"/>
        <w:jc w:val="both"/>
        <w:rPr>
          <w:rFonts w:ascii="仿宋" w:hAnsi="仿宋" w:eastAsia="仿宋"/>
          <w:color w:val="000000" w:themeColor="text1"/>
          <w:spacing w:val="6"/>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I</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其他利害关系情况</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w:t>
      </w:r>
    </w:p>
    <w:p>
      <w:pPr>
        <w:pStyle w:val="807"/>
        <w:widowControl/>
        <w:numPr>
          <w:ilvl w:val="0"/>
          <w:numId w:val="44"/>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现已清楚知道并</w:t>
      </w:r>
      <w:r>
        <w:rPr>
          <w:rFonts w:hint="eastAsia" w:ascii="仿宋" w:hAnsi="仿宋" w:eastAsia="仿宋"/>
          <w:color w:val="000000" w:themeColor="text1"/>
          <w:kern w:val="0"/>
          <w:sz w:val="24"/>
          <w:szCs w:val="24"/>
          <w14:textFill>
            <w14:solidFill>
              <w14:schemeClr w14:val="tx1"/>
            </w14:solidFill>
          </w14:textFill>
        </w:rPr>
        <w:t>严格遵守政府采购法律法规和现场纪律。</w:t>
      </w:r>
    </w:p>
    <w:p>
      <w:pPr>
        <w:pStyle w:val="807"/>
        <w:widowControl/>
        <w:numPr>
          <w:ilvl w:val="0"/>
          <w:numId w:val="44"/>
        </w:numPr>
        <w:snapToGrid w:val="0"/>
        <w:spacing w:line="480" w:lineRule="exact"/>
        <w:ind w:firstLine="453" w:firstLineChars="18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我发现</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供应商之间存在或可能存在上述第二条第</w:t>
      </w:r>
      <w:r>
        <w:rPr>
          <w:rFonts w:hint="eastAsia" w:ascii="仿宋" w:hAnsi="仿宋" w:eastAsia="仿宋"/>
          <w:color w:val="000000" w:themeColor="text1"/>
          <w:kern w:val="0"/>
          <w:sz w:val="24"/>
          <w:szCs w:val="24"/>
          <w:u w:val="single"/>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项利害关系。</w:t>
      </w:r>
    </w:p>
    <w:p>
      <w:pPr>
        <w:pStyle w:val="808"/>
        <w:widowControl w:val="0"/>
        <w:snapToGrid w:val="0"/>
        <w:spacing w:line="500" w:lineRule="exact"/>
        <w:ind w:firstLine="480" w:firstLineChars="200"/>
        <w:jc w:val="both"/>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（供应商代表签名）</w:t>
      </w:r>
      <w:r>
        <w:rPr>
          <w:rFonts w:hint="eastAsia" w:ascii="仿宋" w:hAnsi="仿宋" w:eastAsia="仿宋"/>
          <w:color w:val="000000" w:themeColor="text1"/>
          <w:sz w:val="24"/>
          <w:szCs w:val="24"/>
          <w:u w:val="single"/>
          <w14:textFill>
            <w14:solidFill>
              <w14:schemeClr w14:val="tx1"/>
            </w14:solidFill>
          </w14:textFill>
        </w:rPr>
        <w:t xml:space="preserve">           </w:t>
      </w:r>
    </w:p>
    <w:p>
      <w:pPr>
        <w:pStyle w:val="34"/>
        <w:snapToGrid w:val="0"/>
        <w:spacing w:line="460" w:lineRule="exact"/>
        <w:ind w:left="0" w:leftChars="0"/>
        <w:rPr>
          <w:rFonts w:ascii="仿宋" w:hAnsi="仿宋" w:eastAsia="仿宋"/>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 xml:space="preserve">     年  月  日</w:t>
      </w: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166254"/>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jc w:val="center"/>
      <w:rPr>
        <w:rStyle w:val="65"/>
        <w:rFonts w:ascii="宋体" w:hAnsi="宋体"/>
        <w:sz w:val="28"/>
        <w:szCs w:val="28"/>
      </w:rPr>
    </w:pPr>
    <w:r>
      <w:rPr>
        <w:rStyle w:val="65"/>
        <w:rFonts w:hint="eastAsia" w:ascii="宋体" w:hAnsi="宋体"/>
        <w:sz w:val="28"/>
        <w:szCs w:val="28"/>
      </w:rPr>
      <w:t xml:space="preserve">— </w:t>
    </w:r>
    <w:r>
      <w:rPr>
        <w:rFonts w:ascii="宋体" w:hAnsi="宋体"/>
        <w:sz w:val="28"/>
        <w:szCs w:val="28"/>
      </w:rPr>
      <w:fldChar w:fldCharType="begin"/>
    </w:r>
    <w:r>
      <w:rPr>
        <w:rStyle w:val="65"/>
        <w:rFonts w:ascii="宋体" w:hAnsi="宋体"/>
        <w:sz w:val="28"/>
        <w:szCs w:val="28"/>
      </w:rPr>
      <w:instrText xml:space="preserve">PAGE  </w:instrText>
    </w:r>
    <w:r>
      <w:rPr>
        <w:rFonts w:ascii="宋体" w:hAnsi="宋体"/>
        <w:sz w:val="28"/>
        <w:szCs w:val="28"/>
      </w:rPr>
      <w:fldChar w:fldCharType="separate"/>
    </w:r>
    <w:r>
      <w:rPr>
        <w:rStyle w:val="65"/>
        <w:rFonts w:ascii="宋体" w:hAnsi="宋体"/>
        <w:sz w:val="28"/>
        <w:szCs w:val="28"/>
      </w:rPr>
      <w:t>101</w:t>
    </w:r>
    <w:r>
      <w:rPr>
        <w:rFonts w:ascii="宋体" w:hAnsi="宋体"/>
        <w:sz w:val="28"/>
        <w:szCs w:val="28"/>
      </w:rPr>
      <w:fldChar w:fldCharType="end"/>
    </w:r>
    <w:r>
      <w:rPr>
        <w:rStyle w:val="65"/>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Pr>
    </w:pPr>
    <w:r>
      <w:fldChar w:fldCharType="begin"/>
    </w:r>
    <w:r>
      <w:rPr>
        <w:rStyle w:val="65"/>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2AA55C2"/>
    <w:multiLevelType w:val="multilevel"/>
    <w:tmpl w:val="02AA55C2"/>
    <w:lvl w:ilvl="0" w:tentative="0">
      <w:start w:val="1"/>
      <w:numFmt w:val="japaneseCounting"/>
      <w:lvlText w:val="%1、"/>
      <w:lvlJc w:val="left"/>
      <w:pPr>
        <w:ind w:left="994" w:hanging="432"/>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02FD51F5"/>
    <w:multiLevelType w:val="multilevel"/>
    <w:tmpl w:val="02FD51F5"/>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6"/>
      <w:lvlText w:val="%1.%2."/>
      <w:lvlJc w:val="left"/>
      <w:pPr>
        <w:ind w:left="567" w:hanging="567"/>
      </w:pPr>
    </w:lvl>
    <w:lvl w:ilvl="2" w:tentative="0">
      <w:start w:val="1"/>
      <w:numFmt w:val="decimal"/>
      <w:pStyle w:val="742"/>
      <w:lvlText w:val="%1.%2.%3."/>
      <w:lvlJc w:val="left"/>
      <w:pPr>
        <w:ind w:left="709" w:hanging="709"/>
      </w:pPr>
    </w:lvl>
    <w:lvl w:ilvl="3" w:tentative="0">
      <w:start w:val="1"/>
      <w:numFmt w:val="decimal"/>
      <w:pStyle w:val="331"/>
      <w:lvlText w:val="%1.%2.%3.%4."/>
      <w:lvlJc w:val="left"/>
      <w:pPr>
        <w:ind w:left="851" w:hanging="851"/>
      </w:pPr>
    </w:lvl>
    <w:lvl w:ilvl="4" w:tentative="0">
      <w:start w:val="1"/>
      <w:numFmt w:val="decimal"/>
      <w:pStyle w:val="79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3597061"/>
    <w:multiLevelType w:val="singleLevel"/>
    <w:tmpl w:val="23597061"/>
    <w:lvl w:ilvl="0" w:tentative="0">
      <w:start w:val="1"/>
      <w:numFmt w:val="decimal"/>
      <w:suff w:val="nothing"/>
      <w:lvlText w:val="%1）"/>
      <w:lvlJc w:val="left"/>
    </w:lvl>
  </w:abstractNum>
  <w:abstractNum w:abstractNumId="16">
    <w:nsid w:val="258D59E7"/>
    <w:multiLevelType w:val="multilevel"/>
    <w:tmpl w:val="258D59E7"/>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3700910"/>
    <w:multiLevelType w:val="multilevel"/>
    <w:tmpl w:val="33700910"/>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35B05358"/>
    <w:multiLevelType w:val="multilevel"/>
    <w:tmpl w:val="35B05358"/>
    <w:lvl w:ilvl="0" w:tentative="0">
      <w:start w:val="1"/>
      <w:numFmt w:val="bullet"/>
      <w:pStyle w:val="3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948B062"/>
    <w:multiLevelType w:val="singleLevel"/>
    <w:tmpl w:val="3948B062"/>
    <w:lvl w:ilvl="0" w:tentative="0">
      <w:start w:val="1"/>
      <w:numFmt w:val="decimal"/>
      <w:suff w:val="nothing"/>
      <w:lvlText w:val="%1）"/>
      <w:lvlJc w:val="left"/>
    </w:lvl>
  </w:abstractNum>
  <w:abstractNum w:abstractNumId="2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3CFD7D5B"/>
    <w:multiLevelType w:val="multilevel"/>
    <w:tmpl w:val="3CFD7D5B"/>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4">
    <w:nsid w:val="3E1A3692"/>
    <w:multiLevelType w:val="multilevel"/>
    <w:tmpl w:val="3E1A3692"/>
    <w:lvl w:ilvl="0" w:tentative="0">
      <w:start w:val="1"/>
      <w:numFmt w:val="chineseCountingThousand"/>
      <w:pStyle w:val="728"/>
      <w:suff w:val="space"/>
      <w:lvlText w:val="%1."/>
      <w:lvlJc w:val="left"/>
      <w:rPr>
        <w:rFonts w:hint="eastAsia" w:cs="Times New Roman"/>
      </w:rPr>
    </w:lvl>
    <w:lvl w:ilvl="1" w:tentative="0">
      <w:start w:val="1"/>
      <w:numFmt w:val="chineseCountingThousand"/>
      <w:pStyle w:val="691"/>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5"/>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5">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4B9D13A2"/>
    <w:multiLevelType w:val="multilevel"/>
    <w:tmpl w:val="4B9D13A2"/>
    <w:lvl w:ilvl="0" w:tentative="0">
      <w:start w:val="1"/>
      <w:numFmt w:val="bullet"/>
      <w:pStyle w:val="7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E7107F0"/>
    <w:multiLevelType w:val="multilevel"/>
    <w:tmpl w:val="4E7107F0"/>
    <w:lvl w:ilvl="0" w:tentative="0">
      <w:start w:val="1"/>
      <w:numFmt w:val="bullet"/>
      <w:pStyle w:val="24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4F274B06"/>
    <w:multiLevelType w:val="multilevel"/>
    <w:tmpl w:val="4F274B06"/>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0">
    <w:nsid w:val="54F403B5"/>
    <w:multiLevelType w:val="singleLevel"/>
    <w:tmpl w:val="54F403B5"/>
    <w:lvl w:ilvl="0" w:tentative="0">
      <w:start w:val="1"/>
      <w:numFmt w:val="chineseCounting"/>
      <w:suff w:val="nothing"/>
      <w:lvlText w:val="%1、"/>
      <w:lvlJc w:val="left"/>
      <w:pPr>
        <w:ind w:left="0" w:firstLine="0"/>
      </w:pPr>
    </w:lvl>
  </w:abstractNum>
  <w:abstractNum w:abstractNumId="31">
    <w:nsid w:val="557FD3DA"/>
    <w:multiLevelType w:val="singleLevel"/>
    <w:tmpl w:val="557FD3DA"/>
    <w:lvl w:ilvl="0" w:tentative="0">
      <w:start w:val="3"/>
      <w:numFmt w:val="chineseCounting"/>
      <w:suff w:val="nothing"/>
      <w:lvlText w:val="%1、"/>
      <w:lvlJc w:val="left"/>
      <w:pPr>
        <w:ind w:left="0" w:firstLine="0"/>
      </w:pPr>
    </w:lvl>
  </w:abstractNum>
  <w:abstractNum w:abstractNumId="32">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3">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5AB217D1"/>
    <w:multiLevelType w:val="multilevel"/>
    <w:tmpl w:val="5AB217D1"/>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5CB71C80"/>
    <w:multiLevelType w:val="multilevel"/>
    <w:tmpl w:val="5CB71C80"/>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65803B68"/>
    <w:multiLevelType w:val="multilevel"/>
    <w:tmpl w:val="65803B68"/>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67403E98"/>
    <w:multiLevelType w:val="singleLevel"/>
    <w:tmpl w:val="67403E98"/>
    <w:lvl w:ilvl="0" w:tentative="0">
      <w:start w:val="1"/>
      <w:numFmt w:val="bullet"/>
      <w:pStyle w:val="739"/>
      <w:lvlText w:val=""/>
      <w:lvlJc w:val="left"/>
      <w:pPr>
        <w:tabs>
          <w:tab w:val="left" w:pos="360"/>
        </w:tabs>
        <w:ind w:left="360" w:hanging="360"/>
      </w:pPr>
      <w:rPr>
        <w:rFonts w:hint="default" w:ascii="Symbol" w:hAnsi="Symbol"/>
      </w:rPr>
    </w:lvl>
  </w:abstractNum>
  <w:abstractNum w:abstractNumId="38">
    <w:nsid w:val="698619EB"/>
    <w:multiLevelType w:val="multilevel"/>
    <w:tmpl w:val="698619EB"/>
    <w:lvl w:ilvl="0" w:tentative="0">
      <w:start w:val="1"/>
      <w:numFmt w:val="decimal"/>
      <w:pStyle w:val="25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72C70848"/>
    <w:multiLevelType w:val="multilevel"/>
    <w:tmpl w:val="72C70848"/>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738A4524"/>
    <w:multiLevelType w:val="multilevel"/>
    <w:tmpl w:val="738A4524"/>
    <w:lvl w:ilvl="0" w:tentative="0">
      <w:start w:val="1"/>
      <w:numFmt w:val="decimal"/>
      <w:lvlText w:val="%1、"/>
      <w:lvlJc w:val="left"/>
      <w:pPr>
        <w:tabs>
          <w:tab w:val="left" w:pos="786"/>
        </w:tabs>
        <w:ind w:left="786" w:hanging="360"/>
      </w:pPr>
      <w:rPr>
        <w:rFonts w:hint="eastAsia"/>
      </w:rPr>
    </w:lvl>
    <w:lvl w:ilvl="1" w:tentative="0">
      <w:start w:val="1"/>
      <w:numFmt w:val="japaneseCounting"/>
      <w:lvlText w:val="%2、"/>
      <w:lvlJc w:val="left"/>
      <w:pPr>
        <w:tabs>
          <w:tab w:val="left" w:pos="1380"/>
        </w:tabs>
        <w:ind w:left="1380" w:hanging="48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1">
    <w:nsid w:val="76D52E27"/>
    <w:multiLevelType w:val="multilevel"/>
    <w:tmpl w:val="76D52E27"/>
    <w:lvl w:ilvl="0" w:tentative="0">
      <w:start w:val="1"/>
      <w:numFmt w:val="bullet"/>
      <w:pStyle w:val="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2">
    <w:nsid w:val="7755585C"/>
    <w:multiLevelType w:val="multilevel"/>
    <w:tmpl w:val="7755585C"/>
    <w:lvl w:ilvl="0" w:tentative="0">
      <w:start w:val="1"/>
      <w:numFmt w:val="bullet"/>
      <w:pStyle w:val="19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786E02D0"/>
    <w:multiLevelType w:val="singleLevel"/>
    <w:tmpl w:val="786E02D0"/>
    <w:lvl w:ilvl="0" w:tentative="0">
      <w:start w:val="1"/>
      <w:numFmt w:val="decimal"/>
      <w:suff w:val="nothing"/>
      <w:lvlText w:val="%1）"/>
      <w:lvlJc w:val="left"/>
    </w:lvl>
  </w:abstractNum>
  <w:num w:numId="1">
    <w:abstractNumId w:val="14"/>
  </w:num>
  <w:num w:numId="2">
    <w:abstractNumId w:val="2"/>
  </w:num>
  <w:num w:numId="3">
    <w:abstractNumId w:val="0"/>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2"/>
  </w:num>
  <w:num w:numId="8">
    <w:abstractNumId w:val="27"/>
  </w:num>
  <w:num w:numId="9">
    <w:abstractNumId w:val="38"/>
    <w:lvlOverride w:ilvl="0">
      <w:startOverride w:val="1"/>
    </w:lvlOverride>
  </w:num>
  <w:num w:numId="10">
    <w:abstractNumId w:val="10"/>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5"/>
  </w:num>
  <w:num w:numId="13">
    <w:abstractNumId w:val="22"/>
  </w:num>
  <w:num w:numId="14">
    <w:abstractNumId w:val="33"/>
  </w:num>
  <w:num w:numId="15">
    <w:abstractNumId w:val="24"/>
  </w:num>
  <w:num w:numId="16">
    <w:abstractNumId w:val="20"/>
  </w:num>
  <w:num w:numId="17">
    <w:abstractNumId w:val="4"/>
  </w:num>
  <w:num w:numId="18">
    <w:abstractNumId w:val="29"/>
  </w:num>
  <w:num w:numId="19">
    <w:abstractNumId w:val="6"/>
  </w:num>
  <w:num w:numId="20">
    <w:abstractNumId w:val="17"/>
  </w:num>
  <w:num w:numId="21">
    <w:abstractNumId w:val="13"/>
  </w:num>
  <w:num w:numId="22">
    <w:abstractNumId w:val="25"/>
  </w:num>
  <w:num w:numId="23">
    <w:abstractNumId w:val="7"/>
  </w:num>
  <w:num w:numId="24">
    <w:abstractNumId w:val="41"/>
  </w:num>
  <w:num w:numId="25">
    <w:abstractNumId w:val="3"/>
  </w:num>
  <w:num w:numId="26">
    <w:abstractNumId w:val="37"/>
  </w:num>
  <w:num w:numId="27">
    <w:abstractNumId w:val="26"/>
  </w:num>
  <w:num w:numId="28">
    <w:abstractNumId w:val="12"/>
  </w:num>
  <w:num w:numId="29">
    <w:abstractNumId w:val="32"/>
  </w:num>
  <w:num w:numId="30">
    <w:abstractNumId w:val="40"/>
  </w:num>
  <w:num w:numId="31">
    <w:abstractNumId w:val="43"/>
  </w:num>
  <w:num w:numId="32">
    <w:abstractNumId w:val="15"/>
  </w:num>
  <w:num w:numId="33">
    <w:abstractNumId w:val="21"/>
  </w:num>
  <w:num w:numId="34">
    <w:abstractNumId w:val="16"/>
  </w:num>
  <w:num w:numId="35">
    <w:abstractNumId w:val="34"/>
  </w:num>
  <w:num w:numId="36">
    <w:abstractNumId w:val="18"/>
  </w:num>
  <w:num w:numId="37">
    <w:abstractNumId w:val="9"/>
  </w:num>
  <w:num w:numId="38">
    <w:abstractNumId w:val="28"/>
  </w:num>
  <w:num w:numId="39">
    <w:abstractNumId w:val="36"/>
  </w:num>
  <w:num w:numId="40">
    <w:abstractNumId w:val="39"/>
  </w:num>
  <w:num w:numId="41">
    <w:abstractNumId w:val="8"/>
  </w:num>
  <w:num w:numId="42">
    <w:abstractNumId w:val="35"/>
  </w:num>
  <w:num w:numId="43">
    <w:abstractNumId w:val="30"/>
    <w:lvlOverride w:ilvl="0">
      <w:startOverride w:val="1"/>
    </w:lvlOverride>
  </w:num>
  <w:num w:numId="44">
    <w:abstractNumId w:val="3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41A5"/>
    <w:rsid w:val="000043A0"/>
    <w:rsid w:val="00004826"/>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3AB9"/>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712"/>
    <w:rsid w:val="00027D30"/>
    <w:rsid w:val="00030445"/>
    <w:rsid w:val="00030E5A"/>
    <w:rsid w:val="000310B8"/>
    <w:rsid w:val="000310CF"/>
    <w:rsid w:val="0003142A"/>
    <w:rsid w:val="00031E05"/>
    <w:rsid w:val="00031E13"/>
    <w:rsid w:val="000327A0"/>
    <w:rsid w:val="00032C15"/>
    <w:rsid w:val="00033D56"/>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617D"/>
    <w:rsid w:val="00047516"/>
    <w:rsid w:val="00047A43"/>
    <w:rsid w:val="000504F3"/>
    <w:rsid w:val="0005111D"/>
    <w:rsid w:val="00051D87"/>
    <w:rsid w:val="00053306"/>
    <w:rsid w:val="00055310"/>
    <w:rsid w:val="00055AFD"/>
    <w:rsid w:val="000562B5"/>
    <w:rsid w:val="00056351"/>
    <w:rsid w:val="000568E8"/>
    <w:rsid w:val="00056D53"/>
    <w:rsid w:val="000570F0"/>
    <w:rsid w:val="00057EC8"/>
    <w:rsid w:val="00057FA9"/>
    <w:rsid w:val="00060158"/>
    <w:rsid w:val="00060334"/>
    <w:rsid w:val="000608C7"/>
    <w:rsid w:val="000612B2"/>
    <w:rsid w:val="00062AD3"/>
    <w:rsid w:val="00062E3B"/>
    <w:rsid w:val="00063425"/>
    <w:rsid w:val="00064C30"/>
    <w:rsid w:val="00065283"/>
    <w:rsid w:val="00066C4B"/>
    <w:rsid w:val="00066D1E"/>
    <w:rsid w:val="00066E10"/>
    <w:rsid w:val="00066FDD"/>
    <w:rsid w:val="000672A6"/>
    <w:rsid w:val="000677D2"/>
    <w:rsid w:val="00067EE5"/>
    <w:rsid w:val="000709DF"/>
    <w:rsid w:val="00070F6F"/>
    <w:rsid w:val="0007122C"/>
    <w:rsid w:val="0007246F"/>
    <w:rsid w:val="00072CA7"/>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2FEB"/>
    <w:rsid w:val="000A34AC"/>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279"/>
    <w:rsid w:val="000B43C5"/>
    <w:rsid w:val="000B453A"/>
    <w:rsid w:val="000B4B19"/>
    <w:rsid w:val="000B4B8C"/>
    <w:rsid w:val="000B4CB8"/>
    <w:rsid w:val="000B7579"/>
    <w:rsid w:val="000B7EE0"/>
    <w:rsid w:val="000C02D9"/>
    <w:rsid w:val="000C2B71"/>
    <w:rsid w:val="000C2E25"/>
    <w:rsid w:val="000C2EF8"/>
    <w:rsid w:val="000C317B"/>
    <w:rsid w:val="000C4339"/>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D74E2"/>
    <w:rsid w:val="000E0B47"/>
    <w:rsid w:val="000E0C35"/>
    <w:rsid w:val="000E0C9E"/>
    <w:rsid w:val="000E13AB"/>
    <w:rsid w:val="000E1E5E"/>
    <w:rsid w:val="000E1EF6"/>
    <w:rsid w:val="000E2E68"/>
    <w:rsid w:val="000E30EB"/>
    <w:rsid w:val="000E4C14"/>
    <w:rsid w:val="000E5F53"/>
    <w:rsid w:val="000E5F93"/>
    <w:rsid w:val="000E705A"/>
    <w:rsid w:val="000E79FE"/>
    <w:rsid w:val="000F08D2"/>
    <w:rsid w:val="000F0FAC"/>
    <w:rsid w:val="000F2CFD"/>
    <w:rsid w:val="000F33A8"/>
    <w:rsid w:val="000F496C"/>
    <w:rsid w:val="000F4E84"/>
    <w:rsid w:val="000F5946"/>
    <w:rsid w:val="000F6CB5"/>
    <w:rsid w:val="000F7308"/>
    <w:rsid w:val="000F7E2E"/>
    <w:rsid w:val="00100280"/>
    <w:rsid w:val="001004A6"/>
    <w:rsid w:val="00101C75"/>
    <w:rsid w:val="00101D91"/>
    <w:rsid w:val="001022FD"/>
    <w:rsid w:val="00102392"/>
    <w:rsid w:val="001028C7"/>
    <w:rsid w:val="00103278"/>
    <w:rsid w:val="00104794"/>
    <w:rsid w:val="00104AB0"/>
    <w:rsid w:val="00104E08"/>
    <w:rsid w:val="00104F6E"/>
    <w:rsid w:val="00105090"/>
    <w:rsid w:val="00105E09"/>
    <w:rsid w:val="00106636"/>
    <w:rsid w:val="00106D50"/>
    <w:rsid w:val="001073DF"/>
    <w:rsid w:val="001101DE"/>
    <w:rsid w:val="00110FED"/>
    <w:rsid w:val="001113D7"/>
    <w:rsid w:val="001117BF"/>
    <w:rsid w:val="001133D7"/>
    <w:rsid w:val="0011358E"/>
    <w:rsid w:val="001138BE"/>
    <w:rsid w:val="00113B97"/>
    <w:rsid w:val="00113E20"/>
    <w:rsid w:val="00113EC5"/>
    <w:rsid w:val="001146D9"/>
    <w:rsid w:val="00115981"/>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6C3"/>
    <w:rsid w:val="00147A86"/>
    <w:rsid w:val="00147C64"/>
    <w:rsid w:val="001506E0"/>
    <w:rsid w:val="00150C68"/>
    <w:rsid w:val="00150C8C"/>
    <w:rsid w:val="001515AA"/>
    <w:rsid w:val="00151EDE"/>
    <w:rsid w:val="001524F2"/>
    <w:rsid w:val="00153226"/>
    <w:rsid w:val="0015380A"/>
    <w:rsid w:val="00153989"/>
    <w:rsid w:val="00154D52"/>
    <w:rsid w:val="00156A63"/>
    <w:rsid w:val="00156AC4"/>
    <w:rsid w:val="001571E1"/>
    <w:rsid w:val="001572E2"/>
    <w:rsid w:val="00157456"/>
    <w:rsid w:val="001576DC"/>
    <w:rsid w:val="00157834"/>
    <w:rsid w:val="0016061A"/>
    <w:rsid w:val="001606E6"/>
    <w:rsid w:val="001615EA"/>
    <w:rsid w:val="0016169A"/>
    <w:rsid w:val="001619CB"/>
    <w:rsid w:val="00161F6E"/>
    <w:rsid w:val="00162589"/>
    <w:rsid w:val="00162617"/>
    <w:rsid w:val="00162B1A"/>
    <w:rsid w:val="001630BF"/>
    <w:rsid w:val="00163715"/>
    <w:rsid w:val="001641BF"/>
    <w:rsid w:val="00164670"/>
    <w:rsid w:val="001646CC"/>
    <w:rsid w:val="00164DED"/>
    <w:rsid w:val="00165C4E"/>
    <w:rsid w:val="00165E4F"/>
    <w:rsid w:val="00166FD2"/>
    <w:rsid w:val="00167AF8"/>
    <w:rsid w:val="001707C4"/>
    <w:rsid w:val="001716E7"/>
    <w:rsid w:val="0017249C"/>
    <w:rsid w:val="001725F9"/>
    <w:rsid w:val="00172C56"/>
    <w:rsid w:val="00173848"/>
    <w:rsid w:val="00174331"/>
    <w:rsid w:val="00174D61"/>
    <w:rsid w:val="00175A59"/>
    <w:rsid w:val="001763F7"/>
    <w:rsid w:val="001767B2"/>
    <w:rsid w:val="0018054C"/>
    <w:rsid w:val="00180DA8"/>
    <w:rsid w:val="00181168"/>
    <w:rsid w:val="001853FD"/>
    <w:rsid w:val="0018543D"/>
    <w:rsid w:val="00186A15"/>
    <w:rsid w:val="0019001E"/>
    <w:rsid w:val="001907CD"/>
    <w:rsid w:val="0019115E"/>
    <w:rsid w:val="001917CB"/>
    <w:rsid w:val="0019180D"/>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6B8A"/>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09F"/>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088"/>
    <w:rsid w:val="001E7169"/>
    <w:rsid w:val="001E7835"/>
    <w:rsid w:val="001E7D97"/>
    <w:rsid w:val="001F01EE"/>
    <w:rsid w:val="001F0527"/>
    <w:rsid w:val="001F165C"/>
    <w:rsid w:val="001F176D"/>
    <w:rsid w:val="001F1D8C"/>
    <w:rsid w:val="001F2929"/>
    <w:rsid w:val="001F2B14"/>
    <w:rsid w:val="001F3266"/>
    <w:rsid w:val="001F34EA"/>
    <w:rsid w:val="001F3C5C"/>
    <w:rsid w:val="001F3CA9"/>
    <w:rsid w:val="001F3F09"/>
    <w:rsid w:val="001F48B4"/>
    <w:rsid w:val="001F5007"/>
    <w:rsid w:val="001F5704"/>
    <w:rsid w:val="001F5E2E"/>
    <w:rsid w:val="001F65B5"/>
    <w:rsid w:val="001F6823"/>
    <w:rsid w:val="001F77DB"/>
    <w:rsid w:val="001F78F6"/>
    <w:rsid w:val="001F79A1"/>
    <w:rsid w:val="001F7FE9"/>
    <w:rsid w:val="0020053E"/>
    <w:rsid w:val="00201866"/>
    <w:rsid w:val="00202C7E"/>
    <w:rsid w:val="00202F7F"/>
    <w:rsid w:val="00203176"/>
    <w:rsid w:val="00203C2C"/>
    <w:rsid w:val="00203FD9"/>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A14"/>
    <w:rsid w:val="002407C0"/>
    <w:rsid w:val="00240F1F"/>
    <w:rsid w:val="00241835"/>
    <w:rsid w:val="0024187E"/>
    <w:rsid w:val="002423E4"/>
    <w:rsid w:val="0024285B"/>
    <w:rsid w:val="00243A23"/>
    <w:rsid w:val="00244595"/>
    <w:rsid w:val="0024515A"/>
    <w:rsid w:val="002454C7"/>
    <w:rsid w:val="002457B4"/>
    <w:rsid w:val="002460B4"/>
    <w:rsid w:val="0025021D"/>
    <w:rsid w:val="00250B08"/>
    <w:rsid w:val="00250FA1"/>
    <w:rsid w:val="002513AF"/>
    <w:rsid w:val="0025154D"/>
    <w:rsid w:val="00251C73"/>
    <w:rsid w:val="00252D0A"/>
    <w:rsid w:val="00253D8D"/>
    <w:rsid w:val="0025412D"/>
    <w:rsid w:val="00254C94"/>
    <w:rsid w:val="00255577"/>
    <w:rsid w:val="00255EB0"/>
    <w:rsid w:val="0025605B"/>
    <w:rsid w:val="00256D72"/>
    <w:rsid w:val="002573B1"/>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B6C"/>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12B"/>
    <w:rsid w:val="002874A6"/>
    <w:rsid w:val="00287BC6"/>
    <w:rsid w:val="00287D23"/>
    <w:rsid w:val="00291308"/>
    <w:rsid w:val="002919E0"/>
    <w:rsid w:val="0029240A"/>
    <w:rsid w:val="00294161"/>
    <w:rsid w:val="0029421D"/>
    <w:rsid w:val="002948CF"/>
    <w:rsid w:val="0029620C"/>
    <w:rsid w:val="002A096D"/>
    <w:rsid w:val="002A17B6"/>
    <w:rsid w:val="002A2D5B"/>
    <w:rsid w:val="002A2FF8"/>
    <w:rsid w:val="002A40A0"/>
    <w:rsid w:val="002A532E"/>
    <w:rsid w:val="002A5CE8"/>
    <w:rsid w:val="002A791F"/>
    <w:rsid w:val="002B0C26"/>
    <w:rsid w:val="002B1270"/>
    <w:rsid w:val="002B1300"/>
    <w:rsid w:val="002B1335"/>
    <w:rsid w:val="002B1C79"/>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22"/>
    <w:rsid w:val="002D09D8"/>
    <w:rsid w:val="002D0D97"/>
    <w:rsid w:val="002D0FFC"/>
    <w:rsid w:val="002D1274"/>
    <w:rsid w:val="002D12A3"/>
    <w:rsid w:val="002D13B2"/>
    <w:rsid w:val="002D25CC"/>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814"/>
    <w:rsid w:val="002E088D"/>
    <w:rsid w:val="002E10ED"/>
    <w:rsid w:val="002E1195"/>
    <w:rsid w:val="002E1CEB"/>
    <w:rsid w:val="002E1EDB"/>
    <w:rsid w:val="002E2633"/>
    <w:rsid w:val="002E33B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32F"/>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0FA"/>
    <w:rsid w:val="00325443"/>
    <w:rsid w:val="00325A67"/>
    <w:rsid w:val="00326532"/>
    <w:rsid w:val="00327492"/>
    <w:rsid w:val="00327A1E"/>
    <w:rsid w:val="00327FA9"/>
    <w:rsid w:val="003300FC"/>
    <w:rsid w:val="00332D38"/>
    <w:rsid w:val="00333077"/>
    <w:rsid w:val="00333425"/>
    <w:rsid w:val="00333EEA"/>
    <w:rsid w:val="00334730"/>
    <w:rsid w:val="00334877"/>
    <w:rsid w:val="00334980"/>
    <w:rsid w:val="00334D2C"/>
    <w:rsid w:val="00334D61"/>
    <w:rsid w:val="003350DE"/>
    <w:rsid w:val="00335E9C"/>
    <w:rsid w:val="0033736E"/>
    <w:rsid w:val="00337500"/>
    <w:rsid w:val="00342F4A"/>
    <w:rsid w:val="00343A6B"/>
    <w:rsid w:val="00344650"/>
    <w:rsid w:val="00344E44"/>
    <w:rsid w:val="0034529B"/>
    <w:rsid w:val="0034628E"/>
    <w:rsid w:val="00346452"/>
    <w:rsid w:val="00350989"/>
    <w:rsid w:val="00350BC0"/>
    <w:rsid w:val="00350C11"/>
    <w:rsid w:val="0035148D"/>
    <w:rsid w:val="003518B2"/>
    <w:rsid w:val="00352028"/>
    <w:rsid w:val="00352219"/>
    <w:rsid w:val="003524F3"/>
    <w:rsid w:val="00352C4F"/>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08D0"/>
    <w:rsid w:val="00391E35"/>
    <w:rsid w:val="00392AB5"/>
    <w:rsid w:val="003932EE"/>
    <w:rsid w:val="00393DC4"/>
    <w:rsid w:val="00393FB0"/>
    <w:rsid w:val="0039465C"/>
    <w:rsid w:val="00394E49"/>
    <w:rsid w:val="0039515F"/>
    <w:rsid w:val="00395D69"/>
    <w:rsid w:val="00396E0F"/>
    <w:rsid w:val="00396F86"/>
    <w:rsid w:val="003A0A75"/>
    <w:rsid w:val="003A0C25"/>
    <w:rsid w:val="003A1FC5"/>
    <w:rsid w:val="003A2B6A"/>
    <w:rsid w:val="003A2CCC"/>
    <w:rsid w:val="003A3A3E"/>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27D6"/>
    <w:rsid w:val="003C316C"/>
    <w:rsid w:val="003C3601"/>
    <w:rsid w:val="003C4267"/>
    <w:rsid w:val="003C44E1"/>
    <w:rsid w:val="003C5585"/>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1BA6"/>
    <w:rsid w:val="003F20C7"/>
    <w:rsid w:val="003F27CA"/>
    <w:rsid w:val="003F2D1E"/>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039"/>
    <w:rsid w:val="00404929"/>
    <w:rsid w:val="00405B86"/>
    <w:rsid w:val="00405ED2"/>
    <w:rsid w:val="004061F0"/>
    <w:rsid w:val="0040656B"/>
    <w:rsid w:val="004065E3"/>
    <w:rsid w:val="004070E8"/>
    <w:rsid w:val="004073AC"/>
    <w:rsid w:val="00407D50"/>
    <w:rsid w:val="00407D66"/>
    <w:rsid w:val="00407DD0"/>
    <w:rsid w:val="00411033"/>
    <w:rsid w:val="0041118F"/>
    <w:rsid w:val="004111FF"/>
    <w:rsid w:val="0041159A"/>
    <w:rsid w:val="00411A5A"/>
    <w:rsid w:val="00411B6A"/>
    <w:rsid w:val="0041268A"/>
    <w:rsid w:val="00414B31"/>
    <w:rsid w:val="00414EE5"/>
    <w:rsid w:val="00415763"/>
    <w:rsid w:val="00415EC7"/>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564"/>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823"/>
    <w:rsid w:val="004569E1"/>
    <w:rsid w:val="00457742"/>
    <w:rsid w:val="00457F89"/>
    <w:rsid w:val="00460CF6"/>
    <w:rsid w:val="00461725"/>
    <w:rsid w:val="00462A53"/>
    <w:rsid w:val="00462EA7"/>
    <w:rsid w:val="00463979"/>
    <w:rsid w:val="00463FEF"/>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456"/>
    <w:rsid w:val="00480F75"/>
    <w:rsid w:val="00480F92"/>
    <w:rsid w:val="0048107B"/>
    <w:rsid w:val="00481606"/>
    <w:rsid w:val="004819DB"/>
    <w:rsid w:val="00482DCD"/>
    <w:rsid w:val="00482FDC"/>
    <w:rsid w:val="00483622"/>
    <w:rsid w:val="00483B81"/>
    <w:rsid w:val="00483F38"/>
    <w:rsid w:val="00484176"/>
    <w:rsid w:val="00484306"/>
    <w:rsid w:val="00484546"/>
    <w:rsid w:val="004847FC"/>
    <w:rsid w:val="00484F51"/>
    <w:rsid w:val="004859A5"/>
    <w:rsid w:val="00485EE7"/>
    <w:rsid w:val="00487FC4"/>
    <w:rsid w:val="0049057C"/>
    <w:rsid w:val="004926FD"/>
    <w:rsid w:val="00492ACD"/>
    <w:rsid w:val="00492B65"/>
    <w:rsid w:val="004942A4"/>
    <w:rsid w:val="004958FB"/>
    <w:rsid w:val="00495AD5"/>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213"/>
    <w:rsid w:val="004B65B0"/>
    <w:rsid w:val="004B7206"/>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B37"/>
    <w:rsid w:val="004E1F6B"/>
    <w:rsid w:val="004E344B"/>
    <w:rsid w:val="004E41C2"/>
    <w:rsid w:val="004E430C"/>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DC"/>
    <w:rsid w:val="00504AF5"/>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1D4"/>
    <w:rsid w:val="0051641A"/>
    <w:rsid w:val="005200A3"/>
    <w:rsid w:val="005208E4"/>
    <w:rsid w:val="00520C9B"/>
    <w:rsid w:val="0052101E"/>
    <w:rsid w:val="005218B7"/>
    <w:rsid w:val="005221CD"/>
    <w:rsid w:val="00522CBD"/>
    <w:rsid w:val="00522EAB"/>
    <w:rsid w:val="00523A02"/>
    <w:rsid w:val="00524D62"/>
    <w:rsid w:val="00524FE3"/>
    <w:rsid w:val="005267E4"/>
    <w:rsid w:val="005277C8"/>
    <w:rsid w:val="00527A74"/>
    <w:rsid w:val="0053122D"/>
    <w:rsid w:val="00531548"/>
    <w:rsid w:val="00531C1C"/>
    <w:rsid w:val="00532034"/>
    <w:rsid w:val="00532063"/>
    <w:rsid w:val="00532531"/>
    <w:rsid w:val="00533238"/>
    <w:rsid w:val="00533283"/>
    <w:rsid w:val="00533998"/>
    <w:rsid w:val="00533A2A"/>
    <w:rsid w:val="00533B97"/>
    <w:rsid w:val="00533EC0"/>
    <w:rsid w:val="00534675"/>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E43"/>
    <w:rsid w:val="00547FBB"/>
    <w:rsid w:val="00550573"/>
    <w:rsid w:val="00550EAD"/>
    <w:rsid w:val="00551F63"/>
    <w:rsid w:val="00553340"/>
    <w:rsid w:val="00553E8B"/>
    <w:rsid w:val="005547EC"/>
    <w:rsid w:val="00554D55"/>
    <w:rsid w:val="0055573F"/>
    <w:rsid w:val="005563C1"/>
    <w:rsid w:val="00556599"/>
    <w:rsid w:val="0055677A"/>
    <w:rsid w:val="005577D8"/>
    <w:rsid w:val="0055785E"/>
    <w:rsid w:val="00561BE3"/>
    <w:rsid w:val="00561C88"/>
    <w:rsid w:val="00562595"/>
    <w:rsid w:val="00562AEB"/>
    <w:rsid w:val="00562FD4"/>
    <w:rsid w:val="00563753"/>
    <w:rsid w:val="00564127"/>
    <w:rsid w:val="005646DB"/>
    <w:rsid w:val="0056614F"/>
    <w:rsid w:val="005663CD"/>
    <w:rsid w:val="00566A91"/>
    <w:rsid w:val="005673D2"/>
    <w:rsid w:val="005677E2"/>
    <w:rsid w:val="005678E7"/>
    <w:rsid w:val="00571156"/>
    <w:rsid w:val="0057176D"/>
    <w:rsid w:val="00571CDA"/>
    <w:rsid w:val="00572288"/>
    <w:rsid w:val="005724A5"/>
    <w:rsid w:val="005734E0"/>
    <w:rsid w:val="0057410C"/>
    <w:rsid w:val="00575680"/>
    <w:rsid w:val="005761C9"/>
    <w:rsid w:val="005764B6"/>
    <w:rsid w:val="00576EBD"/>
    <w:rsid w:val="0057762D"/>
    <w:rsid w:val="005779EF"/>
    <w:rsid w:val="00580379"/>
    <w:rsid w:val="00580398"/>
    <w:rsid w:val="00580712"/>
    <w:rsid w:val="00580FC0"/>
    <w:rsid w:val="00581799"/>
    <w:rsid w:val="00581F1C"/>
    <w:rsid w:val="00582964"/>
    <w:rsid w:val="005842E7"/>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14"/>
    <w:rsid w:val="005B037E"/>
    <w:rsid w:val="005B0A8B"/>
    <w:rsid w:val="005B0EB0"/>
    <w:rsid w:val="005B1134"/>
    <w:rsid w:val="005B2471"/>
    <w:rsid w:val="005B251B"/>
    <w:rsid w:val="005B2EAB"/>
    <w:rsid w:val="005B47F7"/>
    <w:rsid w:val="005B6F1F"/>
    <w:rsid w:val="005B7363"/>
    <w:rsid w:val="005B73A6"/>
    <w:rsid w:val="005B77DA"/>
    <w:rsid w:val="005C0780"/>
    <w:rsid w:val="005C086A"/>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476"/>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430C"/>
    <w:rsid w:val="006148BA"/>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ABD"/>
    <w:rsid w:val="00641AAA"/>
    <w:rsid w:val="00641D0D"/>
    <w:rsid w:val="006428AF"/>
    <w:rsid w:val="006433A3"/>
    <w:rsid w:val="006433E7"/>
    <w:rsid w:val="00643598"/>
    <w:rsid w:val="00643978"/>
    <w:rsid w:val="00643D41"/>
    <w:rsid w:val="00644652"/>
    <w:rsid w:val="00644E53"/>
    <w:rsid w:val="0064610A"/>
    <w:rsid w:val="00647A95"/>
    <w:rsid w:val="00647C93"/>
    <w:rsid w:val="00650B28"/>
    <w:rsid w:val="00651457"/>
    <w:rsid w:val="00651C24"/>
    <w:rsid w:val="00651CDD"/>
    <w:rsid w:val="006527A5"/>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DE7"/>
    <w:rsid w:val="00667022"/>
    <w:rsid w:val="006707CB"/>
    <w:rsid w:val="00670850"/>
    <w:rsid w:val="0067155F"/>
    <w:rsid w:val="006729DB"/>
    <w:rsid w:val="00672EF9"/>
    <w:rsid w:val="006730DA"/>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31F3"/>
    <w:rsid w:val="006B3CD4"/>
    <w:rsid w:val="006B3D25"/>
    <w:rsid w:val="006B3E30"/>
    <w:rsid w:val="006B3E5E"/>
    <w:rsid w:val="006B3F33"/>
    <w:rsid w:val="006B5A38"/>
    <w:rsid w:val="006B685B"/>
    <w:rsid w:val="006B6F1C"/>
    <w:rsid w:val="006B724D"/>
    <w:rsid w:val="006B7E55"/>
    <w:rsid w:val="006C0CEA"/>
    <w:rsid w:val="006C158C"/>
    <w:rsid w:val="006C1D38"/>
    <w:rsid w:val="006C201B"/>
    <w:rsid w:val="006C2060"/>
    <w:rsid w:val="006C39DF"/>
    <w:rsid w:val="006C3A50"/>
    <w:rsid w:val="006C51D2"/>
    <w:rsid w:val="006C58F9"/>
    <w:rsid w:val="006C62C3"/>
    <w:rsid w:val="006C6574"/>
    <w:rsid w:val="006C6FA5"/>
    <w:rsid w:val="006D2386"/>
    <w:rsid w:val="006D2689"/>
    <w:rsid w:val="006D2B2A"/>
    <w:rsid w:val="006D4B69"/>
    <w:rsid w:val="006D4D77"/>
    <w:rsid w:val="006D4F94"/>
    <w:rsid w:val="006D50B0"/>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E7C6F"/>
    <w:rsid w:val="006F1320"/>
    <w:rsid w:val="006F1F9A"/>
    <w:rsid w:val="006F3322"/>
    <w:rsid w:val="006F370E"/>
    <w:rsid w:val="006F4C0F"/>
    <w:rsid w:val="006F5304"/>
    <w:rsid w:val="006F55C6"/>
    <w:rsid w:val="006F5B53"/>
    <w:rsid w:val="006F6F1D"/>
    <w:rsid w:val="006F7BB2"/>
    <w:rsid w:val="00700734"/>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3297"/>
    <w:rsid w:val="00713AAE"/>
    <w:rsid w:val="00716413"/>
    <w:rsid w:val="007168AA"/>
    <w:rsid w:val="00716F5D"/>
    <w:rsid w:val="007170AB"/>
    <w:rsid w:val="00717437"/>
    <w:rsid w:val="007174A1"/>
    <w:rsid w:val="007176D1"/>
    <w:rsid w:val="007211FB"/>
    <w:rsid w:val="00721283"/>
    <w:rsid w:val="0072225A"/>
    <w:rsid w:val="007223DB"/>
    <w:rsid w:val="00722778"/>
    <w:rsid w:val="007229DB"/>
    <w:rsid w:val="00724BED"/>
    <w:rsid w:val="00725BA4"/>
    <w:rsid w:val="00725D0E"/>
    <w:rsid w:val="00726244"/>
    <w:rsid w:val="007262AE"/>
    <w:rsid w:val="00726457"/>
    <w:rsid w:val="00727124"/>
    <w:rsid w:val="007300FC"/>
    <w:rsid w:val="00730630"/>
    <w:rsid w:val="00731014"/>
    <w:rsid w:val="00731608"/>
    <w:rsid w:val="00732231"/>
    <w:rsid w:val="007345DC"/>
    <w:rsid w:val="00734683"/>
    <w:rsid w:val="00735345"/>
    <w:rsid w:val="007365BA"/>
    <w:rsid w:val="00736B59"/>
    <w:rsid w:val="00736EAF"/>
    <w:rsid w:val="00737156"/>
    <w:rsid w:val="00737245"/>
    <w:rsid w:val="00737623"/>
    <w:rsid w:val="00737684"/>
    <w:rsid w:val="007377B3"/>
    <w:rsid w:val="007379A4"/>
    <w:rsid w:val="00742072"/>
    <w:rsid w:val="00742CC2"/>
    <w:rsid w:val="0074371B"/>
    <w:rsid w:val="00744D85"/>
    <w:rsid w:val="007458BE"/>
    <w:rsid w:val="00745BE0"/>
    <w:rsid w:val="0074694B"/>
    <w:rsid w:val="0074720F"/>
    <w:rsid w:val="00747599"/>
    <w:rsid w:val="00747D00"/>
    <w:rsid w:val="0075060B"/>
    <w:rsid w:val="00750672"/>
    <w:rsid w:val="007508A4"/>
    <w:rsid w:val="0075174C"/>
    <w:rsid w:val="00751AF3"/>
    <w:rsid w:val="0075275F"/>
    <w:rsid w:val="0075281D"/>
    <w:rsid w:val="00752A25"/>
    <w:rsid w:val="007538AE"/>
    <w:rsid w:val="007538F7"/>
    <w:rsid w:val="00753B68"/>
    <w:rsid w:val="0075486D"/>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58D8"/>
    <w:rsid w:val="00766D00"/>
    <w:rsid w:val="0076748B"/>
    <w:rsid w:val="00767D3E"/>
    <w:rsid w:val="00771743"/>
    <w:rsid w:val="00771DA4"/>
    <w:rsid w:val="00772073"/>
    <w:rsid w:val="007723B1"/>
    <w:rsid w:val="0077353F"/>
    <w:rsid w:val="007735C9"/>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F81"/>
    <w:rsid w:val="007C0FF8"/>
    <w:rsid w:val="007C14BE"/>
    <w:rsid w:val="007C1CD6"/>
    <w:rsid w:val="007C1D37"/>
    <w:rsid w:val="007C1E20"/>
    <w:rsid w:val="007C2073"/>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563"/>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3CB"/>
    <w:rsid w:val="00803857"/>
    <w:rsid w:val="008038F6"/>
    <w:rsid w:val="00803EBA"/>
    <w:rsid w:val="00804003"/>
    <w:rsid w:val="00804B57"/>
    <w:rsid w:val="00805889"/>
    <w:rsid w:val="00805E37"/>
    <w:rsid w:val="00805F84"/>
    <w:rsid w:val="008065A1"/>
    <w:rsid w:val="008071AB"/>
    <w:rsid w:val="008100A4"/>
    <w:rsid w:val="0081075E"/>
    <w:rsid w:val="00810FCD"/>
    <w:rsid w:val="00811106"/>
    <w:rsid w:val="00811591"/>
    <w:rsid w:val="00811836"/>
    <w:rsid w:val="008121C2"/>
    <w:rsid w:val="0081479B"/>
    <w:rsid w:val="008148D9"/>
    <w:rsid w:val="00817F91"/>
    <w:rsid w:val="00817FCD"/>
    <w:rsid w:val="0082101E"/>
    <w:rsid w:val="00821A39"/>
    <w:rsid w:val="00821CBC"/>
    <w:rsid w:val="008224FD"/>
    <w:rsid w:val="00822A00"/>
    <w:rsid w:val="0082327C"/>
    <w:rsid w:val="008246D9"/>
    <w:rsid w:val="00824767"/>
    <w:rsid w:val="008249CD"/>
    <w:rsid w:val="00824D47"/>
    <w:rsid w:val="008255D2"/>
    <w:rsid w:val="00825892"/>
    <w:rsid w:val="00825D3C"/>
    <w:rsid w:val="00825D91"/>
    <w:rsid w:val="00826639"/>
    <w:rsid w:val="008269E2"/>
    <w:rsid w:val="00827321"/>
    <w:rsid w:val="008275F9"/>
    <w:rsid w:val="0082798C"/>
    <w:rsid w:val="00827AD8"/>
    <w:rsid w:val="00830B21"/>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80"/>
    <w:rsid w:val="00843732"/>
    <w:rsid w:val="008437EC"/>
    <w:rsid w:val="0084428F"/>
    <w:rsid w:val="00844E06"/>
    <w:rsid w:val="008451E7"/>
    <w:rsid w:val="008452CE"/>
    <w:rsid w:val="008453A0"/>
    <w:rsid w:val="0084565F"/>
    <w:rsid w:val="00845A79"/>
    <w:rsid w:val="00846510"/>
    <w:rsid w:val="00846D3E"/>
    <w:rsid w:val="00846DC9"/>
    <w:rsid w:val="00847707"/>
    <w:rsid w:val="00847C70"/>
    <w:rsid w:val="0085126E"/>
    <w:rsid w:val="00851B21"/>
    <w:rsid w:val="008522C9"/>
    <w:rsid w:val="008534CA"/>
    <w:rsid w:val="008542D8"/>
    <w:rsid w:val="008543CA"/>
    <w:rsid w:val="00854454"/>
    <w:rsid w:val="008555C1"/>
    <w:rsid w:val="00857E28"/>
    <w:rsid w:val="00860221"/>
    <w:rsid w:val="00860EC8"/>
    <w:rsid w:val="00861524"/>
    <w:rsid w:val="00861FF2"/>
    <w:rsid w:val="0086201E"/>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0B31"/>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0A96"/>
    <w:rsid w:val="008A0BE3"/>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669D"/>
    <w:rsid w:val="008C67D2"/>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6938"/>
    <w:rsid w:val="008D7C89"/>
    <w:rsid w:val="008E0439"/>
    <w:rsid w:val="008E1502"/>
    <w:rsid w:val="008E1BF0"/>
    <w:rsid w:val="008E1FB9"/>
    <w:rsid w:val="008E44B6"/>
    <w:rsid w:val="008E47AD"/>
    <w:rsid w:val="008E4F39"/>
    <w:rsid w:val="008E4F50"/>
    <w:rsid w:val="008E56C7"/>
    <w:rsid w:val="008E7018"/>
    <w:rsid w:val="008E7919"/>
    <w:rsid w:val="008F119B"/>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202D3"/>
    <w:rsid w:val="00920A0E"/>
    <w:rsid w:val="0092133E"/>
    <w:rsid w:val="00921914"/>
    <w:rsid w:val="00922393"/>
    <w:rsid w:val="00922438"/>
    <w:rsid w:val="00923DC3"/>
    <w:rsid w:val="00923F75"/>
    <w:rsid w:val="00924964"/>
    <w:rsid w:val="00924E89"/>
    <w:rsid w:val="00925253"/>
    <w:rsid w:val="00925776"/>
    <w:rsid w:val="009257D8"/>
    <w:rsid w:val="009260D2"/>
    <w:rsid w:val="00927257"/>
    <w:rsid w:val="00927478"/>
    <w:rsid w:val="00927B11"/>
    <w:rsid w:val="00927EEE"/>
    <w:rsid w:val="00927F71"/>
    <w:rsid w:val="0093030B"/>
    <w:rsid w:val="00930BCC"/>
    <w:rsid w:val="009315CC"/>
    <w:rsid w:val="00931967"/>
    <w:rsid w:val="0093204A"/>
    <w:rsid w:val="00932A98"/>
    <w:rsid w:val="00932DC8"/>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085C"/>
    <w:rsid w:val="0098159C"/>
    <w:rsid w:val="009823CE"/>
    <w:rsid w:val="009826BE"/>
    <w:rsid w:val="0098290B"/>
    <w:rsid w:val="009832FB"/>
    <w:rsid w:val="0098407B"/>
    <w:rsid w:val="00984704"/>
    <w:rsid w:val="0098578C"/>
    <w:rsid w:val="0098594B"/>
    <w:rsid w:val="00985B3C"/>
    <w:rsid w:val="00985DB8"/>
    <w:rsid w:val="00986757"/>
    <w:rsid w:val="009872E6"/>
    <w:rsid w:val="009874CA"/>
    <w:rsid w:val="009903F3"/>
    <w:rsid w:val="0099297F"/>
    <w:rsid w:val="00992F3A"/>
    <w:rsid w:val="0099346F"/>
    <w:rsid w:val="00994522"/>
    <w:rsid w:val="00994874"/>
    <w:rsid w:val="009953C4"/>
    <w:rsid w:val="009953EF"/>
    <w:rsid w:val="00997AED"/>
    <w:rsid w:val="009A0039"/>
    <w:rsid w:val="009A0851"/>
    <w:rsid w:val="009A12A2"/>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555D"/>
    <w:rsid w:val="009B60AC"/>
    <w:rsid w:val="009C02E4"/>
    <w:rsid w:val="009C09DE"/>
    <w:rsid w:val="009C0C1A"/>
    <w:rsid w:val="009C1B6E"/>
    <w:rsid w:val="009C53A3"/>
    <w:rsid w:val="009C6037"/>
    <w:rsid w:val="009C7CB3"/>
    <w:rsid w:val="009D0D49"/>
    <w:rsid w:val="009D29DE"/>
    <w:rsid w:val="009D2D2C"/>
    <w:rsid w:val="009D477E"/>
    <w:rsid w:val="009D500F"/>
    <w:rsid w:val="009D5A2E"/>
    <w:rsid w:val="009D649A"/>
    <w:rsid w:val="009D6906"/>
    <w:rsid w:val="009D76BA"/>
    <w:rsid w:val="009D77F5"/>
    <w:rsid w:val="009D7B67"/>
    <w:rsid w:val="009E09F0"/>
    <w:rsid w:val="009E0E06"/>
    <w:rsid w:val="009E1A68"/>
    <w:rsid w:val="009E37B2"/>
    <w:rsid w:val="009E3BFA"/>
    <w:rsid w:val="009E3EDC"/>
    <w:rsid w:val="009E40D4"/>
    <w:rsid w:val="009E5521"/>
    <w:rsid w:val="009E55C1"/>
    <w:rsid w:val="009E5FAE"/>
    <w:rsid w:val="009E61E5"/>
    <w:rsid w:val="009E67D1"/>
    <w:rsid w:val="009E68EC"/>
    <w:rsid w:val="009E75AB"/>
    <w:rsid w:val="009F1B73"/>
    <w:rsid w:val="009F1C97"/>
    <w:rsid w:val="009F1DB5"/>
    <w:rsid w:val="009F2B1E"/>
    <w:rsid w:val="009F43CB"/>
    <w:rsid w:val="009F476D"/>
    <w:rsid w:val="009F5836"/>
    <w:rsid w:val="009F701A"/>
    <w:rsid w:val="00A03231"/>
    <w:rsid w:val="00A03746"/>
    <w:rsid w:val="00A03ED8"/>
    <w:rsid w:val="00A04BA7"/>
    <w:rsid w:val="00A04D1B"/>
    <w:rsid w:val="00A04FD8"/>
    <w:rsid w:val="00A05E42"/>
    <w:rsid w:val="00A06A27"/>
    <w:rsid w:val="00A06DCE"/>
    <w:rsid w:val="00A07C33"/>
    <w:rsid w:val="00A10BA3"/>
    <w:rsid w:val="00A114A4"/>
    <w:rsid w:val="00A11C53"/>
    <w:rsid w:val="00A12A9B"/>
    <w:rsid w:val="00A12FD5"/>
    <w:rsid w:val="00A13649"/>
    <w:rsid w:val="00A1553D"/>
    <w:rsid w:val="00A158EF"/>
    <w:rsid w:val="00A17EDB"/>
    <w:rsid w:val="00A20945"/>
    <w:rsid w:val="00A20D56"/>
    <w:rsid w:val="00A210A2"/>
    <w:rsid w:val="00A21371"/>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E67"/>
    <w:rsid w:val="00A35919"/>
    <w:rsid w:val="00A36999"/>
    <w:rsid w:val="00A36AC5"/>
    <w:rsid w:val="00A36B2D"/>
    <w:rsid w:val="00A36CB0"/>
    <w:rsid w:val="00A36EF5"/>
    <w:rsid w:val="00A404A0"/>
    <w:rsid w:val="00A407CC"/>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32B"/>
    <w:rsid w:val="00A52678"/>
    <w:rsid w:val="00A52C93"/>
    <w:rsid w:val="00A53AFD"/>
    <w:rsid w:val="00A54339"/>
    <w:rsid w:val="00A56748"/>
    <w:rsid w:val="00A573A7"/>
    <w:rsid w:val="00A57A37"/>
    <w:rsid w:val="00A60713"/>
    <w:rsid w:val="00A60DD0"/>
    <w:rsid w:val="00A61042"/>
    <w:rsid w:val="00A61F66"/>
    <w:rsid w:val="00A62256"/>
    <w:rsid w:val="00A64DEC"/>
    <w:rsid w:val="00A665A9"/>
    <w:rsid w:val="00A66BBB"/>
    <w:rsid w:val="00A66CEB"/>
    <w:rsid w:val="00A67595"/>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86D5D"/>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7031"/>
    <w:rsid w:val="00A97A96"/>
    <w:rsid w:val="00AA1105"/>
    <w:rsid w:val="00AA1AFD"/>
    <w:rsid w:val="00AA2428"/>
    <w:rsid w:val="00AA2BEA"/>
    <w:rsid w:val="00AA3AB2"/>
    <w:rsid w:val="00AA568B"/>
    <w:rsid w:val="00AA69BC"/>
    <w:rsid w:val="00AA760D"/>
    <w:rsid w:val="00AB05C7"/>
    <w:rsid w:val="00AB0ACB"/>
    <w:rsid w:val="00AB2D28"/>
    <w:rsid w:val="00AB33C8"/>
    <w:rsid w:val="00AB3B25"/>
    <w:rsid w:val="00AB3CAC"/>
    <w:rsid w:val="00AB4407"/>
    <w:rsid w:val="00AB5366"/>
    <w:rsid w:val="00AB5545"/>
    <w:rsid w:val="00AB57B6"/>
    <w:rsid w:val="00AB6CD5"/>
    <w:rsid w:val="00AB76FF"/>
    <w:rsid w:val="00AB7A6C"/>
    <w:rsid w:val="00AC04B9"/>
    <w:rsid w:val="00AC13D5"/>
    <w:rsid w:val="00AC157C"/>
    <w:rsid w:val="00AC16B9"/>
    <w:rsid w:val="00AC249A"/>
    <w:rsid w:val="00AC311C"/>
    <w:rsid w:val="00AC337C"/>
    <w:rsid w:val="00AC345E"/>
    <w:rsid w:val="00AC3663"/>
    <w:rsid w:val="00AC374D"/>
    <w:rsid w:val="00AC5016"/>
    <w:rsid w:val="00AC5D60"/>
    <w:rsid w:val="00AC711B"/>
    <w:rsid w:val="00AD0C2D"/>
    <w:rsid w:val="00AD0DA0"/>
    <w:rsid w:val="00AD1158"/>
    <w:rsid w:val="00AD1287"/>
    <w:rsid w:val="00AD14F3"/>
    <w:rsid w:val="00AD19AC"/>
    <w:rsid w:val="00AD1F8E"/>
    <w:rsid w:val="00AD2116"/>
    <w:rsid w:val="00AD3BF2"/>
    <w:rsid w:val="00AD53E8"/>
    <w:rsid w:val="00AD5960"/>
    <w:rsid w:val="00AD64BC"/>
    <w:rsid w:val="00AD663E"/>
    <w:rsid w:val="00AD6987"/>
    <w:rsid w:val="00AD6C3D"/>
    <w:rsid w:val="00AD6EC6"/>
    <w:rsid w:val="00AD6FF8"/>
    <w:rsid w:val="00AD72BB"/>
    <w:rsid w:val="00AE03CB"/>
    <w:rsid w:val="00AE0F9D"/>
    <w:rsid w:val="00AE1A02"/>
    <w:rsid w:val="00AE2374"/>
    <w:rsid w:val="00AE2388"/>
    <w:rsid w:val="00AE260C"/>
    <w:rsid w:val="00AE269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6AF"/>
    <w:rsid w:val="00B13AA7"/>
    <w:rsid w:val="00B13F7D"/>
    <w:rsid w:val="00B1560A"/>
    <w:rsid w:val="00B15F3D"/>
    <w:rsid w:val="00B16042"/>
    <w:rsid w:val="00B16D2D"/>
    <w:rsid w:val="00B16D61"/>
    <w:rsid w:val="00B17A1B"/>
    <w:rsid w:val="00B17D4C"/>
    <w:rsid w:val="00B21357"/>
    <w:rsid w:val="00B2241B"/>
    <w:rsid w:val="00B22730"/>
    <w:rsid w:val="00B22B33"/>
    <w:rsid w:val="00B23223"/>
    <w:rsid w:val="00B23B15"/>
    <w:rsid w:val="00B24259"/>
    <w:rsid w:val="00B2496D"/>
    <w:rsid w:val="00B25236"/>
    <w:rsid w:val="00B26B21"/>
    <w:rsid w:val="00B279DD"/>
    <w:rsid w:val="00B30970"/>
    <w:rsid w:val="00B31024"/>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0DE"/>
    <w:rsid w:val="00B44533"/>
    <w:rsid w:val="00B44592"/>
    <w:rsid w:val="00B44A5D"/>
    <w:rsid w:val="00B44CE5"/>
    <w:rsid w:val="00B45A9D"/>
    <w:rsid w:val="00B45BE7"/>
    <w:rsid w:val="00B462D9"/>
    <w:rsid w:val="00B4746A"/>
    <w:rsid w:val="00B47979"/>
    <w:rsid w:val="00B47AEF"/>
    <w:rsid w:val="00B47C0A"/>
    <w:rsid w:val="00B51304"/>
    <w:rsid w:val="00B51A69"/>
    <w:rsid w:val="00B53047"/>
    <w:rsid w:val="00B54235"/>
    <w:rsid w:val="00B542FD"/>
    <w:rsid w:val="00B5503E"/>
    <w:rsid w:val="00B55960"/>
    <w:rsid w:val="00B566A1"/>
    <w:rsid w:val="00B56AD5"/>
    <w:rsid w:val="00B56D5A"/>
    <w:rsid w:val="00B5716D"/>
    <w:rsid w:val="00B6012F"/>
    <w:rsid w:val="00B60C8D"/>
    <w:rsid w:val="00B61363"/>
    <w:rsid w:val="00B6238B"/>
    <w:rsid w:val="00B6312B"/>
    <w:rsid w:val="00B632F4"/>
    <w:rsid w:val="00B64986"/>
    <w:rsid w:val="00B64C0B"/>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6A51"/>
    <w:rsid w:val="00B87E8F"/>
    <w:rsid w:val="00B9141B"/>
    <w:rsid w:val="00B922B4"/>
    <w:rsid w:val="00B931AE"/>
    <w:rsid w:val="00B93713"/>
    <w:rsid w:val="00B947C3"/>
    <w:rsid w:val="00B94F53"/>
    <w:rsid w:val="00B94FD6"/>
    <w:rsid w:val="00B950A4"/>
    <w:rsid w:val="00B95D03"/>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08B6"/>
    <w:rsid w:val="00BD11DA"/>
    <w:rsid w:val="00BD1BD2"/>
    <w:rsid w:val="00BD24E7"/>
    <w:rsid w:val="00BD2614"/>
    <w:rsid w:val="00BD2A16"/>
    <w:rsid w:val="00BD2A57"/>
    <w:rsid w:val="00BD415F"/>
    <w:rsid w:val="00BD5362"/>
    <w:rsid w:val="00BD5428"/>
    <w:rsid w:val="00BD54F1"/>
    <w:rsid w:val="00BD5867"/>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BF6CCF"/>
    <w:rsid w:val="00BF6FF2"/>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1026A"/>
    <w:rsid w:val="00C10CD8"/>
    <w:rsid w:val="00C11257"/>
    <w:rsid w:val="00C1203F"/>
    <w:rsid w:val="00C122D8"/>
    <w:rsid w:val="00C14013"/>
    <w:rsid w:val="00C140F6"/>
    <w:rsid w:val="00C141E9"/>
    <w:rsid w:val="00C14239"/>
    <w:rsid w:val="00C14352"/>
    <w:rsid w:val="00C15A41"/>
    <w:rsid w:val="00C15E8B"/>
    <w:rsid w:val="00C16583"/>
    <w:rsid w:val="00C202EA"/>
    <w:rsid w:val="00C210B6"/>
    <w:rsid w:val="00C21F04"/>
    <w:rsid w:val="00C21F32"/>
    <w:rsid w:val="00C230E9"/>
    <w:rsid w:val="00C240EF"/>
    <w:rsid w:val="00C250E4"/>
    <w:rsid w:val="00C25EC6"/>
    <w:rsid w:val="00C2674B"/>
    <w:rsid w:val="00C275C8"/>
    <w:rsid w:val="00C27889"/>
    <w:rsid w:val="00C27D65"/>
    <w:rsid w:val="00C301DF"/>
    <w:rsid w:val="00C30922"/>
    <w:rsid w:val="00C33075"/>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64A"/>
    <w:rsid w:val="00C77BBC"/>
    <w:rsid w:val="00C80535"/>
    <w:rsid w:val="00C80644"/>
    <w:rsid w:val="00C80EE0"/>
    <w:rsid w:val="00C82512"/>
    <w:rsid w:val="00C82839"/>
    <w:rsid w:val="00C82A08"/>
    <w:rsid w:val="00C82B7E"/>
    <w:rsid w:val="00C82C06"/>
    <w:rsid w:val="00C847A3"/>
    <w:rsid w:val="00C84CB4"/>
    <w:rsid w:val="00C84DBC"/>
    <w:rsid w:val="00C852AF"/>
    <w:rsid w:val="00C857AB"/>
    <w:rsid w:val="00C86711"/>
    <w:rsid w:val="00C87068"/>
    <w:rsid w:val="00C901AC"/>
    <w:rsid w:val="00C91884"/>
    <w:rsid w:val="00C9224D"/>
    <w:rsid w:val="00C92B60"/>
    <w:rsid w:val="00C93692"/>
    <w:rsid w:val="00C939F4"/>
    <w:rsid w:val="00C941EB"/>
    <w:rsid w:val="00C9422A"/>
    <w:rsid w:val="00C95447"/>
    <w:rsid w:val="00C95BD3"/>
    <w:rsid w:val="00C96166"/>
    <w:rsid w:val="00C9700C"/>
    <w:rsid w:val="00C97C29"/>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1802"/>
    <w:rsid w:val="00CB1919"/>
    <w:rsid w:val="00CB5E6F"/>
    <w:rsid w:val="00CB6362"/>
    <w:rsid w:val="00CB673C"/>
    <w:rsid w:val="00CB6F10"/>
    <w:rsid w:val="00CB72B1"/>
    <w:rsid w:val="00CB7405"/>
    <w:rsid w:val="00CC0433"/>
    <w:rsid w:val="00CC119D"/>
    <w:rsid w:val="00CC1282"/>
    <w:rsid w:val="00CC1560"/>
    <w:rsid w:val="00CC2271"/>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0865"/>
    <w:rsid w:val="00D01A24"/>
    <w:rsid w:val="00D01ECF"/>
    <w:rsid w:val="00D01FEB"/>
    <w:rsid w:val="00D0318B"/>
    <w:rsid w:val="00D03C41"/>
    <w:rsid w:val="00D0632E"/>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15E38"/>
    <w:rsid w:val="00D20655"/>
    <w:rsid w:val="00D20F51"/>
    <w:rsid w:val="00D21586"/>
    <w:rsid w:val="00D2177D"/>
    <w:rsid w:val="00D21AC3"/>
    <w:rsid w:val="00D2266C"/>
    <w:rsid w:val="00D233A7"/>
    <w:rsid w:val="00D24F85"/>
    <w:rsid w:val="00D2578E"/>
    <w:rsid w:val="00D265AB"/>
    <w:rsid w:val="00D3169F"/>
    <w:rsid w:val="00D31748"/>
    <w:rsid w:val="00D323B3"/>
    <w:rsid w:val="00D340C2"/>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77ED1"/>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592"/>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99F"/>
    <w:rsid w:val="00DB45B6"/>
    <w:rsid w:val="00DB4B69"/>
    <w:rsid w:val="00DB5194"/>
    <w:rsid w:val="00DB5CD4"/>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539"/>
    <w:rsid w:val="00DC79C7"/>
    <w:rsid w:val="00DC7EE9"/>
    <w:rsid w:val="00DD05CF"/>
    <w:rsid w:val="00DD1A9C"/>
    <w:rsid w:val="00DD1B7E"/>
    <w:rsid w:val="00DD24E9"/>
    <w:rsid w:val="00DD2C8E"/>
    <w:rsid w:val="00DD3EC1"/>
    <w:rsid w:val="00DD436B"/>
    <w:rsid w:val="00DD4893"/>
    <w:rsid w:val="00DD4AC3"/>
    <w:rsid w:val="00DD4F1D"/>
    <w:rsid w:val="00DD5490"/>
    <w:rsid w:val="00DD54A5"/>
    <w:rsid w:val="00DD5526"/>
    <w:rsid w:val="00DD6C27"/>
    <w:rsid w:val="00DD7D9F"/>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68D6"/>
    <w:rsid w:val="00DF7B69"/>
    <w:rsid w:val="00DF7CA5"/>
    <w:rsid w:val="00E011FF"/>
    <w:rsid w:val="00E014D3"/>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0BEF"/>
    <w:rsid w:val="00E32262"/>
    <w:rsid w:val="00E327FE"/>
    <w:rsid w:val="00E345CE"/>
    <w:rsid w:val="00E34AD0"/>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AF"/>
    <w:rsid w:val="00E60BE0"/>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95"/>
    <w:rsid w:val="00E70CF8"/>
    <w:rsid w:val="00E758F7"/>
    <w:rsid w:val="00E76284"/>
    <w:rsid w:val="00E80F9F"/>
    <w:rsid w:val="00E814B2"/>
    <w:rsid w:val="00E82833"/>
    <w:rsid w:val="00E82E6F"/>
    <w:rsid w:val="00E84821"/>
    <w:rsid w:val="00E8488D"/>
    <w:rsid w:val="00E84E52"/>
    <w:rsid w:val="00E85E98"/>
    <w:rsid w:val="00E86014"/>
    <w:rsid w:val="00E86B97"/>
    <w:rsid w:val="00E87001"/>
    <w:rsid w:val="00E870C8"/>
    <w:rsid w:val="00E8765A"/>
    <w:rsid w:val="00E87BE0"/>
    <w:rsid w:val="00E91800"/>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6D7F"/>
    <w:rsid w:val="00EB73C0"/>
    <w:rsid w:val="00EB7D35"/>
    <w:rsid w:val="00EC0B9A"/>
    <w:rsid w:val="00EC23E7"/>
    <w:rsid w:val="00EC46E7"/>
    <w:rsid w:val="00EC492E"/>
    <w:rsid w:val="00EC4D8D"/>
    <w:rsid w:val="00EC4F80"/>
    <w:rsid w:val="00EC5DC8"/>
    <w:rsid w:val="00EC6070"/>
    <w:rsid w:val="00EC7586"/>
    <w:rsid w:val="00EC7A39"/>
    <w:rsid w:val="00ED101B"/>
    <w:rsid w:val="00ED208E"/>
    <w:rsid w:val="00ED3C03"/>
    <w:rsid w:val="00ED3C80"/>
    <w:rsid w:val="00ED63E1"/>
    <w:rsid w:val="00ED7007"/>
    <w:rsid w:val="00ED74EF"/>
    <w:rsid w:val="00ED7CF5"/>
    <w:rsid w:val="00ED7D28"/>
    <w:rsid w:val="00EE0648"/>
    <w:rsid w:val="00EE06E2"/>
    <w:rsid w:val="00EE0B81"/>
    <w:rsid w:val="00EE0E2F"/>
    <w:rsid w:val="00EE1427"/>
    <w:rsid w:val="00EE19BF"/>
    <w:rsid w:val="00EE3DC2"/>
    <w:rsid w:val="00EE45ED"/>
    <w:rsid w:val="00EE49FD"/>
    <w:rsid w:val="00EE580E"/>
    <w:rsid w:val="00EE725D"/>
    <w:rsid w:val="00EE7CC1"/>
    <w:rsid w:val="00EE7D7E"/>
    <w:rsid w:val="00EF04C1"/>
    <w:rsid w:val="00EF0C8E"/>
    <w:rsid w:val="00EF31E7"/>
    <w:rsid w:val="00EF3E62"/>
    <w:rsid w:val="00EF40EB"/>
    <w:rsid w:val="00EF42AF"/>
    <w:rsid w:val="00EF50F8"/>
    <w:rsid w:val="00EF545F"/>
    <w:rsid w:val="00EF5AE8"/>
    <w:rsid w:val="00EF6001"/>
    <w:rsid w:val="00EF62C1"/>
    <w:rsid w:val="00EF661B"/>
    <w:rsid w:val="00EF714B"/>
    <w:rsid w:val="00EF7816"/>
    <w:rsid w:val="00EF7926"/>
    <w:rsid w:val="00EF7E7A"/>
    <w:rsid w:val="00F0029B"/>
    <w:rsid w:val="00F00C82"/>
    <w:rsid w:val="00F00DC0"/>
    <w:rsid w:val="00F00E13"/>
    <w:rsid w:val="00F012AB"/>
    <w:rsid w:val="00F012F7"/>
    <w:rsid w:val="00F02AD5"/>
    <w:rsid w:val="00F02DF1"/>
    <w:rsid w:val="00F0326A"/>
    <w:rsid w:val="00F0416C"/>
    <w:rsid w:val="00F041E4"/>
    <w:rsid w:val="00F04222"/>
    <w:rsid w:val="00F04BFF"/>
    <w:rsid w:val="00F04CD2"/>
    <w:rsid w:val="00F04D33"/>
    <w:rsid w:val="00F04D6B"/>
    <w:rsid w:val="00F05176"/>
    <w:rsid w:val="00F05198"/>
    <w:rsid w:val="00F05781"/>
    <w:rsid w:val="00F05C5A"/>
    <w:rsid w:val="00F066D6"/>
    <w:rsid w:val="00F0728B"/>
    <w:rsid w:val="00F0763B"/>
    <w:rsid w:val="00F1028D"/>
    <w:rsid w:val="00F10A79"/>
    <w:rsid w:val="00F11744"/>
    <w:rsid w:val="00F12BF1"/>
    <w:rsid w:val="00F1327F"/>
    <w:rsid w:val="00F1609A"/>
    <w:rsid w:val="00F171AC"/>
    <w:rsid w:val="00F17592"/>
    <w:rsid w:val="00F175BB"/>
    <w:rsid w:val="00F179E1"/>
    <w:rsid w:val="00F17AA5"/>
    <w:rsid w:val="00F20170"/>
    <w:rsid w:val="00F2048C"/>
    <w:rsid w:val="00F2270D"/>
    <w:rsid w:val="00F234F3"/>
    <w:rsid w:val="00F238E9"/>
    <w:rsid w:val="00F2472F"/>
    <w:rsid w:val="00F25171"/>
    <w:rsid w:val="00F269A2"/>
    <w:rsid w:val="00F26AB2"/>
    <w:rsid w:val="00F27299"/>
    <w:rsid w:val="00F27D3C"/>
    <w:rsid w:val="00F300E5"/>
    <w:rsid w:val="00F31CC4"/>
    <w:rsid w:val="00F31FDD"/>
    <w:rsid w:val="00F32A9C"/>
    <w:rsid w:val="00F32EA0"/>
    <w:rsid w:val="00F3341C"/>
    <w:rsid w:val="00F343A8"/>
    <w:rsid w:val="00F35B1E"/>
    <w:rsid w:val="00F37413"/>
    <w:rsid w:val="00F378F4"/>
    <w:rsid w:val="00F37A18"/>
    <w:rsid w:val="00F37A61"/>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195"/>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254A"/>
    <w:rsid w:val="00F74B0B"/>
    <w:rsid w:val="00F75384"/>
    <w:rsid w:val="00F76983"/>
    <w:rsid w:val="00F76C13"/>
    <w:rsid w:val="00F80B98"/>
    <w:rsid w:val="00F810A5"/>
    <w:rsid w:val="00F82354"/>
    <w:rsid w:val="00F83460"/>
    <w:rsid w:val="00F83926"/>
    <w:rsid w:val="00F8408F"/>
    <w:rsid w:val="00F84373"/>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151"/>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6D3"/>
    <w:rsid w:val="00FE37D3"/>
    <w:rsid w:val="00FE6380"/>
    <w:rsid w:val="00FE6B5D"/>
    <w:rsid w:val="00FE6D80"/>
    <w:rsid w:val="00FF102A"/>
    <w:rsid w:val="00FF1435"/>
    <w:rsid w:val="00FF2956"/>
    <w:rsid w:val="00FF3326"/>
    <w:rsid w:val="00FF4C34"/>
    <w:rsid w:val="00FF589E"/>
    <w:rsid w:val="00FF69D7"/>
    <w:rsid w:val="00FF7030"/>
    <w:rsid w:val="058B2B29"/>
    <w:rsid w:val="0B894205"/>
    <w:rsid w:val="0F1905EE"/>
    <w:rsid w:val="0F414CF9"/>
    <w:rsid w:val="111533AD"/>
    <w:rsid w:val="15387934"/>
    <w:rsid w:val="17AD7DC6"/>
    <w:rsid w:val="188D493C"/>
    <w:rsid w:val="18B66F39"/>
    <w:rsid w:val="19576A1C"/>
    <w:rsid w:val="1B4F1C59"/>
    <w:rsid w:val="1C2B69D7"/>
    <w:rsid w:val="1C4D671D"/>
    <w:rsid w:val="1E98018D"/>
    <w:rsid w:val="23634ECF"/>
    <w:rsid w:val="248F6EEA"/>
    <w:rsid w:val="251B7842"/>
    <w:rsid w:val="25365F7C"/>
    <w:rsid w:val="25C52CB5"/>
    <w:rsid w:val="2A6F05C0"/>
    <w:rsid w:val="2AD326C1"/>
    <w:rsid w:val="2C601BF2"/>
    <w:rsid w:val="2CF36469"/>
    <w:rsid w:val="2DED6CF8"/>
    <w:rsid w:val="2E6A153F"/>
    <w:rsid w:val="30455267"/>
    <w:rsid w:val="30602F00"/>
    <w:rsid w:val="307A2CE3"/>
    <w:rsid w:val="3103354B"/>
    <w:rsid w:val="31671E88"/>
    <w:rsid w:val="34C04229"/>
    <w:rsid w:val="368D5B6E"/>
    <w:rsid w:val="36B55F0A"/>
    <w:rsid w:val="3AD23C84"/>
    <w:rsid w:val="3C1F3528"/>
    <w:rsid w:val="3D232759"/>
    <w:rsid w:val="3D5A00A4"/>
    <w:rsid w:val="402E16CA"/>
    <w:rsid w:val="40D518E7"/>
    <w:rsid w:val="414B3587"/>
    <w:rsid w:val="41AB5CE6"/>
    <w:rsid w:val="420B0AD3"/>
    <w:rsid w:val="421B5277"/>
    <w:rsid w:val="42671128"/>
    <w:rsid w:val="42901A53"/>
    <w:rsid w:val="431E1EA9"/>
    <w:rsid w:val="472E74AF"/>
    <w:rsid w:val="4BEF000D"/>
    <w:rsid w:val="4C954FE3"/>
    <w:rsid w:val="4CCE674A"/>
    <w:rsid w:val="52FF59D0"/>
    <w:rsid w:val="53BF6204"/>
    <w:rsid w:val="56A87C0C"/>
    <w:rsid w:val="58745841"/>
    <w:rsid w:val="5CF46281"/>
    <w:rsid w:val="5EA95406"/>
    <w:rsid w:val="64F30BD8"/>
    <w:rsid w:val="656749B0"/>
    <w:rsid w:val="65777969"/>
    <w:rsid w:val="659E2C70"/>
    <w:rsid w:val="68E71107"/>
    <w:rsid w:val="69100D36"/>
    <w:rsid w:val="6C4319FB"/>
    <w:rsid w:val="6DE81A71"/>
    <w:rsid w:val="6DF43A03"/>
    <w:rsid w:val="710F3A90"/>
    <w:rsid w:val="75D51C75"/>
    <w:rsid w:val="76730F8E"/>
    <w:rsid w:val="7853214D"/>
    <w:rsid w:val="792738AA"/>
    <w:rsid w:val="7B740B38"/>
    <w:rsid w:val="7C9F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0"/>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spacing w:before="260" w:after="260" w:line="416" w:lineRule="auto"/>
      <w:outlineLvl w:val="2"/>
    </w:pPr>
    <w:rPr>
      <w:b/>
      <w:bCs/>
      <w:sz w:val="32"/>
      <w:szCs w:val="32"/>
    </w:rPr>
  </w:style>
  <w:style w:type="paragraph" w:styleId="5">
    <w:name w:val="heading 4"/>
    <w:basedOn w:val="1"/>
    <w:next w:val="1"/>
    <w:link w:val="2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4"/>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28"/>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1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68"/>
    <w:qFormat/>
    <w:uiPriority w:val="0"/>
    <w:pPr>
      <w:ind w:firstLine="420"/>
    </w:pPr>
    <w:rPr>
      <w:szCs w:val="20"/>
    </w:rPr>
  </w:style>
  <w:style w:type="paragraph" w:styleId="18">
    <w:name w:val="caption"/>
    <w:basedOn w:val="1"/>
    <w:next w:val="1"/>
    <w:link w:val="74"/>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
    <w:qFormat/>
    <w:uiPriority w:val="99"/>
    <w:rPr>
      <w:rFonts w:ascii="宋体"/>
      <w:sz w:val="18"/>
      <w:szCs w:val="18"/>
    </w:rPr>
  </w:style>
  <w:style w:type="paragraph" w:styleId="21">
    <w:name w:val="annotation text"/>
    <w:basedOn w:val="1"/>
    <w:link w:val="207"/>
    <w:qFormat/>
    <w:uiPriority w:val="99"/>
    <w:pPr>
      <w:jc w:val="left"/>
    </w:pPr>
  </w:style>
  <w:style w:type="paragraph" w:styleId="22">
    <w:name w:val="Salutation"/>
    <w:basedOn w:val="1"/>
    <w:next w:val="1"/>
    <w:link w:val="98"/>
    <w:qFormat/>
    <w:uiPriority w:val="0"/>
    <w:rPr>
      <w:rFonts w:ascii="宋体" w:hAnsi="Times New Roman"/>
      <w:b/>
      <w:sz w:val="28"/>
      <w:szCs w:val="20"/>
    </w:rPr>
  </w:style>
  <w:style w:type="paragraph" w:styleId="23">
    <w:name w:val="Body Text 3"/>
    <w:basedOn w:val="1"/>
    <w:link w:val="220"/>
    <w:qFormat/>
    <w:uiPriority w:val="0"/>
    <w:pPr>
      <w:snapToGrid w:val="0"/>
      <w:spacing w:before="50" w:after="50"/>
    </w:pPr>
    <w:rPr>
      <w:rFonts w:ascii="Times New Roman" w:hAnsi="宋体" w:eastAsia="仿宋_GB2312"/>
      <w:b/>
      <w:bCs/>
      <w:sz w:val="24"/>
      <w:szCs w:val="20"/>
    </w:rPr>
  </w:style>
  <w:style w:type="paragraph" w:styleId="24">
    <w:name w:val="Body Text"/>
    <w:basedOn w:val="1"/>
    <w:link w:val="195"/>
    <w:qFormat/>
    <w:uiPriority w:val="0"/>
    <w:pPr>
      <w:spacing w:after="120"/>
    </w:pPr>
    <w:rPr>
      <w:sz w:val="28"/>
      <w:szCs w:val="24"/>
    </w:rPr>
  </w:style>
  <w:style w:type="paragraph" w:styleId="25">
    <w:name w:val="Body Text Indent"/>
    <w:basedOn w:val="1"/>
    <w:link w:val="228"/>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376"/>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378"/>
    <w:uiPriority w:val="0"/>
    <w:pPr>
      <w:ind w:left="2500" w:leftChars="2500"/>
    </w:pPr>
    <w:rPr>
      <w:rFonts w:eastAsia="楷体_GB2312"/>
      <w:sz w:val="32"/>
      <w:szCs w:val="20"/>
    </w:rPr>
  </w:style>
  <w:style w:type="paragraph" w:styleId="35">
    <w:name w:val="Body Text Indent 2"/>
    <w:basedOn w:val="1"/>
    <w:link w:val="264"/>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65"/>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285"/>
    <w:qFormat/>
    <w:uiPriority w:val="99"/>
    <w:rPr>
      <w:sz w:val="18"/>
      <w:szCs w:val="18"/>
    </w:rPr>
  </w:style>
  <w:style w:type="paragraph" w:styleId="38">
    <w:name w:val="footer"/>
    <w:basedOn w:val="1"/>
    <w:link w:val="232"/>
    <w:unhideWhenUsed/>
    <w:qFormat/>
    <w:uiPriority w:val="99"/>
    <w:pPr>
      <w:tabs>
        <w:tab w:val="center" w:pos="4153"/>
        <w:tab w:val="right" w:pos="8306"/>
      </w:tabs>
      <w:snapToGrid w:val="0"/>
      <w:jc w:val="left"/>
    </w:pPr>
    <w:rPr>
      <w:sz w:val="18"/>
      <w:szCs w:val="18"/>
    </w:rPr>
  </w:style>
  <w:style w:type="paragraph" w:styleId="39">
    <w:name w:val="header"/>
    <w:basedOn w:val="1"/>
    <w:link w:val="3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uiPriority w:val="39"/>
    <w:pPr>
      <w:ind w:left="1260" w:leftChars="600"/>
    </w:pPr>
  </w:style>
  <w:style w:type="paragraph" w:styleId="42">
    <w:name w:val="Subtitle"/>
    <w:basedOn w:val="1"/>
    <w:link w:val="363"/>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60"/>
    <w:unhideWhenUsed/>
    <w:qFormat/>
    <w:uiPriority w:val="99"/>
    <w:pPr>
      <w:snapToGrid w:val="0"/>
      <w:jc w:val="left"/>
    </w:pPr>
    <w:rPr>
      <w:sz w:val="18"/>
      <w:szCs w:val="18"/>
    </w:rPr>
  </w:style>
  <w:style w:type="paragraph" w:styleId="45">
    <w:name w:val="toc 6"/>
    <w:basedOn w:val="1"/>
    <w:next w:val="1"/>
    <w:qFormat/>
    <w:uiPriority w:val="39"/>
    <w:pPr>
      <w:ind w:left="1050"/>
      <w:jc w:val="left"/>
    </w:pPr>
    <w:rPr>
      <w:rFonts w:ascii="Times New Roman" w:hAnsi="Times New Roman"/>
      <w:sz w:val="18"/>
      <w:szCs w:val="18"/>
    </w:rPr>
  </w:style>
  <w:style w:type="paragraph" w:styleId="46">
    <w:name w:val="Body Text Indent 3"/>
    <w:basedOn w:val="1"/>
    <w:link w:val="298"/>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39"/>
    <w:pPr>
      <w:ind w:left="1680"/>
      <w:jc w:val="left"/>
    </w:pPr>
    <w:rPr>
      <w:rFonts w:ascii="Times New Roman" w:hAnsi="Times New Roman"/>
      <w:sz w:val="18"/>
      <w:szCs w:val="18"/>
    </w:rPr>
  </w:style>
  <w:style w:type="paragraph" w:styleId="50">
    <w:name w:val="Body Text 2"/>
    <w:basedOn w:val="1"/>
    <w:link w:val="379"/>
    <w:uiPriority w:val="0"/>
    <w:pPr>
      <w:widowControl/>
      <w:snapToGrid w:val="0"/>
      <w:spacing w:before="50" w:afterLines="50" w:line="400" w:lineRule="exact"/>
      <w:jc w:val="left"/>
    </w:pPr>
    <w:rPr>
      <w:rFonts w:ascii="宋体" w:hAnsi="宋体"/>
      <w:color w:val="000000"/>
      <w:sz w:val="24"/>
      <w:szCs w:val="24"/>
    </w:rPr>
  </w:style>
  <w:style w:type="paragraph" w:styleId="51">
    <w:name w:val="HTML Preformatted"/>
    <w:basedOn w:val="1"/>
    <w:link w:val="105"/>
    <w:qFormat/>
    <w:uiPriority w:val="0"/>
    <w:rPr>
      <w:rFonts w:ascii="Courier New" w:hAnsi="Courier New"/>
      <w:sz w:val="20"/>
      <w:szCs w:val="20"/>
    </w:rPr>
  </w:style>
  <w:style w:type="paragraph" w:styleId="5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uiPriority w:val="0"/>
    <w:rPr>
      <w:rFonts w:ascii="Times New Roman" w:hAnsi="Times New Roman"/>
      <w:szCs w:val="20"/>
    </w:rPr>
  </w:style>
  <w:style w:type="paragraph" w:styleId="54">
    <w:name w:val="Title"/>
    <w:basedOn w:val="1"/>
    <w:link w:val="173"/>
    <w:qFormat/>
    <w:uiPriority w:val="0"/>
    <w:pPr>
      <w:spacing w:before="240" w:after="60"/>
      <w:jc w:val="center"/>
      <w:outlineLvl w:val="0"/>
    </w:pPr>
    <w:rPr>
      <w:rFonts w:ascii="Arial" w:hAnsi="Arial"/>
      <w:b/>
      <w:bCs/>
      <w:sz w:val="32"/>
      <w:szCs w:val="32"/>
    </w:rPr>
  </w:style>
  <w:style w:type="paragraph" w:styleId="55">
    <w:name w:val="annotation subject"/>
    <w:basedOn w:val="21"/>
    <w:next w:val="21"/>
    <w:qFormat/>
    <w:uiPriority w:val="99"/>
    <w:rPr>
      <w:b/>
      <w:bCs/>
    </w:rPr>
  </w:style>
  <w:style w:type="paragraph" w:styleId="56">
    <w:name w:val="Body Text First Indent"/>
    <w:basedOn w:val="24"/>
    <w:link w:val="197"/>
    <w:qFormat/>
    <w:uiPriority w:val="0"/>
    <w:pPr>
      <w:ind w:firstLine="420" w:firstLineChars="100"/>
    </w:pPr>
    <w:rPr>
      <w:sz w:val="21"/>
      <w:szCs w:val="22"/>
    </w:rPr>
  </w:style>
  <w:style w:type="paragraph" w:styleId="57">
    <w:name w:val="Body Text First Indent 2"/>
    <w:basedOn w:val="25"/>
    <w:qFormat/>
    <w:uiPriority w:val="0"/>
    <w:pPr>
      <w:spacing w:after="120" w:line="240" w:lineRule="auto"/>
      <w:ind w:left="420" w:leftChars="200" w:firstLine="420" w:firstLineChars="200"/>
    </w:pPr>
    <w:rPr>
      <w:rFonts w:ascii="Times New Roman" w:hAnsi="Times New Roman"/>
      <w:spacing w:val="0"/>
      <w:sz w:val="21"/>
    </w:rPr>
  </w:style>
  <w:style w:type="table" w:styleId="59">
    <w:name w:val="Table Grid"/>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Simple 1"/>
    <w:basedOn w:val="58"/>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1">
    <w:name w:val="Table Grid 1"/>
    <w:basedOn w:val="5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Light List Accent 5"/>
    <w:basedOn w:val="5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color w:val="CC0033"/>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unhideWhenUsed/>
    <w:qFormat/>
    <w:uiPriority w:val="99"/>
    <w:rPr>
      <w:vertAlign w:val="superscript"/>
    </w:rPr>
  </w:style>
  <w:style w:type="character" w:customStyle="1" w:styleId="71">
    <w:name w:val="标题 3 字符"/>
    <w:link w:val="4"/>
    <w:qFormat/>
    <w:uiPriority w:val="0"/>
    <w:rPr>
      <w:rFonts w:ascii="Calibri" w:hAnsi="Calibri" w:eastAsia="宋体"/>
      <w:b/>
      <w:bCs/>
      <w:kern w:val="2"/>
      <w:sz w:val="32"/>
      <w:szCs w:val="32"/>
      <w:lang w:val="en-US" w:eastAsia="zh-CN" w:bidi="ar-SA"/>
    </w:rPr>
  </w:style>
  <w:style w:type="paragraph" w:customStyle="1" w:styleId="72">
    <w:name w:val="样式1"/>
    <w:basedOn w:val="1"/>
    <w:uiPriority w:val="0"/>
    <w:pPr>
      <w:pBdr>
        <w:bottom w:val="single" w:color="auto" w:sz="4" w:space="1"/>
      </w:pBdr>
    </w:pPr>
    <w:rPr>
      <w:rFonts w:ascii="Times New Roman" w:hAnsi="Times New Roman"/>
      <w:szCs w:val="24"/>
    </w:rPr>
  </w:style>
  <w:style w:type="character" w:customStyle="1" w:styleId="73">
    <w:name w:val="ca-8"/>
    <w:basedOn w:val="63"/>
    <w:qFormat/>
    <w:uiPriority w:val="0"/>
  </w:style>
  <w:style w:type="character" w:customStyle="1" w:styleId="74">
    <w:name w:val="题注 字符"/>
    <w:link w:val="18"/>
    <w:qFormat/>
    <w:uiPriority w:val="0"/>
    <w:rPr>
      <w:rFonts w:ascii="Arial" w:hAnsi="Arial" w:eastAsia="黑体" w:cs="Arial"/>
      <w:kern w:val="2"/>
    </w:rPr>
  </w:style>
  <w:style w:type="character" w:customStyle="1" w:styleId="75">
    <w:name w:val="正文2 Char Char"/>
    <w:link w:val="76"/>
    <w:qFormat/>
    <w:uiPriority w:val="0"/>
    <w:rPr>
      <w:rFonts w:ascii="Times New Roman" w:hAnsi="Times New Roman"/>
      <w:kern w:val="2"/>
      <w:sz w:val="24"/>
    </w:rPr>
  </w:style>
  <w:style w:type="paragraph" w:customStyle="1" w:styleId="76">
    <w:name w:val="正文2"/>
    <w:basedOn w:val="1"/>
    <w:link w:val="75"/>
    <w:qFormat/>
    <w:uiPriority w:val="0"/>
    <w:pPr>
      <w:spacing w:before="156" w:line="360" w:lineRule="auto"/>
      <w:ind w:firstLine="510" w:firstLineChars="200"/>
    </w:pPr>
    <w:rPr>
      <w:rFonts w:ascii="Times New Roman" w:hAnsi="Times New Roman"/>
      <w:sz w:val="24"/>
      <w:szCs w:val="20"/>
    </w:rPr>
  </w:style>
  <w:style w:type="character" w:customStyle="1" w:styleId="77">
    <w:name w:val="新昌正文 Char"/>
    <w:link w:val="78"/>
    <w:qFormat/>
    <w:uiPriority w:val="0"/>
    <w:rPr>
      <w:rFonts w:ascii="Times New Roman" w:hAnsi="宋体"/>
      <w:sz w:val="24"/>
      <w:szCs w:val="24"/>
    </w:rPr>
  </w:style>
  <w:style w:type="paragraph" w:customStyle="1" w:styleId="78">
    <w:name w:val="新昌正文"/>
    <w:basedOn w:val="1"/>
    <w:link w:val="77"/>
    <w:qFormat/>
    <w:uiPriority w:val="0"/>
    <w:pPr>
      <w:spacing w:line="360" w:lineRule="auto"/>
      <w:ind w:firstLine="480" w:firstLineChars="200"/>
    </w:pPr>
    <w:rPr>
      <w:rFonts w:ascii="Times New Roman" w:hAnsi="宋体"/>
      <w:kern w:val="0"/>
      <w:sz w:val="24"/>
      <w:szCs w:val="24"/>
    </w:rPr>
  </w:style>
  <w:style w:type="character" w:customStyle="1" w:styleId="79">
    <w:name w:val="样式 首行缩进:  0.85 厘米 Char Char"/>
    <w:qFormat/>
    <w:uiPriority w:val="0"/>
    <w:rPr>
      <w:rFonts w:eastAsia="宋体" w:cs="宋体"/>
      <w:kern w:val="2"/>
      <w:sz w:val="24"/>
      <w:lang w:val="en-US" w:eastAsia="zh-CN" w:bidi="ar-SA"/>
    </w:rPr>
  </w:style>
  <w:style w:type="character" w:customStyle="1" w:styleId="80">
    <w:name w:val="表正文 Char1"/>
    <w:uiPriority w:val="0"/>
    <w:rPr>
      <w:rFonts w:eastAsia="宋体"/>
      <w:kern w:val="2"/>
      <w:sz w:val="24"/>
      <w:lang w:val="en-US" w:eastAsia="zh-CN"/>
    </w:rPr>
  </w:style>
  <w:style w:type="character" w:customStyle="1" w:styleId="81">
    <w:name w:val="标题 6 字符"/>
    <w:link w:val="7"/>
    <w:qFormat/>
    <w:uiPriority w:val="9"/>
    <w:rPr>
      <w:rFonts w:ascii="Arial" w:hAnsi="Arial" w:eastAsia="黑体"/>
      <w:b/>
      <w:bCs/>
      <w:kern w:val="2"/>
      <w:sz w:val="24"/>
      <w:szCs w:val="24"/>
      <w:lang w:val="en-US" w:eastAsia="zh-CN" w:bidi="ar-SA"/>
    </w:rPr>
  </w:style>
  <w:style w:type="character" w:customStyle="1" w:styleId="82">
    <w:name w:val="A C"/>
    <w:uiPriority w:val="0"/>
    <w:rPr>
      <w:rFonts w:ascii="仿宋_GB2312"/>
      <w:bCs/>
      <w:iCs/>
      <w:sz w:val="24"/>
    </w:rPr>
  </w:style>
  <w:style w:type="character" w:customStyle="1" w:styleId="83">
    <w:name w:val="大汉方案正文 Char1"/>
    <w:link w:val="84"/>
    <w:uiPriority w:val="0"/>
    <w:rPr>
      <w:rFonts w:ascii="Arial" w:hAnsi="Arial" w:eastAsia="宋体"/>
      <w:sz w:val="24"/>
      <w:szCs w:val="24"/>
      <w:lang w:bidi="ar-SA"/>
    </w:rPr>
  </w:style>
  <w:style w:type="paragraph" w:customStyle="1" w:styleId="84">
    <w:name w:val="大汉方案正文"/>
    <w:basedOn w:val="1"/>
    <w:link w:val="83"/>
    <w:qFormat/>
    <w:uiPriority w:val="0"/>
    <w:pPr>
      <w:spacing w:line="360" w:lineRule="auto"/>
      <w:ind w:firstLine="200" w:firstLineChars="200"/>
    </w:pPr>
    <w:rPr>
      <w:rFonts w:ascii="Arial" w:hAnsi="Arial"/>
      <w:kern w:val="0"/>
      <w:sz w:val="24"/>
      <w:szCs w:val="24"/>
    </w:rPr>
  </w:style>
  <w:style w:type="character" w:customStyle="1" w:styleId="85">
    <w:name w:val="正 文 1 Char Char"/>
    <w:uiPriority w:val="0"/>
    <w:rPr>
      <w:rFonts w:ascii="宋体" w:hAnsi="Courier New" w:eastAsia="宋体"/>
      <w:kern w:val="2"/>
      <w:sz w:val="21"/>
      <w:lang w:val="en-US" w:eastAsia="zh-CN" w:bidi="ar-SA"/>
    </w:rPr>
  </w:style>
  <w:style w:type="character" w:customStyle="1" w:styleId="86">
    <w:name w:val="Char Char6"/>
    <w:qFormat/>
    <w:uiPriority w:val="0"/>
    <w:rPr>
      <w:rFonts w:ascii="Calibri" w:hAnsi="Calibri" w:eastAsia="宋体"/>
      <w:b/>
      <w:bCs/>
      <w:kern w:val="2"/>
      <w:sz w:val="28"/>
      <w:szCs w:val="28"/>
      <w:lang w:bidi="ar-SA"/>
    </w:rPr>
  </w:style>
  <w:style w:type="character" w:customStyle="1" w:styleId="87">
    <w:name w:val="标题 1 Char1"/>
    <w:qFormat/>
    <w:uiPriority w:val="0"/>
    <w:rPr>
      <w:rFonts w:cs="Times New Roman"/>
      <w:b/>
      <w:bCs/>
      <w:kern w:val="44"/>
      <w:sz w:val="44"/>
      <w:szCs w:val="44"/>
    </w:rPr>
  </w:style>
  <w:style w:type="character" w:customStyle="1" w:styleId="88">
    <w:name w:val="标题 2 Char"/>
    <w:qFormat/>
    <w:uiPriority w:val="9"/>
    <w:rPr>
      <w:rFonts w:ascii="Arial" w:hAnsi="Arial" w:eastAsia="黑体"/>
      <w:b/>
      <w:kern w:val="2"/>
      <w:sz w:val="32"/>
      <w:lang w:val="en-US" w:eastAsia="zh-CN"/>
    </w:rPr>
  </w:style>
  <w:style w:type="character" w:customStyle="1" w:styleId="89">
    <w:name w:val="仙居正文 Char"/>
    <w:link w:val="90"/>
    <w:uiPriority w:val="0"/>
    <w:rPr>
      <w:rFonts w:ascii="宋体" w:hAnsi="宋体"/>
      <w:sz w:val="24"/>
      <w:szCs w:val="24"/>
    </w:rPr>
  </w:style>
  <w:style w:type="paragraph" w:customStyle="1" w:styleId="90">
    <w:name w:val="仙居正文"/>
    <w:basedOn w:val="1"/>
    <w:link w:val="89"/>
    <w:qFormat/>
    <w:uiPriority w:val="0"/>
    <w:pPr>
      <w:spacing w:line="360" w:lineRule="auto"/>
      <w:ind w:firstLine="480" w:firstLineChars="200"/>
    </w:pPr>
    <w:rPr>
      <w:rFonts w:ascii="宋体" w:hAnsi="宋体"/>
      <w:kern w:val="0"/>
      <w:sz w:val="24"/>
      <w:szCs w:val="24"/>
    </w:rPr>
  </w:style>
  <w:style w:type="character" w:customStyle="1" w:styleId="91">
    <w:name w:val="tw4winJump"/>
    <w:qFormat/>
    <w:uiPriority w:val="0"/>
    <w:rPr>
      <w:rFonts w:ascii="Courier New" w:hAnsi="Courier New"/>
      <w:color w:val="008080"/>
    </w:rPr>
  </w:style>
  <w:style w:type="character" w:customStyle="1" w:styleId="92">
    <w:name w:val="unnamed1"/>
    <w:basedOn w:val="63"/>
    <w:qFormat/>
    <w:uiPriority w:val="0"/>
  </w:style>
  <w:style w:type="character" w:customStyle="1" w:styleId="93">
    <w:name w:val="样式(-) Char"/>
    <w:link w:val="94"/>
    <w:locked/>
    <w:uiPriority w:val="0"/>
    <w:rPr>
      <w:rFonts w:ascii="Calibri" w:hAnsi="Calibri" w:cs="Times New Roman"/>
      <w:b/>
      <w:kern w:val="2"/>
      <w:sz w:val="28"/>
      <w:szCs w:val="21"/>
    </w:rPr>
  </w:style>
  <w:style w:type="paragraph" w:customStyle="1" w:styleId="94">
    <w:name w:val="样式(-)"/>
    <w:basedOn w:val="95"/>
    <w:link w:val="93"/>
    <w:qFormat/>
    <w:uiPriority w:val="0"/>
    <w:pPr>
      <w:numPr>
        <w:ilvl w:val="0"/>
        <w:numId w:val="6"/>
      </w:numPr>
      <w:spacing w:line="360" w:lineRule="auto"/>
      <w:ind w:firstLine="0" w:firstLineChars="0"/>
      <w:jc w:val="left"/>
    </w:pPr>
    <w:rPr>
      <w:rFonts w:eastAsia="仿宋"/>
      <w:b/>
      <w:sz w:val="28"/>
      <w:szCs w:val="21"/>
    </w:rPr>
  </w:style>
  <w:style w:type="paragraph" w:customStyle="1" w:styleId="95">
    <w:name w:val="浅色网格 - 强调文字颜色 31"/>
    <w:basedOn w:val="1"/>
    <w:link w:val="153"/>
    <w:qFormat/>
    <w:uiPriority w:val="0"/>
    <w:pPr>
      <w:ind w:firstLine="420" w:firstLineChars="200"/>
    </w:pPr>
    <w:rPr>
      <w:szCs w:val="24"/>
    </w:rPr>
  </w:style>
  <w:style w:type="character" w:customStyle="1" w:styleId="96">
    <w:name w:val="表正文 Char2"/>
    <w:qFormat/>
    <w:uiPriority w:val="0"/>
    <w:rPr>
      <w:rFonts w:eastAsia="宋体"/>
      <w:kern w:val="2"/>
      <w:sz w:val="21"/>
      <w:lang w:val="en-US" w:eastAsia="zh-CN" w:bidi="ar-SA"/>
    </w:rPr>
  </w:style>
  <w:style w:type="character" w:customStyle="1" w:styleId="97">
    <w:name w:val="表格中文字 Char Char"/>
    <w:qFormat/>
    <w:uiPriority w:val="0"/>
    <w:rPr>
      <w:rFonts w:ascii="新宋体" w:hAnsi="新宋体" w:eastAsia="新宋体"/>
      <w:sz w:val="24"/>
      <w:szCs w:val="24"/>
      <w:lang w:bidi="ar-SA"/>
    </w:rPr>
  </w:style>
  <w:style w:type="character" w:customStyle="1" w:styleId="98">
    <w:name w:val="称呼 字符"/>
    <w:link w:val="22"/>
    <w:qFormat/>
    <w:uiPriority w:val="0"/>
    <w:rPr>
      <w:rFonts w:ascii="宋体" w:hAnsi="Times New Roman"/>
      <w:b/>
      <w:kern w:val="2"/>
      <w:sz w:val="28"/>
    </w:rPr>
  </w:style>
  <w:style w:type="character" w:customStyle="1" w:styleId="99">
    <w:name w:val="文档结构图 字符"/>
    <w:link w:val="20"/>
    <w:qFormat/>
    <w:uiPriority w:val="99"/>
    <w:rPr>
      <w:rFonts w:ascii="宋体"/>
      <w:kern w:val="2"/>
      <w:sz w:val="18"/>
      <w:szCs w:val="18"/>
    </w:rPr>
  </w:style>
  <w:style w:type="character" w:customStyle="1" w:styleId="100">
    <w:name w:val="ca-7"/>
    <w:basedOn w:val="63"/>
    <w:qFormat/>
    <w:uiPriority w:val="0"/>
  </w:style>
  <w:style w:type="character" w:customStyle="1" w:styleId="101">
    <w:name w:val="公司一级标题"/>
    <w:qFormat/>
    <w:uiPriority w:val="0"/>
    <w:rPr>
      <w:rFonts w:ascii="黑体" w:hAnsi="黑体" w:eastAsia="黑体"/>
      <w:color w:val="333300"/>
      <w:sz w:val="30"/>
    </w:rPr>
  </w:style>
  <w:style w:type="character" w:customStyle="1" w:styleId="102">
    <w:name w:val="a Char"/>
    <w:link w:val="103"/>
    <w:uiPriority w:val="0"/>
    <w:rPr>
      <w:rFonts w:ascii="宋体" w:hAnsi="宋体" w:eastAsia="仿宋_GB2312"/>
      <w:sz w:val="24"/>
      <w:lang w:val="en-US" w:eastAsia="zh-CN" w:bidi="ar-SA"/>
    </w:rPr>
  </w:style>
  <w:style w:type="paragraph" w:customStyle="1" w:styleId="103">
    <w:name w:val="a"/>
    <w:basedOn w:val="1"/>
    <w:link w:val="10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headline-content2"/>
    <w:basedOn w:val="63"/>
    <w:qFormat/>
    <w:uiPriority w:val="0"/>
  </w:style>
  <w:style w:type="character" w:customStyle="1" w:styleId="105">
    <w:name w:val="HTML 预设格式 字符"/>
    <w:link w:val="51"/>
    <w:qFormat/>
    <w:uiPriority w:val="0"/>
    <w:rPr>
      <w:rFonts w:ascii="Courier New" w:hAnsi="Courier New" w:cs="Courier New"/>
      <w:kern w:val="2"/>
    </w:rPr>
  </w:style>
  <w:style w:type="character" w:customStyle="1" w:styleId="106">
    <w:name w:val="tw4winTerm"/>
    <w:qFormat/>
    <w:uiPriority w:val="0"/>
    <w:rPr>
      <w:color w:val="0000FF"/>
    </w:rPr>
  </w:style>
  <w:style w:type="character" w:customStyle="1" w:styleId="107">
    <w:name w:val="正文样式_首行缩进2字符 Char"/>
    <w:link w:val="108"/>
    <w:uiPriority w:val="0"/>
    <w:rPr>
      <w:sz w:val="24"/>
      <w:szCs w:val="24"/>
    </w:rPr>
  </w:style>
  <w:style w:type="paragraph" w:customStyle="1" w:styleId="108">
    <w:name w:val="正文样式_首行缩进2字符"/>
    <w:basedOn w:val="1"/>
    <w:link w:val="107"/>
    <w:qFormat/>
    <w:uiPriority w:val="0"/>
    <w:pPr>
      <w:spacing w:line="360" w:lineRule="auto"/>
      <w:ind w:firstLine="480" w:firstLineChars="200"/>
    </w:pPr>
    <w:rPr>
      <w:kern w:val="0"/>
      <w:sz w:val="24"/>
      <w:szCs w:val="24"/>
    </w:rPr>
  </w:style>
  <w:style w:type="character" w:customStyle="1" w:styleId="109">
    <w:name w:val="正文4 Char Char"/>
    <w:qFormat/>
    <w:uiPriority w:val="0"/>
    <w:rPr>
      <w:rFonts w:ascii="Calibri" w:hAnsi="Calibri" w:eastAsia="宋体"/>
      <w:kern w:val="2"/>
      <w:sz w:val="24"/>
      <w:szCs w:val="24"/>
      <w:lang w:bidi="ar-SA"/>
    </w:rPr>
  </w:style>
  <w:style w:type="character" w:customStyle="1" w:styleId="110">
    <w:name w:val="BodyText 2 Char Char"/>
    <w:link w:val="111"/>
    <w:qFormat/>
    <w:uiPriority w:val="0"/>
    <w:rPr>
      <w:snapToGrid w:val="0"/>
      <w:sz w:val="24"/>
    </w:rPr>
  </w:style>
  <w:style w:type="paragraph" w:customStyle="1" w:styleId="111">
    <w:name w:val="BodyText 2"/>
    <w:basedOn w:val="1"/>
    <w:link w:val="110"/>
    <w:qFormat/>
    <w:uiPriority w:val="0"/>
    <w:pPr>
      <w:widowControl/>
      <w:spacing w:before="120"/>
      <w:ind w:left="994"/>
    </w:pPr>
    <w:rPr>
      <w:snapToGrid w:val="0"/>
      <w:kern w:val="0"/>
      <w:sz w:val="24"/>
      <w:szCs w:val="20"/>
    </w:rPr>
  </w:style>
  <w:style w:type="character" w:customStyle="1" w:styleId="112">
    <w:name w:val="tw4winInternal"/>
    <w:qFormat/>
    <w:uiPriority w:val="0"/>
    <w:rPr>
      <w:rFonts w:ascii="Courier New" w:hAnsi="Courier New"/>
      <w:color w:val="FF0000"/>
    </w:rPr>
  </w:style>
  <w:style w:type="character" w:customStyle="1" w:styleId="113">
    <w:name w:val="Z图表 Char"/>
    <w:link w:val="114"/>
    <w:uiPriority w:val="0"/>
    <w:rPr>
      <w:rFonts w:ascii="Times New Roman" w:hAnsi="Times New Roman" w:eastAsia="黑体"/>
      <w:sz w:val="24"/>
      <w:szCs w:val="24"/>
    </w:rPr>
  </w:style>
  <w:style w:type="paragraph" w:customStyle="1" w:styleId="114">
    <w:name w:val="Z图表"/>
    <w:basedOn w:val="18"/>
    <w:link w:val="113"/>
    <w:qFormat/>
    <w:uiPriority w:val="0"/>
    <w:pPr>
      <w:spacing w:beforeLines="50" w:afterLines="50"/>
      <w:jc w:val="center"/>
    </w:pPr>
    <w:rPr>
      <w:rFonts w:ascii="Times New Roman" w:hAnsi="Times New Roman"/>
      <w:kern w:val="0"/>
      <w:sz w:val="24"/>
      <w:szCs w:val="24"/>
    </w:rPr>
  </w:style>
  <w:style w:type="character" w:customStyle="1" w:styleId="115">
    <w:name w:val="标题 8 字符"/>
    <w:link w:val="9"/>
    <w:uiPriority w:val="0"/>
    <w:rPr>
      <w:rFonts w:ascii="Cambria" w:hAnsi="Cambria" w:eastAsia="宋体"/>
      <w:kern w:val="2"/>
      <w:sz w:val="24"/>
      <w:szCs w:val="24"/>
      <w:lang w:val="en-US" w:eastAsia="zh-CN" w:bidi="ar-SA"/>
    </w:rPr>
  </w:style>
  <w:style w:type="character" w:customStyle="1" w:styleId="116">
    <w:name w:val="标题4-dyf Char"/>
    <w:link w:val="117"/>
    <w:uiPriority w:val="0"/>
    <w:rPr>
      <w:rFonts w:ascii="Cambria" w:hAnsi="Cambria" w:eastAsia="宋体"/>
      <w:b/>
      <w:bCs/>
      <w:color w:val="000000"/>
      <w:kern w:val="2"/>
      <w:sz w:val="21"/>
      <w:szCs w:val="21"/>
      <w:lang w:val="en-US" w:eastAsia="zh-CN" w:bidi="ar-SA"/>
    </w:rPr>
  </w:style>
  <w:style w:type="paragraph" w:customStyle="1" w:styleId="117">
    <w:name w:val="标题4-dyf"/>
    <w:basedOn w:val="5"/>
    <w:link w:val="116"/>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8">
    <w:name w:val="无间隔 Char"/>
    <w:link w:val="119"/>
    <w:uiPriority w:val="0"/>
    <w:rPr>
      <w:rFonts w:ascii="Times New Roman" w:hAnsi="Times New Roman" w:eastAsia="Times New Roman"/>
      <w:sz w:val="22"/>
      <w:lang w:val="en-US" w:eastAsia="zh-CN" w:bidi="ar-SA"/>
    </w:rPr>
  </w:style>
  <w:style w:type="paragraph" w:customStyle="1" w:styleId="119">
    <w:name w:val="无间隔1"/>
    <w:link w:val="118"/>
    <w:qFormat/>
    <w:uiPriority w:val="0"/>
    <w:rPr>
      <w:rFonts w:ascii="Times New Roman" w:hAnsi="Times New Roman" w:eastAsia="Times New Roman" w:cs="Times New Roman"/>
      <w:sz w:val="22"/>
      <w:lang w:val="en-US" w:eastAsia="zh-CN" w:bidi="ar-SA"/>
    </w:rPr>
  </w:style>
  <w:style w:type="character" w:customStyle="1" w:styleId="120">
    <w:name w:val="ZJGIS图表 Char"/>
    <w:link w:val="121"/>
    <w:uiPriority w:val="0"/>
    <w:rPr>
      <w:rFonts w:ascii="Times New Roman" w:hAnsi="Times New Roman" w:eastAsia="黑体"/>
      <w:color w:val="000000"/>
      <w:sz w:val="24"/>
      <w:szCs w:val="24"/>
    </w:rPr>
  </w:style>
  <w:style w:type="paragraph" w:customStyle="1" w:styleId="121">
    <w:name w:val="ZJGIS图表"/>
    <w:basedOn w:val="1"/>
    <w:link w:val="120"/>
    <w:qFormat/>
    <w:uiPriority w:val="0"/>
    <w:pPr>
      <w:jc w:val="center"/>
    </w:pPr>
    <w:rPr>
      <w:rFonts w:ascii="Times New Roman" w:hAnsi="Times New Roman" w:eastAsia="黑体"/>
      <w:color w:val="000000"/>
      <w:kern w:val="0"/>
      <w:sz w:val="24"/>
      <w:szCs w:val="24"/>
    </w:rPr>
  </w:style>
  <w:style w:type="character" w:customStyle="1" w:styleId="122">
    <w:name w:val="H1 Char2"/>
    <w:uiPriority w:val="0"/>
    <w:rPr>
      <w:rFonts w:eastAsia="隶书"/>
      <w:b/>
      <w:bCs/>
      <w:sz w:val="36"/>
      <w:szCs w:val="36"/>
      <w:lang w:val="en-US" w:eastAsia="zh-CN" w:bidi="ar-SA"/>
    </w:rPr>
  </w:style>
  <w:style w:type="character" w:customStyle="1" w:styleId="123">
    <w:name w:val="info4"/>
    <w:basedOn w:val="63"/>
    <w:uiPriority w:val="0"/>
  </w:style>
  <w:style w:type="character" w:customStyle="1" w:styleId="124">
    <w:name w:val="content"/>
    <w:basedOn w:val="63"/>
    <w:uiPriority w:val="0"/>
  </w:style>
  <w:style w:type="character" w:customStyle="1" w:styleId="125">
    <w:name w:val="普通文字 Char Char2"/>
    <w:uiPriority w:val="0"/>
    <w:rPr>
      <w:rFonts w:ascii="宋体" w:hAnsi="Courier New" w:eastAsia="宋体"/>
      <w:sz w:val="21"/>
      <w:lang w:val="en-US" w:eastAsia="zh-CN" w:bidi="ar-SA"/>
    </w:rPr>
  </w:style>
  <w:style w:type="character" w:customStyle="1" w:styleId="126">
    <w:name w:val="列表1 Char Char"/>
    <w:link w:val="127"/>
    <w:uiPriority w:val="0"/>
    <w:rPr>
      <w:rFonts w:ascii="Century" w:hAnsi="Century"/>
      <w:kern w:val="2"/>
      <w:sz w:val="21"/>
      <w:szCs w:val="21"/>
    </w:rPr>
  </w:style>
  <w:style w:type="paragraph" w:customStyle="1" w:styleId="127">
    <w:name w:val="列表11"/>
    <w:basedOn w:val="1"/>
    <w:link w:val="126"/>
    <w:uiPriority w:val="0"/>
    <w:pPr>
      <w:tabs>
        <w:tab w:val="left" w:pos="840"/>
      </w:tabs>
      <w:spacing w:line="360" w:lineRule="auto"/>
      <w:ind w:left="840" w:hanging="420"/>
      <w:jc w:val="left"/>
    </w:pPr>
    <w:rPr>
      <w:rFonts w:ascii="Century" w:hAnsi="Century"/>
      <w:szCs w:val="21"/>
    </w:rPr>
  </w:style>
  <w:style w:type="character" w:customStyle="1" w:styleId="128">
    <w:name w:val="标题 7 字符"/>
    <w:link w:val="8"/>
    <w:qFormat/>
    <w:uiPriority w:val="9"/>
    <w:rPr>
      <w:rFonts w:eastAsia="宋体"/>
      <w:b/>
      <w:bCs/>
      <w:kern w:val="2"/>
      <w:sz w:val="24"/>
      <w:szCs w:val="24"/>
      <w:lang w:val="en-US" w:eastAsia="zh-CN" w:bidi="ar-SA"/>
    </w:rPr>
  </w:style>
  <w:style w:type="character" w:customStyle="1" w:styleId="129">
    <w:name w:val="Head 2"/>
    <w:uiPriority w:val="0"/>
    <w:rPr>
      <w:rFonts w:ascii="仿宋_GB2312"/>
      <w:bCs/>
      <w:iCs/>
      <w:sz w:val="24"/>
    </w:rPr>
  </w:style>
  <w:style w:type="character" w:customStyle="1" w:styleId="130">
    <w:name w:val="ZJ正文 Char"/>
    <w:link w:val="131"/>
    <w:uiPriority w:val="0"/>
    <w:rPr>
      <w:rFonts w:ascii="Times New Roman" w:hAnsi="Times New Roman"/>
      <w:sz w:val="24"/>
      <w:szCs w:val="24"/>
    </w:rPr>
  </w:style>
  <w:style w:type="paragraph" w:customStyle="1" w:styleId="131">
    <w:name w:val="ZJ正文"/>
    <w:basedOn w:val="1"/>
    <w:link w:val="130"/>
    <w:qFormat/>
    <w:uiPriority w:val="0"/>
    <w:pPr>
      <w:spacing w:line="360" w:lineRule="auto"/>
      <w:ind w:firstLine="480" w:firstLineChars="200"/>
    </w:pPr>
    <w:rPr>
      <w:rFonts w:ascii="Times New Roman" w:hAnsi="Times New Roman"/>
      <w:kern w:val="0"/>
      <w:sz w:val="24"/>
      <w:szCs w:val="24"/>
    </w:rPr>
  </w:style>
  <w:style w:type="character" w:customStyle="1" w:styleId="132">
    <w:name w:val="t_tag"/>
    <w:basedOn w:val="63"/>
    <w:uiPriority w:val="0"/>
  </w:style>
  <w:style w:type="character" w:customStyle="1" w:styleId="133">
    <w:name w:val="p71"/>
    <w:uiPriority w:val="0"/>
    <w:rPr>
      <w:sz w:val="21"/>
    </w:rPr>
  </w:style>
  <w:style w:type="character" w:customStyle="1" w:styleId="134">
    <w:name w:val="文档结构图 Char1"/>
    <w:uiPriority w:val="0"/>
    <w:rPr>
      <w:rFonts w:ascii="宋体" w:hAnsi="Courier New" w:eastAsia="宋体"/>
      <w:sz w:val="21"/>
      <w:lang w:val="en-US" w:eastAsia="zh-CN" w:bidi="ar-SA"/>
    </w:rPr>
  </w:style>
  <w:style w:type="character" w:customStyle="1" w:styleId="135">
    <w:name w:val="样式 小四"/>
    <w:uiPriority w:val="0"/>
    <w:rPr>
      <w:sz w:val="21"/>
    </w:rPr>
  </w:style>
  <w:style w:type="character" w:customStyle="1" w:styleId="136">
    <w:name w:val="页眉 Char Char"/>
    <w:qFormat/>
    <w:uiPriority w:val="0"/>
    <w:rPr>
      <w:kern w:val="2"/>
      <w:sz w:val="18"/>
      <w:szCs w:val="18"/>
      <w:lang w:bidi="ar-SA"/>
    </w:rPr>
  </w:style>
  <w:style w:type="character" w:customStyle="1" w:styleId="137">
    <w:name w:val="font9_black_line14"/>
    <w:basedOn w:val="63"/>
    <w:uiPriority w:val="0"/>
  </w:style>
  <w:style w:type="character" w:customStyle="1" w:styleId="138">
    <w:name w:val="粘贴正文 Char"/>
    <w:link w:val="139"/>
    <w:uiPriority w:val="0"/>
    <w:rPr>
      <w:rFonts w:ascii="Times New Roman" w:hAnsi="Times New Roman"/>
      <w:kern w:val="2"/>
      <w:sz w:val="24"/>
      <w:szCs w:val="21"/>
      <w:lang w:val="en-US" w:eastAsia="zh-CN" w:bidi="ar-SA"/>
    </w:rPr>
  </w:style>
  <w:style w:type="paragraph" w:customStyle="1" w:styleId="139">
    <w:name w:val="粘贴正文"/>
    <w:link w:val="138"/>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0">
    <w:name w:val="tpc_content1"/>
    <w:uiPriority w:val="0"/>
    <w:rPr>
      <w:sz w:val="20"/>
      <w:szCs w:val="20"/>
    </w:rPr>
  </w:style>
  <w:style w:type="character" w:customStyle="1" w:styleId="141">
    <w:name w:val="Char Char7"/>
    <w:uiPriority w:val="0"/>
    <w:rPr>
      <w:rFonts w:eastAsia="宋体"/>
      <w:b/>
      <w:kern w:val="2"/>
      <w:sz w:val="32"/>
      <w:lang w:bidi="ar-SA"/>
    </w:rPr>
  </w:style>
  <w:style w:type="character" w:customStyle="1" w:styleId="142">
    <w:name w:val="Heading 2 Char"/>
    <w:uiPriority w:val="0"/>
    <w:rPr>
      <w:rFonts w:ascii="Cambria" w:hAnsi="Cambria" w:eastAsia="宋体" w:cs="Cambria"/>
      <w:b/>
      <w:bCs/>
      <w:sz w:val="32"/>
      <w:szCs w:val="32"/>
      <w:lang w:val="en-US" w:eastAsia="zh-CN" w:bidi="ar-SA"/>
    </w:rPr>
  </w:style>
  <w:style w:type="character" w:customStyle="1" w:styleId="143">
    <w:name w:val="maywed421"/>
    <w:uiPriority w:val="0"/>
    <w:rPr>
      <w:color w:val="366FB6"/>
      <w:u w:val="none"/>
    </w:rPr>
  </w:style>
  <w:style w:type="character" w:customStyle="1" w:styleId="144">
    <w:name w:val="表格抬头 Char"/>
    <w:link w:val="145"/>
    <w:locked/>
    <w:uiPriority w:val="0"/>
    <w:rPr>
      <w:rFonts w:ascii="黑体" w:eastAsia="黑体"/>
      <w:b/>
      <w:kern w:val="2"/>
      <w:sz w:val="21"/>
    </w:rPr>
  </w:style>
  <w:style w:type="paragraph" w:customStyle="1" w:styleId="145">
    <w:name w:val="表格抬头"/>
    <w:basedOn w:val="1"/>
    <w:link w:val="144"/>
    <w:uiPriority w:val="0"/>
    <w:pPr>
      <w:jc w:val="center"/>
    </w:pPr>
    <w:rPr>
      <w:rFonts w:ascii="黑体" w:eastAsia="黑体"/>
      <w:b/>
      <w:szCs w:val="20"/>
    </w:rPr>
  </w:style>
  <w:style w:type="character" w:customStyle="1" w:styleId="146">
    <w:name w:val="greyfont1"/>
    <w:uiPriority w:val="0"/>
    <w:rPr>
      <w:b/>
      <w:bCs/>
      <w:color w:val="666666"/>
    </w:rPr>
  </w:style>
  <w:style w:type="character" w:customStyle="1" w:styleId="147">
    <w:name w:val="pt91"/>
    <w:uiPriority w:val="0"/>
    <w:rPr>
      <w:rFonts w:hint="default"/>
      <w:spacing w:val="240"/>
      <w:sz w:val="18"/>
      <w:szCs w:val="18"/>
    </w:rPr>
  </w:style>
  <w:style w:type="character" w:customStyle="1" w:styleId="148">
    <w:name w:val="title14"/>
    <w:basedOn w:val="63"/>
    <w:uiPriority w:val="0"/>
  </w:style>
  <w:style w:type="character" w:customStyle="1" w:styleId="149">
    <w:name w:val="样式41"/>
    <w:uiPriority w:val="0"/>
    <w:rPr>
      <w:color w:val="3366CC"/>
      <w:sz w:val="21"/>
      <w:szCs w:val="21"/>
    </w:rPr>
  </w:style>
  <w:style w:type="character" w:customStyle="1" w:styleId="150">
    <w:name w:val="正文s Char"/>
    <w:link w:val="151"/>
    <w:uiPriority w:val="0"/>
    <w:rPr>
      <w:rFonts w:ascii="Arial" w:hAnsi="Arial"/>
    </w:rPr>
  </w:style>
  <w:style w:type="paragraph" w:customStyle="1" w:styleId="151">
    <w:name w:val="正文s"/>
    <w:basedOn w:val="1"/>
    <w:link w:val="150"/>
    <w:uiPriority w:val="0"/>
    <w:pPr>
      <w:spacing w:beforeLines="50" w:line="360" w:lineRule="exact"/>
      <w:ind w:left="420"/>
    </w:pPr>
    <w:rPr>
      <w:rFonts w:ascii="Arial" w:hAnsi="Arial"/>
      <w:kern w:val="0"/>
      <w:sz w:val="20"/>
      <w:szCs w:val="20"/>
    </w:rPr>
  </w:style>
  <w:style w:type="character" w:customStyle="1" w:styleId="152">
    <w:name w:val="标题 9 字符"/>
    <w:link w:val="10"/>
    <w:uiPriority w:val="0"/>
    <w:rPr>
      <w:rFonts w:ascii="Cambria" w:hAnsi="Cambria" w:eastAsia="宋体"/>
      <w:kern w:val="2"/>
      <w:sz w:val="21"/>
      <w:szCs w:val="21"/>
      <w:lang w:val="en-US" w:eastAsia="zh-CN" w:bidi="ar-SA"/>
    </w:rPr>
  </w:style>
  <w:style w:type="character" w:customStyle="1" w:styleId="153">
    <w:name w:val="浅色网格 - 强调文字颜色 3 Char1"/>
    <w:link w:val="95"/>
    <w:uiPriority w:val="0"/>
    <w:rPr>
      <w:rFonts w:eastAsia="宋体"/>
      <w:kern w:val="2"/>
      <w:sz w:val="21"/>
      <w:szCs w:val="24"/>
      <w:lang w:val="en-US" w:eastAsia="zh-CN" w:bidi="ar-SA"/>
    </w:rPr>
  </w:style>
  <w:style w:type="character" w:customStyle="1" w:styleId="154">
    <w:name w:val="b11_01b Char"/>
    <w:link w:val="155"/>
    <w:uiPriority w:val="0"/>
    <w:rPr>
      <w:rFonts w:ascii="Verdana" w:hAnsi="Verdana" w:eastAsia="宋体"/>
      <w:b/>
      <w:bCs/>
      <w:color w:val="4A82CA"/>
      <w:sz w:val="17"/>
      <w:szCs w:val="17"/>
      <w:lang w:val="en-US" w:eastAsia="zh-CN" w:bidi="ar-SA"/>
    </w:rPr>
  </w:style>
  <w:style w:type="paragraph" w:customStyle="1" w:styleId="155">
    <w:name w:val="b11_01b"/>
    <w:basedOn w:val="1"/>
    <w:next w:val="1"/>
    <w:link w:val="154"/>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6">
    <w:name w:val="列表段落 字符"/>
    <w:link w:val="157"/>
    <w:qFormat/>
    <w:uiPriority w:val="99"/>
    <w:rPr>
      <w:kern w:val="2"/>
      <w:sz w:val="21"/>
      <w:szCs w:val="22"/>
    </w:rPr>
  </w:style>
  <w:style w:type="paragraph" w:styleId="157">
    <w:name w:val="List Paragraph"/>
    <w:basedOn w:val="1"/>
    <w:link w:val="156"/>
    <w:qFormat/>
    <w:uiPriority w:val="99"/>
    <w:pPr>
      <w:ind w:firstLine="420" w:firstLineChars="200"/>
    </w:pPr>
  </w:style>
  <w:style w:type="character" w:customStyle="1" w:styleId="158">
    <w:name w:val="para"/>
    <w:basedOn w:val="63"/>
    <w:uiPriority w:val="0"/>
  </w:style>
  <w:style w:type="character" w:customStyle="1" w:styleId="159">
    <w:name w:val="文档正文1 Char Char"/>
    <w:uiPriority w:val="0"/>
    <w:rPr>
      <w:rFonts w:ascii="仿宋_GB2312" w:hAnsi="仿宋" w:eastAsia="仿宋_GB2312"/>
      <w:kern w:val="2"/>
      <w:sz w:val="30"/>
      <w:szCs w:val="30"/>
      <w:lang w:bidi="ar-SA"/>
    </w:rPr>
  </w:style>
  <w:style w:type="character" w:customStyle="1" w:styleId="160">
    <w:name w:val="脚注文本 字符"/>
    <w:link w:val="44"/>
    <w:uiPriority w:val="99"/>
    <w:rPr>
      <w:kern w:val="2"/>
      <w:sz w:val="18"/>
      <w:szCs w:val="18"/>
    </w:rPr>
  </w:style>
  <w:style w:type="character" w:customStyle="1" w:styleId="161">
    <w:name w:val="加重文字 Char"/>
    <w:link w:val="162"/>
    <w:locked/>
    <w:uiPriority w:val="0"/>
    <w:rPr>
      <w:b/>
      <w:bCs/>
      <w:kern w:val="2"/>
      <w:sz w:val="24"/>
      <w:szCs w:val="24"/>
      <w:u w:val="thick"/>
    </w:rPr>
  </w:style>
  <w:style w:type="paragraph" w:customStyle="1" w:styleId="162">
    <w:name w:val="加重文字"/>
    <w:basedOn w:val="163"/>
    <w:link w:val="161"/>
    <w:uiPriority w:val="0"/>
    <w:pPr>
      <w:ind w:firstLine="0" w:firstLineChars="0"/>
    </w:pPr>
    <w:rPr>
      <w:b/>
      <w:bCs/>
      <w:u w:val="thick"/>
    </w:rPr>
  </w:style>
  <w:style w:type="paragraph" w:customStyle="1" w:styleId="163">
    <w:name w:val="标准文本"/>
    <w:basedOn w:val="1"/>
    <w:link w:val="178"/>
    <w:qFormat/>
    <w:uiPriority w:val="0"/>
    <w:pPr>
      <w:spacing w:line="360" w:lineRule="auto"/>
      <w:ind w:firstLine="480" w:firstLineChars="200"/>
    </w:pPr>
    <w:rPr>
      <w:sz w:val="24"/>
      <w:szCs w:val="24"/>
    </w:rPr>
  </w:style>
  <w:style w:type="character" w:customStyle="1" w:styleId="164">
    <w:name w:val="H1 Char3"/>
    <w:uiPriority w:val="0"/>
    <w:rPr>
      <w:rFonts w:eastAsia="隶书"/>
      <w:b/>
      <w:bCs/>
      <w:sz w:val="36"/>
      <w:szCs w:val="36"/>
      <w:lang w:val="en-US" w:eastAsia="zh-CN" w:bidi="ar-SA"/>
    </w:rPr>
  </w:style>
  <w:style w:type="character" w:customStyle="1" w:styleId="165">
    <w:name w:val="尾注文本 字符"/>
    <w:link w:val="36"/>
    <w:uiPriority w:val="0"/>
    <w:rPr>
      <w:rFonts w:ascii="宋体" w:hAnsi="Calibri" w:eastAsia="宋体" w:cs="Times New Roman"/>
      <w:snapToGrid w:val="0"/>
      <w:sz w:val="21"/>
    </w:rPr>
  </w:style>
  <w:style w:type="character" w:customStyle="1" w:styleId="166">
    <w:name w:val="style181"/>
    <w:uiPriority w:val="0"/>
    <w:rPr>
      <w:rFonts w:hint="default" w:ascii="Arial" w:hAnsi="Arial" w:cs="Arial"/>
      <w:color w:val="000000"/>
      <w:sz w:val="18"/>
      <w:szCs w:val="18"/>
    </w:rPr>
  </w:style>
  <w:style w:type="character" w:customStyle="1" w:styleId="167">
    <w:name w:val="吉奥正文 Char2"/>
    <w:link w:val="168"/>
    <w:qFormat/>
    <w:uiPriority w:val="0"/>
    <w:rPr>
      <w:rFonts w:ascii="Times New Roman" w:hAnsi="Times New Roman" w:eastAsia="仿宋_GB2312"/>
      <w:sz w:val="24"/>
    </w:rPr>
  </w:style>
  <w:style w:type="paragraph" w:customStyle="1" w:styleId="168">
    <w:name w:val="吉奥正文"/>
    <w:basedOn w:val="1"/>
    <w:link w:val="167"/>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69">
    <w:name w:val="flname7"/>
    <w:basedOn w:val="63"/>
    <w:qFormat/>
    <w:uiPriority w:val="0"/>
  </w:style>
  <w:style w:type="character" w:customStyle="1" w:styleId="170">
    <w:name w:val="header odd Char Char1"/>
    <w:uiPriority w:val="0"/>
    <w:rPr>
      <w:rFonts w:eastAsia="宋体"/>
      <w:kern w:val="2"/>
      <w:sz w:val="18"/>
      <w:szCs w:val="18"/>
      <w:lang w:val="en-US" w:eastAsia="zh-CN" w:bidi="ar-SA"/>
    </w:rPr>
  </w:style>
  <w:style w:type="character" w:customStyle="1" w:styleId="171">
    <w:name w:val="一级标题 Char Char"/>
    <w:uiPriority w:val="0"/>
    <w:rPr>
      <w:rFonts w:eastAsia="仿宋"/>
      <w:b/>
      <w:kern w:val="44"/>
      <w:sz w:val="28"/>
      <w:lang w:val="en-US" w:eastAsia="zh-CN" w:bidi="ar-SA"/>
    </w:rPr>
  </w:style>
  <w:style w:type="character" w:customStyle="1" w:styleId="172">
    <w:name w:val="Char Char12"/>
    <w:uiPriority w:val="0"/>
    <w:rPr>
      <w:rFonts w:ascii="宋体" w:hAnsi="Courier New" w:eastAsia="宋体" w:cs="Times New Roman"/>
      <w:spacing w:val="-4"/>
      <w:sz w:val="18"/>
      <w:szCs w:val="20"/>
    </w:rPr>
  </w:style>
  <w:style w:type="character" w:customStyle="1" w:styleId="173">
    <w:name w:val="标题 字符"/>
    <w:link w:val="54"/>
    <w:uiPriority w:val="0"/>
    <w:rPr>
      <w:rFonts w:ascii="Arial" w:hAnsi="Arial" w:cs="Arial"/>
      <w:b/>
      <w:bCs/>
      <w:kern w:val="2"/>
      <w:sz w:val="32"/>
      <w:szCs w:val="32"/>
    </w:rPr>
  </w:style>
  <w:style w:type="character" w:customStyle="1" w:styleId="174">
    <w:name w:val="标题 5 字符"/>
    <w:link w:val="6"/>
    <w:qFormat/>
    <w:uiPriority w:val="9"/>
    <w:rPr>
      <w:rFonts w:eastAsia="宋体"/>
      <w:b/>
      <w:bCs/>
      <w:kern w:val="2"/>
      <w:sz w:val="28"/>
      <w:szCs w:val="28"/>
      <w:lang w:bidi="ar-SA"/>
    </w:rPr>
  </w:style>
  <w:style w:type="character" w:customStyle="1" w:styleId="175">
    <w:name w:val="huide001"/>
    <w:uiPriority w:val="0"/>
    <w:rPr>
      <w:rFonts w:hint="default" w:ascii="Arial" w:hAnsi="Arial" w:cs="Arial"/>
      <w:color w:val="666666"/>
      <w:sz w:val="18"/>
      <w:szCs w:val="18"/>
    </w:rPr>
  </w:style>
  <w:style w:type="character" w:customStyle="1" w:styleId="176">
    <w:name w:val="Title Char"/>
    <w:uiPriority w:val="0"/>
    <w:rPr>
      <w:rFonts w:ascii="Cambria" w:hAnsi="Cambria" w:eastAsia="宋体" w:cs="Cambria"/>
      <w:b/>
      <w:bCs/>
      <w:sz w:val="32"/>
      <w:szCs w:val="32"/>
      <w:lang w:val="en-US" w:eastAsia="zh-CN" w:bidi="ar-SA"/>
    </w:rPr>
  </w:style>
  <w:style w:type="character" w:customStyle="1" w:styleId="177">
    <w:name w:val="text_show1"/>
    <w:uiPriority w:val="0"/>
    <w:rPr>
      <w:color w:val="000000"/>
      <w:sz w:val="21"/>
      <w:szCs w:val="21"/>
      <w:u w:val="none"/>
    </w:rPr>
  </w:style>
  <w:style w:type="character" w:customStyle="1" w:styleId="178">
    <w:name w:val="标准文本 Char"/>
    <w:link w:val="163"/>
    <w:locked/>
    <w:uiPriority w:val="0"/>
    <w:rPr>
      <w:kern w:val="2"/>
      <w:sz w:val="24"/>
      <w:szCs w:val="24"/>
    </w:rPr>
  </w:style>
  <w:style w:type="character" w:customStyle="1" w:styleId="179">
    <w:name w:val="Char Char4"/>
    <w:uiPriority w:val="0"/>
    <w:rPr>
      <w:rFonts w:ascii="Calibri" w:hAnsi="Calibri" w:eastAsia="宋体"/>
      <w:sz w:val="18"/>
      <w:szCs w:val="18"/>
      <w:lang w:bidi="ar-SA"/>
    </w:rPr>
  </w:style>
  <w:style w:type="character" w:customStyle="1" w:styleId="180">
    <w:name w:val="Char Char141"/>
    <w:uiPriority w:val="0"/>
    <w:rPr>
      <w:rFonts w:ascii="楷体_GB2312" w:eastAsia="楷体_GB2312"/>
      <w:kern w:val="2"/>
      <w:sz w:val="32"/>
      <w:lang w:val="en-US" w:eastAsia="zh-CN" w:bidi="ar-SA"/>
    </w:rPr>
  </w:style>
  <w:style w:type="character" w:customStyle="1" w:styleId="181">
    <w:name w:val="Header Char"/>
    <w:semiHidden/>
    <w:locked/>
    <w:uiPriority w:val="0"/>
    <w:rPr>
      <w:rFonts w:ascii="Times New Roman" w:hAnsi="Times New Roman" w:eastAsia="宋体" w:cs="Times New Roman"/>
      <w:sz w:val="18"/>
      <w:szCs w:val="18"/>
    </w:rPr>
  </w:style>
  <w:style w:type="character" w:customStyle="1" w:styleId="182">
    <w:name w:val="p21"/>
    <w:uiPriority w:val="0"/>
    <w:rPr>
      <w:rFonts w:hint="default" w:ascii="Arial" w:hAnsi="Arial"/>
      <w:color w:val="333333"/>
      <w:sz w:val="18"/>
      <w:u w:val="none"/>
    </w:rPr>
  </w:style>
  <w:style w:type="character" w:customStyle="1" w:styleId="183">
    <w:name w:val="Footer Char"/>
    <w:semiHidden/>
    <w:locked/>
    <w:uiPriority w:val="0"/>
    <w:rPr>
      <w:rFonts w:ascii="Times New Roman" w:hAnsi="Times New Roman" w:eastAsia="宋体" w:cs="Times New Roman"/>
      <w:sz w:val="18"/>
      <w:szCs w:val="18"/>
    </w:rPr>
  </w:style>
  <w:style w:type="character" w:customStyle="1" w:styleId="184">
    <w:name w:val="Normal Indent Char Char"/>
    <w:uiPriority w:val="0"/>
    <w:rPr>
      <w:rFonts w:eastAsia="宋体"/>
      <w:kern w:val="2"/>
      <w:sz w:val="21"/>
      <w:szCs w:val="24"/>
      <w:lang w:val="en-US" w:eastAsia="zh-CN" w:bidi="ar-SA"/>
    </w:rPr>
  </w:style>
  <w:style w:type="character" w:customStyle="1" w:styleId="185">
    <w:name w:val="Char Char8"/>
    <w:uiPriority w:val="0"/>
    <w:rPr>
      <w:rFonts w:ascii="Arial" w:hAnsi="Arial" w:eastAsia="黑体"/>
      <w:b/>
      <w:bCs/>
      <w:kern w:val="2"/>
      <w:sz w:val="32"/>
      <w:szCs w:val="32"/>
      <w:lang w:val="en-US" w:eastAsia="zh-CN" w:bidi="ar-SA"/>
    </w:rPr>
  </w:style>
  <w:style w:type="character" w:customStyle="1" w:styleId="186">
    <w:name w:val="List Paragraph Char"/>
    <w:link w:val="187"/>
    <w:locked/>
    <w:uiPriority w:val="0"/>
    <w:rPr>
      <w:rFonts w:ascii="Times New Roman" w:hAnsi="Times New Roman"/>
      <w:kern w:val="2"/>
      <w:sz w:val="21"/>
      <w:szCs w:val="24"/>
    </w:rPr>
  </w:style>
  <w:style w:type="paragraph" w:customStyle="1" w:styleId="187">
    <w:name w:val="列出段落1"/>
    <w:basedOn w:val="1"/>
    <w:link w:val="186"/>
    <w:qFormat/>
    <w:uiPriority w:val="0"/>
    <w:pPr>
      <w:ind w:firstLine="420" w:firstLineChars="200"/>
    </w:pPr>
    <w:rPr>
      <w:rFonts w:ascii="Times New Roman" w:hAnsi="Times New Roman"/>
      <w:szCs w:val="24"/>
    </w:rPr>
  </w:style>
  <w:style w:type="character" w:customStyle="1" w:styleId="188">
    <w:name w:val="Balloon Text Char"/>
    <w:semiHidden/>
    <w:locked/>
    <w:uiPriority w:val="0"/>
    <w:rPr>
      <w:rFonts w:ascii="Times New Roman" w:hAnsi="Times New Roman" w:eastAsia="宋体" w:cs="Times New Roman"/>
      <w:sz w:val="18"/>
      <w:szCs w:val="18"/>
    </w:rPr>
  </w:style>
  <w:style w:type="character" w:customStyle="1" w:styleId="189">
    <w:name w:val="书籍标题1"/>
    <w:qFormat/>
    <w:uiPriority w:val="33"/>
    <w:rPr>
      <w:b/>
      <w:bCs/>
      <w:smallCaps/>
      <w:spacing w:val="5"/>
    </w:rPr>
  </w:style>
  <w:style w:type="character" w:customStyle="1" w:styleId="190">
    <w:name w:val="标题 1 字符"/>
    <w:link w:val="2"/>
    <w:uiPriority w:val="9"/>
    <w:rPr>
      <w:rFonts w:eastAsia="隶书"/>
      <w:b/>
      <w:bCs/>
      <w:sz w:val="36"/>
      <w:szCs w:val="36"/>
      <w:lang w:val="en-US" w:eastAsia="zh-CN" w:bidi="ar-SA"/>
    </w:rPr>
  </w:style>
  <w:style w:type="character" w:customStyle="1" w:styleId="191">
    <w:name w:val="tw4winMark"/>
    <w:uiPriority w:val="0"/>
    <w:rPr>
      <w:rFonts w:ascii="Courier New" w:hAnsi="Courier New"/>
      <w:vanish/>
      <w:color w:val="800080"/>
      <w:vertAlign w:val="subscript"/>
    </w:rPr>
  </w:style>
  <w:style w:type="character" w:customStyle="1" w:styleId="192">
    <w:name w:val="Item List in Table Char Char"/>
    <w:link w:val="193"/>
    <w:locked/>
    <w:uiPriority w:val="0"/>
    <w:rPr>
      <w:rFonts w:ascii="Arial" w:hAnsi="Arial" w:eastAsia="宋体" w:cs="Times New Roman"/>
      <w:sz w:val="18"/>
      <w:szCs w:val="18"/>
    </w:rPr>
  </w:style>
  <w:style w:type="paragraph" w:customStyle="1" w:styleId="193">
    <w:name w:val="Item List in Table"/>
    <w:link w:val="192"/>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4">
    <w:name w:val="Char Char2"/>
    <w:uiPriority w:val="0"/>
    <w:rPr>
      <w:rFonts w:ascii="宋体" w:hAnsi="Courier New" w:eastAsia="宋体"/>
      <w:sz w:val="21"/>
      <w:lang w:val="en-US" w:eastAsia="zh-CN" w:bidi="ar-SA"/>
    </w:rPr>
  </w:style>
  <w:style w:type="character" w:customStyle="1" w:styleId="195">
    <w:name w:val="正文文本 字符"/>
    <w:link w:val="24"/>
    <w:qFormat/>
    <w:uiPriority w:val="0"/>
    <w:rPr>
      <w:rFonts w:eastAsia="宋体"/>
      <w:kern w:val="2"/>
      <w:sz w:val="28"/>
      <w:szCs w:val="24"/>
      <w:lang w:val="en-US" w:eastAsia="zh-CN" w:bidi="ar-SA"/>
    </w:rPr>
  </w:style>
  <w:style w:type="character" w:customStyle="1" w:styleId="196">
    <w:name w:val="paragraph1 Char Char"/>
    <w:uiPriority w:val="0"/>
    <w:rPr>
      <w:rFonts w:eastAsia="楷体_GB2312"/>
      <w:kern w:val="2"/>
      <w:sz w:val="24"/>
      <w:lang w:val="en-US" w:eastAsia="zh-CN" w:bidi="ar-SA"/>
    </w:rPr>
  </w:style>
  <w:style w:type="character" w:customStyle="1" w:styleId="197">
    <w:name w:val="正文文本首行缩进 字符"/>
    <w:link w:val="56"/>
    <w:uiPriority w:val="0"/>
    <w:rPr>
      <w:rFonts w:ascii="Calibri" w:hAnsi="Calibri" w:eastAsia="宋体"/>
      <w:kern w:val="2"/>
      <w:sz w:val="21"/>
      <w:szCs w:val="22"/>
      <w:lang w:val="en-US" w:eastAsia="zh-CN" w:bidi="ar-SA"/>
    </w:rPr>
  </w:style>
  <w:style w:type="character" w:customStyle="1" w:styleId="198">
    <w:name w:val="grame"/>
    <w:basedOn w:val="63"/>
    <w:uiPriority w:val="0"/>
  </w:style>
  <w:style w:type="character" w:customStyle="1" w:styleId="199">
    <w:name w:val="Char Char5"/>
    <w:uiPriority w:val="0"/>
    <w:rPr>
      <w:rFonts w:ascii="Calibri" w:hAnsi="Calibri" w:eastAsia="宋体"/>
      <w:sz w:val="18"/>
      <w:szCs w:val="18"/>
      <w:lang w:bidi="ar-SA"/>
    </w:rPr>
  </w:style>
  <w:style w:type="character" w:customStyle="1" w:styleId="200">
    <w:name w:val="fontdz1"/>
    <w:uiPriority w:val="0"/>
    <w:rPr>
      <w:sz w:val="18"/>
      <w:szCs w:val="18"/>
    </w:rPr>
  </w:style>
  <w:style w:type="character" w:customStyle="1" w:styleId="201">
    <w:name w:val="自定义正文 Char"/>
    <w:link w:val="202"/>
    <w:uiPriority w:val="0"/>
    <w:rPr>
      <w:rFonts w:ascii="仿宋_GB2312" w:eastAsia="仿宋_GB2312"/>
      <w:kern w:val="2"/>
      <w:sz w:val="28"/>
      <w:szCs w:val="24"/>
    </w:rPr>
  </w:style>
  <w:style w:type="paragraph" w:customStyle="1" w:styleId="202">
    <w:name w:val="自定义正文"/>
    <w:basedOn w:val="1"/>
    <w:link w:val="201"/>
    <w:uiPriority w:val="0"/>
    <w:pPr>
      <w:spacing w:before="120" w:after="120" w:line="480" w:lineRule="exact"/>
      <w:ind w:firstLine="200" w:firstLineChars="200"/>
      <w:jc w:val="left"/>
    </w:pPr>
    <w:rPr>
      <w:rFonts w:ascii="仿宋_GB2312" w:eastAsia="仿宋_GB2312"/>
      <w:sz w:val="28"/>
      <w:szCs w:val="24"/>
    </w:rPr>
  </w:style>
  <w:style w:type="character" w:customStyle="1" w:styleId="203">
    <w:name w:val="公文正文 Char"/>
    <w:link w:val="204"/>
    <w:uiPriority w:val="0"/>
    <w:rPr>
      <w:rFonts w:ascii="仿宋_GB2312" w:eastAsia="仿宋_GB2312"/>
      <w:kern w:val="2"/>
      <w:sz w:val="24"/>
      <w:szCs w:val="24"/>
      <w:lang w:val="en-US" w:eastAsia="zh-CN" w:bidi="ar-SA"/>
    </w:rPr>
  </w:style>
  <w:style w:type="paragraph" w:customStyle="1" w:styleId="204">
    <w:name w:val="公文正文"/>
    <w:basedOn w:val="1"/>
    <w:link w:val="203"/>
    <w:uiPriority w:val="0"/>
    <w:pPr>
      <w:spacing w:before="156" w:line="360" w:lineRule="auto"/>
      <w:ind w:firstLine="360" w:firstLineChars="200"/>
    </w:pPr>
    <w:rPr>
      <w:rFonts w:ascii="仿宋_GB2312" w:eastAsia="仿宋_GB2312"/>
      <w:sz w:val="24"/>
      <w:szCs w:val="24"/>
    </w:rPr>
  </w:style>
  <w:style w:type="character" w:customStyle="1" w:styleId="205">
    <w:name w:val="Char Char14"/>
    <w:uiPriority w:val="0"/>
    <w:rPr>
      <w:rFonts w:ascii="Calibri" w:hAnsi="Calibri" w:eastAsia="宋体" w:cs="Times New Roman"/>
      <w:b/>
      <w:bCs/>
      <w:sz w:val="28"/>
      <w:szCs w:val="28"/>
    </w:rPr>
  </w:style>
  <w:style w:type="character" w:customStyle="1" w:styleId="206">
    <w:name w:val="列表1、 Char Char"/>
    <w:uiPriority w:val="0"/>
    <w:rPr>
      <w:rFonts w:ascii="仿宋" w:hAnsi="仿宋" w:eastAsia="仿宋"/>
      <w:kern w:val="2"/>
      <w:sz w:val="28"/>
      <w:szCs w:val="21"/>
      <w:lang w:bidi="ar-SA"/>
    </w:rPr>
  </w:style>
  <w:style w:type="character" w:customStyle="1" w:styleId="207">
    <w:name w:val="批注文字 字符"/>
    <w:link w:val="21"/>
    <w:qFormat/>
    <w:uiPriority w:val="99"/>
    <w:rPr>
      <w:kern w:val="2"/>
      <w:sz w:val="21"/>
      <w:szCs w:val="22"/>
    </w:rPr>
  </w:style>
  <w:style w:type="character" w:customStyle="1" w:styleId="208">
    <w:name w:val="批注主题 Char"/>
    <w:link w:val="209"/>
    <w:qFormat/>
    <w:uiPriority w:val="99"/>
    <w:rPr>
      <w:b/>
      <w:bCs/>
    </w:rPr>
  </w:style>
  <w:style w:type="paragraph" w:customStyle="1" w:styleId="209">
    <w:name w:val="批注主题1"/>
    <w:basedOn w:val="21"/>
    <w:next w:val="21"/>
    <w:link w:val="208"/>
    <w:uiPriority w:val="0"/>
    <w:rPr>
      <w:b/>
      <w:bCs/>
      <w:kern w:val="0"/>
      <w:sz w:val="20"/>
      <w:szCs w:val="20"/>
    </w:rPr>
  </w:style>
  <w:style w:type="character" w:customStyle="1" w:styleId="210">
    <w:name w:val="表名 Char"/>
    <w:uiPriority w:val="0"/>
    <w:rPr>
      <w:rFonts w:ascii="Arial" w:hAnsi="Arial" w:eastAsia="黑体"/>
      <w:sz w:val="24"/>
      <w:szCs w:val="24"/>
    </w:rPr>
  </w:style>
  <w:style w:type="character" w:customStyle="1" w:styleId="211">
    <w:name w:val="ZJ图表 Char"/>
    <w:link w:val="212"/>
    <w:uiPriority w:val="0"/>
    <w:rPr>
      <w:rFonts w:ascii="Times New Roman" w:hAnsi="Times New Roman" w:eastAsia="黑体"/>
      <w:color w:val="000000"/>
      <w:sz w:val="24"/>
      <w:szCs w:val="24"/>
    </w:rPr>
  </w:style>
  <w:style w:type="paragraph" w:customStyle="1" w:styleId="212">
    <w:name w:val="ZJ图表"/>
    <w:basedOn w:val="8"/>
    <w:link w:val="211"/>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3">
    <w:name w:val="h Char"/>
    <w:uiPriority w:val="0"/>
    <w:rPr>
      <w:rFonts w:ascii="Calibri" w:hAnsi="Calibri" w:eastAsia="宋体" w:cs="Times New Roman"/>
      <w:sz w:val="18"/>
      <w:szCs w:val="18"/>
    </w:rPr>
  </w:style>
  <w:style w:type="character" w:customStyle="1" w:styleId="214">
    <w:name w:val="标题 2 字符"/>
    <w:link w:val="3"/>
    <w:uiPriority w:val="0"/>
    <w:rPr>
      <w:rFonts w:ascii="Arial" w:hAnsi="Arial" w:eastAsia="黑体"/>
      <w:b/>
      <w:bCs/>
      <w:kern w:val="2"/>
      <w:sz w:val="32"/>
      <w:szCs w:val="32"/>
      <w:lang w:val="en-US" w:eastAsia="zh-CN" w:bidi="ar-SA"/>
    </w:rPr>
  </w:style>
  <w:style w:type="character" w:customStyle="1" w:styleId="215">
    <w:name w:val="z-窗体底端 Char"/>
    <w:link w:val="216"/>
    <w:uiPriority w:val="0"/>
    <w:rPr>
      <w:rFonts w:ascii="Arial" w:hAnsi="Arial" w:cs="Arial"/>
      <w:vanish/>
      <w:sz w:val="16"/>
      <w:szCs w:val="16"/>
    </w:rPr>
  </w:style>
  <w:style w:type="paragraph" w:customStyle="1" w:styleId="216">
    <w:name w:val="z-窗体底端1"/>
    <w:basedOn w:val="1"/>
    <w:next w:val="1"/>
    <w:link w:val="215"/>
    <w:uiPriority w:val="0"/>
    <w:pPr>
      <w:widowControl/>
      <w:pBdr>
        <w:top w:val="single" w:color="auto" w:sz="6" w:space="1"/>
      </w:pBdr>
      <w:jc w:val="center"/>
    </w:pPr>
    <w:rPr>
      <w:rFonts w:ascii="Arial" w:hAnsi="Arial"/>
      <w:vanish/>
      <w:kern w:val="0"/>
      <w:sz w:val="16"/>
      <w:szCs w:val="16"/>
    </w:rPr>
  </w:style>
  <w:style w:type="character" w:customStyle="1" w:styleId="217">
    <w:name w:val="title_sub_blue1"/>
    <w:uiPriority w:val="0"/>
    <w:rPr>
      <w:rFonts w:hint="default" w:ascii="Arial" w:hAnsi="Arial"/>
      <w:b/>
      <w:color w:val="16344F"/>
      <w:spacing w:val="15"/>
      <w:sz w:val="18"/>
      <w:u w:val="none"/>
    </w:rPr>
  </w:style>
  <w:style w:type="character" w:customStyle="1" w:styleId="218">
    <w:name w:val="二级标题 Char Char"/>
    <w:uiPriority w:val="0"/>
    <w:rPr>
      <w:rFonts w:eastAsia="仿宋"/>
      <w:b/>
      <w:sz w:val="28"/>
      <w:lang w:val="en-US" w:eastAsia="zh-CN" w:bidi="ar-SA"/>
    </w:rPr>
  </w:style>
  <w:style w:type="character" w:customStyle="1" w:styleId="219">
    <w:name w:val="明显参考1"/>
    <w:qFormat/>
    <w:uiPriority w:val="0"/>
    <w:rPr>
      <w:b/>
      <w:sz w:val="24"/>
      <w:u w:val="single"/>
    </w:rPr>
  </w:style>
  <w:style w:type="character" w:customStyle="1" w:styleId="220">
    <w:name w:val="正文文本 3 字符"/>
    <w:link w:val="23"/>
    <w:uiPriority w:val="0"/>
    <w:rPr>
      <w:rFonts w:ascii="Times New Roman" w:hAnsi="宋体" w:eastAsia="仿宋_GB2312"/>
      <w:b/>
      <w:bCs/>
      <w:kern w:val="2"/>
      <w:sz w:val="24"/>
    </w:rPr>
  </w:style>
  <w:style w:type="character" w:customStyle="1" w:styleId="221">
    <w:name w:val="中等深浅网格 11"/>
    <w:semiHidden/>
    <w:uiPriority w:val="0"/>
    <w:rPr>
      <w:color w:val="808080"/>
    </w:rPr>
  </w:style>
  <w:style w:type="character" w:customStyle="1" w:styleId="222">
    <w:name w:val="Char Char9"/>
    <w:uiPriority w:val="0"/>
    <w:rPr>
      <w:rFonts w:eastAsia="宋体"/>
      <w:b/>
      <w:kern w:val="44"/>
      <w:sz w:val="44"/>
      <w:lang w:bidi="ar-SA"/>
    </w:rPr>
  </w:style>
  <w:style w:type="character" w:customStyle="1" w:styleId="223">
    <w:name w:val="正文文本缩进 Char1"/>
    <w:uiPriority w:val="99"/>
    <w:rPr>
      <w:rFonts w:ascii="Times New Roman" w:hAnsi="Times New Roman" w:eastAsia="宋体" w:cs="Times New Roman"/>
      <w:sz w:val="28"/>
      <w:szCs w:val="20"/>
    </w:rPr>
  </w:style>
  <w:style w:type="character" w:customStyle="1" w:styleId="22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5">
    <w:name w:val="大标题 Char"/>
    <w:link w:val="226"/>
    <w:uiPriority w:val="0"/>
    <w:rPr>
      <w:b/>
      <w:sz w:val="28"/>
      <w:lang w:val="en-US" w:eastAsia="zh-CN" w:bidi="ar-SA"/>
    </w:rPr>
  </w:style>
  <w:style w:type="paragraph" w:customStyle="1" w:styleId="226">
    <w:name w:val="大标题"/>
    <w:next w:val="1"/>
    <w:link w:val="225"/>
    <w:uiPriority w:val="0"/>
    <w:pPr>
      <w:spacing w:before="120" w:after="120" w:line="360" w:lineRule="auto"/>
    </w:pPr>
    <w:rPr>
      <w:rFonts w:ascii="Calibri" w:hAnsi="Calibri" w:eastAsia="宋体" w:cs="Times New Roman"/>
      <w:b/>
      <w:sz w:val="28"/>
      <w:lang w:val="en-US" w:eastAsia="zh-CN" w:bidi="ar-SA"/>
    </w:rPr>
  </w:style>
  <w:style w:type="character" w:customStyle="1" w:styleId="227">
    <w:name w:val="样式4 Char Char"/>
    <w:uiPriority w:val="0"/>
    <w:rPr>
      <w:rFonts w:ascii="Calibri" w:hAnsi="Calibri" w:eastAsia="宋体"/>
      <w:kern w:val="2"/>
      <w:sz w:val="24"/>
      <w:szCs w:val="22"/>
      <w:lang w:val="en-US" w:eastAsia="zh-CN" w:bidi="ar-SA"/>
    </w:rPr>
  </w:style>
  <w:style w:type="character" w:customStyle="1" w:styleId="228">
    <w:name w:val="正文文本缩进 字符"/>
    <w:link w:val="25"/>
    <w:uiPriority w:val="0"/>
    <w:rPr>
      <w:rFonts w:ascii="宋体" w:hAnsi="Courier New" w:eastAsia="宋体"/>
      <w:spacing w:val="-4"/>
      <w:kern w:val="2"/>
      <w:sz w:val="18"/>
      <w:lang w:val="en-US" w:eastAsia="zh-CN" w:bidi="ar-SA"/>
    </w:rPr>
  </w:style>
  <w:style w:type="character" w:customStyle="1" w:styleId="229">
    <w:name w:val="正文（首行缩进2字符） Char Char"/>
    <w:link w:val="230"/>
    <w:uiPriority w:val="0"/>
    <w:rPr>
      <w:szCs w:val="21"/>
    </w:rPr>
  </w:style>
  <w:style w:type="paragraph" w:customStyle="1" w:styleId="230">
    <w:name w:val="正文（首行缩进2字符）"/>
    <w:basedOn w:val="1"/>
    <w:link w:val="229"/>
    <w:uiPriority w:val="0"/>
    <w:pPr>
      <w:spacing w:line="360" w:lineRule="auto"/>
      <w:ind w:firstLine="420" w:firstLineChars="200"/>
    </w:pPr>
    <w:rPr>
      <w:kern w:val="0"/>
      <w:sz w:val="20"/>
      <w:szCs w:val="21"/>
    </w:rPr>
  </w:style>
  <w:style w:type="character" w:customStyle="1" w:styleId="231">
    <w:name w:val="tw4winPopup"/>
    <w:uiPriority w:val="0"/>
    <w:rPr>
      <w:rFonts w:ascii="Courier New" w:hAnsi="Courier New"/>
      <w:color w:val="008000"/>
    </w:rPr>
  </w:style>
  <w:style w:type="character" w:customStyle="1" w:styleId="232">
    <w:name w:val="页脚 字符"/>
    <w:link w:val="38"/>
    <w:uiPriority w:val="99"/>
    <w:rPr>
      <w:kern w:val="2"/>
      <w:sz w:val="18"/>
      <w:szCs w:val="18"/>
    </w:rPr>
  </w:style>
  <w:style w:type="character" w:customStyle="1" w:styleId="233">
    <w:name w:val="浅色网格 - 强调文字颜色 3 Char"/>
    <w:locked/>
    <w:uiPriority w:val="0"/>
    <w:rPr>
      <w:rFonts w:ascii="Calibri" w:hAnsi="Calibri" w:eastAsia="宋体" w:cs="Times New Roman"/>
    </w:rPr>
  </w:style>
  <w:style w:type="character" w:customStyle="1" w:styleId="234">
    <w:name w:val="Char Char21"/>
    <w:uiPriority w:val="0"/>
    <w:rPr>
      <w:rFonts w:ascii="宋体" w:hAnsi="Courier New" w:eastAsia="宋体"/>
      <w:sz w:val="21"/>
      <w:lang w:val="en-US" w:eastAsia="zh-CN" w:bidi="ar-SA"/>
    </w:rPr>
  </w:style>
  <w:style w:type="character" w:customStyle="1" w:styleId="235">
    <w:name w:val="H2 Char3"/>
    <w:qFormat/>
    <w:uiPriority w:val="0"/>
    <w:rPr>
      <w:rFonts w:ascii="Arial" w:hAnsi="Arial" w:eastAsia="黑体"/>
      <w:b/>
      <w:bCs/>
      <w:kern w:val="2"/>
      <w:sz w:val="32"/>
      <w:szCs w:val="32"/>
      <w:lang w:val="en-US" w:eastAsia="zh-CN" w:bidi="ar-SA"/>
    </w:rPr>
  </w:style>
  <w:style w:type="character" w:customStyle="1" w:styleId="236">
    <w:name w:val="新昌图表 Char"/>
    <w:link w:val="237"/>
    <w:uiPriority w:val="0"/>
    <w:rPr>
      <w:rFonts w:ascii="Times New Roman" w:hAnsi="Times New Roman" w:eastAsia="黑体"/>
      <w:color w:val="000000"/>
      <w:sz w:val="24"/>
      <w:szCs w:val="24"/>
    </w:rPr>
  </w:style>
  <w:style w:type="paragraph" w:customStyle="1" w:styleId="237">
    <w:name w:val="新昌图表"/>
    <w:basedOn w:val="1"/>
    <w:link w:val="236"/>
    <w:qFormat/>
    <w:uiPriority w:val="0"/>
    <w:pPr>
      <w:jc w:val="center"/>
    </w:pPr>
    <w:rPr>
      <w:rFonts w:ascii="Times New Roman" w:hAnsi="Times New Roman" w:eastAsia="黑体"/>
      <w:color w:val="000000"/>
      <w:kern w:val="0"/>
      <w:sz w:val="24"/>
      <w:szCs w:val="24"/>
    </w:rPr>
  </w:style>
  <w:style w:type="character" w:customStyle="1" w:styleId="238">
    <w:name w:val="Char Char142"/>
    <w:locked/>
    <w:uiPriority w:val="0"/>
    <w:rPr>
      <w:rFonts w:ascii="楷体_GB2312" w:eastAsia="楷体_GB2312"/>
      <w:kern w:val="2"/>
      <w:sz w:val="32"/>
      <w:lang w:val="en-US" w:eastAsia="zh-CN" w:bidi="ar-SA"/>
    </w:rPr>
  </w:style>
  <w:style w:type="character" w:customStyle="1" w:styleId="239">
    <w:name w:val="tw4winError"/>
    <w:uiPriority w:val="0"/>
    <w:rPr>
      <w:rFonts w:ascii="Courier New" w:hAnsi="Courier New"/>
      <w:color w:val="00FF00"/>
      <w:sz w:val="40"/>
    </w:rPr>
  </w:style>
  <w:style w:type="character" w:customStyle="1" w:styleId="240">
    <w:name w:val="正文4 Char"/>
    <w:link w:val="241"/>
    <w:uiPriority w:val="0"/>
    <w:rPr>
      <w:rFonts w:ascii="Calibri" w:hAnsi="Calibri" w:eastAsia="宋体" w:cs="Times New Roman"/>
      <w:kern w:val="2"/>
      <w:sz w:val="24"/>
      <w:szCs w:val="24"/>
    </w:rPr>
  </w:style>
  <w:style w:type="paragraph" w:customStyle="1" w:styleId="241">
    <w:name w:val="正文4"/>
    <w:basedOn w:val="1"/>
    <w:link w:val="240"/>
    <w:uiPriority w:val="0"/>
    <w:pPr>
      <w:numPr>
        <w:ilvl w:val="0"/>
        <w:numId w:val="8"/>
      </w:numPr>
      <w:spacing w:before="60" w:after="60" w:line="360" w:lineRule="auto"/>
      <w:ind w:firstLine="0"/>
    </w:pPr>
    <w:rPr>
      <w:sz w:val="24"/>
      <w:szCs w:val="24"/>
    </w:rPr>
  </w:style>
  <w:style w:type="character" w:customStyle="1" w:styleId="242">
    <w:name w:val="z-窗体顶端 Char"/>
    <w:link w:val="243"/>
    <w:uiPriority w:val="0"/>
    <w:rPr>
      <w:rFonts w:ascii="Arial" w:hAnsi="Arial" w:cs="Arial"/>
      <w:vanish/>
      <w:sz w:val="16"/>
      <w:szCs w:val="16"/>
    </w:rPr>
  </w:style>
  <w:style w:type="paragraph" w:customStyle="1" w:styleId="243">
    <w:name w:val="z-窗体顶端1"/>
    <w:basedOn w:val="1"/>
    <w:next w:val="1"/>
    <w:link w:val="242"/>
    <w:uiPriority w:val="0"/>
    <w:pPr>
      <w:widowControl/>
      <w:pBdr>
        <w:bottom w:val="single" w:color="auto" w:sz="6" w:space="1"/>
      </w:pBdr>
      <w:jc w:val="center"/>
    </w:pPr>
    <w:rPr>
      <w:rFonts w:ascii="Arial" w:hAnsi="Arial"/>
      <w:vanish/>
      <w:kern w:val="0"/>
      <w:sz w:val="16"/>
      <w:szCs w:val="16"/>
    </w:rPr>
  </w:style>
  <w:style w:type="character" w:customStyle="1" w:styleId="244">
    <w:name w:val="衢州正文 Char"/>
    <w:link w:val="245"/>
    <w:uiPriority w:val="0"/>
    <w:rPr>
      <w:rFonts w:ascii="Times New Roman" w:hAnsi="宋体"/>
      <w:sz w:val="24"/>
      <w:szCs w:val="24"/>
    </w:rPr>
  </w:style>
  <w:style w:type="paragraph" w:customStyle="1" w:styleId="245">
    <w:name w:val="衢州正文"/>
    <w:basedOn w:val="1"/>
    <w:link w:val="244"/>
    <w:qFormat/>
    <w:uiPriority w:val="0"/>
    <w:pPr>
      <w:spacing w:line="360" w:lineRule="auto"/>
      <w:ind w:firstLine="480" w:firstLineChars="200"/>
    </w:pPr>
    <w:rPr>
      <w:rFonts w:ascii="Times New Roman" w:hAnsi="宋体"/>
      <w:kern w:val="0"/>
      <w:sz w:val="24"/>
      <w:szCs w:val="24"/>
    </w:rPr>
  </w:style>
  <w:style w:type="character" w:customStyle="1" w:styleId="246">
    <w:name w:val="公文正文 Char Char"/>
    <w:uiPriority w:val="0"/>
    <w:rPr>
      <w:rFonts w:ascii="仿宋_GB2312" w:eastAsia="仿宋_GB2312"/>
      <w:kern w:val="2"/>
      <w:sz w:val="24"/>
      <w:szCs w:val="24"/>
      <w:lang w:val="en-US" w:eastAsia="zh-CN" w:bidi="ar-SA"/>
    </w:rPr>
  </w:style>
  <w:style w:type="character" w:customStyle="1" w:styleId="247">
    <w:name w:val="css21"/>
    <w:uiPriority w:val="0"/>
    <w:rPr>
      <w:sz w:val="18"/>
    </w:rPr>
  </w:style>
  <w:style w:type="character" w:customStyle="1" w:styleId="248">
    <w:name w:val="样式(-) Char Char"/>
    <w:uiPriority w:val="0"/>
    <w:rPr>
      <w:rFonts w:ascii="Calibri" w:hAnsi="Calibri" w:eastAsia="仿宋"/>
      <w:b/>
      <w:kern w:val="2"/>
      <w:sz w:val="28"/>
      <w:szCs w:val="21"/>
      <w:lang w:bidi="ar-SA"/>
    </w:rPr>
  </w:style>
  <w:style w:type="character" w:customStyle="1" w:styleId="249">
    <w:name w:val="列表1、 Char"/>
    <w:link w:val="250"/>
    <w:locked/>
    <w:uiPriority w:val="0"/>
    <w:rPr>
      <w:rFonts w:cs="Times New Roman"/>
      <w:kern w:val="2"/>
      <w:sz w:val="28"/>
      <w:szCs w:val="21"/>
    </w:rPr>
  </w:style>
  <w:style w:type="paragraph" w:customStyle="1" w:styleId="250">
    <w:name w:val="列表1、"/>
    <w:basedOn w:val="95"/>
    <w:link w:val="249"/>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51">
    <w:name w:val="bt Char2"/>
    <w:uiPriority w:val="0"/>
    <w:rPr>
      <w:rFonts w:eastAsia="宋体"/>
      <w:kern w:val="2"/>
      <w:sz w:val="28"/>
      <w:szCs w:val="24"/>
      <w:lang w:val="en-US" w:eastAsia="zh-CN" w:bidi="ar-SA"/>
    </w:rPr>
  </w:style>
  <w:style w:type="character" w:customStyle="1" w:styleId="252">
    <w:name w:val="news1"/>
    <w:uiPriority w:val="0"/>
    <w:rPr>
      <w:rFonts w:hint="default" w:ascii="Times New Roman" w:hAnsi="Times New Roman" w:cs="Times New Roman"/>
      <w:sz w:val="21"/>
      <w:szCs w:val="21"/>
    </w:rPr>
  </w:style>
  <w:style w:type="character" w:customStyle="1" w:styleId="253">
    <w:name w:val="标题 4 字符"/>
    <w:link w:val="5"/>
    <w:uiPriority w:val="9"/>
    <w:rPr>
      <w:rFonts w:ascii="Arial" w:hAnsi="Arial" w:eastAsia="黑体"/>
      <w:b/>
      <w:bCs/>
      <w:kern w:val="2"/>
      <w:sz w:val="28"/>
      <w:szCs w:val="28"/>
      <w:lang w:val="en-US" w:eastAsia="zh-CN" w:bidi="ar-SA"/>
    </w:rPr>
  </w:style>
  <w:style w:type="character" w:customStyle="1" w:styleId="254">
    <w:name w:val="Char Char51"/>
    <w:uiPriority w:val="0"/>
    <w:rPr>
      <w:rFonts w:ascii="Calibri" w:hAnsi="Calibri" w:eastAsia="宋体"/>
      <w:sz w:val="18"/>
      <w:szCs w:val="18"/>
      <w:lang w:bidi="ar-SA"/>
    </w:rPr>
  </w:style>
  <w:style w:type="character" w:customStyle="1" w:styleId="255">
    <w:name w:val="正文文字 Char"/>
    <w:uiPriority w:val="0"/>
    <w:rPr>
      <w:rFonts w:ascii="Arial" w:hAnsi="Arial" w:eastAsia="宋体"/>
      <w:kern w:val="2"/>
      <w:sz w:val="24"/>
      <w:lang w:val="en-US" w:eastAsia="zh-CN"/>
    </w:rPr>
  </w:style>
  <w:style w:type="character" w:customStyle="1" w:styleId="256">
    <w:name w:val="大标题 Char Char"/>
    <w:uiPriority w:val="0"/>
    <w:rPr>
      <w:b/>
      <w:sz w:val="28"/>
      <w:lang w:val="en-US" w:eastAsia="zh-CN" w:bidi="ar-SA"/>
    </w:rPr>
  </w:style>
  <w:style w:type="character" w:customStyle="1" w:styleId="257">
    <w:name w:val="华电 正文 Char"/>
    <w:link w:val="258"/>
    <w:uiPriority w:val="0"/>
    <w:rPr>
      <w:rFonts w:ascii="宋体" w:hAnsi="宋体" w:eastAsia="宋体"/>
      <w:sz w:val="22"/>
      <w:lang w:bidi="ar-SA"/>
    </w:rPr>
  </w:style>
  <w:style w:type="paragraph" w:customStyle="1" w:styleId="258">
    <w:name w:val="华电 正文"/>
    <w:basedOn w:val="1"/>
    <w:link w:val="257"/>
    <w:uiPriority w:val="0"/>
    <w:pPr>
      <w:widowControl/>
      <w:spacing w:line="360" w:lineRule="auto"/>
      <w:ind w:firstLine="440" w:firstLineChars="200"/>
      <w:jc w:val="left"/>
    </w:pPr>
    <w:rPr>
      <w:rFonts w:ascii="宋体" w:hAnsi="宋体"/>
      <w:kern w:val="0"/>
      <w:sz w:val="22"/>
      <w:szCs w:val="20"/>
    </w:rPr>
  </w:style>
  <w:style w:type="character" w:customStyle="1" w:styleId="259">
    <w:name w:val="标准正文格式 Char"/>
    <w:link w:val="260"/>
    <w:uiPriority w:val="0"/>
    <w:rPr>
      <w:rFonts w:ascii="宋体" w:eastAsia="仿宋_GB2312" w:cs="宋体"/>
      <w:color w:val="000000"/>
      <w:sz w:val="24"/>
      <w:lang w:val="en-US" w:eastAsia="zh-CN" w:bidi="ar-SA"/>
    </w:rPr>
  </w:style>
  <w:style w:type="paragraph" w:customStyle="1" w:styleId="260">
    <w:name w:val="标准正文格式"/>
    <w:basedOn w:val="1"/>
    <w:link w:val="259"/>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1">
    <w:name w:val="标题 3 Char1"/>
    <w:uiPriority w:val="0"/>
    <w:rPr>
      <w:rFonts w:ascii="Calibri" w:hAnsi="Calibri" w:eastAsia="宋体"/>
      <w:b/>
      <w:bCs/>
      <w:kern w:val="2"/>
      <w:sz w:val="32"/>
      <w:szCs w:val="32"/>
      <w:lang w:val="en-US" w:eastAsia="zh-CN" w:bidi="ar-SA"/>
    </w:rPr>
  </w:style>
  <w:style w:type="character" w:customStyle="1" w:styleId="262">
    <w:name w:val="Indent Normal Char"/>
    <w:link w:val="263"/>
    <w:uiPriority w:val="0"/>
    <w:rPr>
      <w:kern w:val="2"/>
      <w:sz w:val="21"/>
      <w:lang w:bidi="ar-SA"/>
    </w:rPr>
  </w:style>
  <w:style w:type="paragraph" w:customStyle="1" w:styleId="263">
    <w:name w:val="Indent Normal"/>
    <w:basedOn w:val="1"/>
    <w:link w:val="262"/>
    <w:qFormat/>
    <w:uiPriority w:val="0"/>
    <w:pPr>
      <w:ind w:firstLine="420"/>
    </w:pPr>
    <w:rPr>
      <w:szCs w:val="20"/>
    </w:rPr>
  </w:style>
  <w:style w:type="character" w:customStyle="1" w:styleId="264">
    <w:name w:val="正文文本缩进 2 字符"/>
    <w:link w:val="35"/>
    <w:uiPriority w:val="0"/>
    <w:rPr>
      <w:rFonts w:ascii="仿宋_GB2312" w:hAnsi="宋体" w:cs="Arial"/>
      <w:b/>
      <w:bCs/>
      <w:color w:val="000000"/>
      <w:kern w:val="2"/>
      <w:sz w:val="24"/>
      <w:szCs w:val="24"/>
    </w:rPr>
  </w:style>
  <w:style w:type="character" w:customStyle="1" w:styleId="265">
    <w:name w:val="line1"/>
    <w:uiPriority w:val="0"/>
    <w:rPr>
      <w:spacing w:val="360"/>
      <w:u w:val="none"/>
    </w:rPr>
  </w:style>
  <w:style w:type="character" w:customStyle="1" w:styleId="266">
    <w:name w:val="页脚 Char"/>
    <w:uiPriority w:val="99"/>
    <w:rPr>
      <w:kern w:val="2"/>
      <w:sz w:val="18"/>
      <w:szCs w:val="18"/>
      <w:lang w:bidi="ar-SA"/>
    </w:rPr>
  </w:style>
  <w:style w:type="character" w:customStyle="1" w:styleId="267">
    <w:name w:val="point_normal1"/>
    <w:uiPriority w:val="0"/>
    <w:rPr>
      <w:rFonts w:hint="default" w:ascii="Arial" w:hAnsi="Arial" w:cs="Arial"/>
      <w:sz w:val="18"/>
      <w:szCs w:val="18"/>
    </w:rPr>
  </w:style>
  <w:style w:type="character" w:customStyle="1" w:styleId="268">
    <w:name w:val="unnamed11"/>
    <w:qFormat/>
    <w:uiPriority w:val="0"/>
    <w:rPr>
      <w:color w:val="000000"/>
      <w:sz w:val="20"/>
      <w:szCs w:val="20"/>
    </w:rPr>
  </w:style>
  <w:style w:type="character" w:customStyle="1" w:styleId="269">
    <w:name w:val="模板正文 Char"/>
    <w:link w:val="270"/>
    <w:qFormat/>
    <w:uiPriority w:val="0"/>
    <w:rPr>
      <w:rFonts w:ascii="Arial" w:hAnsi="Arial"/>
      <w:szCs w:val="21"/>
    </w:rPr>
  </w:style>
  <w:style w:type="paragraph" w:customStyle="1" w:styleId="270">
    <w:name w:val="模板正文"/>
    <w:basedOn w:val="1"/>
    <w:link w:val="269"/>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1">
    <w:name w:val="*Body Text Char1"/>
    <w:link w:val="272"/>
    <w:uiPriority w:val="0"/>
    <w:rPr>
      <w:rFonts w:ascii="Futura Lt" w:hAnsi="Futura Lt" w:cs="Futura Lt"/>
      <w:sz w:val="21"/>
      <w:szCs w:val="21"/>
      <w:lang w:val="en-US" w:eastAsia="en-US" w:bidi="ar-SA"/>
    </w:rPr>
  </w:style>
  <w:style w:type="paragraph" w:customStyle="1" w:styleId="272">
    <w:name w:val="*Body Text"/>
    <w:link w:val="271"/>
    <w:uiPriority w:val="0"/>
    <w:pPr>
      <w:spacing w:line="360" w:lineRule="auto"/>
    </w:pPr>
    <w:rPr>
      <w:rFonts w:ascii="Futura Lt" w:hAnsi="Futura Lt" w:eastAsia="宋体" w:cs="Futura Lt"/>
      <w:sz w:val="21"/>
      <w:szCs w:val="21"/>
      <w:lang w:val="en-US" w:eastAsia="en-US" w:bidi="ar-SA"/>
    </w:rPr>
  </w:style>
  <w:style w:type="character" w:customStyle="1" w:styleId="273">
    <w:name w:val="14_black1"/>
    <w:uiPriority w:val="0"/>
    <w:rPr>
      <w:color w:val="000000"/>
      <w:sz w:val="21"/>
    </w:rPr>
  </w:style>
  <w:style w:type="character" w:customStyle="1" w:styleId="274">
    <w:name w:val="样式 小四1"/>
    <w:uiPriority w:val="0"/>
    <w:rPr>
      <w:rFonts w:ascii="Tahoma" w:hAnsi="Tahoma" w:eastAsia="仿宋_GB2312"/>
      <w:kern w:val="2"/>
      <w:sz w:val="24"/>
      <w:lang w:val="en-US" w:eastAsia="zh-CN" w:bidi="ar-SA"/>
    </w:rPr>
  </w:style>
  <w:style w:type="character" w:customStyle="1" w:styleId="275">
    <w:name w:val="Char Char3"/>
    <w:uiPriority w:val="0"/>
    <w:rPr>
      <w:rFonts w:ascii="Arial" w:hAnsi="Arial" w:eastAsia="黑体"/>
      <w:b/>
      <w:kern w:val="2"/>
      <w:sz w:val="32"/>
      <w:lang w:val="en-US" w:eastAsia="zh-CN" w:bidi="ar-SA"/>
    </w:rPr>
  </w:style>
  <w:style w:type="character" w:customStyle="1" w:styleId="276">
    <w:name w:val="style51"/>
    <w:uiPriority w:val="0"/>
    <w:rPr>
      <w:rFonts w:hint="eastAsia" w:ascii="宋体" w:hAnsi="宋体" w:eastAsia="宋体"/>
      <w:color w:val="333333"/>
      <w:sz w:val="23"/>
      <w:szCs w:val="23"/>
      <w:u w:val="none"/>
    </w:rPr>
  </w:style>
  <w:style w:type="character" w:customStyle="1" w:styleId="277">
    <w:name w:val="font3"/>
    <w:basedOn w:val="63"/>
    <w:uiPriority w:val="0"/>
  </w:style>
  <w:style w:type="character" w:customStyle="1" w:styleId="278">
    <w:name w:val="样式4 Char"/>
    <w:link w:val="279"/>
    <w:uiPriority w:val="0"/>
    <w:rPr>
      <w:rFonts w:ascii="Calibri" w:hAnsi="Calibri" w:eastAsia="宋体"/>
      <w:kern w:val="2"/>
      <w:sz w:val="24"/>
      <w:szCs w:val="22"/>
      <w:lang w:val="en-US" w:eastAsia="zh-CN" w:bidi="ar-SA"/>
    </w:rPr>
  </w:style>
  <w:style w:type="paragraph" w:customStyle="1" w:styleId="279">
    <w:name w:val="样式4"/>
    <w:basedOn w:val="1"/>
    <w:link w:val="278"/>
    <w:qFormat/>
    <w:uiPriority w:val="0"/>
    <w:pPr>
      <w:spacing w:line="360" w:lineRule="auto"/>
    </w:pPr>
    <w:rPr>
      <w:sz w:val="24"/>
    </w:rPr>
  </w:style>
  <w:style w:type="character" w:customStyle="1" w:styleId="280">
    <w:name w:val="样式 正文缩进 + 首行缩进:  2 字符 Char"/>
    <w:link w:val="281"/>
    <w:uiPriority w:val="0"/>
    <w:rPr>
      <w:rFonts w:ascii="Times New Roman" w:hAnsi="Times New Roman"/>
      <w:kern w:val="2"/>
      <w:sz w:val="24"/>
    </w:rPr>
  </w:style>
  <w:style w:type="paragraph" w:customStyle="1" w:styleId="281">
    <w:name w:val="样式 正文缩进 + 首行缩进:  2 字符"/>
    <w:basedOn w:val="17"/>
    <w:link w:val="280"/>
    <w:uiPriority w:val="0"/>
    <w:pPr>
      <w:spacing w:line="360" w:lineRule="auto"/>
      <w:ind w:firstLine="200" w:firstLineChars="200"/>
    </w:pPr>
    <w:rPr>
      <w:rFonts w:ascii="Times New Roman" w:hAnsi="Times New Roman"/>
      <w:sz w:val="24"/>
    </w:rPr>
  </w:style>
  <w:style w:type="character" w:customStyle="1" w:styleId="282">
    <w:name w:val="inf1"/>
    <w:uiPriority w:val="0"/>
    <w:rPr>
      <w:rFonts w:hint="eastAsia" w:ascii="宋体" w:hAnsi="宋体" w:eastAsia="宋体"/>
      <w:color w:val="000000"/>
      <w:sz w:val="20"/>
      <w:szCs w:val="20"/>
    </w:rPr>
  </w:style>
  <w:style w:type="character" w:customStyle="1" w:styleId="283">
    <w:name w:val="h3 Char"/>
    <w:uiPriority w:val="0"/>
    <w:rPr>
      <w:rFonts w:ascii="Times New Roman" w:hAnsi="Times New Roman"/>
      <w:b/>
      <w:bCs/>
      <w:kern w:val="2"/>
      <w:sz w:val="32"/>
      <w:szCs w:val="32"/>
    </w:rPr>
  </w:style>
  <w:style w:type="character" w:customStyle="1" w:styleId="284">
    <w:name w:val="apple-style-span"/>
    <w:basedOn w:val="63"/>
    <w:uiPriority w:val="0"/>
  </w:style>
  <w:style w:type="character" w:customStyle="1" w:styleId="285">
    <w:name w:val="批注框文本 字符"/>
    <w:link w:val="37"/>
    <w:qFormat/>
    <w:uiPriority w:val="99"/>
    <w:rPr>
      <w:kern w:val="2"/>
      <w:sz w:val="18"/>
      <w:szCs w:val="18"/>
    </w:rPr>
  </w:style>
  <w:style w:type="character" w:customStyle="1" w:styleId="286">
    <w:name w:val="样式 首行缩进:  0.85 厘米 Char"/>
    <w:link w:val="287"/>
    <w:qFormat/>
    <w:uiPriority w:val="0"/>
    <w:rPr>
      <w:rFonts w:eastAsia="宋体" w:cs="宋体"/>
      <w:kern w:val="2"/>
      <w:sz w:val="24"/>
      <w:lang w:val="en-US" w:eastAsia="zh-CN" w:bidi="ar-SA"/>
    </w:rPr>
  </w:style>
  <w:style w:type="paragraph" w:customStyle="1" w:styleId="287">
    <w:name w:val="样式 首行缩进:  0.85 厘米"/>
    <w:basedOn w:val="1"/>
    <w:link w:val="286"/>
    <w:uiPriority w:val="0"/>
    <w:pPr>
      <w:spacing w:line="360" w:lineRule="auto"/>
      <w:ind w:firstLine="480"/>
    </w:pPr>
    <w:rPr>
      <w:rFonts w:cs="宋体"/>
      <w:sz w:val="24"/>
      <w:szCs w:val="20"/>
    </w:rPr>
  </w:style>
  <w:style w:type="character" w:customStyle="1" w:styleId="288">
    <w:name w:val="style31"/>
    <w:uiPriority w:val="0"/>
    <w:rPr>
      <w:color w:val="666666"/>
    </w:rPr>
  </w:style>
  <w:style w:type="character" w:customStyle="1" w:styleId="289">
    <w:name w:val="_正文段落 Char"/>
    <w:link w:val="290"/>
    <w:uiPriority w:val="0"/>
    <w:rPr>
      <w:rFonts w:ascii="Times New Roman" w:hAnsi="Times New Roman"/>
      <w:kern w:val="2"/>
      <w:sz w:val="21"/>
      <w:szCs w:val="24"/>
    </w:rPr>
  </w:style>
  <w:style w:type="paragraph" w:customStyle="1" w:styleId="290">
    <w:name w:val="_正文段落"/>
    <w:basedOn w:val="1"/>
    <w:link w:val="289"/>
    <w:uiPriority w:val="0"/>
    <w:pPr>
      <w:spacing w:beforeLines="15" w:afterLines="15" w:line="360" w:lineRule="auto"/>
      <w:ind w:firstLine="200" w:firstLineChars="200"/>
    </w:pPr>
    <w:rPr>
      <w:rFonts w:ascii="Times New Roman" w:hAnsi="Times New Roman"/>
      <w:szCs w:val="24"/>
    </w:rPr>
  </w:style>
  <w:style w:type="character" w:customStyle="1" w:styleId="291">
    <w:name w:val="列表1"/>
    <w:basedOn w:val="63"/>
    <w:qFormat/>
    <w:uiPriority w:val="0"/>
  </w:style>
  <w:style w:type="character" w:customStyle="1" w:styleId="292">
    <w:name w:val="Char Char61"/>
    <w:uiPriority w:val="0"/>
    <w:rPr>
      <w:rFonts w:ascii="Calibri" w:hAnsi="Calibri" w:eastAsia="宋体"/>
      <w:b/>
      <w:bCs/>
      <w:kern w:val="2"/>
      <w:sz w:val="28"/>
      <w:szCs w:val="28"/>
      <w:lang w:bidi="ar-SA"/>
    </w:rPr>
  </w:style>
  <w:style w:type="character" w:customStyle="1" w:styleId="293">
    <w:name w:val="数据小节格式"/>
    <w:uiPriority w:val="0"/>
    <w:rPr>
      <w:rFonts w:ascii="新宋体" w:hAnsi="新宋体" w:eastAsia="华文中宋"/>
      <w:b/>
      <w:bCs/>
      <w:sz w:val="27"/>
      <w:szCs w:val="26"/>
      <w:shd w:val="clear" w:color="auto" w:fill="auto"/>
    </w:rPr>
  </w:style>
  <w:style w:type="character" w:customStyle="1" w:styleId="294">
    <w:name w:val="自定义正文 Char Char"/>
    <w:uiPriority w:val="0"/>
    <w:rPr>
      <w:rFonts w:eastAsia="宋体"/>
      <w:kern w:val="2"/>
      <w:sz w:val="24"/>
      <w:szCs w:val="24"/>
      <w:lang w:val="en-US" w:eastAsia="zh-CN" w:bidi="ar-SA"/>
    </w:rPr>
  </w:style>
  <w:style w:type="character" w:customStyle="1" w:styleId="295">
    <w:name w:val="apple-converted-space"/>
    <w:uiPriority w:val="0"/>
  </w:style>
  <w:style w:type="character" w:customStyle="1" w:styleId="296">
    <w:name w:val="表格文字 Char"/>
    <w:link w:val="297"/>
    <w:uiPriority w:val="0"/>
    <w:rPr>
      <w:rFonts w:ascii="Times New Roman" w:hAnsi="Times New Roman"/>
      <w:kern w:val="2"/>
      <w:sz w:val="18"/>
      <w:szCs w:val="24"/>
    </w:rPr>
  </w:style>
  <w:style w:type="paragraph" w:customStyle="1" w:styleId="297">
    <w:name w:val="表格文字"/>
    <w:basedOn w:val="1"/>
    <w:link w:val="296"/>
    <w:uiPriority w:val="0"/>
    <w:pPr>
      <w:jc w:val="left"/>
      <w:textAlignment w:val="top"/>
    </w:pPr>
    <w:rPr>
      <w:rFonts w:ascii="Times New Roman" w:hAnsi="Times New Roman"/>
      <w:sz w:val="18"/>
      <w:szCs w:val="24"/>
    </w:rPr>
  </w:style>
  <w:style w:type="character" w:customStyle="1" w:styleId="298">
    <w:name w:val="正文文本缩进 3 字符"/>
    <w:link w:val="46"/>
    <w:uiPriority w:val="0"/>
    <w:rPr>
      <w:rFonts w:ascii="仿宋_GB2312" w:hAnsi="宋体" w:eastAsia="仿宋_GB2312"/>
      <w:color w:val="000000"/>
      <w:kern w:val="2"/>
      <w:sz w:val="24"/>
      <w:szCs w:val="24"/>
    </w:rPr>
  </w:style>
  <w:style w:type="character" w:customStyle="1" w:styleId="299">
    <w:name w:val="我的正文 Char"/>
    <w:link w:val="300"/>
    <w:uiPriority w:val="0"/>
    <w:rPr>
      <w:rFonts w:eastAsia="仿宋_GB2312" w:cs="宋体"/>
      <w:kern w:val="2"/>
      <w:sz w:val="24"/>
    </w:rPr>
  </w:style>
  <w:style w:type="paragraph" w:customStyle="1" w:styleId="300">
    <w:name w:val="我的正文"/>
    <w:basedOn w:val="1"/>
    <w:link w:val="299"/>
    <w:uiPriority w:val="0"/>
    <w:pPr>
      <w:spacing w:afterLines="100" w:line="360" w:lineRule="auto"/>
      <w:ind w:firstLine="480" w:firstLineChars="200"/>
    </w:pPr>
    <w:rPr>
      <w:rFonts w:eastAsia="仿宋_GB2312"/>
      <w:sz w:val="24"/>
      <w:szCs w:val="20"/>
    </w:rPr>
  </w:style>
  <w:style w:type="character" w:customStyle="1" w:styleId="301">
    <w:name w:val="7.表小四 Char"/>
    <w:link w:val="302"/>
    <w:uiPriority w:val="0"/>
    <w:rPr>
      <w:rFonts w:ascii="宋体" w:hAnsi="宋体" w:eastAsia="宋体"/>
      <w:kern w:val="2"/>
      <w:sz w:val="24"/>
      <w:szCs w:val="24"/>
      <w:lang w:val="en-US" w:eastAsia="zh-CN" w:bidi="ar-SA"/>
    </w:rPr>
  </w:style>
  <w:style w:type="paragraph" w:customStyle="1" w:styleId="302">
    <w:name w:val="7.表小四"/>
    <w:basedOn w:val="1"/>
    <w:link w:val="301"/>
    <w:qFormat/>
    <w:uiPriority w:val="0"/>
    <w:pPr>
      <w:spacing w:beforeLines="50" w:afterLines="50"/>
    </w:pPr>
    <w:rPr>
      <w:rFonts w:ascii="宋体" w:hAnsi="宋体"/>
      <w:sz w:val="24"/>
      <w:szCs w:val="24"/>
    </w:rPr>
  </w:style>
  <w:style w:type="character" w:customStyle="1" w:styleId="303">
    <w:name w:val="标题 1 Char Char"/>
    <w:uiPriority w:val="0"/>
    <w:rPr>
      <w:rFonts w:eastAsia="宋体"/>
      <w:b/>
      <w:spacing w:val="-2"/>
      <w:sz w:val="24"/>
      <w:lang w:val="en-US" w:eastAsia="zh-CN" w:bidi="ar-SA"/>
    </w:rPr>
  </w:style>
  <w:style w:type="character" w:customStyle="1" w:styleId="304">
    <w:name w:val="b11_01b Char Char"/>
    <w:uiPriority w:val="0"/>
    <w:rPr>
      <w:rFonts w:ascii="Verdana" w:hAnsi="Verdana" w:eastAsia="宋体"/>
      <w:b/>
      <w:bCs/>
      <w:color w:val="4A82CA"/>
      <w:sz w:val="17"/>
      <w:szCs w:val="17"/>
      <w:lang w:val="en-US" w:eastAsia="zh-CN" w:bidi="ar-SA"/>
    </w:rPr>
  </w:style>
  <w:style w:type="character" w:customStyle="1" w:styleId="305">
    <w:name w:val="方案正文 Char"/>
    <w:link w:val="306"/>
    <w:uiPriority w:val="0"/>
    <w:rPr>
      <w:rFonts w:ascii="Calibri" w:hAnsi="Calibri" w:eastAsia="仿宋_GB2312"/>
      <w:kern w:val="2"/>
      <w:sz w:val="32"/>
      <w:szCs w:val="24"/>
      <w:lang w:val="en-US" w:eastAsia="zh-CN" w:bidi="ar-SA"/>
    </w:rPr>
  </w:style>
  <w:style w:type="paragraph" w:customStyle="1" w:styleId="306">
    <w:name w:val="方案正文"/>
    <w:basedOn w:val="1"/>
    <w:link w:val="305"/>
    <w:qFormat/>
    <w:uiPriority w:val="0"/>
    <w:pPr>
      <w:adjustRightInd w:val="0"/>
      <w:snapToGrid w:val="0"/>
      <w:spacing w:line="560" w:lineRule="exact"/>
      <w:ind w:firstLine="200" w:firstLineChars="200"/>
    </w:pPr>
    <w:rPr>
      <w:rFonts w:eastAsia="仿宋_GB2312"/>
      <w:sz w:val="32"/>
      <w:szCs w:val="24"/>
    </w:rPr>
  </w:style>
  <w:style w:type="character" w:customStyle="1" w:styleId="307">
    <w:name w:val="Char Char81"/>
    <w:uiPriority w:val="0"/>
    <w:rPr>
      <w:rFonts w:ascii="Arial" w:hAnsi="Arial" w:eastAsia="黑体"/>
      <w:b/>
      <w:bCs/>
      <w:kern w:val="2"/>
      <w:sz w:val="32"/>
      <w:szCs w:val="32"/>
      <w:lang w:val="en-US" w:eastAsia="zh-CN" w:bidi="ar-SA"/>
    </w:rPr>
  </w:style>
  <w:style w:type="character" w:customStyle="1" w:styleId="308">
    <w:name w:val="标准正文格式 Char Char"/>
    <w:uiPriority w:val="0"/>
    <w:rPr>
      <w:rFonts w:ascii="宋体" w:eastAsia="仿宋_GB2312" w:cs="宋体"/>
      <w:color w:val="000000"/>
      <w:sz w:val="24"/>
      <w:lang w:val="en-US" w:eastAsia="zh-CN" w:bidi="ar-SA"/>
    </w:rPr>
  </w:style>
  <w:style w:type="character" w:customStyle="1" w:styleId="309">
    <w:name w:val="页脚 Char Char"/>
    <w:uiPriority w:val="0"/>
    <w:rPr>
      <w:kern w:val="2"/>
      <w:sz w:val="18"/>
      <w:szCs w:val="18"/>
      <w:lang w:bidi="ar-SA"/>
    </w:rPr>
  </w:style>
  <w:style w:type="character" w:customStyle="1" w:styleId="310">
    <w:name w:val="Char Char22"/>
    <w:uiPriority w:val="0"/>
    <w:rPr>
      <w:rFonts w:ascii="宋体" w:hAnsi="Courier New" w:eastAsia="宋体"/>
      <w:sz w:val="21"/>
      <w:lang w:val="en-US" w:eastAsia="zh-CN" w:bidi="ar-SA"/>
    </w:rPr>
  </w:style>
  <w:style w:type="character" w:customStyle="1" w:styleId="311">
    <w:name w:val="投标正文 Char"/>
    <w:link w:val="312"/>
    <w:uiPriority w:val="0"/>
    <w:rPr>
      <w:rFonts w:ascii="宋体" w:hAnsi="宋体" w:eastAsia="宋体"/>
      <w:kern w:val="2"/>
      <w:sz w:val="24"/>
      <w:szCs w:val="24"/>
      <w:lang w:val="en-US" w:eastAsia="zh-CN" w:bidi="ar-SA"/>
    </w:rPr>
  </w:style>
  <w:style w:type="paragraph" w:customStyle="1" w:styleId="312">
    <w:name w:val="投标正文"/>
    <w:basedOn w:val="1"/>
    <w:link w:val="311"/>
    <w:qFormat/>
    <w:uiPriority w:val="0"/>
    <w:pPr>
      <w:adjustRightInd w:val="0"/>
      <w:snapToGrid w:val="0"/>
      <w:spacing w:line="360" w:lineRule="auto"/>
      <w:ind w:firstLine="480" w:firstLineChars="200"/>
    </w:pPr>
    <w:rPr>
      <w:rFonts w:ascii="宋体" w:hAnsi="宋体"/>
      <w:sz w:val="24"/>
      <w:szCs w:val="24"/>
    </w:rPr>
  </w:style>
  <w:style w:type="character" w:customStyle="1" w:styleId="313">
    <w:name w:val="封面日期 Char Char"/>
    <w:uiPriority w:val="0"/>
    <w:rPr>
      <w:rFonts w:eastAsia="楷体_GB2312"/>
      <w:kern w:val="2"/>
      <w:sz w:val="32"/>
      <w:lang w:val="en-US" w:eastAsia="zh-CN" w:bidi="ar-SA"/>
    </w:rPr>
  </w:style>
  <w:style w:type="character" w:customStyle="1" w:styleId="314">
    <w:name w:val="正文0缩进 Char"/>
    <w:link w:val="315"/>
    <w:uiPriority w:val="0"/>
    <w:rPr>
      <w:rFonts w:ascii="宋体" w:hAnsi="宋体"/>
      <w:sz w:val="24"/>
      <w:szCs w:val="24"/>
    </w:rPr>
  </w:style>
  <w:style w:type="paragraph" w:customStyle="1" w:styleId="315">
    <w:name w:val="正文0缩进"/>
    <w:basedOn w:val="1"/>
    <w:link w:val="314"/>
    <w:qFormat/>
    <w:uiPriority w:val="0"/>
    <w:pPr>
      <w:spacing w:line="360" w:lineRule="auto"/>
    </w:pPr>
    <w:rPr>
      <w:rFonts w:ascii="宋体" w:hAnsi="宋体"/>
      <w:kern w:val="0"/>
      <w:sz w:val="24"/>
      <w:szCs w:val="24"/>
    </w:rPr>
  </w:style>
  <w:style w:type="character" w:customStyle="1" w:styleId="316">
    <w:name w:val="正文首行缩进 2 Char"/>
    <w:link w:val="317"/>
    <w:uiPriority w:val="0"/>
    <w:rPr>
      <w:rFonts w:eastAsia="仿宋"/>
      <w:sz w:val="24"/>
      <w:szCs w:val="24"/>
    </w:rPr>
  </w:style>
  <w:style w:type="paragraph" w:customStyle="1" w:styleId="317">
    <w:name w:val="正文首行缩进 22"/>
    <w:basedOn w:val="318"/>
    <w:link w:val="316"/>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18">
    <w:name w:val="正文文本缩进1"/>
    <w:basedOn w:val="1"/>
    <w:uiPriority w:val="0"/>
    <w:pPr>
      <w:spacing w:after="120"/>
      <w:ind w:left="420" w:leftChars="200"/>
    </w:pPr>
    <w:rPr>
      <w:rFonts w:cs="黑体"/>
    </w:rPr>
  </w:style>
  <w:style w:type="character" w:customStyle="1" w:styleId="319">
    <w:name w:val="表格中文字 Char"/>
    <w:link w:val="320"/>
    <w:uiPriority w:val="0"/>
    <w:rPr>
      <w:rFonts w:ascii="新宋体" w:hAnsi="新宋体" w:eastAsia="新宋体"/>
      <w:sz w:val="24"/>
      <w:szCs w:val="24"/>
      <w:lang w:bidi="ar-SA"/>
    </w:rPr>
  </w:style>
  <w:style w:type="paragraph" w:customStyle="1" w:styleId="320">
    <w:name w:val="表格中文字"/>
    <w:basedOn w:val="1"/>
    <w:link w:val="319"/>
    <w:uiPriority w:val="0"/>
    <w:pPr>
      <w:spacing w:line="288" w:lineRule="auto"/>
    </w:pPr>
    <w:rPr>
      <w:rFonts w:ascii="新宋体" w:hAnsi="新宋体" w:eastAsia="新宋体"/>
      <w:kern w:val="0"/>
      <w:sz w:val="24"/>
      <w:szCs w:val="24"/>
    </w:rPr>
  </w:style>
  <w:style w:type="character" w:styleId="321">
    <w:name w:val="Placeholder Text"/>
    <w:uiPriority w:val="0"/>
    <w:rPr>
      <w:color w:val="808080"/>
    </w:rPr>
  </w:style>
  <w:style w:type="character" w:customStyle="1" w:styleId="322">
    <w:name w:val="标题4-dyf Char Char"/>
    <w:uiPriority w:val="0"/>
    <w:rPr>
      <w:rFonts w:ascii="Cambria" w:hAnsi="Cambria" w:eastAsia="宋体"/>
      <w:b/>
      <w:bCs/>
      <w:color w:val="000000"/>
      <w:kern w:val="2"/>
      <w:sz w:val="21"/>
      <w:szCs w:val="21"/>
      <w:lang w:val="en-US" w:eastAsia="zh-CN" w:bidi="ar-SA"/>
    </w:rPr>
  </w:style>
  <w:style w:type="character" w:customStyle="1" w:styleId="323">
    <w:name w:val="封面日期 Char Char1"/>
    <w:uiPriority w:val="0"/>
    <w:rPr>
      <w:rFonts w:ascii="Calibri" w:hAnsi="Calibri" w:eastAsia="楷体_GB2312"/>
      <w:kern w:val="2"/>
      <w:sz w:val="32"/>
      <w:lang w:val="en-US" w:eastAsia="zh-CN" w:bidi="ar-SA"/>
    </w:rPr>
  </w:style>
  <w:style w:type="character" w:customStyle="1" w:styleId="324">
    <w:name w:val="viewdoctitle"/>
    <w:basedOn w:val="63"/>
    <w:uiPriority w:val="0"/>
  </w:style>
  <w:style w:type="character" w:customStyle="1" w:styleId="325">
    <w:name w:val="black10"/>
    <w:basedOn w:val="63"/>
    <w:uiPriority w:val="0"/>
  </w:style>
  <w:style w:type="character" w:customStyle="1" w:styleId="326">
    <w:name w:val="Char Char121"/>
    <w:uiPriority w:val="0"/>
    <w:rPr>
      <w:rFonts w:ascii="宋体" w:hAnsi="Courier New" w:eastAsia="宋体" w:cs="Times New Roman"/>
      <w:spacing w:val="-4"/>
      <w:sz w:val="18"/>
      <w:szCs w:val="20"/>
    </w:rPr>
  </w:style>
  <w:style w:type="character" w:customStyle="1" w:styleId="327">
    <w:name w:val="段 Char Char"/>
    <w:link w:val="328"/>
    <w:uiPriority w:val="0"/>
    <w:rPr>
      <w:rFonts w:ascii="宋体" w:hAnsi="Times New Roman"/>
      <w:sz w:val="21"/>
      <w:lang w:val="en-US" w:eastAsia="zh-CN" w:bidi="ar-SA"/>
    </w:rPr>
  </w:style>
  <w:style w:type="paragraph" w:customStyle="1" w:styleId="328">
    <w:name w:val="段"/>
    <w:link w:val="327"/>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9">
    <w:name w:val="f9"/>
    <w:basedOn w:val="63"/>
    <w:uiPriority w:val="0"/>
  </w:style>
  <w:style w:type="character" w:customStyle="1" w:styleId="330">
    <w:name w:val="ZJGIS-四级标题 Char"/>
    <w:link w:val="331"/>
    <w:uiPriority w:val="0"/>
    <w:rPr>
      <w:rFonts w:ascii="Arial" w:hAnsi="Arial" w:eastAsia="仿宋_GB2312" w:cs="Times New Roman"/>
      <w:b/>
      <w:bCs/>
      <w:sz w:val="28"/>
      <w:szCs w:val="28"/>
    </w:rPr>
  </w:style>
  <w:style w:type="paragraph" w:customStyle="1" w:styleId="331">
    <w:name w:val="ZJGIS-四级标题"/>
    <w:basedOn w:val="5"/>
    <w:link w:val="330"/>
    <w:qFormat/>
    <w:uiPriority w:val="0"/>
    <w:pPr>
      <w:numPr>
        <w:ilvl w:val="3"/>
        <w:numId w:val="10"/>
      </w:numPr>
      <w:spacing w:before="120" w:after="120" w:line="240" w:lineRule="auto"/>
    </w:pPr>
    <w:rPr>
      <w:rFonts w:eastAsia="仿宋_GB2312"/>
      <w:kern w:val="0"/>
    </w:rPr>
  </w:style>
  <w:style w:type="character" w:customStyle="1" w:styleId="332">
    <w:name w:val="不明显参考1"/>
    <w:qFormat/>
    <w:uiPriority w:val="31"/>
    <w:rPr>
      <w:smallCaps/>
      <w:color w:val="C0504D"/>
      <w:u w:val="single"/>
    </w:rPr>
  </w:style>
  <w:style w:type="character" w:customStyle="1" w:styleId="333">
    <w:name w:val="样式 样式 正文首行缩进 + 首行缩进:  2 字符 + 首行缩进:  2 字符 Char"/>
    <w:link w:val="334"/>
    <w:uiPriority w:val="0"/>
    <w:rPr>
      <w:rFonts w:cs="宋体"/>
      <w:kern w:val="2"/>
      <w:sz w:val="24"/>
    </w:rPr>
  </w:style>
  <w:style w:type="paragraph" w:customStyle="1" w:styleId="334">
    <w:name w:val="样式 样式 正文首行缩进 + 首行缩进:  2 字符 + 首行缩进:  2 字符"/>
    <w:basedOn w:val="1"/>
    <w:link w:val="333"/>
    <w:qFormat/>
    <w:uiPriority w:val="0"/>
    <w:pPr>
      <w:spacing w:line="440" w:lineRule="exact"/>
      <w:ind w:firstLine="200" w:firstLineChars="200"/>
    </w:pPr>
    <w:rPr>
      <w:sz w:val="24"/>
      <w:szCs w:val="20"/>
    </w:rPr>
  </w:style>
  <w:style w:type="character" w:customStyle="1" w:styleId="335">
    <w:name w:val="Char Char31"/>
    <w:uiPriority w:val="0"/>
    <w:rPr>
      <w:rFonts w:ascii="Arial" w:hAnsi="Arial" w:eastAsia="黑体"/>
      <w:b/>
      <w:kern w:val="2"/>
      <w:sz w:val="32"/>
      <w:lang w:val="en-US" w:eastAsia="zh-CN" w:bidi="ar-SA"/>
    </w:rPr>
  </w:style>
  <w:style w:type="character" w:customStyle="1" w:styleId="336">
    <w:name w:val="b titlename wangputoptitle"/>
    <w:basedOn w:val="63"/>
    <w:uiPriority w:val="0"/>
  </w:style>
  <w:style w:type="character" w:customStyle="1" w:styleId="337">
    <w:name w:val="tw4winExternal"/>
    <w:uiPriority w:val="0"/>
    <w:rPr>
      <w:rFonts w:ascii="Courier New" w:hAnsi="Courier New"/>
      <w:color w:val="808080"/>
    </w:rPr>
  </w:style>
  <w:style w:type="character" w:customStyle="1" w:styleId="338">
    <w:name w:val="glossaryitem"/>
    <w:uiPriority w:val="0"/>
    <w:rPr>
      <w:u w:val="none"/>
    </w:rPr>
  </w:style>
  <w:style w:type="character" w:customStyle="1" w:styleId="339">
    <w:name w:val="title_emph1"/>
    <w:uiPriority w:val="0"/>
    <w:rPr>
      <w:rFonts w:hint="default" w:ascii="Arial" w:hAnsi="Arial" w:cs="Arial"/>
      <w:b/>
      <w:bCs/>
      <w:sz w:val="18"/>
      <w:szCs w:val="18"/>
    </w:rPr>
  </w:style>
  <w:style w:type="character" w:customStyle="1" w:styleId="340">
    <w:name w:val="Char Char1"/>
    <w:uiPriority w:val="0"/>
    <w:rPr>
      <w:kern w:val="2"/>
      <w:sz w:val="18"/>
      <w:szCs w:val="18"/>
    </w:rPr>
  </w:style>
  <w:style w:type="character" w:customStyle="1" w:styleId="341">
    <w:name w:val="正文段落 Char"/>
    <w:link w:val="342"/>
    <w:uiPriority w:val="0"/>
    <w:rPr>
      <w:rFonts w:ascii="Times New Roman" w:hAnsi="Times New Roman"/>
      <w:kern w:val="2"/>
      <w:sz w:val="24"/>
    </w:rPr>
  </w:style>
  <w:style w:type="paragraph" w:customStyle="1" w:styleId="342">
    <w:name w:val="正文段落"/>
    <w:basedOn w:val="1"/>
    <w:link w:val="341"/>
    <w:uiPriority w:val="0"/>
    <w:pPr>
      <w:spacing w:line="300" w:lineRule="auto"/>
      <w:ind w:firstLine="510"/>
    </w:pPr>
    <w:rPr>
      <w:rFonts w:ascii="Times New Roman" w:hAnsi="Times New Roman"/>
      <w:sz w:val="24"/>
      <w:szCs w:val="20"/>
    </w:rPr>
  </w:style>
  <w:style w:type="character" w:customStyle="1" w:styleId="343">
    <w:name w:val="paramname2"/>
    <w:basedOn w:val="63"/>
    <w:uiPriority w:val="0"/>
  </w:style>
  <w:style w:type="character" w:customStyle="1" w:styleId="344">
    <w:name w:val="样式 首行缩进:  2 字符 Char"/>
    <w:link w:val="345"/>
    <w:uiPriority w:val="0"/>
    <w:rPr>
      <w:rFonts w:ascii="宋体" w:hAnsi="宋体" w:eastAsia="宋体" w:cs="Times New Roman"/>
      <w:bCs/>
      <w:color w:val="000000"/>
      <w:sz w:val="24"/>
      <w:szCs w:val="24"/>
    </w:rPr>
  </w:style>
  <w:style w:type="paragraph" w:customStyle="1" w:styleId="345">
    <w:name w:val="样式 首行缩进:  2 字符"/>
    <w:basedOn w:val="1"/>
    <w:link w:val="344"/>
    <w:uiPriority w:val="0"/>
    <w:pPr>
      <w:widowControl/>
      <w:numPr>
        <w:ilvl w:val="0"/>
        <w:numId w:val="11"/>
      </w:numPr>
    </w:pPr>
    <w:rPr>
      <w:rFonts w:ascii="宋体" w:hAnsi="宋体"/>
      <w:bCs/>
      <w:color w:val="000000"/>
      <w:kern w:val="0"/>
      <w:sz w:val="24"/>
      <w:szCs w:val="24"/>
    </w:rPr>
  </w:style>
  <w:style w:type="character" w:customStyle="1" w:styleId="346">
    <w:name w:val="h4 Char2"/>
    <w:uiPriority w:val="0"/>
    <w:rPr>
      <w:rFonts w:ascii="Arial" w:hAnsi="Arial" w:eastAsia="黑体"/>
      <w:b/>
      <w:bCs/>
      <w:kern w:val="2"/>
      <w:sz w:val="28"/>
      <w:szCs w:val="28"/>
      <w:lang w:val="en-US" w:eastAsia="zh-CN" w:bidi="ar-SA"/>
    </w:rPr>
  </w:style>
  <w:style w:type="character" w:customStyle="1" w:styleId="347">
    <w:name w:val="大汉方案正文 Char Char Char"/>
    <w:link w:val="348"/>
    <w:uiPriority w:val="0"/>
    <w:rPr>
      <w:rFonts w:ascii="Arial" w:hAnsi="Arial" w:eastAsia="宋体"/>
      <w:sz w:val="24"/>
      <w:szCs w:val="24"/>
      <w:lang w:bidi="ar-SA"/>
    </w:rPr>
  </w:style>
  <w:style w:type="paragraph" w:customStyle="1" w:styleId="348">
    <w:name w:val="大汉方案正文 Char"/>
    <w:basedOn w:val="1"/>
    <w:link w:val="347"/>
    <w:uiPriority w:val="0"/>
    <w:pPr>
      <w:spacing w:line="360" w:lineRule="auto"/>
      <w:ind w:firstLine="200" w:firstLineChars="200"/>
    </w:pPr>
    <w:rPr>
      <w:rFonts w:ascii="Arial" w:hAnsi="Arial"/>
      <w:kern w:val="0"/>
      <w:sz w:val="24"/>
      <w:szCs w:val="24"/>
    </w:rPr>
  </w:style>
  <w:style w:type="character" w:customStyle="1" w:styleId="349">
    <w:name w:val="表格正文 Char Char"/>
    <w:link w:val="350"/>
    <w:uiPriority w:val="0"/>
    <w:rPr>
      <w:rFonts w:ascii="Times New Roman" w:hAnsi="Times New Roman" w:eastAsia="仿宋_GB2312"/>
      <w:szCs w:val="21"/>
    </w:rPr>
  </w:style>
  <w:style w:type="paragraph" w:customStyle="1" w:styleId="350">
    <w:name w:val="表格正文"/>
    <w:basedOn w:val="1"/>
    <w:link w:val="349"/>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1">
    <w:name w:val="正文标准样式ty Char2"/>
    <w:link w:val="352"/>
    <w:uiPriority w:val="0"/>
    <w:rPr>
      <w:rFonts w:eastAsia="宋体" w:cs="宋体"/>
      <w:kern w:val="2"/>
      <w:sz w:val="24"/>
      <w:lang w:val="en-US" w:eastAsia="zh-CN" w:bidi="ar-SA"/>
    </w:rPr>
  </w:style>
  <w:style w:type="paragraph" w:customStyle="1" w:styleId="352">
    <w:name w:val="正文标准样式ty"/>
    <w:basedOn w:val="1"/>
    <w:link w:val="351"/>
    <w:uiPriority w:val="0"/>
    <w:pPr>
      <w:spacing w:line="360" w:lineRule="auto"/>
      <w:ind w:firstLine="480" w:firstLineChars="200"/>
    </w:pPr>
    <w:rPr>
      <w:rFonts w:cs="宋体"/>
      <w:sz w:val="24"/>
      <w:szCs w:val="20"/>
    </w:rPr>
  </w:style>
  <w:style w:type="character" w:customStyle="1" w:styleId="353">
    <w:name w:val="Char Char13"/>
    <w:uiPriority w:val="0"/>
    <w:rPr>
      <w:rFonts w:ascii="Calibri" w:hAnsi="Calibri" w:eastAsia="宋体" w:cs="Times New Roman"/>
      <w:sz w:val="18"/>
      <w:szCs w:val="18"/>
    </w:rPr>
  </w:style>
  <w:style w:type="character" w:customStyle="1" w:styleId="354">
    <w:name w:val="Char Char71"/>
    <w:uiPriority w:val="0"/>
    <w:rPr>
      <w:rFonts w:eastAsia="宋体"/>
      <w:b/>
      <w:kern w:val="2"/>
      <w:sz w:val="32"/>
      <w:lang w:bidi="ar-SA"/>
    </w:rPr>
  </w:style>
  <w:style w:type="character" w:customStyle="1" w:styleId="355">
    <w:name w:val="Char Char91"/>
    <w:uiPriority w:val="0"/>
    <w:rPr>
      <w:rFonts w:eastAsia="宋体"/>
      <w:b/>
      <w:kern w:val="44"/>
      <w:sz w:val="44"/>
      <w:lang w:bidi="ar-SA"/>
    </w:rPr>
  </w:style>
  <w:style w:type="character" w:customStyle="1" w:styleId="356">
    <w:name w:val="吉奥表格正文 Char"/>
    <w:link w:val="357"/>
    <w:uiPriority w:val="0"/>
    <w:rPr>
      <w:rFonts w:ascii="Times New Roman" w:hAnsi="Times New Roman" w:eastAsia="仿宋_GB2312"/>
      <w:szCs w:val="21"/>
    </w:rPr>
  </w:style>
  <w:style w:type="paragraph" w:customStyle="1" w:styleId="357">
    <w:name w:val="吉奥表格正文"/>
    <w:basedOn w:val="1"/>
    <w:link w:val="356"/>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8">
    <w:name w:val="+SymcPara Char"/>
    <w:link w:val="359"/>
    <w:locked/>
    <w:uiPriority w:val="0"/>
    <w:rPr>
      <w:rFonts w:ascii="宋体" w:hAnsi="宋体" w:cs="Arial"/>
      <w:lang w:val="en-US" w:eastAsia="en-US" w:bidi="ar-SA"/>
    </w:rPr>
  </w:style>
  <w:style w:type="paragraph" w:customStyle="1" w:styleId="359">
    <w:name w:val="+SymcPara"/>
    <w:link w:val="358"/>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0">
    <w:name w:val="a Char Char"/>
    <w:uiPriority w:val="0"/>
    <w:rPr>
      <w:rFonts w:ascii="宋体" w:hAnsi="宋体" w:eastAsia="仿宋_GB2312"/>
      <w:sz w:val="24"/>
      <w:lang w:val="en-US" w:eastAsia="zh-CN" w:bidi="ar-SA"/>
    </w:rPr>
  </w:style>
  <w:style w:type="character" w:customStyle="1" w:styleId="361">
    <w:name w:val="7.表小四 Char Char"/>
    <w:uiPriority w:val="0"/>
    <w:rPr>
      <w:rFonts w:ascii="宋体" w:hAnsi="宋体" w:eastAsia="宋体"/>
      <w:kern w:val="2"/>
      <w:sz w:val="24"/>
      <w:szCs w:val="24"/>
      <w:lang w:val="en-US" w:eastAsia="zh-CN" w:bidi="ar-SA"/>
    </w:rPr>
  </w:style>
  <w:style w:type="character" w:customStyle="1" w:styleId="362">
    <w:name w:val="ca-16"/>
    <w:basedOn w:val="63"/>
    <w:uiPriority w:val="0"/>
  </w:style>
  <w:style w:type="character" w:customStyle="1" w:styleId="363">
    <w:name w:val="副标题 字符"/>
    <w:link w:val="42"/>
    <w:uiPriority w:val="11"/>
    <w:rPr>
      <w:rFonts w:ascii="Times New Roman" w:hAnsi="Times New Roman" w:eastAsia="Times New Roman"/>
      <w:kern w:val="2"/>
      <w:sz w:val="18"/>
      <w:szCs w:val="18"/>
      <w:lang w:val="en-US" w:eastAsia="zh-CN"/>
    </w:rPr>
  </w:style>
  <w:style w:type="character" w:customStyle="1" w:styleId="364">
    <w:name w:val="正文（缩进） Char"/>
    <w:link w:val="365"/>
    <w:uiPriority w:val="0"/>
    <w:rPr>
      <w:kern w:val="2"/>
      <w:sz w:val="24"/>
      <w:szCs w:val="24"/>
    </w:rPr>
  </w:style>
  <w:style w:type="paragraph" w:customStyle="1" w:styleId="365">
    <w:name w:val="正文（缩进）"/>
    <w:basedOn w:val="1"/>
    <w:link w:val="364"/>
    <w:uiPriority w:val="0"/>
    <w:pPr>
      <w:spacing w:beforeLines="50" w:afterLines="50" w:line="360" w:lineRule="auto"/>
      <w:ind w:firstLine="480" w:firstLineChars="200"/>
    </w:pPr>
    <w:rPr>
      <w:sz w:val="24"/>
      <w:szCs w:val="24"/>
    </w:rPr>
  </w:style>
  <w:style w:type="character" w:customStyle="1" w:styleId="366">
    <w:name w:val="文档正文1 Char"/>
    <w:link w:val="367"/>
    <w:uiPriority w:val="0"/>
    <w:rPr>
      <w:rFonts w:ascii="仿宋_GB2312" w:hAnsi="仿宋" w:eastAsia="仿宋_GB2312"/>
      <w:kern w:val="2"/>
      <w:sz w:val="30"/>
      <w:szCs w:val="30"/>
      <w:lang w:bidi="ar-SA"/>
    </w:rPr>
  </w:style>
  <w:style w:type="paragraph" w:customStyle="1" w:styleId="367">
    <w:name w:val="文档正文1"/>
    <w:basedOn w:val="1"/>
    <w:link w:val="366"/>
    <w:qFormat/>
    <w:uiPriority w:val="0"/>
    <w:pPr>
      <w:spacing w:line="360" w:lineRule="auto"/>
      <w:ind w:firstLine="600"/>
    </w:pPr>
    <w:rPr>
      <w:rFonts w:ascii="仿宋_GB2312" w:hAnsi="仿宋" w:eastAsia="仿宋_GB2312"/>
      <w:sz w:val="30"/>
      <w:szCs w:val="30"/>
    </w:rPr>
  </w:style>
  <w:style w:type="character" w:customStyle="1" w:styleId="368">
    <w:name w:val="正文缩进 字符"/>
    <w:link w:val="17"/>
    <w:uiPriority w:val="0"/>
    <w:rPr>
      <w:rFonts w:eastAsia="宋体"/>
      <w:kern w:val="2"/>
      <w:sz w:val="21"/>
      <w:lang w:val="en-US" w:eastAsia="zh-CN" w:bidi="ar-SA"/>
    </w:rPr>
  </w:style>
  <w:style w:type="character" w:customStyle="1" w:styleId="369">
    <w:name w:val="Indent Normal Char Char"/>
    <w:uiPriority w:val="0"/>
    <w:rPr>
      <w:kern w:val="2"/>
      <w:sz w:val="21"/>
      <w:lang w:bidi="ar-SA"/>
    </w:rPr>
  </w:style>
  <w:style w:type="character" w:customStyle="1" w:styleId="370">
    <w:name w:val="标题 4 Char1"/>
    <w:uiPriority w:val="0"/>
    <w:rPr>
      <w:rFonts w:ascii="Cambria" w:hAnsi="Cambria" w:eastAsia="宋体" w:cs="Times New Roman"/>
      <w:b/>
      <w:bCs/>
      <w:kern w:val="2"/>
      <w:sz w:val="28"/>
      <w:szCs w:val="28"/>
    </w:rPr>
  </w:style>
  <w:style w:type="character" w:customStyle="1" w:styleId="371">
    <w:name w:val="列出段落 Char Char"/>
    <w:uiPriority w:val="0"/>
    <w:rPr>
      <w:rFonts w:ascii="Calibri" w:hAnsi="Calibri" w:eastAsia="宋体"/>
      <w:kern w:val="2"/>
      <w:sz w:val="21"/>
      <w:szCs w:val="24"/>
      <w:lang w:val="en-US" w:eastAsia="zh-CN" w:bidi="ar-SA"/>
    </w:rPr>
  </w:style>
  <w:style w:type="character" w:customStyle="1" w:styleId="372">
    <w:name w:val="mark8"/>
    <w:uiPriority w:val="0"/>
    <w:rPr>
      <w:b/>
      <w:bCs/>
      <w:sz w:val="21"/>
      <w:szCs w:val="21"/>
    </w:rPr>
  </w:style>
  <w:style w:type="character" w:customStyle="1" w:styleId="373">
    <w:name w:val="paragraph1 Char"/>
    <w:link w:val="374"/>
    <w:uiPriority w:val="0"/>
    <w:rPr>
      <w:rFonts w:eastAsia="楷体_GB2312"/>
      <w:kern w:val="2"/>
      <w:sz w:val="24"/>
      <w:lang w:val="en-US" w:eastAsia="zh-CN" w:bidi="ar-SA"/>
    </w:rPr>
  </w:style>
  <w:style w:type="paragraph" w:customStyle="1" w:styleId="374">
    <w:name w:val="paragraph1"/>
    <w:basedOn w:val="1"/>
    <w:link w:val="373"/>
    <w:uiPriority w:val="0"/>
    <w:pPr>
      <w:spacing w:afterLines="30" w:line="360" w:lineRule="auto"/>
      <w:ind w:firstLine="420" w:firstLineChars="200"/>
    </w:pPr>
    <w:rPr>
      <w:rFonts w:eastAsia="楷体_GB2312"/>
      <w:sz w:val="24"/>
      <w:szCs w:val="20"/>
    </w:rPr>
  </w:style>
  <w:style w:type="character" w:customStyle="1" w:styleId="375">
    <w:name w:val="页眉 字符"/>
    <w:link w:val="39"/>
    <w:uiPriority w:val="0"/>
    <w:rPr>
      <w:kern w:val="2"/>
      <w:sz w:val="18"/>
      <w:szCs w:val="18"/>
    </w:rPr>
  </w:style>
  <w:style w:type="character" w:customStyle="1" w:styleId="376">
    <w:name w:val="纯文本 字符"/>
    <w:link w:val="31"/>
    <w:uiPriority w:val="0"/>
    <w:rPr>
      <w:rFonts w:ascii="宋体" w:hAnsi="Courier New"/>
      <w:kern w:val="2"/>
      <w:sz w:val="24"/>
      <w:szCs w:val="24"/>
    </w:rPr>
  </w:style>
  <w:style w:type="character" w:customStyle="1" w:styleId="377">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378">
    <w:name w:val="日期 字符"/>
    <w:link w:val="34"/>
    <w:uiPriority w:val="0"/>
    <w:rPr>
      <w:rFonts w:eastAsia="楷体_GB2312"/>
      <w:kern w:val="2"/>
      <w:sz w:val="32"/>
      <w:lang w:val="en-US" w:eastAsia="zh-CN" w:bidi="ar-SA"/>
    </w:rPr>
  </w:style>
  <w:style w:type="character" w:customStyle="1" w:styleId="379">
    <w:name w:val="正文文本 2 字符"/>
    <w:link w:val="50"/>
    <w:uiPriority w:val="0"/>
    <w:rPr>
      <w:rFonts w:ascii="宋体" w:hAnsi="宋体" w:eastAsia="宋体"/>
      <w:color w:val="000000"/>
      <w:kern w:val="2"/>
      <w:sz w:val="24"/>
      <w:szCs w:val="24"/>
      <w:lang w:val="en-US" w:eastAsia="zh-CN" w:bidi="ar-SA"/>
    </w:rPr>
  </w:style>
  <w:style w:type="character" w:customStyle="1" w:styleId="380">
    <w:name w:val="mark"/>
    <w:uiPriority w:val="0"/>
    <w:rPr>
      <w:rFonts w:cs="Times New Roman"/>
    </w:rPr>
  </w:style>
  <w:style w:type="character" w:customStyle="1" w:styleId="381">
    <w:name w:val="Char Char131"/>
    <w:uiPriority w:val="0"/>
    <w:rPr>
      <w:rFonts w:ascii="Calibri" w:hAnsi="Calibri" w:eastAsia="宋体" w:cs="Times New Roman"/>
      <w:sz w:val="18"/>
      <w:szCs w:val="18"/>
    </w:rPr>
  </w:style>
  <w:style w:type="character" w:customStyle="1" w:styleId="382">
    <w:name w:val="Char2 Char"/>
    <w:uiPriority w:val="0"/>
    <w:rPr>
      <w:rFonts w:ascii="Verdana" w:hAnsi="宋体" w:eastAsia="宋体" w:cs="Times New Roman"/>
      <w:sz w:val="28"/>
      <w:szCs w:val="28"/>
    </w:rPr>
  </w:style>
  <w:style w:type="character" w:customStyle="1" w:styleId="383">
    <w:name w:val="页眉 Char"/>
    <w:uiPriority w:val="99"/>
    <w:rPr>
      <w:kern w:val="2"/>
      <w:sz w:val="18"/>
      <w:szCs w:val="18"/>
      <w:lang w:bidi="ar-SA"/>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uiPriority w:val="0"/>
    <w:pPr>
      <w:spacing w:line="360" w:lineRule="auto"/>
      <w:ind w:firstLine="480" w:firstLineChars="200"/>
      <w:jc w:val="left"/>
    </w:pPr>
    <w:rPr>
      <w:kern w:val="0"/>
      <w:sz w:val="24"/>
      <w:szCs w:val="20"/>
    </w:rPr>
  </w:style>
  <w:style w:type="character" w:customStyle="1" w:styleId="386">
    <w:name w:val="paramname3"/>
    <w:uiPriority w:val="0"/>
    <w:rPr>
      <w:color w:val="999999"/>
    </w:rPr>
  </w:style>
  <w:style w:type="character" w:customStyle="1" w:styleId="387">
    <w:name w:val="Char Char41"/>
    <w:uiPriority w:val="0"/>
    <w:rPr>
      <w:rFonts w:ascii="Calibri" w:hAnsi="Calibri" w:eastAsia="宋体"/>
      <w:sz w:val="18"/>
      <w:szCs w:val="18"/>
      <w:lang w:bidi="ar-SA"/>
    </w:rPr>
  </w:style>
  <w:style w:type="character" w:customStyle="1" w:styleId="388">
    <w:name w:val="华电 正文 Char Char"/>
    <w:uiPriority w:val="0"/>
    <w:rPr>
      <w:rFonts w:ascii="宋体" w:hAnsi="宋体" w:eastAsia="宋体"/>
      <w:sz w:val="22"/>
      <w:lang w:bidi="ar-SA"/>
    </w:rPr>
  </w:style>
  <w:style w:type="character" w:customStyle="1" w:styleId="389">
    <w:name w:val="Char Char"/>
    <w:uiPriority w:val="0"/>
    <w:rPr>
      <w:rFonts w:ascii="Arial" w:hAnsi="Arial" w:eastAsia="黑体"/>
      <w:b/>
      <w:bCs/>
      <w:kern w:val="2"/>
      <w:sz w:val="28"/>
      <w:szCs w:val="28"/>
      <w:lang w:val="en-US" w:eastAsia="zh-CN" w:bidi="ar-SA"/>
    </w:rPr>
  </w:style>
  <w:style w:type="paragraph" w:customStyle="1" w:styleId="390">
    <w:name w:val="表文字"/>
    <w:uiPriority w:val="0"/>
    <w:rPr>
      <w:rFonts w:ascii="宋体" w:hAnsi="Times New Roman" w:eastAsia="宋体" w:cs="Times New Roman"/>
      <w:kern w:val="2"/>
      <w:lang w:val="en-US" w:eastAsia="zh-CN" w:bidi="ar-SA"/>
    </w:rPr>
  </w:style>
  <w:style w:type="paragraph" w:customStyle="1" w:styleId="391">
    <w:name w:val="样式 标题 2Chapter X.X. Statementh22Header 2l2Level 2 Headhea..."/>
    <w:basedOn w:val="3"/>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15"/>
    <w:qFormat/>
    <w:uiPriority w:val="0"/>
    <w:pPr>
      <w:ind w:firstLine="480" w:firstLineChars="200"/>
    </w:pPr>
  </w:style>
  <w:style w:type="paragraph" w:customStyle="1" w:styleId="397">
    <w:name w:val="正文段"/>
    <w:basedOn w:val="1"/>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uiPriority w:val="0"/>
    <w:pPr>
      <w:ind w:firstLine="420" w:firstLineChars="200"/>
    </w:pPr>
  </w:style>
  <w:style w:type="paragraph" w:customStyle="1" w:styleId="400">
    <w:name w:val="15"/>
    <w:basedOn w:val="1"/>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uiPriority w:val="0"/>
    <w:pPr>
      <w:spacing w:afterLines="50"/>
      <w:ind w:left="720" w:hanging="432"/>
      <w:jc w:val="left"/>
    </w:pPr>
    <w:rPr>
      <w:rFonts w:ascii="宋体" w:hAnsi="Times New Roman"/>
      <w:snapToGrid w:val="0"/>
      <w:kern w:val="0"/>
      <w:szCs w:val="20"/>
    </w:rPr>
  </w:style>
  <w:style w:type="paragraph" w:customStyle="1" w:styleId="404">
    <w:name w:val="S4-I-L15-U"/>
    <w:basedOn w:val="1"/>
    <w:uiPriority w:val="0"/>
    <w:pPr>
      <w:spacing w:line="360" w:lineRule="auto"/>
    </w:pPr>
    <w:rPr>
      <w:rFonts w:ascii="Times New Roman" w:hAnsi="Times New Roman"/>
      <w:b/>
      <w:i/>
      <w:sz w:val="24"/>
      <w:szCs w:val="24"/>
      <w:u w:val="single"/>
    </w:rPr>
  </w:style>
  <w:style w:type="paragraph" w:customStyle="1" w:styleId="405">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uiPriority w:val="0"/>
    <w:pPr>
      <w:spacing w:after="120"/>
    </w:pPr>
    <w:rPr>
      <w:rFonts w:ascii="Times New Roman" w:hAnsi="Times New Roman"/>
      <w:sz w:val="28"/>
      <w:szCs w:val="24"/>
    </w:rPr>
  </w:style>
  <w:style w:type="paragraph" w:customStyle="1" w:styleId="407">
    <w:name w:val="xl70"/>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uiPriority w:val="0"/>
    <w:rPr>
      <w:rFonts w:ascii="仿宋_GB2312" w:hAnsi="Times New Roman" w:eastAsia="仿宋_GB2312"/>
      <w:b/>
      <w:sz w:val="32"/>
      <w:szCs w:val="32"/>
    </w:rPr>
  </w:style>
  <w:style w:type="paragraph" w:customStyle="1" w:styleId="413">
    <w:name w:val="font11"/>
    <w:basedOn w:val="1"/>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5">
    <w:name w:val="图表"/>
    <w:basedOn w:val="1"/>
    <w:uiPriority w:val="0"/>
    <w:pPr>
      <w:adjustRightInd w:val="0"/>
      <w:snapToGrid w:val="0"/>
      <w:jc w:val="center"/>
    </w:pPr>
    <w:rPr>
      <w:rFonts w:ascii="宋体" w:hAnsi="宋体"/>
      <w:szCs w:val="21"/>
    </w:rPr>
  </w:style>
  <w:style w:type="paragraph" w:customStyle="1" w:styleId="416">
    <w:name w:val="正文浙江中烟安全"/>
    <w:basedOn w:val="1"/>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9">
    <w:name w:val="样式 样式 正文文本缩进 + 仿宋_GB2312 小四 首行缩进:  0 厘米 行距: 1.5 倍行距 + (中文) 仿宋_GB..."/>
    <w:basedOn w:val="420"/>
    <w:uiPriority w:val="0"/>
    <w:pPr>
      <w:ind w:firstLine="480" w:firstLineChars="200"/>
    </w:pPr>
  </w:style>
  <w:style w:type="paragraph" w:customStyle="1" w:styleId="420">
    <w:name w:val="样式 正文文本缩进 + 仿宋_GB2312 小四 首行缩进:  0 厘米 行距: 1.5 倍行距"/>
    <w:basedOn w:val="25"/>
    <w:uiPriority w:val="0"/>
    <w:pPr>
      <w:spacing w:line="360" w:lineRule="auto"/>
      <w:ind w:firstLine="0"/>
    </w:pPr>
    <w:rPr>
      <w:rFonts w:ascii="仿宋_GB2312" w:hAnsi="Times New Roman" w:eastAsia="新宋体"/>
      <w:spacing w:val="0"/>
      <w:sz w:val="24"/>
    </w:rPr>
  </w:style>
  <w:style w:type="paragraph" w:customStyle="1" w:styleId="421">
    <w:name w:val="xl86"/>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08"/>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431">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uiPriority w:val="0"/>
    <w:rPr>
      <w:rFonts w:ascii="Tahoma" w:hAnsi="Tahoma"/>
      <w:sz w:val="24"/>
      <w:szCs w:val="20"/>
    </w:rPr>
  </w:style>
  <w:style w:type="paragraph" w:customStyle="1" w:styleId="435">
    <w:name w:val="样式 样式 标题 4 + 段后: 0.5 行1"/>
    <w:basedOn w:val="436"/>
    <w:next w:val="36"/>
    <w:uiPriority w:val="0"/>
    <w:pPr>
      <w:numPr>
        <w:ilvl w:val="1"/>
        <w:numId w:val="5"/>
      </w:numPr>
      <w:tabs>
        <w:tab w:val="left" w:pos="2040"/>
      </w:tabs>
      <w:spacing w:after="120"/>
      <w:ind w:left="0" w:firstLine="0"/>
    </w:pPr>
  </w:style>
  <w:style w:type="paragraph" w:customStyle="1" w:styleId="436">
    <w:name w:val="样式 标题 4 + 段后: 0.5 行"/>
    <w:basedOn w:val="5"/>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uiPriority w:val="0"/>
    <w:pPr>
      <w:tabs>
        <w:tab w:val="left" w:pos="709"/>
      </w:tabs>
      <w:spacing w:line="360" w:lineRule="auto"/>
    </w:pPr>
    <w:rPr>
      <w:rFonts w:ascii="Times New Roman" w:hAnsi="Times New Roman"/>
      <w:kern w:val="0"/>
      <w:sz w:val="28"/>
      <w:szCs w:val="28"/>
    </w:rPr>
  </w:style>
  <w:style w:type="paragraph" w:customStyle="1" w:styleId="43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uiPriority w:val="0"/>
    <w:pPr>
      <w:ind w:left="1890" w:leftChars="900"/>
    </w:pPr>
    <w:rPr>
      <w:rFonts w:ascii="Times New Roman" w:hAnsi="Times New Roman"/>
      <w:sz w:val="24"/>
      <w:szCs w:val="24"/>
    </w:rPr>
  </w:style>
  <w:style w:type="paragraph" w:customStyle="1" w:styleId="440">
    <w:name w:val="linyang-正文"/>
    <w:basedOn w:val="1"/>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uiPriority w:val="0"/>
    <w:pPr>
      <w:shd w:val="clear" w:color="auto" w:fill="000080"/>
    </w:pPr>
    <w:rPr>
      <w:rFonts w:ascii="Tahoma" w:hAnsi="Tahoma" w:cs="Tahoma"/>
      <w:kern w:val="0"/>
      <w:szCs w:val="24"/>
    </w:rPr>
  </w:style>
  <w:style w:type="paragraph" w:customStyle="1" w:styleId="444">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uiPriority w:val="0"/>
    <w:pPr>
      <w:spacing w:after="120" w:line="360" w:lineRule="auto"/>
      <w:jc w:val="center"/>
    </w:pPr>
    <w:rPr>
      <w:rFonts w:ascii="Times New Roman" w:hAnsi="Times New Roman"/>
      <w:szCs w:val="21"/>
    </w:rPr>
  </w:style>
  <w:style w:type="paragraph" w:customStyle="1" w:styleId="452">
    <w:name w:val="P2"/>
    <w:basedOn w:val="1"/>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uiPriority w:val="0"/>
    <w:pPr>
      <w:spacing w:beforeLines="0" w:afterLines="0" w:line="360" w:lineRule="auto"/>
    </w:pPr>
    <w:rPr>
      <w:b/>
      <w:sz w:val="30"/>
      <w:szCs w:val="20"/>
    </w:rPr>
  </w:style>
  <w:style w:type="paragraph" w:customStyle="1" w:styleId="455">
    <w:name w:val="Normal0"/>
    <w:uiPriority w:val="0"/>
    <w:rPr>
      <w:rFonts w:ascii="Times New Roman" w:hAnsi="Times New Roman" w:eastAsia="宋体" w:cs="Times New Roman"/>
      <w:lang w:val="en-US" w:eastAsia="en-US" w:bidi="ar-SA"/>
    </w:rPr>
  </w:style>
  <w:style w:type="paragraph" w:customStyle="1" w:styleId="456">
    <w:name w:val="Char6"/>
    <w:basedOn w:val="1"/>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uiPriority w:val="0"/>
    <w:rPr>
      <w:rFonts w:ascii="Arial" w:hAnsi="Arial"/>
      <w:sz w:val="30"/>
    </w:rPr>
  </w:style>
  <w:style w:type="paragraph" w:customStyle="1" w:styleId="458">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uiPriority w:val="0"/>
    <w:pPr>
      <w:spacing w:beforeLines="20" w:afterLines="20"/>
    </w:pPr>
    <w:rPr>
      <w:rFonts w:ascii="楷体_GB2312" w:hAnsi="宋体" w:eastAsia="楷体_GB2312" w:cs="Arial"/>
      <w:kern w:val="0"/>
      <w:sz w:val="24"/>
      <w:szCs w:val="24"/>
    </w:rPr>
  </w:style>
  <w:style w:type="paragraph" w:customStyle="1" w:styleId="460">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uiPriority w:val="0"/>
    <w:pPr>
      <w:ind w:firstLine="420"/>
    </w:pPr>
    <w:rPr>
      <w:rFonts w:ascii="Times New Roman" w:hAnsi="Times New Roman"/>
      <w:szCs w:val="20"/>
    </w:rPr>
  </w:style>
  <w:style w:type="paragraph" w:customStyle="1" w:styleId="469">
    <w:name w:val="pa-17"/>
    <w:basedOn w:val="1"/>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uiPriority w:val="0"/>
    <w:pPr>
      <w:spacing w:line="360" w:lineRule="auto"/>
      <w:ind w:firstLine="480" w:firstLineChars="200"/>
    </w:pPr>
    <w:rPr>
      <w:rFonts w:ascii="宋体" w:hAnsi="宋体"/>
      <w:sz w:val="24"/>
      <w:szCs w:val="24"/>
    </w:rPr>
  </w:style>
  <w:style w:type="paragraph" w:customStyle="1" w:styleId="471">
    <w:name w:val="Char9"/>
    <w:basedOn w:val="1"/>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
    <w:basedOn w:val="21"/>
    <w:next w:val="21"/>
    <w:uiPriority w:val="0"/>
    <w:rPr>
      <w:b/>
      <w:bCs/>
      <w:kern w:val="0"/>
      <w:sz w:val="20"/>
      <w:szCs w:val="20"/>
    </w:rPr>
  </w:style>
  <w:style w:type="paragraph" w:customStyle="1" w:styleId="47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uiPriority w:val="0"/>
    <w:pPr>
      <w:tabs>
        <w:tab w:val="left" w:pos="1140"/>
      </w:tabs>
      <w:spacing w:after="120"/>
    </w:pPr>
    <w:rPr>
      <w:bCs/>
    </w:rPr>
  </w:style>
  <w:style w:type="paragraph" w:customStyle="1" w:styleId="476">
    <w:name w:val="样式 标题1"/>
    <w:basedOn w:val="477"/>
    <w:next w:val="478"/>
    <w:uiPriority w:val="0"/>
    <w:pPr>
      <w:tabs>
        <w:tab w:val="left" w:pos="1140"/>
      </w:tabs>
      <w:spacing w:after="50"/>
      <w:ind w:left="1140" w:hanging="720"/>
    </w:pPr>
    <w:rPr>
      <w:bCs w:val="0"/>
      <w:sz w:val="32"/>
    </w:rPr>
  </w:style>
  <w:style w:type="paragraph" w:customStyle="1" w:styleId="477">
    <w:name w:val="样式 标题 1 + 段后: 0.5 行"/>
    <w:basedOn w:val="2"/>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uiPriority w:val="0"/>
    <w:pPr>
      <w:spacing w:after="120"/>
    </w:pPr>
  </w:style>
  <w:style w:type="paragraph" w:customStyle="1" w:styleId="479">
    <w:name w:val="样式 标题 2"/>
    <w:basedOn w:val="3"/>
    <w:next w:val="480"/>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uiPriority w:val="0"/>
    <w:pPr>
      <w:spacing w:after="120"/>
    </w:pPr>
  </w:style>
  <w:style w:type="paragraph" w:customStyle="1" w:styleId="481">
    <w:name w:val="样式 标题 3"/>
    <w:basedOn w:val="4"/>
    <w:next w:val="482"/>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uiPriority w:val="0"/>
    <w:pPr>
      <w:tabs>
        <w:tab w:val="left" w:pos="864"/>
        <w:tab w:val="left" w:pos="2040"/>
        <w:tab w:val="left" w:pos="2100"/>
      </w:tabs>
      <w:spacing w:after="120"/>
      <w:ind w:left="0" w:firstLine="0"/>
    </w:pPr>
  </w:style>
  <w:style w:type="paragraph" w:customStyle="1" w:styleId="483">
    <w:name w:val="样式 标题 4"/>
    <w:basedOn w:val="484"/>
    <w:next w:val="485"/>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uiPriority w:val="0"/>
    <w:pPr>
      <w:numPr>
        <w:numId w:val="0"/>
      </w:numPr>
      <w:tabs>
        <w:tab w:val="left" w:pos="864"/>
      </w:tabs>
      <w:spacing w:after="120"/>
      <w:ind w:left="864" w:hanging="864"/>
    </w:pPr>
  </w:style>
  <w:style w:type="paragraph" w:customStyle="1" w:styleId="485">
    <w:name w:val="样式 正文"/>
    <w:basedOn w:val="1"/>
    <w:next w:val="1"/>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uiPriority w:val="0"/>
    <w:pPr>
      <w:spacing w:before="80" w:afterLines="50"/>
    </w:pPr>
    <w:rPr>
      <w:rFonts w:ascii="宋体" w:hAnsi="Times New Roman"/>
      <w:snapToGrid w:val="0"/>
      <w:kern w:val="0"/>
      <w:szCs w:val="20"/>
    </w:rPr>
  </w:style>
  <w:style w:type="paragraph" w:customStyle="1" w:styleId="490">
    <w:name w:val="4"/>
    <w:basedOn w:val="1"/>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uiPriority w:val="99"/>
    <w:rPr>
      <w:rFonts w:ascii="Calibri" w:hAnsi="Calibri" w:eastAsia="宋体" w:cs="Times New Roman"/>
      <w:kern w:val="2"/>
      <w:sz w:val="21"/>
      <w:szCs w:val="22"/>
      <w:lang w:val="en-US" w:eastAsia="zh-CN" w:bidi="ar-SA"/>
    </w:rPr>
  </w:style>
  <w:style w:type="paragraph" w:customStyle="1" w:styleId="493">
    <w:name w:val="xl77"/>
    <w:basedOn w:val="1"/>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uiPriority w:val="0"/>
    <w:pPr>
      <w:tabs>
        <w:tab w:val="left" w:pos="432"/>
      </w:tabs>
      <w:ind w:left="432" w:hanging="432"/>
    </w:pPr>
    <w:rPr>
      <w:rFonts w:ascii="Times New Roman" w:hAnsi="Times New Roman"/>
      <w:sz w:val="24"/>
      <w:szCs w:val="24"/>
    </w:rPr>
  </w:style>
  <w:style w:type="paragraph" w:customStyle="1" w:styleId="500">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uiPriority w:val="0"/>
    <w:pPr>
      <w:spacing w:beforeLines="50" w:after="120" w:line="300" w:lineRule="auto"/>
      <w:ind w:firstLine="480"/>
    </w:pPr>
    <w:rPr>
      <w:rFonts w:ascii="Helvetica" w:hAnsi="Helvetica"/>
      <w:kern w:val="0"/>
      <w:sz w:val="24"/>
      <w:szCs w:val="24"/>
    </w:rPr>
  </w:style>
  <w:style w:type="paragraph" w:customStyle="1" w:styleId="502">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uiPriority w:val="0"/>
    <w:pPr>
      <w:widowControl/>
      <w:spacing w:before="360" w:after="360"/>
      <w:jc w:val="center"/>
    </w:pPr>
    <w:rPr>
      <w:rFonts w:ascii="宋体" w:hAnsi="宋体" w:cs="宋体"/>
      <w:kern w:val="0"/>
      <w:sz w:val="24"/>
      <w:szCs w:val="24"/>
    </w:rPr>
  </w:style>
  <w:style w:type="paragraph" w:customStyle="1" w:styleId="506">
    <w:name w:val="pbullet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3">
    <w:name w:val="圆点"/>
    <w:basedOn w:val="1"/>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uiPriority w:val="0"/>
    <w:rPr>
      <w:rFonts w:ascii="仿宋_GB2312" w:hAnsi="Times New Roman" w:eastAsia="仿宋_GB2312"/>
      <w:b/>
      <w:sz w:val="32"/>
      <w:szCs w:val="32"/>
    </w:rPr>
  </w:style>
  <w:style w:type="paragraph" w:customStyle="1" w:styleId="519">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6"/>
    <w:uiPriority w:val="0"/>
    <w:pPr>
      <w:spacing w:after="60"/>
      <w:ind w:left="420" w:firstLine="200" w:firstLineChars="200"/>
    </w:pPr>
    <w:rPr>
      <w:rFonts w:ascii="Times New Roman" w:hAnsi="Times New Roman"/>
      <w:szCs w:val="24"/>
    </w:rPr>
  </w:style>
  <w:style w:type="paragraph" w:customStyle="1" w:styleId="521">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uiPriority w:val="0"/>
    <w:pPr>
      <w:numPr>
        <w:ilvl w:val="0"/>
        <w:numId w:val="14"/>
      </w:numPr>
      <w:spacing w:line="400" w:lineRule="exact"/>
    </w:pPr>
    <w:rPr>
      <w:rFonts w:ascii="Arial" w:hAnsi="Arial"/>
      <w:szCs w:val="24"/>
    </w:rPr>
  </w:style>
  <w:style w:type="paragraph" w:customStyle="1" w:styleId="523">
    <w:name w:val="GP有序编号2级"/>
    <w:basedOn w:val="1"/>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uiPriority w:val="0"/>
  </w:style>
  <w:style w:type="paragraph" w:customStyle="1" w:styleId="528">
    <w:name w:val="样式 标题 3Chapter X.X.X. + 段后: 0.5 行"/>
    <w:basedOn w:val="4"/>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3">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4">
    <w:name w:val="S4-L15-No"/>
    <w:basedOn w:val="535"/>
    <w:uiPriority w:val="0"/>
    <w:pPr>
      <w:tabs>
        <w:tab w:val="left" w:pos="720"/>
      </w:tabs>
      <w:ind w:hanging="720"/>
    </w:pPr>
  </w:style>
  <w:style w:type="paragraph" w:customStyle="1" w:styleId="535">
    <w:name w:val="S4-L15"/>
    <w:basedOn w:val="1"/>
    <w:uiPriority w:val="0"/>
    <w:pPr>
      <w:spacing w:after="120" w:line="360" w:lineRule="auto"/>
      <w:ind w:left="720" w:firstLine="392"/>
    </w:pPr>
    <w:rPr>
      <w:rFonts w:ascii="Times New Roman" w:hAnsi="Times New Roman"/>
      <w:szCs w:val="21"/>
      <w:lang w:val="fr-FR"/>
    </w:rPr>
  </w:style>
  <w:style w:type="paragraph" w:customStyle="1" w:styleId="536">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4"/>
    <w:next w:val="1"/>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uiPriority w:val="0"/>
    <w:pPr>
      <w:tabs>
        <w:tab w:val="left" w:pos="432"/>
      </w:tabs>
      <w:ind w:left="432" w:hanging="432"/>
    </w:pPr>
    <w:rPr>
      <w:rFonts w:ascii="Tahoma" w:hAnsi="Tahoma"/>
      <w:sz w:val="24"/>
      <w:szCs w:val="20"/>
    </w:rPr>
  </w:style>
  <w:style w:type="paragraph" w:customStyle="1" w:styleId="542">
    <w:name w:val="Bullet2"/>
    <w:basedOn w:val="1"/>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546">
    <w:name w:val="文本框内文字"/>
    <w:basedOn w:val="1"/>
    <w:uiPriority w:val="0"/>
    <w:pPr>
      <w:spacing w:line="0" w:lineRule="atLeast"/>
    </w:pPr>
    <w:rPr>
      <w:rFonts w:ascii="Times New Roman" w:hAnsi="Times New Roman" w:eastAsia="仿宋_GB2312"/>
      <w:sz w:val="22"/>
      <w:szCs w:val="24"/>
    </w:rPr>
  </w:style>
  <w:style w:type="paragraph" w:customStyle="1" w:styleId="547">
    <w:name w:val="Char3"/>
    <w:basedOn w:val="1"/>
    <w:uiPriority w:val="0"/>
    <w:rPr>
      <w:rFonts w:ascii="仿宋_GB2312" w:hAnsi="Times New Roman" w:eastAsia="仿宋_GB2312"/>
      <w:b/>
      <w:sz w:val="32"/>
      <w:szCs w:val="20"/>
    </w:rPr>
  </w:style>
  <w:style w:type="paragraph" w:customStyle="1" w:styleId="548">
    <w:name w:val="此正文"/>
    <w:basedOn w:val="1"/>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uiPriority w:val="0"/>
    <w:pPr>
      <w:tabs>
        <w:tab w:val="left" w:pos="360"/>
      </w:tabs>
      <w:ind w:firstLine="420" w:firstLineChars="150"/>
    </w:pPr>
    <w:rPr>
      <w:rFonts w:ascii="Times New Roman" w:hAnsi="Times New Roman"/>
      <w:szCs w:val="20"/>
    </w:rPr>
  </w:style>
  <w:style w:type="paragraph" w:customStyle="1" w:styleId="551">
    <w:name w:val="Bullet 2"/>
    <w:basedOn w:val="24"/>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53">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uiPriority w:val="0"/>
    <w:pPr>
      <w:keepNext/>
      <w:widowControl/>
      <w:spacing w:before="80" w:after="80"/>
      <w:jc w:val="center"/>
    </w:pPr>
    <w:rPr>
      <w:rFonts w:ascii="Times New Roman" w:hAnsi="Times New Roman"/>
      <w:szCs w:val="20"/>
    </w:rPr>
  </w:style>
  <w:style w:type="paragraph" w:customStyle="1" w:styleId="556">
    <w:name w:val="Char Char1 Char11"/>
    <w:basedOn w:val="1"/>
    <w:uiPriority w:val="0"/>
    <w:rPr>
      <w:rFonts w:ascii="仿宋_GB2312" w:hAnsi="Times New Roman" w:eastAsia="仿宋_GB2312"/>
      <w:b/>
      <w:sz w:val="32"/>
      <w:szCs w:val="32"/>
    </w:rPr>
  </w:style>
  <w:style w:type="paragraph" w:customStyle="1" w:styleId="557">
    <w:name w:val="xl73"/>
    <w:basedOn w:val="1"/>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uiPriority w:val="0"/>
    <w:rPr>
      <w:rFonts w:ascii="Tahoma" w:hAnsi="Tahoma"/>
      <w:sz w:val="24"/>
      <w:szCs w:val="20"/>
    </w:rPr>
  </w:style>
  <w:style w:type="paragraph" w:customStyle="1" w:styleId="559">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563">
    <w:name w:val="_Style 118"/>
    <w:basedOn w:val="1"/>
    <w:uiPriority w:val="0"/>
  </w:style>
  <w:style w:type="paragraph" w:customStyle="1" w:styleId="564">
    <w:name w:val="标准有序列表（L1）"/>
    <w:basedOn w:val="17"/>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uiPriority w:val="0"/>
    <w:pPr>
      <w:jc w:val="center"/>
    </w:pPr>
    <w:rPr>
      <w:rFonts w:ascii="Times New Roman" w:hAnsi="Times New Roman" w:eastAsia="幼圆" w:cs="宋体"/>
      <w:b/>
      <w:sz w:val="28"/>
      <w:szCs w:val="28"/>
    </w:rPr>
  </w:style>
  <w:style w:type="paragraph" w:customStyle="1" w:styleId="566">
    <w:name w:val="_Style 11811"/>
    <w:basedOn w:val="1"/>
    <w:uiPriority w:val="0"/>
  </w:style>
  <w:style w:type="paragraph" w:customStyle="1" w:styleId="567">
    <w:name w:val="Char Char Char Char Char Char Char Char"/>
    <w:basedOn w:val="1"/>
    <w:uiPriority w:val="0"/>
    <w:pPr>
      <w:tabs>
        <w:tab w:val="left" w:pos="360"/>
      </w:tabs>
    </w:pPr>
    <w:rPr>
      <w:rFonts w:ascii="Times New Roman" w:hAnsi="Times New Roman"/>
      <w:sz w:val="24"/>
      <w:szCs w:val="24"/>
    </w:rPr>
  </w:style>
  <w:style w:type="paragraph" w:customStyle="1" w:styleId="568">
    <w:name w:val="xl66"/>
    <w:basedOn w:val="1"/>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uiPriority w:val="0"/>
    <w:rPr>
      <w:rFonts w:ascii="Times New Roman" w:hAnsi="Times New Roman" w:eastAsia="仿宋_GB2312" w:cs="宋体"/>
      <w:sz w:val="24"/>
      <w:szCs w:val="20"/>
    </w:rPr>
  </w:style>
  <w:style w:type="paragraph" w:customStyle="1" w:styleId="570">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uiPriority w:val="0"/>
    <w:pPr>
      <w:ind w:firstLine="420" w:firstLineChars="200"/>
    </w:pPr>
    <w:rPr>
      <w:szCs w:val="24"/>
    </w:rPr>
  </w:style>
  <w:style w:type="paragraph" w:customStyle="1" w:styleId="576">
    <w:name w:val="样式 标题 2 + 五号"/>
    <w:basedOn w:val="3"/>
    <w:uiPriority w:val="0"/>
    <w:pPr>
      <w:spacing w:before="0" w:after="0" w:line="240" w:lineRule="auto"/>
    </w:pPr>
    <w:rPr>
      <w:rFonts w:ascii="宋体" w:hAnsi="宋体" w:eastAsia="宋体"/>
      <w:sz w:val="21"/>
    </w:rPr>
  </w:style>
  <w:style w:type="paragraph" w:customStyle="1" w:styleId="57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uiPriority w:val="0"/>
    <w:pPr>
      <w:spacing w:line="360" w:lineRule="auto"/>
    </w:pPr>
    <w:rPr>
      <w:sz w:val="24"/>
      <w:szCs w:val="24"/>
    </w:rPr>
  </w:style>
  <w:style w:type="paragraph" w:customStyle="1" w:styleId="579">
    <w:name w:val="Style-正文"/>
    <w:basedOn w:val="1"/>
    <w:uiPriority w:val="0"/>
    <w:pPr>
      <w:spacing w:line="360" w:lineRule="auto"/>
      <w:ind w:firstLine="420"/>
    </w:pPr>
    <w:rPr>
      <w:rFonts w:ascii="宋体" w:hAnsi="宋体"/>
      <w:sz w:val="24"/>
      <w:szCs w:val="24"/>
    </w:rPr>
  </w:style>
  <w:style w:type="paragraph" w:customStyle="1" w:styleId="580">
    <w:name w:val="金保文档标准正文 Char"/>
    <w:basedOn w:val="1"/>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uiPriority w:val="0"/>
    <w:rPr>
      <w:rFonts w:ascii="Times New Roman" w:hAnsi="Times New Roman"/>
      <w:szCs w:val="24"/>
    </w:rPr>
  </w:style>
  <w:style w:type="paragraph" w:customStyle="1" w:styleId="583">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uiPriority w:val="0"/>
    <w:rPr>
      <w:rFonts w:ascii="宋体" w:hAnsi="Courier New"/>
      <w:szCs w:val="20"/>
    </w:rPr>
  </w:style>
  <w:style w:type="paragraph" w:customStyle="1" w:styleId="586">
    <w:name w:val="S4-I-U-L15-No-dot"/>
    <w:basedOn w:val="1"/>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uiPriority w:val="0"/>
    <w:rPr>
      <w:rFonts w:ascii="Tahoma" w:hAnsi="Tahoma"/>
      <w:sz w:val="24"/>
      <w:szCs w:val="20"/>
    </w:rPr>
  </w:style>
  <w:style w:type="paragraph" w:customStyle="1" w:styleId="590">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uiPriority w:val="0"/>
    <w:pPr>
      <w:spacing w:after="120"/>
    </w:pPr>
  </w:style>
  <w:style w:type="paragraph" w:customStyle="1" w:styleId="592">
    <w:name w:val="样式 标题 2 + 宋体 小四 段前: 0 磅 段后: 0 磅 行距: 1.5 倍行距"/>
    <w:basedOn w:val="3"/>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0"/>
    <w:pPr>
      <w:tabs>
        <w:tab w:val="left" w:pos="1116"/>
      </w:tabs>
      <w:ind w:left="1116" w:hanging="576"/>
    </w:pPr>
    <w:rPr>
      <w:rFonts w:ascii="黑体" w:hAnsi="Cambria"/>
      <w:kern w:val="0"/>
    </w:rPr>
  </w:style>
  <w:style w:type="paragraph" w:customStyle="1" w:styleId="595">
    <w:name w:val="文档结构图1"/>
    <w:basedOn w:val="1"/>
    <w:uiPriority w:val="0"/>
    <w:rPr>
      <w:rFonts w:ascii="宋体"/>
      <w:kern w:val="0"/>
      <w:sz w:val="18"/>
      <w:szCs w:val="18"/>
    </w:rPr>
  </w:style>
  <w:style w:type="paragraph" w:customStyle="1" w:styleId="596">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uiPriority w:val="0"/>
    <w:pPr>
      <w:tabs>
        <w:tab w:val="left" w:pos="432"/>
      </w:tabs>
      <w:ind w:left="432" w:hanging="432"/>
    </w:pPr>
    <w:rPr>
      <w:rFonts w:ascii="Tahoma" w:hAnsi="Tahoma"/>
      <w:sz w:val="24"/>
      <w:szCs w:val="20"/>
    </w:rPr>
  </w:style>
  <w:style w:type="paragraph" w:customStyle="1" w:styleId="598">
    <w:name w:val="正文文本 New New"/>
    <w:basedOn w:val="524"/>
    <w:uiPriority w:val="0"/>
    <w:pPr>
      <w:spacing w:after="120"/>
    </w:pPr>
    <w:rPr>
      <w:sz w:val="28"/>
      <w:szCs w:val="24"/>
    </w:rPr>
  </w:style>
  <w:style w:type="paragraph" w:customStyle="1" w:styleId="599">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uiPriority w:val="0"/>
    <w:rPr>
      <w:rFonts w:ascii="宋体" w:hAnsi="宋体" w:eastAsia="宋体" w:cs="Times New Roman"/>
      <w:sz w:val="24"/>
      <w:lang w:val="zh-CN" w:eastAsia="zh-CN" w:bidi="ar-SA"/>
    </w:rPr>
  </w:style>
  <w:style w:type="paragraph" w:customStyle="1" w:styleId="603">
    <w:name w:val="SZF表"/>
    <w:basedOn w:val="604"/>
    <w:uiPriority w:val="0"/>
    <w:rPr>
      <w:rFonts w:ascii="宋体" w:hAnsi="宋体"/>
      <w:bCs/>
      <w:szCs w:val="21"/>
    </w:rPr>
  </w:style>
  <w:style w:type="paragraph" w:customStyle="1" w:styleId="604">
    <w:name w:val="SZF图"/>
    <w:basedOn w:val="1"/>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6">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uiPriority w:val="0"/>
    <w:rPr>
      <w:rFonts w:ascii="Tahoma" w:hAnsi="Tahoma"/>
      <w:sz w:val="24"/>
      <w:szCs w:val="20"/>
    </w:rPr>
  </w:style>
  <w:style w:type="paragraph" w:customStyle="1" w:styleId="608">
    <w:name w:val="文档结构图2"/>
    <w:basedOn w:val="1"/>
    <w:uiPriority w:val="0"/>
    <w:rPr>
      <w:rFonts w:ascii="宋体"/>
      <w:kern w:val="0"/>
      <w:sz w:val="18"/>
      <w:szCs w:val="18"/>
    </w:rPr>
  </w:style>
  <w:style w:type="paragraph" w:customStyle="1" w:styleId="609">
    <w:name w:val="xl72"/>
    <w:basedOn w:val="1"/>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uiPriority w:val="0"/>
    <w:pPr>
      <w:ind w:firstLine="480" w:firstLineChars="200"/>
    </w:pPr>
  </w:style>
  <w:style w:type="paragraph" w:customStyle="1" w:styleId="611">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uiPriority w:val="0"/>
    <w:rPr>
      <w:sz w:val="18"/>
    </w:rPr>
  </w:style>
  <w:style w:type="paragraph" w:customStyle="1" w:styleId="613">
    <w:name w:val="IBM 正文"/>
    <w:basedOn w:val="1"/>
    <w:uiPriority w:val="0"/>
    <w:pPr>
      <w:spacing w:line="360" w:lineRule="atLeast"/>
    </w:pPr>
    <w:rPr>
      <w:rFonts w:ascii="Times New Roman" w:hAnsi="Times New Roman"/>
      <w:sz w:val="24"/>
      <w:szCs w:val="20"/>
    </w:rPr>
  </w:style>
  <w:style w:type="paragraph" w:customStyle="1" w:styleId="614">
    <w:name w:val="Char Char1 Char1"/>
    <w:basedOn w:val="1"/>
    <w:uiPriority w:val="0"/>
    <w:rPr>
      <w:rFonts w:ascii="仿宋_GB2312" w:hAnsi="Times New Roman" w:eastAsia="仿宋_GB2312"/>
      <w:b/>
      <w:sz w:val="32"/>
      <w:szCs w:val="32"/>
    </w:rPr>
  </w:style>
  <w:style w:type="paragraph" w:customStyle="1" w:styleId="61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
    <w:basedOn w:val="1"/>
    <w:uiPriority w:val="0"/>
    <w:pPr>
      <w:tabs>
        <w:tab w:val="left" w:pos="432"/>
      </w:tabs>
      <w:ind w:left="432" w:hanging="432"/>
    </w:pPr>
    <w:rPr>
      <w:rFonts w:ascii="Tahoma" w:hAnsi="Tahoma"/>
      <w:sz w:val="24"/>
      <w:szCs w:val="20"/>
    </w:rPr>
  </w:style>
  <w:style w:type="paragraph" w:customStyle="1" w:styleId="617">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19">
    <w:name w:val="Tabletext"/>
    <w:basedOn w:val="1"/>
    <w:uiPriority w:val="0"/>
    <w:pPr>
      <w:keepLines/>
      <w:spacing w:afterLines="50"/>
      <w:jc w:val="left"/>
    </w:pPr>
    <w:rPr>
      <w:rFonts w:ascii="宋体" w:hAnsi="Times New Roman"/>
      <w:snapToGrid w:val="0"/>
      <w:kern w:val="0"/>
      <w:szCs w:val="20"/>
    </w:rPr>
  </w:style>
  <w:style w:type="paragraph" w:customStyle="1" w:styleId="620">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uiPriority w:val="0"/>
    <w:pPr>
      <w:tabs>
        <w:tab w:val="left" w:pos="1050"/>
      </w:tabs>
      <w:spacing w:line="240" w:lineRule="auto"/>
      <w:ind w:left="-258" w:leftChars="-258"/>
    </w:pPr>
    <w:rPr>
      <w:rFonts w:eastAsia="仿宋_GB2312"/>
      <w:sz w:val="28"/>
    </w:rPr>
  </w:style>
  <w:style w:type="paragraph" w:customStyle="1" w:styleId="622">
    <w:name w:val="大表 mt"/>
    <w:basedOn w:val="1"/>
    <w:uiPriority w:val="0"/>
    <w:pPr>
      <w:widowControl/>
      <w:jc w:val="left"/>
    </w:pPr>
    <w:rPr>
      <w:rFonts w:ascii="宋体" w:hAnsi="宋体" w:cs="宋体"/>
      <w:kern w:val="0"/>
      <w:szCs w:val="21"/>
    </w:rPr>
  </w:style>
  <w:style w:type="paragraph" w:customStyle="1" w:styleId="623">
    <w:name w:val="Char Char Char11"/>
    <w:basedOn w:val="1"/>
    <w:uiPriority w:val="0"/>
  </w:style>
  <w:style w:type="paragraph" w:customStyle="1" w:styleId="624">
    <w:name w:val="段落正文"/>
    <w:basedOn w:val="1"/>
    <w:uiPriority w:val="0"/>
    <w:pPr>
      <w:spacing w:line="360" w:lineRule="auto"/>
      <w:ind w:firstLine="560" w:firstLineChars="200"/>
    </w:pPr>
    <w:rPr>
      <w:rFonts w:ascii="Times New Roman" w:hAnsi="Times New Roman"/>
      <w:sz w:val="28"/>
      <w:szCs w:val="28"/>
    </w:rPr>
  </w:style>
  <w:style w:type="paragraph" w:customStyle="1" w:styleId="625">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2"/>
    <w:uiPriority w:val="0"/>
    <w:pPr>
      <w:spacing w:line="360" w:lineRule="auto"/>
      <w:ind w:firstLine="0"/>
    </w:pPr>
    <w:rPr>
      <w:rFonts w:ascii="宋体" w:hAnsi="宋体" w:cs="宋体"/>
      <w:kern w:val="0"/>
    </w:rPr>
  </w:style>
  <w:style w:type="paragraph" w:customStyle="1" w:styleId="631">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63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uiPriority w:val="0"/>
    <w:pPr>
      <w:numPr>
        <w:numId w:val="0"/>
      </w:numPr>
      <w:tabs>
        <w:tab w:val="left" w:pos="864"/>
      </w:tabs>
      <w:ind w:left="425" w:hanging="425"/>
    </w:pPr>
    <w:rPr>
      <w:szCs w:val="21"/>
    </w:rPr>
  </w:style>
  <w:style w:type="paragraph" w:customStyle="1" w:styleId="643">
    <w:name w:val="样式 标题 4Chapter X.X.X. + 段后: 0.5 行1"/>
    <w:basedOn w:val="5"/>
    <w:next w:val="5"/>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
    <w:basedOn w:val="1"/>
    <w:uiPriority w:val="0"/>
    <w:rPr>
      <w:rFonts w:ascii="仿宋_GB2312" w:hAnsi="Times New Roman" w:eastAsia="仿宋_GB2312"/>
      <w:b/>
      <w:sz w:val="32"/>
      <w:szCs w:val="32"/>
    </w:rPr>
  </w:style>
  <w:style w:type="paragraph" w:customStyle="1" w:styleId="650">
    <w:name w:val="正文文本 2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uiPriority w:val="0"/>
    <w:pPr>
      <w:ind w:firstLine="420" w:firstLineChars="200"/>
    </w:pPr>
  </w:style>
  <w:style w:type="paragraph" w:customStyle="1" w:styleId="65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uiPriority w:val="0"/>
    <w:pPr>
      <w:suppressLineNumbers/>
      <w:suppressAutoHyphens/>
    </w:pPr>
    <w:rPr>
      <w:kern w:val="1"/>
      <w:sz w:val="21"/>
      <w:lang w:eastAsia="ar-SA"/>
    </w:rPr>
  </w:style>
  <w:style w:type="paragraph" w:customStyle="1" w:styleId="661">
    <w:name w:val="样式　标题4"/>
    <w:basedOn w:val="643"/>
    <w:next w:val="1"/>
    <w:uiPriority w:val="0"/>
    <w:pPr>
      <w:numPr>
        <w:ilvl w:val="0"/>
        <w:numId w:val="0"/>
      </w:numPr>
      <w:ind w:left="425" w:hanging="425"/>
    </w:pPr>
  </w:style>
  <w:style w:type="paragraph" w:customStyle="1" w:styleId="662">
    <w:name w:val="Char2 Char Char Char"/>
    <w:basedOn w:val="1"/>
    <w:uiPriority w:val="0"/>
    <w:rPr>
      <w:rFonts w:ascii="仿宋_GB2312" w:hAnsi="Times New Roman" w:eastAsia="仿宋_GB2312"/>
      <w:b/>
      <w:sz w:val="32"/>
      <w:szCs w:val="32"/>
    </w:rPr>
  </w:style>
  <w:style w:type="paragraph" w:customStyle="1" w:styleId="663">
    <w:name w:val="Paragraph4"/>
    <w:basedOn w:val="1"/>
    <w:uiPriority w:val="0"/>
    <w:pPr>
      <w:spacing w:before="80" w:afterLines="50"/>
      <w:ind w:left="2250"/>
    </w:pPr>
    <w:rPr>
      <w:rFonts w:ascii="宋体" w:hAnsi="Times New Roman"/>
      <w:snapToGrid w:val="0"/>
      <w:kern w:val="0"/>
      <w:szCs w:val="20"/>
    </w:rPr>
  </w:style>
  <w:style w:type="paragraph" w:customStyle="1" w:styleId="664">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67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5">
    <w:name w:val="Char1 Char Char Char"/>
    <w:basedOn w:val="1"/>
    <w:uiPriority w:val="0"/>
    <w:rPr>
      <w:rFonts w:ascii="Tahoma" w:hAnsi="Tahoma"/>
      <w:sz w:val="24"/>
      <w:szCs w:val="20"/>
    </w:rPr>
  </w:style>
  <w:style w:type="paragraph" w:customStyle="1" w:styleId="67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Char31"/>
    <w:basedOn w:val="1"/>
    <w:uiPriority w:val="0"/>
    <w:rPr>
      <w:rFonts w:ascii="仿宋_GB2312" w:hAnsi="Times New Roman" w:eastAsia="仿宋_GB2312"/>
      <w:b/>
      <w:sz w:val="32"/>
      <w:szCs w:val="32"/>
    </w:rPr>
  </w:style>
  <w:style w:type="paragraph" w:customStyle="1" w:styleId="678">
    <w:name w:val="要点2"/>
    <w:basedOn w:val="1"/>
    <w:uiPriority w:val="0"/>
    <w:pPr>
      <w:spacing w:line="360" w:lineRule="auto"/>
      <w:ind w:left="420" w:hanging="420"/>
    </w:pPr>
    <w:rPr>
      <w:rFonts w:ascii="Times New Roman" w:hAnsi="Times New Roman"/>
      <w:b/>
      <w:szCs w:val="21"/>
      <w:shd w:val="pct10" w:color="auto" w:fill="FFFFFF"/>
    </w:rPr>
  </w:style>
  <w:style w:type="paragraph" w:customStyle="1" w:styleId="679">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680">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1">
    <w:name w:val="样式 模板描述"/>
    <w:basedOn w:val="1"/>
    <w:next w:val="485"/>
    <w:uiPriority w:val="0"/>
    <w:pPr>
      <w:spacing w:afterLines="50"/>
      <w:jc w:val="left"/>
    </w:pPr>
    <w:rPr>
      <w:rFonts w:ascii="宋体" w:hAnsi="Times New Roman" w:cs="宋体"/>
      <w:i/>
      <w:iCs/>
      <w:snapToGrid w:val="0"/>
      <w:color w:val="0000FF"/>
      <w:kern w:val="0"/>
      <w:szCs w:val="21"/>
    </w:rPr>
  </w:style>
  <w:style w:type="paragraph" w:customStyle="1" w:styleId="682">
    <w:name w:val="Main Title"/>
    <w:basedOn w:val="1"/>
    <w:uiPriority w:val="0"/>
    <w:pPr>
      <w:spacing w:before="480" w:afterLines="50"/>
      <w:jc w:val="center"/>
    </w:pPr>
    <w:rPr>
      <w:rFonts w:ascii="宋体" w:hAnsi="Times New Roman"/>
      <w:b/>
      <w:snapToGrid w:val="0"/>
      <w:kern w:val="28"/>
      <w:sz w:val="32"/>
      <w:szCs w:val="20"/>
    </w:rPr>
  </w:style>
  <w:style w:type="paragraph" w:customStyle="1" w:styleId="683">
    <w:name w:val="font12"/>
    <w:basedOn w:val="1"/>
    <w:uiPriority w:val="0"/>
    <w:pPr>
      <w:widowControl/>
      <w:spacing w:before="100" w:beforeAutospacing="1" w:after="100" w:afterAutospacing="1"/>
      <w:jc w:val="left"/>
    </w:pPr>
    <w:rPr>
      <w:rFonts w:ascii="宋体" w:hAnsi="宋体" w:cs="宋体"/>
      <w:color w:val="333333"/>
      <w:kern w:val="0"/>
      <w:sz w:val="22"/>
    </w:rPr>
  </w:style>
  <w:style w:type="paragraph" w:customStyle="1" w:styleId="684">
    <w:name w:val="正文文本缩进11"/>
    <w:basedOn w:val="1"/>
    <w:uiPriority w:val="0"/>
    <w:pPr>
      <w:spacing w:after="120"/>
      <w:ind w:left="420" w:leftChars="200"/>
    </w:pPr>
    <w:rPr>
      <w:rFonts w:cs="黑体"/>
    </w:rPr>
  </w:style>
  <w:style w:type="paragraph" w:customStyle="1" w:styleId="685">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7">
    <w:name w:val="标书_正文"/>
    <w:basedOn w:val="1"/>
    <w:uiPriority w:val="0"/>
    <w:pPr>
      <w:spacing w:line="360" w:lineRule="auto"/>
    </w:pPr>
    <w:rPr>
      <w:rFonts w:ascii="宋体" w:hAnsi="Times New Roman"/>
      <w:b/>
      <w:kern w:val="0"/>
      <w:sz w:val="32"/>
      <w:szCs w:val="32"/>
    </w:rPr>
  </w:style>
  <w:style w:type="paragraph" w:customStyle="1" w:styleId="688">
    <w:name w:val="样式 正文段落 + (西文) 仿宋_GB2312 行距: 1.5 倍行距"/>
    <w:basedOn w:val="342"/>
    <w:uiPriority w:val="0"/>
    <w:pPr>
      <w:spacing w:line="360" w:lineRule="auto"/>
      <w:ind w:firstLine="560" w:firstLineChars="200"/>
    </w:pPr>
    <w:rPr>
      <w:rFonts w:ascii="仿宋" w:hAnsi="宋体" w:eastAsia="仿宋" w:cs="宋体"/>
      <w:kern w:val="0"/>
      <w:sz w:val="28"/>
    </w:rPr>
  </w:style>
  <w:style w:type="paragraph" w:customStyle="1" w:styleId="689">
    <w:name w:val="样式 三号 加粗 段后: 0.5 行"/>
    <w:basedOn w:val="1"/>
    <w:uiPriority w:val="0"/>
    <w:pPr>
      <w:spacing w:afterLines="50"/>
      <w:jc w:val="left"/>
    </w:pPr>
    <w:rPr>
      <w:rFonts w:ascii="宋体" w:hAnsi="Times New Roman" w:cs="宋体"/>
      <w:b/>
      <w:bCs/>
      <w:snapToGrid w:val="0"/>
      <w:kern w:val="0"/>
      <w:sz w:val="32"/>
      <w:szCs w:val="20"/>
    </w:rPr>
  </w:style>
  <w:style w:type="paragraph" w:customStyle="1" w:styleId="690">
    <w:name w:val="Blockquote"/>
    <w:basedOn w:val="1"/>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1">
    <w:name w:val="GP有序编号1级"/>
    <w:basedOn w:val="1"/>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2">
    <w:name w:val="样式 纯文本 + 首行缩进:  2 字符 Char Char Char Char Char Char Char Char Char Char Char Char Char Char Char Char Char Char Char Char Char Char Char Char"/>
    <w:basedOn w:val="31"/>
    <w:uiPriority w:val="0"/>
    <w:pPr>
      <w:spacing w:beforeLines="0" w:afterLines="0" w:line="360" w:lineRule="auto"/>
      <w:jc w:val="left"/>
    </w:pPr>
    <w:rPr>
      <w:rFonts w:eastAsia="仿宋_GB2312" w:cs="Arial"/>
      <w:sz w:val="28"/>
      <w:szCs w:val="20"/>
    </w:rPr>
  </w:style>
  <w:style w:type="paragraph" w:customStyle="1" w:styleId="693">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694">
    <w:name w:val="Char Char Char Char Char Char Char Char Char Char1"/>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695">
    <w:name w:val="FA正文+标号"/>
    <w:basedOn w:val="1"/>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6">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7">
    <w:name w:val="样式 标题 3Chapter X.X.X. + 段后: 0.5 行1"/>
    <w:basedOn w:val="4"/>
    <w:next w:val="1"/>
    <w:uiPriority w:val="0"/>
    <w:pPr>
      <w:keepLines w:val="0"/>
      <w:spacing w:before="120" w:afterLines="50" w:line="240" w:lineRule="auto"/>
      <w:jc w:val="left"/>
    </w:pPr>
    <w:rPr>
      <w:rFonts w:ascii="宋体" w:cs="宋体"/>
      <w:snapToGrid w:val="0"/>
      <w:kern w:val="0"/>
      <w:sz w:val="24"/>
      <w:szCs w:val="20"/>
    </w:rPr>
  </w:style>
  <w:style w:type="paragraph" w:customStyle="1" w:styleId="698">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699">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0">
    <w:name w:val="正文样式1"/>
    <w:basedOn w:val="1"/>
    <w:uiPriority w:val="0"/>
    <w:pPr>
      <w:spacing w:line="360" w:lineRule="auto"/>
      <w:ind w:firstLine="200" w:firstLineChars="200"/>
    </w:pPr>
    <w:rPr>
      <w:rFonts w:ascii="Times New Roman" w:hAnsi="Times New Roman" w:cs="宋体"/>
      <w:sz w:val="24"/>
      <w:szCs w:val="20"/>
    </w:rPr>
  </w:style>
  <w:style w:type="paragraph" w:customStyle="1" w:styleId="701">
    <w:name w:val="mod_selection1"/>
    <w:basedOn w:val="1"/>
    <w:uiPriority w:val="0"/>
    <w:pPr>
      <w:widowControl/>
      <w:ind w:left="75"/>
      <w:jc w:val="left"/>
    </w:pPr>
    <w:rPr>
      <w:rFonts w:ascii="Arial" w:hAnsi="Arial" w:cs="Arial"/>
      <w:b/>
      <w:bCs/>
      <w:kern w:val="0"/>
      <w:sz w:val="20"/>
      <w:szCs w:val="20"/>
    </w:rPr>
  </w:style>
  <w:style w:type="paragraph" w:customStyle="1" w:styleId="702">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3">
    <w:name w:val="Char5"/>
    <w:basedOn w:val="1"/>
    <w:uiPriority w:val="0"/>
    <w:pPr>
      <w:tabs>
        <w:tab w:val="left" w:pos="432"/>
      </w:tabs>
      <w:ind w:left="432" w:hanging="432"/>
    </w:pPr>
    <w:rPr>
      <w:rFonts w:ascii="Times New Roman" w:hAnsi="Times New Roman"/>
      <w:sz w:val="24"/>
      <w:szCs w:val="24"/>
    </w:rPr>
  </w:style>
  <w:style w:type="paragraph" w:customStyle="1" w:styleId="704">
    <w:name w:val="二级."/>
    <w:basedOn w:val="3"/>
    <w:uiPriority w:val="0"/>
    <w:pPr>
      <w:tabs>
        <w:tab w:val="left" w:pos="0"/>
      </w:tabs>
      <w:spacing w:before="0" w:after="0" w:line="528" w:lineRule="auto"/>
      <w:ind w:left="181" w:hanging="181"/>
    </w:pPr>
    <w:rPr>
      <w:bCs w:val="0"/>
      <w:kern w:val="0"/>
      <w:sz w:val="36"/>
      <w:szCs w:val="20"/>
    </w:rPr>
  </w:style>
  <w:style w:type="paragraph" w:customStyle="1" w:styleId="705">
    <w:name w:val="标准小四"/>
    <w:basedOn w:val="1"/>
    <w:uiPriority w:val="0"/>
    <w:pPr>
      <w:spacing w:line="360" w:lineRule="auto"/>
      <w:ind w:firstLine="480" w:firstLineChars="200"/>
    </w:pPr>
    <w:rPr>
      <w:rFonts w:ascii="Arial" w:hAnsi="Arial"/>
      <w:sz w:val="24"/>
      <w:szCs w:val="21"/>
    </w:rPr>
  </w:style>
  <w:style w:type="paragraph" w:customStyle="1" w:styleId="706">
    <w:name w:val="xl65"/>
    <w:basedOn w:val="1"/>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7">
    <w:name w:val="Char Char Char Char Char Char Char Char1"/>
    <w:basedOn w:val="1"/>
    <w:uiPriority w:val="0"/>
    <w:rPr>
      <w:rFonts w:ascii="仿宋_GB2312" w:hAnsi="Times New Roman" w:eastAsia="仿宋_GB2312"/>
      <w:b/>
      <w:sz w:val="32"/>
      <w:szCs w:val="32"/>
    </w:rPr>
  </w:style>
  <w:style w:type="paragraph" w:customStyle="1" w:styleId="70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9">
    <w:name w:val="列出段落12"/>
    <w:basedOn w:val="1"/>
    <w:qFormat/>
    <w:uiPriority w:val="0"/>
    <w:pPr>
      <w:ind w:firstLine="420" w:firstLineChars="200"/>
    </w:pPr>
  </w:style>
  <w:style w:type="paragraph" w:customStyle="1" w:styleId="710">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711">
    <w:name w:val="列出段落2"/>
    <w:basedOn w:val="1"/>
    <w:qFormat/>
    <w:uiPriority w:val="34"/>
    <w:pPr>
      <w:ind w:firstLine="420" w:firstLineChars="200"/>
    </w:pPr>
    <w:rPr>
      <w:szCs w:val="24"/>
    </w:rPr>
  </w:style>
  <w:style w:type="paragraph" w:customStyle="1" w:styleId="712">
    <w:name w:val="正文首行缩进 21"/>
    <w:basedOn w:val="684"/>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3">
    <w:name w:val="psubhead2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4">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5">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6">
    <w:name w:val="日期1"/>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717">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8">
    <w:name w:val="左对齐的表内文字"/>
    <w:basedOn w:val="1"/>
    <w:uiPriority w:val="0"/>
    <w:rPr>
      <w:rFonts w:ascii="Times New Roman" w:hAnsi="Times New Roman" w:eastAsia="仿宋_GB2312" w:cs="宋体"/>
      <w:szCs w:val="20"/>
    </w:rPr>
  </w:style>
  <w:style w:type="paragraph" w:customStyle="1" w:styleId="719">
    <w:name w:val="样式 标题 2Chapter X.X. Statementh22Header 2l2Level 2 Headhea...1"/>
    <w:basedOn w:val="4"/>
    <w:uiPriority w:val="0"/>
    <w:pPr>
      <w:keepLines w:val="0"/>
      <w:spacing w:before="120" w:afterLines="50" w:line="240" w:lineRule="auto"/>
      <w:jc w:val="left"/>
    </w:pPr>
    <w:rPr>
      <w:rFonts w:ascii="宋体" w:cs="宋体"/>
      <w:snapToGrid w:val="0"/>
      <w:kern w:val="0"/>
      <w:sz w:val="24"/>
      <w:szCs w:val="20"/>
    </w:rPr>
  </w:style>
  <w:style w:type="paragraph" w:customStyle="1" w:styleId="720">
    <w:name w:val="样式 Arial 小四 首行缩进:  0.85 厘米"/>
    <w:basedOn w:val="1"/>
    <w:uiPriority w:val="0"/>
    <w:pPr>
      <w:spacing w:line="360" w:lineRule="auto"/>
      <w:ind w:left="-2" w:leftChars="-1" w:firstLine="479" w:firstLineChars="228"/>
    </w:pPr>
    <w:rPr>
      <w:rFonts w:ascii="Times New Roman" w:hAnsi="Arial" w:cs="宋体"/>
      <w:szCs w:val="21"/>
    </w:rPr>
  </w:style>
  <w:style w:type="paragraph" w:customStyle="1" w:styleId="721">
    <w:name w:val="样式 左侧:  1 厘米 段后: 0.5 行"/>
    <w:basedOn w:val="1"/>
    <w:uiPriority w:val="0"/>
    <w:pPr>
      <w:spacing w:afterLines="50"/>
      <w:ind w:firstLine="425"/>
      <w:jc w:val="left"/>
    </w:pPr>
    <w:rPr>
      <w:rFonts w:ascii="宋体" w:hAnsi="Times New Roman" w:cs="宋体"/>
      <w:snapToGrid w:val="0"/>
      <w:kern w:val="0"/>
      <w:szCs w:val="20"/>
    </w:rPr>
  </w:style>
  <w:style w:type="paragraph" w:customStyle="1" w:styleId="722">
    <w:name w:val="首行缩进"/>
    <w:basedOn w:val="1"/>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3">
    <w:name w:val="样式 标题 5 + 五号 居中 段前: 1.5 磅 段后: 1.5 磅 行距: 多倍行距 1.57 字行"/>
    <w:basedOn w:val="6"/>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4">
    <w:name w:val="xl28"/>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5">
    <w:name w:val="插图"/>
    <w:next w:val="56"/>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6">
    <w:name w:val="无间隔2"/>
    <w:uiPriority w:val="0"/>
    <w:rPr>
      <w:rFonts w:ascii="Times New Roman" w:hAnsi="Times New Roman" w:eastAsia="Times New Roman" w:cs="Times New Roman"/>
      <w:kern w:val="2"/>
      <w:sz w:val="22"/>
      <w:szCs w:val="22"/>
      <w:lang w:val="en-US" w:eastAsia="zh-CN" w:bidi="ar-SA"/>
    </w:rPr>
  </w:style>
  <w:style w:type="paragraph" w:customStyle="1" w:styleId="727">
    <w:name w:val="S4-B-L15"/>
    <w:basedOn w:val="1"/>
    <w:uiPriority w:val="0"/>
    <w:pPr>
      <w:spacing w:line="360" w:lineRule="auto"/>
    </w:pPr>
    <w:rPr>
      <w:rFonts w:ascii="Times New Roman" w:hAnsi="Times New Roman"/>
      <w:b/>
      <w:bCs/>
      <w:sz w:val="24"/>
      <w:szCs w:val="24"/>
    </w:rPr>
  </w:style>
  <w:style w:type="paragraph" w:customStyle="1" w:styleId="728">
    <w:name w:val="GP标题1"/>
    <w:basedOn w:val="1"/>
    <w:next w:val="1"/>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29">
    <w:name w:val="Char11"/>
    <w:basedOn w:val="1"/>
    <w:uiPriority w:val="0"/>
    <w:pPr>
      <w:spacing w:beforeLines="20" w:afterLines="20"/>
    </w:pPr>
    <w:rPr>
      <w:rFonts w:ascii="楷体_GB2312" w:hAnsi="宋体" w:eastAsia="楷体_GB2312" w:cs="Arial"/>
      <w:kern w:val="0"/>
      <w:sz w:val="24"/>
      <w:szCs w:val="24"/>
    </w:rPr>
  </w:style>
  <w:style w:type="paragraph" w:customStyle="1" w:styleId="730">
    <w:name w:val="正文文本缩进 21"/>
    <w:basedOn w:val="1"/>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1">
    <w:name w:val="Char1 Char Char Char2"/>
    <w:basedOn w:val="1"/>
    <w:uiPriority w:val="0"/>
    <w:rPr>
      <w:rFonts w:ascii="Tahoma" w:hAnsi="Tahoma"/>
      <w:sz w:val="24"/>
      <w:szCs w:val="20"/>
    </w:rPr>
  </w:style>
  <w:style w:type="paragraph" w:customStyle="1" w:styleId="732">
    <w:name w:val="列表（编号二级）（绿盟科技）"/>
    <w:basedOn w:val="656"/>
    <w:qFormat/>
    <w:uiPriority w:val="0"/>
    <w:pPr>
      <w:numPr>
        <w:ilvl w:val="1"/>
      </w:numPr>
      <w:spacing w:beforeLines="0"/>
      <w:ind w:left="1260"/>
    </w:pPr>
  </w:style>
  <w:style w:type="paragraph" w:customStyle="1" w:styleId="733">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4">
    <w:name w:val="xl117"/>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5">
    <w:name w:val="Paragraph3"/>
    <w:basedOn w:val="1"/>
    <w:uiPriority w:val="0"/>
    <w:pPr>
      <w:spacing w:before="80" w:afterLines="50"/>
      <w:ind w:left="1530"/>
    </w:pPr>
    <w:rPr>
      <w:rFonts w:ascii="宋体" w:hAnsi="Times New Roman"/>
      <w:snapToGrid w:val="0"/>
      <w:kern w:val="0"/>
      <w:szCs w:val="20"/>
    </w:rPr>
  </w:style>
  <w:style w:type="paragraph" w:customStyle="1" w:styleId="736">
    <w:name w:val="正文样式"/>
    <w:basedOn w:val="1"/>
    <w:uiPriority w:val="0"/>
    <w:pPr>
      <w:spacing w:line="360" w:lineRule="auto"/>
      <w:ind w:firstLine="200" w:firstLineChars="200"/>
    </w:pPr>
    <w:rPr>
      <w:rFonts w:ascii="宋体" w:hAnsi="Times New Roman"/>
      <w:sz w:val="24"/>
      <w:szCs w:val="24"/>
    </w:rPr>
  </w:style>
  <w:style w:type="paragraph" w:customStyle="1" w:styleId="73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标书_标题2"/>
    <w:basedOn w:val="3"/>
    <w:uiPriority w:val="0"/>
    <w:pPr>
      <w:spacing w:after="0" w:line="415" w:lineRule="auto"/>
    </w:pPr>
    <w:rPr>
      <w:sz w:val="28"/>
      <w:szCs w:val="20"/>
    </w:rPr>
  </w:style>
  <w:style w:type="paragraph" w:customStyle="1" w:styleId="739">
    <w:name w:val="表格标题"/>
    <w:basedOn w:val="660"/>
    <w:uiPriority w:val="0"/>
    <w:pPr>
      <w:numPr>
        <w:ilvl w:val="0"/>
        <w:numId w:val="26"/>
      </w:numPr>
      <w:tabs>
        <w:tab w:val="clear" w:pos="360"/>
      </w:tabs>
      <w:ind w:left="0" w:firstLine="0"/>
      <w:jc w:val="center"/>
    </w:pPr>
    <w:rPr>
      <w:b/>
      <w:bCs/>
      <w:i/>
      <w:iCs/>
    </w:rPr>
  </w:style>
  <w:style w:type="paragraph" w:customStyle="1" w:styleId="740">
    <w:name w:val="_Style 1181"/>
    <w:basedOn w:val="1"/>
    <w:uiPriority w:val="0"/>
  </w:style>
  <w:style w:type="paragraph" w:customStyle="1" w:styleId="741">
    <w:name w:val="Char2"/>
    <w:basedOn w:val="1"/>
    <w:uiPriority w:val="0"/>
    <w:rPr>
      <w:rFonts w:ascii="仿宋_GB2312" w:hAnsi="Times New Roman" w:eastAsia="仿宋_GB2312"/>
      <w:b/>
      <w:sz w:val="32"/>
      <w:szCs w:val="20"/>
    </w:rPr>
  </w:style>
  <w:style w:type="paragraph" w:customStyle="1" w:styleId="742">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4">
    <w:name w:val="Char Char1 Char Char Char Char1 Char Char Char1"/>
    <w:basedOn w:val="1"/>
    <w:uiPriority w:val="0"/>
    <w:pPr>
      <w:adjustRightInd w:val="0"/>
      <w:spacing w:line="360" w:lineRule="atLeast"/>
      <w:textAlignment w:val="baseline"/>
    </w:pPr>
    <w:rPr>
      <w:rFonts w:ascii="Tahoma" w:hAnsi="Tahoma"/>
      <w:sz w:val="24"/>
      <w:szCs w:val="20"/>
    </w:rPr>
  </w:style>
  <w:style w:type="paragraph" w:customStyle="1" w:styleId="745">
    <w:name w:val="Char Char10"/>
    <w:basedOn w:val="1"/>
    <w:uiPriority w:val="0"/>
    <w:rPr>
      <w:rFonts w:ascii="Tahoma" w:hAnsi="Tahoma"/>
      <w:sz w:val="24"/>
      <w:szCs w:val="20"/>
    </w:rPr>
  </w:style>
  <w:style w:type="paragraph" w:customStyle="1" w:styleId="746">
    <w:name w:val="Table Contents"/>
    <w:basedOn w:val="1"/>
    <w:uiPriority w:val="0"/>
    <w:pPr>
      <w:suppressAutoHyphens/>
      <w:autoSpaceDE w:val="0"/>
      <w:spacing w:after="120"/>
      <w:jc w:val="left"/>
    </w:pPr>
    <w:rPr>
      <w:rFonts w:ascii="Helvetica" w:hAnsi="Helvetica"/>
      <w:kern w:val="1"/>
      <w:sz w:val="20"/>
      <w:szCs w:val="20"/>
    </w:rPr>
  </w:style>
  <w:style w:type="paragraph" w:customStyle="1" w:styleId="747">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8">
    <w:name w:val="列表内容"/>
    <w:basedOn w:val="1"/>
    <w:next w:val="1"/>
    <w:uiPriority w:val="0"/>
    <w:pPr>
      <w:widowControl/>
      <w:numPr>
        <w:ilvl w:val="0"/>
        <w:numId w:val="27"/>
      </w:numPr>
      <w:jc w:val="left"/>
    </w:pPr>
    <w:rPr>
      <w:rFonts w:ascii="Times New Roman" w:hAnsi="Times New Roman"/>
      <w:kern w:val="0"/>
      <w:sz w:val="18"/>
      <w:szCs w:val="24"/>
    </w:rPr>
  </w:style>
  <w:style w:type="paragraph" w:customStyle="1" w:styleId="749">
    <w:name w:val="正文样式 首行缩进:  0.74 厘米"/>
    <w:basedOn w:val="1"/>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0">
    <w:name w:val="一级项目符号"/>
    <w:basedOn w:val="1"/>
    <w:uiPriority w:val="0"/>
    <w:pPr>
      <w:widowControl/>
      <w:numPr>
        <w:ilvl w:val="0"/>
        <w:numId w:val="28"/>
      </w:numPr>
      <w:spacing w:line="360" w:lineRule="auto"/>
    </w:pPr>
    <w:rPr>
      <w:rFonts w:ascii="Times New Roman" w:hAnsi="Times New Roman"/>
      <w:kern w:val="0"/>
      <w:sz w:val="24"/>
      <w:szCs w:val="20"/>
    </w:rPr>
  </w:style>
  <w:style w:type="paragraph" w:customStyle="1" w:styleId="751">
    <w:name w:val="pa-30"/>
    <w:basedOn w:val="1"/>
    <w:uiPriority w:val="0"/>
    <w:pPr>
      <w:widowControl/>
      <w:spacing w:before="150" w:after="150"/>
      <w:jc w:val="left"/>
    </w:pPr>
    <w:rPr>
      <w:rFonts w:ascii="宋体" w:hAnsi="宋体" w:cs="宋体"/>
      <w:kern w:val="0"/>
      <w:sz w:val="24"/>
      <w:szCs w:val="24"/>
    </w:rPr>
  </w:style>
  <w:style w:type="paragraph" w:customStyle="1" w:styleId="752">
    <w:name w:val="表格_内容"/>
    <w:basedOn w:val="1"/>
    <w:qFormat/>
    <w:uiPriority w:val="0"/>
    <w:rPr>
      <w:rFonts w:ascii="宋体" w:hAnsi="宋体"/>
      <w:szCs w:val="21"/>
    </w:rPr>
  </w:style>
  <w:style w:type="paragraph" w:customStyle="1" w:styleId="753">
    <w:name w:val="MM Title"/>
    <w:basedOn w:val="54"/>
    <w:uiPriority w:val="0"/>
    <w:rPr>
      <w:rFonts w:ascii="Calibri" w:hAnsi="Calibri" w:cs="Arial"/>
      <w:b w:val="0"/>
      <w:sz w:val="18"/>
    </w:rPr>
  </w:style>
  <w:style w:type="paragraph" w:customStyle="1" w:styleId="754">
    <w:name w:val="样式 正文 段落文字 + 宋体 小四 左侧:  0 厘米 首行缩进:  2 字符 段后: 0 磅 行距: 固定值 24..."/>
    <w:basedOn w:val="1"/>
    <w:uiPriority w:val="0"/>
    <w:pPr>
      <w:spacing w:line="480" w:lineRule="exact"/>
      <w:ind w:firstLine="480" w:firstLineChars="200"/>
    </w:pPr>
    <w:rPr>
      <w:rFonts w:ascii="宋体" w:hAnsi="宋体" w:cs="宋体"/>
      <w:sz w:val="24"/>
      <w:szCs w:val="20"/>
    </w:rPr>
  </w:style>
  <w:style w:type="paragraph" w:customStyle="1" w:styleId="755">
    <w:name w:val="xl79"/>
    <w:basedOn w:val="1"/>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6">
    <w:name w:val="表格"/>
    <w:basedOn w:val="1"/>
    <w:uiPriority w:val="0"/>
    <w:pPr>
      <w:adjustRightInd w:val="0"/>
      <w:spacing w:beforeLines="25" w:afterLines="25"/>
      <w:textAlignment w:val="baseline"/>
    </w:pPr>
    <w:rPr>
      <w:rFonts w:ascii="Arial" w:hAnsi="Arial" w:eastAsia="仿宋_GB2312"/>
      <w:kern w:val="0"/>
      <w:sz w:val="24"/>
      <w:szCs w:val="28"/>
    </w:rPr>
  </w:style>
  <w:style w:type="paragraph" w:customStyle="1" w:styleId="757">
    <w:name w:val="修订1"/>
    <w:semiHidden/>
    <w:uiPriority w:val="99"/>
    <w:rPr>
      <w:rFonts w:ascii="Calibri" w:hAnsi="Calibri" w:eastAsia="宋体" w:cs="Times New Roman"/>
      <w:kern w:val="2"/>
      <w:sz w:val="21"/>
      <w:szCs w:val="22"/>
      <w:lang w:val="en-US" w:eastAsia="zh-CN" w:bidi="ar-SA"/>
    </w:rPr>
  </w:style>
  <w:style w:type="paragraph" w:customStyle="1" w:styleId="758">
    <w:name w:val="封面1级标题"/>
    <w:basedOn w:val="1"/>
    <w:next w:val="1"/>
    <w:uiPriority w:val="0"/>
    <w:pPr>
      <w:spacing w:beforeLines="800"/>
      <w:jc w:val="center"/>
    </w:pPr>
    <w:rPr>
      <w:rFonts w:ascii="Arial" w:hAnsi="Arial" w:eastAsia="黑体" w:cs="宋体"/>
      <w:b/>
      <w:sz w:val="72"/>
      <w:szCs w:val="72"/>
    </w:rPr>
  </w:style>
  <w:style w:type="paragraph" w:customStyle="1" w:styleId="759">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0">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761">
    <w:name w:val="5级"/>
    <w:basedOn w:val="1"/>
    <w:next w:val="17"/>
    <w:uiPriority w:val="0"/>
    <w:pPr>
      <w:numPr>
        <w:ilvl w:val="4"/>
        <w:numId w:val="29"/>
      </w:numPr>
    </w:pPr>
    <w:rPr>
      <w:rFonts w:eastAsia="黑体"/>
      <w:kern w:val="0"/>
      <w:sz w:val="24"/>
      <w:szCs w:val="20"/>
    </w:rPr>
  </w:style>
  <w:style w:type="paragraph" w:customStyle="1" w:styleId="762">
    <w:name w:val="Body"/>
    <w:basedOn w:val="1"/>
    <w:uiPriority w:val="0"/>
    <w:pPr>
      <w:widowControl/>
      <w:spacing w:before="120" w:afterLines="50"/>
    </w:pPr>
    <w:rPr>
      <w:rFonts w:ascii="宋体" w:hAnsi="Times New Roman"/>
      <w:snapToGrid w:val="0"/>
      <w:kern w:val="0"/>
      <w:szCs w:val="20"/>
    </w:rPr>
  </w:style>
  <w:style w:type="paragraph" w:customStyle="1" w:styleId="763">
    <w:name w:val="标准标题2"/>
    <w:basedOn w:val="3"/>
    <w:uiPriority w:val="0"/>
    <w:pPr>
      <w:spacing w:line="360" w:lineRule="auto"/>
    </w:pPr>
    <w:rPr>
      <w:rFonts w:eastAsia="仿宋_GB2312"/>
      <w:bCs w:val="0"/>
      <w:sz w:val="28"/>
    </w:rPr>
  </w:style>
  <w:style w:type="paragraph" w:customStyle="1" w:styleId="764">
    <w:name w:val="xl8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6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一"/>
    <w:basedOn w:val="157"/>
    <w:uiPriority w:val="0"/>
    <w:pPr>
      <w:widowControl/>
      <w:spacing w:line="560" w:lineRule="exact"/>
      <w:ind w:left="720" w:firstLine="0" w:firstLineChars="0"/>
      <w:jc w:val="left"/>
      <w:outlineLvl w:val="0"/>
    </w:pPr>
    <w:rPr>
      <w:rFonts w:ascii="宋体" w:hAnsi="宋体"/>
      <w:b/>
      <w:bCs/>
      <w:sz w:val="30"/>
      <w:szCs w:val="30"/>
    </w:rPr>
  </w:style>
  <w:style w:type="paragraph" w:customStyle="1" w:styleId="768">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0">
    <w:name w:val="样式 标题 3h33rd levelHeading 3 - oldH3Fab-3level_3PIM 3Leve..."/>
    <w:basedOn w:val="4"/>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1">
    <w:name w:val="Char Char Char Char3"/>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2">
    <w:name w:val="样式 四号 行距: 1.5 倍行距"/>
    <w:basedOn w:val="1"/>
    <w:uiPriority w:val="0"/>
    <w:pPr>
      <w:spacing w:line="312" w:lineRule="auto"/>
      <w:ind w:firstLine="202" w:firstLineChars="202"/>
    </w:pPr>
    <w:rPr>
      <w:rFonts w:ascii="Times New Roman" w:hAnsi="Times New Roman" w:cs="宋体"/>
      <w:sz w:val="24"/>
      <w:szCs w:val="20"/>
    </w:rPr>
  </w:style>
  <w:style w:type="paragraph" w:customStyle="1" w:styleId="773">
    <w:name w:val="浅色列表 - 强调文字颜色 31"/>
    <w:uiPriority w:val="71"/>
    <w:rPr>
      <w:rFonts w:ascii="Calibri" w:hAnsi="Calibri" w:eastAsia="宋体" w:cs="Times New Roman"/>
      <w:kern w:val="2"/>
      <w:sz w:val="21"/>
      <w:szCs w:val="22"/>
      <w:lang w:val="en-US" w:eastAsia="zh-CN" w:bidi="ar-SA"/>
    </w:rPr>
  </w:style>
  <w:style w:type="paragraph" w:customStyle="1" w:styleId="774">
    <w:name w:val="_Style 164"/>
    <w:basedOn w:val="1"/>
    <w:uiPriority w:val="0"/>
    <w:rPr>
      <w:rFonts w:ascii="Times New Roman" w:hAnsi="Times New Roman"/>
      <w:szCs w:val="20"/>
    </w:rPr>
  </w:style>
  <w:style w:type="paragraph" w:customStyle="1" w:styleId="775">
    <w:name w:val="GP公文标题1"/>
    <w:basedOn w:val="1"/>
    <w:next w:val="1"/>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6">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7">
    <w:name w:val="Char Char Char Char Char Char Char1"/>
    <w:basedOn w:val="1"/>
    <w:uiPriority w:val="0"/>
    <w:pPr>
      <w:tabs>
        <w:tab w:val="left" w:pos="432"/>
      </w:tabs>
      <w:ind w:left="432" w:hanging="432"/>
    </w:pPr>
    <w:rPr>
      <w:rFonts w:ascii="Tahoma" w:hAnsi="Tahoma"/>
      <w:sz w:val="24"/>
      <w:szCs w:val="20"/>
    </w:rPr>
  </w:style>
  <w:style w:type="paragraph" w:customStyle="1" w:styleId="778">
    <w:name w:val="Table Text"/>
    <w:basedOn w:val="1"/>
    <w:uiPriority w:val="0"/>
    <w:pPr>
      <w:widowControl/>
      <w:spacing w:before="60" w:after="60"/>
      <w:jc w:val="left"/>
    </w:pPr>
    <w:rPr>
      <w:rFonts w:ascii="Times New Roman" w:hAnsi="Times New Roman"/>
      <w:kern w:val="0"/>
      <w:sz w:val="24"/>
      <w:szCs w:val="24"/>
    </w:rPr>
  </w:style>
  <w:style w:type="paragraph" w:customStyle="1" w:styleId="779">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1">
    <w:name w:val="xl75"/>
    <w:basedOn w:val="1"/>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2">
    <w:name w:val="彩色列表1"/>
    <w:basedOn w:val="1"/>
    <w:uiPriority w:val="0"/>
    <w:pPr>
      <w:tabs>
        <w:tab w:val="left" w:pos="1200"/>
      </w:tabs>
      <w:ind w:left="1200" w:hanging="360"/>
    </w:pPr>
  </w:style>
  <w:style w:type="paragraph" w:customStyle="1" w:styleId="783">
    <w:name w:val="封面2级标题"/>
    <w:basedOn w:val="1"/>
    <w:next w:val="270"/>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4">
    <w:name w:val="彩色列表 - 强调文字颜色 11"/>
    <w:basedOn w:val="1"/>
    <w:qFormat/>
    <w:uiPriority w:val="34"/>
    <w:pPr>
      <w:ind w:firstLine="420" w:firstLineChars="200"/>
    </w:pPr>
  </w:style>
  <w:style w:type="paragraph" w:customStyle="1" w:styleId="785">
    <w:name w:val="样式 标题 3Chapter X.X.X. + 五号 段后: 0.5 行"/>
    <w:basedOn w:val="4"/>
    <w:uiPriority w:val="0"/>
    <w:pPr>
      <w:keepLines w:val="0"/>
      <w:spacing w:before="120" w:afterLines="50" w:line="240" w:lineRule="auto"/>
      <w:jc w:val="left"/>
    </w:pPr>
    <w:rPr>
      <w:rFonts w:ascii="宋体" w:cs="宋体"/>
      <w:snapToGrid w:val="0"/>
      <w:kern w:val="0"/>
      <w:sz w:val="21"/>
      <w:szCs w:val="20"/>
    </w:rPr>
  </w:style>
  <w:style w:type="paragraph" w:customStyle="1" w:styleId="786">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7">
    <w:name w:val="pa-7"/>
    <w:basedOn w:val="1"/>
    <w:uiPriority w:val="0"/>
    <w:pPr>
      <w:widowControl/>
      <w:spacing w:before="150" w:after="150"/>
      <w:jc w:val="left"/>
    </w:pPr>
    <w:rPr>
      <w:rFonts w:ascii="宋体" w:hAnsi="宋体" w:cs="宋体"/>
      <w:kern w:val="0"/>
      <w:sz w:val="24"/>
      <w:szCs w:val="24"/>
    </w:rPr>
  </w:style>
  <w:style w:type="paragraph" w:customStyle="1" w:styleId="788">
    <w:name w:val="注意事项"/>
    <w:basedOn w:val="1"/>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89">
    <w:name w:val="标书正文格式"/>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0">
    <w:name w:val="Char Char1 Char Char Char Char Char Char Char Char Char Char Char Char Char Char1"/>
    <w:basedOn w:val="1"/>
    <w:uiPriority w:val="0"/>
    <w:pPr>
      <w:widowControl/>
      <w:spacing w:after="160" w:line="240" w:lineRule="exact"/>
      <w:jc w:val="left"/>
    </w:pPr>
    <w:rPr>
      <w:rFonts w:ascii="Times New Roman" w:hAnsi="Times New Roman"/>
      <w:szCs w:val="20"/>
    </w:rPr>
  </w:style>
  <w:style w:type="paragraph" w:customStyle="1" w:styleId="791">
    <w:name w:val="CM12"/>
    <w:basedOn w:val="674"/>
    <w:next w:val="674"/>
    <w:uiPriority w:val="0"/>
    <w:pPr>
      <w:spacing w:line="468" w:lineRule="atLeast"/>
    </w:pPr>
    <w:rPr>
      <w:rFonts w:ascii="宋体" w:hAnsi="Times New Roman" w:eastAsia="宋体" w:cs="Times New Roman"/>
      <w:color w:val="auto"/>
    </w:rPr>
  </w:style>
  <w:style w:type="paragraph" w:customStyle="1" w:styleId="792">
    <w:name w:val="样式 楷体_GB2312 四号 行距: 多倍行距 1.25 字行"/>
    <w:basedOn w:val="1"/>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3">
    <w:name w:val="四级"/>
    <w:basedOn w:val="5"/>
    <w:uiPriority w:val="0"/>
    <w:pPr>
      <w:tabs>
        <w:tab w:val="left" w:pos="284"/>
      </w:tabs>
      <w:spacing w:before="160" w:after="170" w:line="240" w:lineRule="auto"/>
      <w:ind w:left="828" w:hanging="544"/>
    </w:pPr>
    <w:rPr>
      <w:bCs w:val="0"/>
      <w:sz w:val="30"/>
      <w:szCs w:val="20"/>
    </w:rPr>
  </w:style>
  <w:style w:type="paragraph" w:customStyle="1" w:styleId="794">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95">
    <w:name w:val="图表引用"/>
    <w:basedOn w:val="1"/>
    <w:qFormat/>
    <w:uiPriority w:val="0"/>
    <w:pPr>
      <w:spacing w:line="360" w:lineRule="auto"/>
      <w:jc w:val="center"/>
    </w:pPr>
    <w:rPr>
      <w:rFonts w:ascii="仿宋_GB2312" w:eastAsia="仿宋_GB2312"/>
      <w:b/>
      <w:sz w:val="24"/>
      <w:szCs w:val="28"/>
    </w:rPr>
  </w:style>
  <w:style w:type="paragraph" w:customStyle="1" w:styleId="796">
    <w:name w:val="样式 正文段落 + 首行缩进:  0 字符"/>
    <w:basedOn w:val="342"/>
    <w:uiPriority w:val="0"/>
    <w:pPr>
      <w:spacing w:line="360" w:lineRule="auto"/>
      <w:ind w:firstLine="0"/>
    </w:pPr>
    <w:rPr>
      <w:rFonts w:ascii="宋体" w:hAnsi="宋体" w:cs="宋体"/>
      <w:kern w:val="0"/>
    </w:rPr>
  </w:style>
  <w:style w:type="paragraph" w:customStyle="1" w:styleId="797">
    <w:name w:val="Char8"/>
    <w:basedOn w:val="1"/>
    <w:uiPriority w:val="0"/>
    <w:pPr>
      <w:tabs>
        <w:tab w:val="left" w:pos="432"/>
      </w:tabs>
      <w:ind w:left="432" w:hanging="432"/>
    </w:pPr>
    <w:rPr>
      <w:rFonts w:ascii="Times New Roman" w:hAnsi="Times New Roman"/>
      <w:sz w:val="24"/>
      <w:szCs w:val="24"/>
    </w:rPr>
  </w:style>
  <w:style w:type="paragraph" w:customStyle="1" w:styleId="798">
    <w:name w:val="Char Char Char1"/>
    <w:basedOn w:val="1"/>
    <w:uiPriority w:val="0"/>
    <w:rPr>
      <w:rFonts w:ascii="Times New Roman" w:hAnsi="Times New Roman" w:eastAsia="仿宋_GB2312" w:cs="宋体"/>
      <w:sz w:val="24"/>
      <w:szCs w:val="20"/>
    </w:rPr>
  </w:style>
  <w:style w:type="paragraph" w:customStyle="1" w:styleId="799">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1">
    <w:name w:val="ZJGIS表格表头"/>
    <w:basedOn w:val="1"/>
    <w:qFormat/>
    <w:uiPriority w:val="0"/>
    <w:pPr>
      <w:jc w:val="center"/>
    </w:pPr>
    <w:rPr>
      <w:rFonts w:ascii="Arial" w:hAnsi="Arial" w:eastAsia="黑体"/>
      <w:b/>
    </w:rPr>
  </w:style>
  <w:style w:type="paragraph" w:customStyle="1" w:styleId="802">
    <w:name w:val="吉奥封面(黑体小初)"/>
    <w:basedOn w:val="168"/>
    <w:uiPriority w:val="0"/>
    <w:pPr>
      <w:spacing w:before="480"/>
      <w:ind w:firstLine="0" w:firstLineChars="0"/>
      <w:jc w:val="center"/>
    </w:pPr>
    <w:rPr>
      <w:rFonts w:eastAsia="黑体"/>
      <w:sz w:val="72"/>
      <w:szCs w:val="72"/>
    </w:rPr>
  </w:style>
  <w:style w:type="paragraph" w:customStyle="1" w:styleId="803">
    <w:name w:val="样式 标题 3 + 首行缩进:  2 字符1"/>
    <w:basedOn w:val="4"/>
    <w:uiPriority w:val="0"/>
    <w:pPr>
      <w:spacing w:line="360" w:lineRule="auto"/>
    </w:pPr>
    <w:rPr>
      <w:rFonts w:ascii="Times New Roman" w:hAnsi="Times New Roman" w:cs="宋体"/>
      <w:szCs w:val="20"/>
    </w:rPr>
  </w:style>
  <w:style w:type="character" w:customStyle="1" w:styleId="804">
    <w:name w:val="一级标题 Char"/>
    <w:link w:val="805"/>
    <w:locked/>
    <w:uiPriority w:val="0"/>
    <w:rPr>
      <w:rFonts w:ascii="宋体" w:hAnsi="宋体"/>
      <w:b/>
      <w:kern w:val="2"/>
      <w:sz w:val="36"/>
      <w:szCs w:val="36"/>
    </w:rPr>
  </w:style>
  <w:style w:type="paragraph" w:customStyle="1" w:styleId="805">
    <w:name w:val="一级标题"/>
    <w:basedOn w:val="31"/>
    <w:link w:val="804"/>
    <w:qFormat/>
    <w:uiPriority w:val="0"/>
    <w:pPr>
      <w:spacing w:line="360" w:lineRule="auto"/>
      <w:jc w:val="center"/>
    </w:pPr>
    <w:rPr>
      <w:rFonts w:hAnsi="宋体"/>
      <w:b/>
      <w:sz w:val="36"/>
      <w:szCs w:val="36"/>
    </w:rPr>
  </w:style>
  <w:style w:type="character" w:customStyle="1" w:styleId="806">
    <w:name w:val="纯文本 Char1"/>
    <w:uiPriority w:val="0"/>
    <w:rPr>
      <w:rFonts w:ascii="宋体" w:hAnsi="Courier New"/>
      <w:kern w:val="2"/>
      <w:sz w:val="24"/>
      <w:szCs w:val="24"/>
    </w:rPr>
  </w:style>
  <w:style w:type="paragraph" w:customStyle="1" w:styleId="807">
    <w:name w:val="正文5"/>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纯文本2"/>
    <w:basedOn w:val="807"/>
    <w:uiPriority w:val="0"/>
    <w:pPr>
      <w:widowControl/>
      <w:jc w:val="left"/>
    </w:pPr>
    <w:rPr>
      <w:rFonts w:ascii="宋体" w:hAnsi="Courier New"/>
    </w:rPr>
  </w:style>
  <w:style w:type="character" w:customStyle="1" w:styleId="809">
    <w:name w:val="正文文本 Char1"/>
    <w:basedOn w:val="63"/>
    <w:semiHidden/>
    <w:uiPriority w:val="0"/>
  </w:style>
  <w:style w:type="character" w:customStyle="1" w:styleId="810">
    <w:name w:val="正文文本 字符1"/>
    <w:basedOn w:val="63"/>
    <w:semiHidden/>
    <w:qFormat/>
    <w:uiPriority w:val="99"/>
  </w:style>
  <w:style w:type="paragraph" w:customStyle="1" w:styleId="811">
    <w:name w:val="修订2"/>
    <w:hidden/>
    <w:semiHidden/>
    <w:uiPriority w:val="99"/>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8ED63-AB86-4A6E-A127-C5413A6A1AC0}">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107</Pages>
  <Words>11298</Words>
  <Characters>64403</Characters>
  <Lines>536</Lines>
  <Paragraphs>151</Paragraphs>
  <TotalTime>20</TotalTime>
  <ScaleCrop>false</ScaleCrop>
  <LinksUpToDate>false</LinksUpToDate>
  <CharactersWithSpaces>75550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2020-10-19T03:11:00Z</dcterms:created>
  <dc:creator>NTKO</dc:creator>
  <cp:lastModifiedBy>map</cp:lastModifiedBy>
  <cp:lastPrinted>2021-01-14T07:25:00Z</cp:lastPrinted>
  <dcterms:modified xsi:type="dcterms:W3CDTF">2021-01-17T13:09:16Z</dcterms:modified>
  <dc:title>浙江省政府采购中心关于浙江省</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