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auto"/>
        <w:ind w:right="-108"/>
        <w:jc w:val="center"/>
        <w:rPr>
          <w:rFonts w:ascii="宋体" w:hAnsi="宋体"/>
          <w:color w:val="000000" w:themeColor="text1"/>
          <w:sz w:val="36"/>
          <w:szCs w:val="36"/>
          <w14:textFill>
            <w14:solidFill>
              <w14:schemeClr w14:val="tx1"/>
            </w14:solidFill>
          </w14:textFill>
        </w:rPr>
      </w:pPr>
      <w:bookmarkStart w:id="0" w:name="PO_15528_PM002_1"/>
      <w:r>
        <w:rPr>
          <w:rFonts w:hint="eastAsia" w:ascii="宋体" w:hAnsi="宋体"/>
          <w:color w:val="000000" w:themeColor="text1"/>
          <w:sz w:val="36"/>
          <w:szCs w:val="36"/>
          <w14:textFill>
            <w14:solidFill>
              <w14:schemeClr w14:val="tx1"/>
            </w14:solidFill>
          </w14:textFill>
        </w:rPr>
        <w:t>国家体育总局体育信息中心赛事系统服务项目采购招标文件</w:t>
      </w:r>
      <w:bookmarkEnd w:id="0"/>
    </w:p>
    <w:p>
      <w:pPr>
        <w:spacing w:before="312" w:beforeLines="100" w:line="360" w:lineRule="auto"/>
        <w:ind w:right="-108"/>
        <w:jc w:val="center"/>
        <w:rPr>
          <w:rFonts w:ascii="宋体" w:hAnsi="宋体"/>
          <w:b/>
          <w:color w:val="000000" w:themeColor="text1"/>
          <w:spacing w:val="40"/>
          <w:sz w:val="84"/>
          <w:szCs w:val="84"/>
          <w14:textFill>
            <w14:solidFill>
              <w14:schemeClr w14:val="tx1"/>
            </w14:solidFill>
          </w14:textFill>
        </w:rPr>
      </w:pPr>
      <w:r>
        <w:rPr>
          <w:rFonts w:ascii="宋体" w:hAnsi="宋体"/>
          <w:color w:val="000000" w:themeColor="text1"/>
          <w:sz w:val="36"/>
          <w:szCs w:val="36"/>
          <w14:textFill>
            <w14:solidFill>
              <w14:schemeClr w14:val="tx1"/>
            </w14:solidFill>
          </w14:textFill>
        </w:rPr>
        <w:t xml:space="preserve"> </w:t>
      </w:r>
      <w:r>
        <w:rPr>
          <w:rFonts w:hint="eastAsia" w:ascii="宋体" w:hAnsi="宋体"/>
          <w:color w:val="000000" w:themeColor="text1"/>
          <w:sz w:val="36"/>
          <w:szCs w:val="36"/>
          <w14:textFill>
            <w14:solidFill>
              <w14:schemeClr w14:val="tx1"/>
            </w14:solidFill>
          </w14:textFill>
        </w:rPr>
        <w:t>项目编号：</w:t>
      </w:r>
      <w:r>
        <w:rPr>
          <w:rFonts w:ascii="宋体" w:hAnsi="宋体"/>
          <w:color w:val="000000" w:themeColor="text1"/>
          <w:sz w:val="36"/>
          <w:szCs w:val="36"/>
          <w14:textFill>
            <w14:solidFill>
              <w14:schemeClr w14:val="tx1"/>
            </w14:solidFill>
          </w14:textFill>
        </w:rPr>
        <w:t>ZB2021-03</w:t>
      </w:r>
    </w:p>
    <w:p>
      <w:pPr>
        <w:spacing w:before="312" w:beforeLines="100"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公</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开</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招</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标</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文</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件</w:t>
      </w:r>
    </w:p>
    <w:p>
      <w:pPr>
        <w:ind w:right="-110"/>
        <w:rPr>
          <w:rFonts w:ascii="宋体" w:hAnsi="宋体"/>
          <w:color w:val="000000" w:themeColor="text1"/>
          <w:sz w:val="32"/>
          <w:szCs w:val="32"/>
          <w14:textFill>
            <w14:solidFill>
              <w14:schemeClr w14:val="tx1"/>
            </w14:solidFill>
          </w14:textFill>
        </w:rPr>
      </w:pPr>
    </w:p>
    <w:p>
      <w:pPr>
        <w:ind w:right="-110"/>
        <w:rPr>
          <w:rFonts w:ascii="宋体" w:hAnsi="宋体"/>
          <w:color w:val="000000" w:themeColor="text1"/>
          <w:sz w:val="32"/>
          <w:szCs w:val="32"/>
          <w14:textFill>
            <w14:solidFill>
              <w14:schemeClr w14:val="tx1"/>
            </w14:solidFill>
          </w14:textFill>
        </w:rPr>
      </w:pPr>
    </w:p>
    <w:p>
      <w:pPr>
        <w:spacing w:line="500" w:lineRule="exact"/>
        <w:ind w:right="532" w:firstLine="540" w:firstLineChars="150"/>
        <w:rPr>
          <w:rFonts w:ascii="宋体" w:hAns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采购单位：国家体育总局体育器材装备中心</w:t>
      </w:r>
    </w:p>
    <w:p>
      <w:pPr>
        <w:spacing w:line="500" w:lineRule="exact"/>
        <w:ind w:right="532"/>
        <w:rPr>
          <w:rFonts w:ascii="宋体" w:hAnsi="宋体"/>
          <w:color w:val="000000" w:themeColor="text1"/>
          <w:sz w:val="36"/>
          <w:szCs w:val="36"/>
          <w14:textFill>
            <w14:solidFill>
              <w14:schemeClr w14:val="tx1"/>
            </w14:solidFill>
          </w14:textFill>
        </w:rPr>
      </w:pPr>
    </w:p>
    <w:p>
      <w:pPr>
        <w:wordWrap w:val="0"/>
        <w:spacing w:line="500" w:lineRule="exact"/>
        <w:ind w:right="-108" w:firstLine="540" w:firstLineChars="150"/>
        <w:rPr>
          <w:rFonts w:ascii="宋体" w:hAns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地    址：北京市东城区体育馆路3号</w:t>
      </w:r>
    </w:p>
    <w:p>
      <w:pPr>
        <w:wordWrap w:val="0"/>
        <w:spacing w:line="500" w:lineRule="exact"/>
        <w:ind w:right="-108" w:firstLine="663" w:firstLineChars="150"/>
        <w:rPr>
          <w:rFonts w:hAnsi="宋体"/>
          <w:b/>
          <w:color w:val="000000" w:themeColor="text1"/>
          <w:sz w:val="36"/>
          <w:szCs w:val="36"/>
          <w14:textFill>
            <w14:solidFill>
              <w14:schemeClr w14:val="tx1"/>
            </w14:solidFill>
          </w14:textFill>
        </w:rPr>
      </w:pPr>
      <w:r>
        <w:rPr>
          <w:rFonts w:hAnsi="宋体"/>
          <w:b/>
          <w:color w:val="000000" w:themeColor="text1"/>
          <w:sz w:val="44"/>
          <w:szCs w:val="44"/>
          <w14:textFill>
            <w14:solidFill>
              <w14:schemeClr w14:val="tx1"/>
            </w14:solidFill>
          </w14:textFill>
        </w:rPr>
        <w:br w:type="page"/>
      </w:r>
      <w:r>
        <w:rPr>
          <w:rFonts w:hint="eastAsia" w:hAnsi="宋体"/>
          <w:b/>
          <w:color w:val="000000" w:themeColor="text1"/>
          <w:sz w:val="44"/>
          <w:szCs w:val="44"/>
          <w14:textFill>
            <w14:solidFill>
              <w14:schemeClr w14:val="tx1"/>
            </w14:solidFill>
          </w14:textFill>
        </w:rPr>
        <w:t xml:space="preserve">                  </w:t>
      </w:r>
      <w:r>
        <w:rPr>
          <w:rFonts w:hint="eastAsia" w:hAnsi="宋体"/>
          <w:b/>
          <w:color w:val="000000" w:themeColor="text1"/>
          <w:sz w:val="36"/>
          <w:szCs w:val="36"/>
          <w14:textFill>
            <w14:solidFill>
              <w14:schemeClr w14:val="tx1"/>
            </w14:solidFill>
          </w14:textFill>
        </w:rPr>
        <w:t>目    录</w:t>
      </w:r>
    </w:p>
    <w:p>
      <w:pPr>
        <w:pStyle w:val="31"/>
        <w:spacing w:before="156" w:after="156" w:line="360" w:lineRule="auto"/>
        <w:jc w:val="center"/>
        <w:rPr>
          <w:rFonts w:hAnsi="宋体" w:eastAsia="仿宋_GB2312"/>
          <w:color w:val="000000" w:themeColor="text1"/>
          <w:sz w:val="32"/>
          <w:szCs w:val="32"/>
          <w14:textFill>
            <w14:solidFill>
              <w14:schemeClr w14:val="tx1"/>
            </w14:solidFill>
          </w14:textFill>
        </w:rPr>
      </w:pPr>
    </w:p>
    <w:p>
      <w:pPr>
        <w:pStyle w:val="40"/>
        <w:tabs>
          <w:tab w:val="right" w:leader="dot" w:pos="8834"/>
        </w:tabs>
        <w:rPr>
          <w:rFonts w:asciiTheme="minorHAnsi" w:hAnsiTheme="minorHAnsi" w:eastAsiaTheme="minorEastAsia" w:cstheme="minorBidi"/>
          <w:color w:val="000000" w:themeColor="text1"/>
          <w:sz w:val="21"/>
          <w:szCs w:val="22"/>
          <w14:textFill>
            <w14:solidFill>
              <w14:schemeClr w14:val="tx1"/>
            </w14:solidFill>
          </w14:textFill>
        </w:rPr>
      </w:pPr>
      <w:r>
        <w:rPr>
          <w:rFonts w:ascii="宋体" w:hAnsi="宋体" w:eastAsia="仿宋_GB2312"/>
          <w:color w:val="000000" w:themeColor="text1"/>
          <w:sz w:val="30"/>
          <w:szCs w:val="30"/>
          <w14:textFill>
            <w14:solidFill>
              <w14:schemeClr w14:val="tx1"/>
            </w14:solidFill>
          </w14:textFill>
        </w:rPr>
        <w:fldChar w:fldCharType="begin"/>
      </w:r>
      <w:r>
        <w:rPr>
          <w:rFonts w:ascii="宋体" w:hAnsi="宋体" w:eastAsia="仿宋_GB2312"/>
          <w:color w:val="000000" w:themeColor="text1"/>
          <w:sz w:val="30"/>
          <w:szCs w:val="30"/>
          <w14:textFill>
            <w14:solidFill>
              <w14:schemeClr w14:val="tx1"/>
            </w14:solidFill>
          </w14:textFill>
        </w:rPr>
        <w:instrText xml:space="preserve"> TOC \o "1-1" \h \z \u </w:instrText>
      </w:r>
      <w:r>
        <w:rPr>
          <w:rFonts w:ascii="宋体" w:hAnsi="宋体" w:eastAsia="仿宋_GB2312"/>
          <w:color w:val="000000" w:themeColor="text1"/>
          <w:sz w:val="30"/>
          <w:szCs w:val="30"/>
          <w14:textFill>
            <w14:solidFill>
              <w14:schemeClr w14:val="tx1"/>
            </w14:solidFill>
          </w14:textFill>
        </w:rPr>
        <w:fldChar w:fldCharType="separate"/>
      </w:r>
      <w:r>
        <w:fldChar w:fldCharType="begin"/>
      </w:r>
      <w:r>
        <w:instrText xml:space="preserve"> HYPERLINK \l "_Toc51935127" </w:instrText>
      </w:r>
      <w:r>
        <w:fldChar w:fldCharType="separate"/>
      </w:r>
      <w:r>
        <w:rPr>
          <w:rStyle w:val="68"/>
          <w:rFonts w:hint="eastAsia" w:hAnsi="宋体"/>
          <w:b/>
          <w:color w:val="000000" w:themeColor="text1"/>
          <w14:textFill>
            <w14:solidFill>
              <w14:schemeClr w14:val="tx1"/>
            </w14:solidFill>
          </w14:textFill>
        </w:rPr>
        <w:t>第一章</w:t>
      </w:r>
      <w:r>
        <w:rPr>
          <w:rStyle w:val="68"/>
          <w:rFonts w:hAnsi="宋体"/>
          <w:b/>
          <w:color w:val="000000" w:themeColor="text1"/>
          <w14:textFill>
            <w14:solidFill>
              <w14:schemeClr w14:val="tx1"/>
            </w14:solidFill>
          </w14:textFill>
        </w:rPr>
        <w:t xml:space="preserve">  </w:t>
      </w:r>
      <w:r>
        <w:rPr>
          <w:rStyle w:val="68"/>
          <w:rFonts w:hint="eastAsia" w:hAnsi="宋体"/>
          <w:b/>
          <w:color w:val="000000" w:themeColor="text1"/>
          <w14:textFill>
            <w14:solidFill>
              <w14:schemeClr w14:val="tx1"/>
            </w14:solidFill>
          </w14:textFill>
        </w:rPr>
        <w:t>公开招标采购公告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_Toc51935127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0"/>
        <w:tabs>
          <w:tab w:val="right" w:leader="dot" w:pos="8834"/>
        </w:tabs>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"_Toc51935128" </w:instrText>
      </w:r>
      <w:r>
        <w:fldChar w:fldCharType="separate"/>
      </w:r>
      <w:r>
        <w:rPr>
          <w:rStyle w:val="68"/>
          <w:rFonts w:hint="eastAsia" w:ascii="仿宋" w:hAnsi="仿宋"/>
          <w:b/>
          <w:color w:val="000000" w:themeColor="text1"/>
          <w14:textFill>
            <w14:solidFill>
              <w14:schemeClr w14:val="tx1"/>
            </w14:solidFill>
          </w14:textFill>
        </w:rPr>
        <w:t>第二章</w:t>
      </w:r>
      <w:r>
        <w:rPr>
          <w:rStyle w:val="68"/>
          <w:rFonts w:ascii="仿宋" w:hAnsi="仿宋"/>
          <w:b/>
          <w:color w:val="000000" w:themeColor="text1"/>
          <w14:textFill>
            <w14:solidFill>
              <w14:schemeClr w14:val="tx1"/>
            </w14:solidFill>
          </w14:textFill>
        </w:rPr>
        <w:t xml:space="preserve">  </w:t>
      </w:r>
      <w:r>
        <w:rPr>
          <w:rStyle w:val="68"/>
          <w:rFonts w:hint="eastAsia" w:ascii="仿宋" w:hAnsi="仿宋"/>
          <w:b/>
          <w:color w:val="000000" w:themeColor="text1"/>
          <w14:textFill>
            <w14:solidFill>
              <w14:schemeClr w14:val="tx1"/>
            </w14:solidFill>
          </w14:textFill>
        </w:rPr>
        <w:t>投标人须知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_Toc51935128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0"/>
        <w:tabs>
          <w:tab w:val="right" w:leader="dot" w:pos="8834"/>
        </w:tabs>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"_Toc51935129" </w:instrText>
      </w:r>
      <w:r>
        <w:fldChar w:fldCharType="separate"/>
      </w:r>
      <w:r>
        <w:rPr>
          <w:rStyle w:val="68"/>
          <w:rFonts w:hint="eastAsia" w:hAnsi="宋体"/>
          <w:b/>
          <w:color w:val="000000" w:themeColor="text1"/>
          <w14:textFill>
            <w14:solidFill>
              <w14:schemeClr w14:val="tx1"/>
            </w14:solidFill>
          </w14:textFill>
        </w:rPr>
        <w:t>第三章</w:t>
      </w:r>
      <w:r>
        <w:rPr>
          <w:rStyle w:val="68"/>
          <w:rFonts w:hAnsi="宋体"/>
          <w:b/>
          <w:color w:val="000000" w:themeColor="text1"/>
          <w14:textFill>
            <w14:solidFill>
              <w14:schemeClr w14:val="tx1"/>
            </w14:solidFill>
          </w14:textFill>
        </w:rPr>
        <w:t xml:space="preserve">  </w:t>
      </w:r>
      <w:r>
        <w:rPr>
          <w:rStyle w:val="68"/>
          <w:rFonts w:hint="eastAsia" w:hAnsi="宋体"/>
          <w:b/>
          <w:color w:val="000000" w:themeColor="text1"/>
          <w14:textFill>
            <w14:solidFill>
              <w14:schemeClr w14:val="tx1"/>
            </w14:solidFill>
          </w14:textFill>
        </w:rPr>
        <w:t>评标办法及评分标准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_Toc51935129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0"/>
        <w:tabs>
          <w:tab w:val="right" w:leader="dot" w:pos="8834"/>
        </w:tabs>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"_Toc51935130" </w:instrText>
      </w:r>
      <w:r>
        <w:fldChar w:fldCharType="separate"/>
      </w:r>
      <w:r>
        <w:rPr>
          <w:rStyle w:val="68"/>
          <w:rFonts w:hint="eastAsia" w:hAnsi="宋体"/>
          <w:b/>
          <w:color w:val="000000" w:themeColor="text1"/>
          <w14:textFill>
            <w14:solidFill>
              <w14:schemeClr w14:val="tx1"/>
            </w14:solidFill>
          </w14:textFill>
        </w:rPr>
        <w:t>第四章</w:t>
      </w:r>
      <w:r>
        <w:rPr>
          <w:rStyle w:val="68"/>
          <w:rFonts w:hAnsi="宋体"/>
          <w:b/>
          <w:color w:val="000000" w:themeColor="text1"/>
          <w14:textFill>
            <w14:solidFill>
              <w14:schemeClr w14:val="tx1"/>
            </w14:solidFill>
          </w14:textFill>
        </w:rPr>
        <w:t xml:space="preserve">  </w:t>
      </w:r>
      <w:r>
        <w:rPr>
          <w:rStyle w:val="68"/>
          <w:rFonts w:hint="eastAsia" w:hAnsi="宋体"/>
          <w:b/>
          <w:color w:val="000000" w:themeColor="text1"/>
          <w14:textFill>
            <w14:solidFill>
              <w14:schemeClr w14:val="tx1"/>
            </w14:solidFill>
          </w14:textFill>
        </w:rPr>
        <w:t>招标需求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_Toc51935130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0"/>
        <w:tabs>
          <w:tab w:val="right" w:leader="dot" w:pos="8834"/>
        </w:tabs>
        <w:rPr>
          <w:rFonts w:asciiTheme="minorHAnsi" w:hAnsiTheme="minorHAnsi" w:eastAsiaTheme="minorEastAsia" w:cstheme="minorBidi"/>
          <w:b/>
          <w:color w:val="000000" w:themeColor="text1"/>
          <w:sz w:val="21"/>
          <w:szCs w:val="22"/>
          <w14:textFill>
            <w14:solidFill>
              <w14:schemeClr w14:val="tx1"/>
            </w14:solidFill>
          </w14:textFill>
        </w:rPr>
      </w:pPr>
      <w:r>
        <w:fldChar w:fldCharType="begin"/>
      </w:r>
      <w:r>
        <w:instrText xml:space="preserve"> HYPERLINK \l "_Toc51935132" </w:instrText>
      </w:r>
      <w:r>
        <w:fldChar w:fldCharType="separate"/>
      </w:r>
      <w:r>
        <w:rPr>
          <w:rStyle w:val="68"/>
          <w:rFonts w:hint="eastAsia" w:ascii="仿宋" w:hAnsi="仿宋"/>
          <w:b/>
          <w:color w:val="000000" w:themeColor="text1"/>
          <w14:textFill>
            <w14:solidFill>
              <w14:schemeClr w14:val="tx1"/>
            </w14:solidFill>
          </w14:textFill>
        </w:rPr>
        <w:t>第五章</w:t>
      </w:r>
      <w:r>
        <w:rPr>
          <w:rStyle w:val="68"/>
          <w:rFonts w:ascii="仿宋" w:hAnsi="仿宋"/>
          <w:b/>
          <w:color w:val="000000" w:themeColor="text1"/>
          <w14:textFill>
            <w14:solidFill>
              <w14:schemeClr w14:val="tx1"/>
            </w14:solidFill>
          </w14:textFill>
        </w:rPr>
        <w:t xml:space="preserve">  </w:t>
      </w:r>
      <w:r>
        <w:rPr>
          <w:rStyle w:val="68"/>
          <w:rFonts w:hint="eastAsia" w:ascii="宋体" w:hAnsi="宋体"/>
          <w:b/>
          <w:color w:val="000000" w:themeColor="text1"/>
          <w14:textFill>
            <w14:solidFill>
              <w14:schemeClr w14:val="tx1"/>
            </w14:solidFill>
          </w14:textFill>
        </w:rPr>
        <w:t>采购合同（模板）</w:t>
      </w:r>
      <w:r>
        <w:rPr>
          <w:b/>
          <w:color w:val="000000" w:themeColor="text1"/>
          <w14:textFill>
            <w14:solidFill>
              <w14:schemeClr w14:val="tx1"/>
            </w14:solidFill>
          </w14:textFill>
        </w:rPr>
        <w:tab/>
      </w: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PAGEREF _Toc51935132 \h </w:instrText>
      </w:r>
      <w:r>
        <w:rPr>
          <w:b/>
          <w:color w:val="000000" w:themeColor="text1"/>
          <w14:textFill>
            <w14:solidFill>
              <w14:schemeClr w14:val="tx1"/>
            </w14:solidFill>
          </w14:textFill>
        </w:rPr>
        <w:fldChar w:fldCharType="separate"/>
      </w:r>
      <w:r>
        <w:rPr>
          <w:b/>
          <w:color w:val="000000" w:themeColor="text1"/>
          <w14:textFill>
            <w14:solidFill>
              <w14:schemeClr w14:val="tx1"/>
            </w14:solidFill>
          </w14:textFill>
        </w:rPr>
        <w:t>73</w:t>
      </w:r>
      <w:r>
        <w:rPr>
          <w:b/>
          <w:color w:val="000000" w:themeColor="text1"/>
          <w14:textFill>
            <w14:solidFill>
              <w14:schemeClr w14:val="tx1"/>
            </w14:solidFill>
          </w14:textFill>
        </w:rPr>
        <w:fldChar w:fldCharType="end"/>
      </w:r>
      <w:r>
        <w:rPr>
          <w:b/>
          <w:color w:val="000000" w:themeColor="text1"/>
          <w14:textFill>
            <w14:solidFill>
              <w14:schemeClr w14:val="tx1"/>
            </w14:solidFill>
          </w14:textFill>
        </w:rPr>
        <w:fldChar w:fldCharType="end"/>
      </w:r>
    </w:p>
    <w:p>
      <w:pPr>
        <w:pStyle w:val="40"/>
        <w:tabs>
          <w:tab w:val="right" w:leader="dot" w:pos="8834"/>
        </w:tabs>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"_Toc51935133" </w:instrText>
      </w:r>
      <w:r>
        <w:fldChar w:fldCharType="separate"/>
      </w:r>
      <w:r>
        <w:rPr>
          <w:rStyle w:val="68"/>
          <w:rFonts w:hint="eastAsia" w:hAnsi="宋体"/>
          <w:b/>
          <w:color w:val="000000" w:themeColor="text1"/>
          <w14:textFill>
            <w14:solidFill>
              <w14:schemeClr w14:val="tx1"/>
            </w14:solidFill>
          </w14:textFill>
        </w:rPr>
        <w:t>第六章</w:t>
      </w:r>
      <w:r>
        <w:rPr>
          <w:rStyle w:val="68"/>
          <w:rFonts w:hAnsi="宋体"/>
          <w:b/>
          <w:color w:val="000000" w:themeColor="text1"/>
          <w14:textFill>
            <w14:solidFill>
              <w14:schemeClr w14:val="tx1"/>
            </w14:solidFill>
          </w14:textFill>
        </w:rPr>
        <w:t xml:space="preserve">  </w:t>
      </w:r>
      <w:r>
        <w:rPr>
          <w:rStyle w:val="68"/>
          <w:rFonts w:hint="eastAsia" w:hAnsi="宋体"/>
          <w:b/>
          <w:color w:val="000000" w:themeColor="text1"/>
          <w14:textFill>
            <w14:solidFill>
              <w14:schemeClr w14:val="tx1"/>
            </w14:solidFill>
          </w14:textFill>
        </w:rPr>
        <w:t>投标文件格式附件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_Toc51935133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spacing w:before="156" w:beforeLines="50" w:line="480" w:lineRule="exact"/>
        <w:ind w:left="165"/>
        <w:rPr>
          <w:rFonts w:ascii="宋体" w:hAnsi="宋体" w:eastAsia="仿宋_GB2312"/>
          <w:color w:val="000000" w:themeColor="text1"/>
          <w:sz w:val="30"/>
          <w:szCs w:val="30"/>
          <w14:textFill>
            <w14:solidFill>
              <w14:schemeClr w14:val="tx1"/>
            </w14:solidFill>
          </w14:textFill>
        </w:rPr>
      </w:pPr>
      <w:r>
        <w:rPr>
          <w:rFonts w:ascii="宋体" w:hAnsi="宋体" w:eastAsia="仿宋_GB2312"/>
          <w:color w:val="000000" w:themeColor="text1"/>
          <w:sz w:val="30"/>
          <w:szCs w:val="30"/>
          <w14:textFill>
            <w14:solidFill>
              <w14:schemeClr w14:val="tx1"/>
            </w14:solidFill>
          </w14:textFill>
        </w:rPr>
        <w:fldChar w:fldCharType="end"/>
      </w:r>
    </w:p>
    <w:p>
      <w:pPr>
        <w:pStyle w:val="31"/>
        <w:spacing w:before="156" w:after="156" w:line="360" w:lineRule="auto"/>
        <w:ind w:firstLine="640"/>
        <w:jc w:val="center"/>
        <w:outlineLvl w:val="0"/>
        <w:rPr>
          <w:rFonts w:hAnsi="宋体"/>
          <w:b/>
          <w:color w:val="000000" w:themeColor="text1"/>
          <w:sz w:val="36"/>
          <w:szCs w:val="36"/>
          <w14:textFill>
            <w14:solidFill>
              <w14:schemeClr w14:val="tx1"/>
            </w14:solidFill>
          </w14:textFill>
        </w:rPr>
      </w:pPr>
      <w:r>
        <w:rPr>
          <w:rFonts w:hAnsi="宋体" w:eastAsia="仿宋_GB2312"/>
          <w:color w:val="000000" w:themeColor="text1"/>
          <w:sz w:val="32"/>
          <w:szCs w:val="32"/>
          <w14:textFill>
            <w14:solidFill>
              <w14:schemeClr w14:val="tx1"/>
            </w14:solidFill>
          </w14:textFill>
        </w:rPr>
        <w:br w:type="page"/>
      </w:r>
      <w:bookmarkStart w:id="1" w:name="_Toc51935127"/>
      <w:r>
        <w:rPr>
          <w:rFonts w:hint="eastAsia" w:hAnsi="宋体"/>
          <w:b/>
          <w:color w:val="000000" w:themeColor="text1"/>
          <w:sz w:val="36"/>
          <w:szCs w:val="36"/>
          <w14:textFill>
            <w14:solidFill>
              <w14:schemeClr w14:val="tx1"/>
            </w14:solidFill>
          </w14:textFill>
        </w:rPr>
        <w:t>第一章  公开招标采购公告</w:t>
      </w:r>
      <w:bookmarkEnd w:id="1"/>
    </w:p>
    <w:p>
      <w:pPr>
        <w:pStyle w:val="397"/>
        <w:widowControl w:val="0"/>
        <w:spacing w:afterLines="0" w:line="460" w:lineRule="exact"/>
        <w:ind w:firstLine="56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themeColor="text1"/>
          <w:sz w:val="30"/>
          <w:szCs w:val="30"/>
          <w14:textFill>
            <w14:solidFill>
              <w14:schemeClr w14:val="tx1"/>
            </w14:solidFill>
          </w14:textFill>
        </w:rPr>
        <w:t>：</w:t>
      </w:r>
    </w:p>
    <w:p>
      <w:pPr>
        <w:snapToGrid w:val="0"/>
        <w:spacing w:line="276" w:lineRule="auto"/>
        <w:rPr>
          <w:rFonts w:ascii="仿宋" w:hAnsi="仿宋" w:eastAsia="仿宋" w:cs="Arial"/>
          <w:b/>
          <w:color w:val="000000" w:themeColor="text1"/>
          <w:sz w:val="30"/>
          <w:szCs w:val="30"/>
          <w14:textFill>
            <w14:solidFill>
              <w14:schemeClr w14:val="tx1"/>
            </w14:solidFill>
          </w14:textFill>
        </w:rPr>
      </w:pPr>
    </w:p>
    <w:p>
      <w:pPr>
        <w:snapToGrid w:val="0"/>
        <w:spacing w:line="276" w:lineRule="auto"/>
        <w:ind w:firstLine="602" w:firstLineChars="200"/>
        <w:rPr>
          <w:rFonts w:ascii="仿宋" w:hAnsi="仿宋" w:eastAsia="仿宋" w:cs="Arial"/>
          <w:b/>
          <w:color w:val="000000" w:themeColor="text1"/>
          <w:sz w:val="30"/>
          <w:szCs w:val="30"/>
          <w14:textFill>
            <w14:solidFill>
              <w14:schemeClr w14:val="tx1"/>
            </w14:solidFill>
          </w14:textFill>
        </w:rPr>
      </w:pPr>
      <w:r>
        <w:rPr>
          <w:rFonts w:hint="eastAsia" w:ascii="仿宋" w:hAnsi="仿宋" w:eastAsia="仿宋" w:cs="Arial"/>
          <w:b/>
          <w:color w:val="000000" w:themeColor="text1"/>
          <w:sz w:val="30"/>
          <w:szCs w:val="30"/>
          <w14:textFill>
            <w14:solidFill>
              <w14:schemeClr w14:val="tx1"/>
            </w14:solidFill>
          </w14:textFill>
        </w:rPr>
        <w:t>一、项目编号：</w:t>
      </w:r>
      <w:r>
        <w:rPr>
          <w:rFonts w:ascii="仿宋" w:hAnsi="仿宋" w:eastAsia="仿宋" w:cs="Arial"/>
          <w:b/>
          <w:color w:val="000000" w:themeColor="text1"/>
          <w:sz w:val="30"/>
          <w:szCs w:val="30"/>
          <w14:textFill>
            <w14:solidFill>
              <w14:schemeClr w14:val="tx1"/>
            </w14:solidFill>
          </w14:textFill>
        </w:rPr>
        <w:t>ZB2021-03</w:t>
      </w:r>
    </w:p>
    <w:p>
      <w:pPr>
        <w:snapToGrid w:val="0"/>
        <w:spacing w:line="276" w:lineRule="auto"/>
        <w:ind w:firstLine="602" w:firstLineChars="200"/>
        <w:rPr>
          <w:rFonts w:ascii="仿宋" w:hAnsi="仿宋" w:eastAsia="仿宋" w:cs="Arial"/>
          <w:b/>
          <w:color w:val="000000" w:themeColor="text1"/>
          <w:sz w:val="30"/>
          <w:szCs w:val="30"/>
          <w14:textFill>
            <w14:solidFill>
              <w14:schemeClr w14:val="tx1"/>
            </w14:solidFill>
          </w14:textFill>
        </w:rPr>
      </w:pPr>
    </w:p>
    <w:p>
      <w:pPr>
        <w:snapToGrid w:val="0"/>
        <w:spacing w:line="276" w:lineRule="auto"/>
        <w:ind w:firstLine="602" w:firstLineChars="200"/>
        <w:rPr>
          <w:rFonts w:ascii="仿宋" w:hAnsi="仿宋" w:eastAsia="仿宋" w:cs="Arial"/>
          <w:b/>
          <w:color w:val="000000" w:themeColor="text1"/>
          <w:sz w:val="30"/>
          <w:szCs w:val="30"/>
          <w14:textFill>
            <w14:solidFill>
              <w14:schemeClr w14:val="tx1"/>
            </w14:solidFill>
          </w14:textFill>
        </w:rPr>
      </w:pPr>
      <w:r>
        <w:rPr>
          <w:rFonts w:hint="eastAsia" w:ascii="仿宋" w:hAnsi="仿宋" w:eastAsia="仿宋" w:cs="Arial"/>
          <w:b/>
          <w:color w:val="000000" w:themeColor="text1"/>
          <w:sz w:val="30"/>
          <w:szCs w:val="30"/>
          <w14:textFill>
            <w14:solidFill>
              <w14:schemeClr w14:val="tx1"/>
            </w14:solidFill>
          </w14:textFill>
        </w:rPr>
        <w:t>二、公告期限：5个工作日</w:t>
      </w:r>
    </w:p>
    <w:p>
      <w:pPr>
        <w:snapToGrid w:val="0"/>
        <w:spacing w:line="276" w:lineRule="auto"/>
        <w:ind w:firstLine="602" w:firstLineChars="200"/>
        <w:rPr>
          <w:rFonts w:ascii="仿宋" w:hAnsi="仿宋" w:eastAsia="仿宋" w:cs="Arial"/>
          <w:b/>
          <w:color w:val="000000" w:themeColor="text1"/>
          <w:sz w:val="30"/>
          <w:szCs w:val="30"/>
          <w14:textFill>
            <w14:solidFill>
              <w14:schemeClr w14:val="tx1"/>
            </w14:solidFill>
          </w14:textFill>
        </w:rPr>
      </w:pPr>
    </w:p>
    <w:p>
      <w:pPr>
        <w:snapToGrid w:val="0"/>
        <w:spacing w:line="276" w:lineRule="auto"/>
        <w:ind w:firstLine="602" w:firstLineChars="200"/>
        <w:rPr>
          <w:rFonts w:ascii="仿宋" w:hAnsi="仿宋" w:eastAsia="仿宋" w:cs="Arial"/>
          <w:b/>
          <w:color w:val="000000" w:themeColor="text1"/>
          <w:sz w:val="30"/>
          <w:szCs w:val="30"/>
          <w14:textFill>
            <w14:solidFill>
              <w14:schemeClr w14:val="tx1"/>
            </w14:solidFill>
          </w14:textFill>
        </w:rPr>
      </w:pPr>
      <w:r>
        <w:rPr>
          <w:rFonts w:hint="eastAsia" w:ascii="仿宋" w:hAnsi="仿宋" w:eastAsia="仿宋" w:cs="Arial"/>
          <w:b/>
          <w:color w:val="000000" w:themeColor="text1"/>
          <w:sz w:val="30"/>
          <w:szCs w:val="30"/>
          <w14:textFill>
            <w14:solidFill>
              <w14:schemeClr w14:val="tx1"/>
            </w14:solidFill>
          </w14:textFill>
        </w:rPr>
        <w:t>三、采购项目内容、数量及预算</w:t>
      </w:r>
      <w:bookmarkStart w:id="2" w:name="PO_15528_PM004"/>
      <w:r>
        <w:rPr>
          <w:rFonts w:ascii="仿宋" w:hAnsi="仿宋" w:eastAsia="仿宋" w:cs="Arial"/>
          <w:b/>
          <w:color w:val="000000" w:themeColor="text1"/>
          <w:sz w:val="30"/>
          <w:szCs w:val="30"/>
          <w14:textFill>
            <w14:solidFill>
              <w14:schemeClr w14:val="tx1"/>
            </w14:solidFill>
          </w14:textFill>
        </w:rPr>
        <w:t xml:space="preserve"> </w:t>
      </w:r>
    </w:p>
    <w:tbl>
      <w:tblPr>
        <w:tblStyle w:val="59"/>
        <w:tblW w:w="48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1170"/>
        <w:gridCol w:w="1282"/>
        <w:gridCol w:w="1701"/>
        <w:gridCol w:w="1129"/>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391" w:type="pct"/>
          </w:tcPr>
          <w:p>
            <w:pPr>
              <w:snapToGrid w:val="0"/>
              <w:spacing w:after="156"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标项序号</w:t>
            </w:r>
          </w:p>
        </w:tc>
        <w:tc>
          <w:tcPr>
            <w:tcW w:w="709" w:type="pct"/>
          </w:tcPr>
          <w:p>
            <w:pPr>
              <w:snapToGrid w:val="0"/>
              <w:spacing w:after="156"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标项名 称</w:t>
            </w:r>
          </w:p>
        </w:tc>
        <w:tc>
          <w:tcPr>
            <w:tcW w:w="777" w:type="pct"/>
          </w:tcPr>
          <w:p>
            <w:pPr>
              <w:snapToGrid w:val="0"/>
              <w:spacing w:after="156"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预算金额</w:t>
            </w:r>
            <w:r>
              <w:rPr>
                <w:rFonts w:ascii="仿宋" w:hAnsi="仿宋" w:eastAsia="仿宋" w:cs="Arial"/>
                <w:b/>
                <w:color w:val="000000" w:themeColor="text1"/>
                <w:sz w:val="28"/>
                <w:szCs w:val="28"/>
                <w14:textFill>
                  <w14:solidFill>
                    <w14:schemeClr w14:val="tx1"/>
                  </w14:solidFill>
                </w14:textFill>
              </w:rPr>
              <w:t>(万元)</w:t>
            </w:r>
          </w:p>
        </w:tc>
        <w:tc>
          <w:tcPr>
            <w:tcW w:w="1031" w:type="pct"/>
          </w:tcPr>
          <w:p>
            <w:pPr>
              <w:snapToGrid w:val="0"/>
              <w:spacing w:after="156"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简要规格描述或标项基本概况介绍</w:t>
            </w:r>
          </w:p>
        </w:tc>
        <w:tc>
          <w:tcPr>
            <w:tcW w:w="684" w:type="pct"/>
          </w:tcPr>
          <w:p>
            <w:pPr>
              <w:snapToGrid w:val="0"/>
              <w:spacing w:after="156"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最高限价</w:t>
            </w:r>
            <w:r>
              <w:rPr>
                <w:rFonts w:ascii="仿宋" w:hAnsi="仿宋" w:eastAsia="仿宋" w:cs="Arial"/>
                <w:b/>
                <w:color w:val="000000" w:themeColor="text1"/>
                <w:sz w:val="28"/>
                <w:szCs w:val="28"/>
                <w14:textFill>
                  <w14:solidFill>
                    <w14:schemeClr w14:val="tx1"/>
                  </w14:solidFill>
                </w14:textFill>
              </w:rPr>
              <w:t>(万元)</w:t>
            </w:r>
          </w:p>
        </w:tc>
        <w:tc>
          <w:tcPr>
            <w:tcW w:w="1408" w:type="pct"/>
          </w:tcPr>
          <w:p>
            <w:pPr>
              <w:snapToGrid w:val="0"/>
              <w:spacing w:after="156"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391" w:type="pct"/>
          </w:tcPr>
          <w:p>
            <w:pPr>
              <w:snapToGrid w:val="0"/>
              <w:spacing w:after="156" w:afterLines="50" w:line="4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1</w:t>
            </w:r>
          </w:p>
        </w:tc>
        <w:tc>
          <w:tcPr>
            <w:tcW w:w="709" w:type="pct"/>
          </w:tcPr>
          <w:p>
            <w:pPr>
              <w:snapToGrid w:val="0"/>
              <w:spacing w:after="156" w:afterLines="50" w:line="4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电视字幕系统服务</w:t>
            </w:r>
          </w:p>
        </w:tc>
        <w:tc>
          <w:tcPr>
            <w:tcW w:w="777" w:type="pct"/>
          </w:tcPr>
          <w:p>
            <w:pPr>
              <w:snapToGrid w:val="0"/>
              <w:spacing w:after="156" w:afterLines="50" w:line="4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312.8</w:t>
            </w:r>
          </w:p>
        </w:tc>
        <w:tc>
          <w:tcPr>
            <w:tcW w:w="1031" w:type="pct"/>
          </w:tcPr>
          <w:p>
            <w:pPr>
              <w:snapToGrid w:val="0"/>
              <w:spacing w:after="156" w:afterLines="50" w:line="4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详见采购文件第四章招标需求</w:t>
            </w:r>
          </w:p>
        </w:tc>
        <w:tc>
          <w:tcPr>
            <w:tcW w:w="684" w:type="pct"/>
          </w:tcPr>
          <w:p>
            <w:pPr>
              <w:snapToGrid w:val="0"/>
              <w:spacing w:after="156" w:afterLines="50" w:line="460" w:lineRule="exact"/>
              <w:rPr>
                <w:rFonts w:ascii="仿宋" w:hAnsi="仿宋" w:eastAsia="仿宋" w:cs="Arial"/>
                <w:color w:val="000000" w:themeColor="text1"/>
                <w:sz w:val="28"/>
                <w:szCs w:val="28"/>
                <w14:textFill>
                  <w14:solidFill>
                    <w14:schemeClr w14:val="tx1"/>
                  </w14:solidFill>
                </w14:textFill>
              </w:rPr>
            </w:pPr>
          </w:p>
        </w:tc>
        <w:tc>
          <w:tcPr>
            <w:tcW w:w="1408" w:type="pct"/>
          </w:tcPr>
          <w:p>
            <w:pPr>
              <w:snapToGrid w:val="0"/>
              <w:spacing w:after="156" w:afterLines="50" w:line="4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所有项目4K</w:t>
            </w:r>
          </w:p>
          <w:p>
            <w:pPr>
              <w:snapToGrid w:val="0"/>
              <w:spacing w:after="156" w:afterLines="50" w:line="4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包干所有费用（除差旅、住宿费用）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391" w:type="pct"/>
          </w:tcPr>
          <w:p>
            <w:pPr>
              <w:snapToGrid w:val="0"/>
              <w:spacing w:after="156" w:afterLines="50" w:line="4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2</w:t>
            </w:r>
          </w:p>
        </w:tc>
        <w:tc>
          <w:tcPr>
            <w:tcW w:w="709" w:type="pct"/>
          </w:tcPr>
          <w:p>
            <w:pPr>
              <w:snapToGrid w:val="0"/>
              <w:spacing w:after="156" w:afterLines="50" w:line="4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计时记分系统服务</w:t>
            </w:r>
          </w:p>
        </w:tc>
        <w:tc>
          <w:tcPr>
            <w:tcW w:w="777" w:type="pct"/>
          </w:tcPr>
          <w:p>
            <w:pPr>
              <w:snapToGrid w:val="0"/>
              <w:spacing w:after="156" w:afterLines="50" w:line="4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991.5</w:t>
            </w:r>
          </w:p>
        </w:tc>
        <w:tc>
          <w:tcPr>
            <w:tcW w:w="1031" w:type="pct"/>
          </w:tcPr>
          <w:p>
            <w:pPr>
              <w:snapToGrid w:val="0"/>
              <w:spacing w:after="156" w:afterLines="50" w:line="4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详见采购文件第四章招标需求</w:t>
            </w:r>
          </w:p>
        </w:tc>
        <w:tc>
          <w:tcPr>
            <w:tcW w:w="684" w:type="pct"/>
          </w:tcPr>
          <w:p>
            <w:pPr>
              <w:snapToGrid w:val="0"/>
              <w:spacing w:after="156" w:afterLines="50" w:line="460" w:lineRule="exact"/>
              <w:rPr>
                <w:rFonts w:ascii="仿宋" w:hAnsi="仿宋" w:eastAsia="仿宋" w:cs="Arial"/>
                <w:color w:val="000000" w:themeColor="text1"/>
                <w:sz w:val="28"/>
                <w:szCs w:val="28"/>
                <w14:textFill>
                  <w14:solidFill>
                    <w14:schemeClr w14:val="tx1"/>
                  </w14:solidFill>
                </w14:textFill>
              </w:rPr>
            </w:pPr>
          </w:p>
        </w:tc>
        <w:tc>
          <w:tcPr>
            <w:tcW w:w="1408" w:type="pct"/>
          </w:tcPr>
          <w:p>
            <w:pPr>
              <w:snapToGrid w:val="0"/>
              <w:spacing w:after="156" w:afterLines="50" w:line="4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包干所有费用（除差旅、住宿费用）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jc w:val="center"/>
        </w:trPr>
        <w:tc>
          <w:tcPr>
            <w:tcW w:w="391" w:type="pct"/>
          </w:tcPr>
          <w:p>
            <w:pPr>
              <w:snapToGrid w:val="0"/>
              <w:spacing w:after="156" w:afterLines="50" w:line="4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3</w:t>
            </w:r>
          </w:p>
        </w:tc>
        <w:tc>
          <w:tcPr>
            <w:tcW w:w="709" w:type="pct"/>
          </w:tcPr>
          <w:p>
            <w:pPr>
              <w:snapToGrid w:val="0"/>
              <w:spacing w:after="156" w:afterLines="50" w:line="4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竞赛视频系统服务</w:t>
            </w:r>
          </w:p>
        </w:tc>
        <w:tc>
          <w:tcPr>
            <w:tcW w:w="777" w:type="pct"/>
          </w:tcPr>
          <w:p>
            <w:pPr>
              <w:snapToGrid w:val="0"/>
              <w:spacing w:after="156" w:afterLines="50" w:line="4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390</w:t>
            </w:r>
          </w:p>
        </w:tc>
        <w:tc>
          <w:tcPr>
            <w:tcW w:w="1031" w:type="pct"/>
          </w:tcPr>
          <w:p>
            <w:pPr>
              <w:snapToGrid w:val="0"/>
              <w:spacing w:after="156" w:afterLines="50" w:line="4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详见采购文件第四章招标需求</w:t>
            </w:r>
          </w:p>
        </w:tc>
        <w:tc>
          <w:tcPr>
            <w:tcW w:w="684" w:type="pct"/>
          </w:tcPr>
          <w:p>
            <w:pPr>
              <w:snapToGrid w:val="0"/>
              <w:spacing w:after="156" w:afterLines="50" w:line="460" w:lineRule="exact"/>
              <w:rPr>
                <w:rFonts w:ascii="仿宋" w:hAnsi="仿宋" w:eastAsia="仿宋" w:cs="Arial"/>
                <w:color w:val="000000" w:themeColor="text1"/>
                <w:sz w:val="28"/>
                <w:szCs w:val="28"/>
                <w14:textFill>
                  <w14:solidFill>
                    <w14:schemeClr w14:val="tx1"/>
                  </w14:solidFill>
                </w14:textFill>
              </w:rPr>
            </w:pPr>
          </w:p>
        </w:tc>
        <w:tc>
          <w:tcPr>
            <w:tcW w:w="1408" w:type="pct"/>
          </w:tcPr>
          <w:p>
            <w:pPr>
              <w:snapToGrid w:val="0"/>
              <w:spacing w:after="156" w:afterLines="50" w:line="4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包干所有费用（除差旅、住宿费用）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391" w:type="pct"/>
          </w:tcPr>
          <w:p>
            <w:pPr>
              <w:snapToGrid w:val="0"/>
              <w:spacing w:after="156" w:afterLines="50" w:line="4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4</w:t>
            </w:r>
          </w:p>
        </w:tc>
        <w:tc>
          <w:tcPr>
            <w:tcW w:w="709" w:type="pct"/>
          </w:tcPr>
          <w:p>
            <w:pPr>
              <w:snapToGrid w:val="0"/>
              <w:spacing w:after="156" w:afterLines="50" w:line="4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综合及场馆成绩系统服务</w:t>
            </w:r>
          </w:p>
        </w:tc>
        <w:tc>
          <w:tcPr>
            <w:tcW w:w="777" w:type="pct"/>
          </w:tcPr>
          <w:p>
            <w:pPr>
              <w:snapToGrid w:val="0"/>
              <w:spacing w:after="156" w:afterLines="50" w:line="4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974.5</w:t>
            </w:r>
          </w:p>
        </w:tc>
        <w:tc>
          <w:tcPr>
            <w:tcW w:w="1031" w:type="pct"/>
          </w:tcPr>
          <w:p>
            <w:pPr>
              <w:snapToGrid w:val="0"/>
              <w:spacing w:after="156" w:afterLines="50" w:line="4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详见采购文件第四章招标需求</w:t>
            </w:r>
          </w:p>
        </w:tc>
        <w:tc>
          <w:tcPr>
            <w:tcW w:w="684" w:type="pct"/>
          </w:tcPr>
          <w:p>
            <w:pPr>
              <w:snapToGrid w:val="0"/>
              <w:spacing w:after="156" w:afterLines="50" w:line="460" w:lineRule="exact"/>
              <w:rPr>
                <w:rFonts w:ascii="仿宋" w:hAnsi="仿宋" w:eastAsia="仿宋" w:cs="Arial"/>
                <w:color w:val="000000" w:themeColor="text1"/>
                <w:sz w:val="28"/>
                <w:szCs w:val="28"/>
                <w14:textFill>
                  <w14:solidFill>
                    <w14:schemeClr w14:val="tx1"/>
                  </w14:solidFill>
                </w14:textFill>
              </w:rPr>
            </w:pPr>
          </w:p>
        </w:tc>
        <w:tc>
          <w:tcPr>
            <w:tcW w:w="1408" w:type="pct"/>
          </w:tcPr>
          <w:p>
            <w:pPr>
              <w:snapToGrid w:val="0"/>
              <w:spacing w:after="156" w:afterLines="50" w:line="460" w:lineRule="exac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包干所有费用（除差旅、住宿费用）</w:t>
            </w:r>
          </w:p>
        </w:tc>
      </w:tr>
    </w:tbl>
    <w:p>
      <w:pPr>
        <w:snapToGrid w:val="0"/>
        <w:spacing w:after="156" w:afterLines="50" w:line="460" w:lineRule="exact"/>
        <w:ind w:firstLine="562" w:firstLineChars="200"/>
        <w:rPr>
          <w:rFonts w:ascii="仿宋" w:hAnsi="仿宋" w:eastAsia="仿宋" w:cs="Arial"/>
          <w:b/>
          <w:bCs/>
          <w:color w:val="000000" w:themeColor="text1"/>
          <w:sz w:val="30"/>
          <w:szCs w:val="30"/>
          <w14:textFill>
            <w14:solidFill>
              <w14:schemeClr w14:val="tx1"/>
            </w14:solidFill>
          </w14:textFill>
        </w:rPr>
      </w:pPr>
      <w:r>
        <w:rPr>
          <w:rFonts w:ascii="仿宋" w:hAnsi="仿宋" w:eastAsia="仿宋" w:cs="Arial"/>
          <w:b/>
          <w:color w:val="000000" w:themeColor="text1"/>
          <w:sz w:val="28"/>
          <w:szCs w:val="28"/>
          <w14:textFill>
            <w14:solidFill>
              <w14:schemeClr w14:val="tx1"/>
            </w14:solidFill>
          </w14:textFill>
        </w:rPr>
        <w:t xml:space="preserve"> </w:t>
      </w:r>
      <w:bookmarkEnd w:id="2"/>
    </w:p>
    <w:p>
      <w:pPr>
        <w:snapToGrid w:val="0"/>
        <w:spacing w:line="46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四、合格投标人的资格要求</w:t>
      </w:r>
    </w:p>
    <w:p>
      <w:pPr>
        <w:numPr>
          <w:ilvl w:val="0"/>
          <w:numId w:val="30"/>
        </w:numPr>
        <w:tabs>
          <w:tab w:val="clear" w:pos="786"/>
        </w:tabs>
        <w:snapToGrid w:val="0"/>
        <w:spacing w:line="460" w:lineRule="exact"/>
        <w:ind w:firstLine="560" w:firstLineChars="200"/>
        <w:rPr>
          <w:rFonts w:ascii="仿宋" w:hAnsi="仿宋" w:eastAsia="仿宋" w:cs="Arial"/>
          <w:bCs/>
          <w:color w:val="000000" w:themeColor="text1"/>
          <w:sz w:val="28"/>
          <w:szCs w:val="28"/>
          <w14:textFill>
            <w14:solidFill>
              <w14:schemeClr w14:val="tx1"/>
            </w14:solidFill>
          </w14:textFill>
        </w:rPr>
      </w:pPr>
      <w:r>
        <w:rPr>
          <w:rFonts w:hint="eastAsia" w:ascii="仿宋" w:hAnsi="仿宋" w:eastAsia="仿宋" w:cs="Arial"/>
          <w:bCs/>
          <w:color w:val="000000" w:themeColor="text1"/>
          <w:sz w:val="28"/>
          <w:szCs w:val="28"/>
          <w14:textFill>
            <w14:solidFill>
              <w14:schemeClr w14:val="tx1"/>
            </w14:solidFill>
          </w14:textFill>
        </w:rPr>
        <w:t>符合《中华人民共和国政府采购法》第二十二条的规定；</w:t>
      </w:r>
    </w:p>
    <w:p>
      <w:pPr>
        <w:numPr>
          <w:ilvl w:val="0"/>
          <w:numId w:val="30"/>
        </w:numPr>
        <w:tabs>
          <w:tab w:val="clear" w:pos="786"/>
        </w:tabs>
        <w:snapToGrid w:val="0"/>
        <w:spacing w:line="460" w:lineRule="exact"/>
        <w:ind w:firstLine="560" w:firstLineChars="200"/>
        <w:rPr>
          <w:rFonts w:ascii="仿宋" w:hAnsi="仿宋" w:eastAsia="仿宋" w:cs="Arial"/>
          <w:bCs/>
          <w:color w:val="000000" w:themeColor="text1"/>
          <w:sz w:val="28"/>
          <w:szCs w:val="28"/>
          <w14:textFill>
            <w14:solidFill>
              <w14:schemeClr w14:val="tx1"/>
            </w14:solidFill>
          </w14:textFill>
        </w:rPr>
      </w:pPr>
      <w:r>
        <w:rPr>
          <w:rFonts w:hint="eastAsia" w:ascii="仿宋" w:hAnsi="仿宋" w:eastAsia="仿宋" w:cs="Arial"/>
          <w:bCs/>
          <w:color w:val="000000" w:themeColor="text1"/>
          <w:sz w:val="28"/>
          <w:szCs w:val="28"/>
          <w14:textFill>
            <w14:solidFill>
              <w14:schemeClr w14:val="tx1"/>
            </w14:solidFill>
          </w14:textFill>
        </w:rPr>
        <w:t>投标人不得为“信用中国”网站（www.creditchina.gov.cn）中列入失信被执行人和重大税收违法案件当事人名单的供应商，不得为中国政府采购网（www.ccgp.gov.cn）政府采购严重违法失信行为记录名单中的供应商（处罚决定规定的时间和地域范围内）；</w:t>
      </w:r>
    </w:p>
    <w:p>
      <w:pPr>
        <w:numPr>
          <w:ilvl w:val="0"/>
          <w:numId w:val="30"/>
        </w:numPr>
        <w:tabs>
          <w:tab w:val="clear" w:pos="786"/>
        </w:tabs>
        <w:snapToGrid w:val="0"/>
        <w:spacing w:line="460" w:lineRule="exact"/>
        <w:ind w:firstLine="560" w:firstLineChars="200"/>
        <w:rPr>
          <w:rFonts w:ascii="仿宋" w:hAnsi="仿宋" w:eastAsia="仿宋" w:cs="Arial"/>
          <w:bCs/>
          <w:color w:val="000000" w:themeColor="text1"/>
          <w:sz w:val="28"/>
          <w:szCs w:val="28"/>
          <w14:textFill>
            <w14:solidFill>
              <w14:schemeClr w14:val="tx1"/>
            </w14:solidFill>
          </w14:textFill>
        </w:rPr>
      </w:pPr>
      <w:r>
        <w:rPr>
          <w:rFonts w:ascii="仿宋" w:hAnsi="仿宋" w:eastAsia="仿宋" w:cs="Arial"/>
          <w:bCs/>
          <w:color w:val="000000" w:themeColor="text1"/>
          <w:sz w:val="28"/>
          <w:szCs w:val="28"/>
          <w14:textFill>
            <w14:solidFill>
              <w14:schemeClr w14:val="tx1"/>
            </w14:solidFill>
          </w14:textFill>
        </w:rPr>
        <w:t>单位负责人为同一人或者存在</w:t>
      </w:r>
      <w:r>
        <w:rPr>
          <w:rFonts w:hint="eastAsia" w:ascii="仿宋" w:hAnsi="仿宋" w:eastAsia="仿宋" w:cs="Arial"/>
          <w:bCs/>
          <w:color w:val="000000" w:themeColor="text1"/>
          <w:sz w:val="28"/>
          <w:szCs w:val="28"/>
          <w14:textFill>
            <w14:solidFill>
              <w14:schemeClr w14:val="tx1"/>
            </w14:solidFill>
          </w14:textFill>
        </w:rPr>
        <w:t>直接</w:t>
      </w:r>
      <w:r>
        <w:rPr>
          <w:rFonts w:ascii="仿宋" w:hAnsi="仿宋" w:eastAsia="仿宋" w:cs="Arial"/>
          <w:bCs/>
          <w:color w:val="000000" w:themeColor="text1"/>
          <w:sz w:val="28"/>
          <w:szCs w:val="28"/>
          <w14:textFill>
            <w14:solidFill>
              <w14:schemeClr w14:val="tx1"/>
            </w14:solidFill>
          </w14:textFill>
        </w:rPr>
        <w:t>控股、管理关系的不同供应商，不得参加同一分包的政府采购活动。</w:t>
      </w:r>
    </w:p>
    <w:p>
      <w:pPr>
        <w:numPr>
          <w:ilvl w:val="0"/>
          <w:numId w:val="30"/>
        </w:numPr>
        <w:tabs>
          <w:tab w:val="clear" w:pos="786"/>
        </w:tabs>
        <w:snapToGrid w:val="0"/>
        <w:spacing w:line="460" w:lineRule="exact"/>
        <w:ind w:firstLine="602" w:firstLineChars="200"/>
        <w:rPr>
          <w:rFonts w:ascii="仿宋" w:hAnsi="仿宋" w:eastAsia="仿宋" w:cs="Arial"/>
          <w:bCs/>
          <w:color w:val="000000" w:themeColor="text1"/>
          <w:sz w:val="28"/>
          <w:szCs w:val="28"/>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投标人的特定条件：无</w:t>
      </w:r>
    </w:p>
    <w:p>
      <w:pPr>
        <w:numPr>
          <w:ilvl w:val="0"/>
          <w:numId w:val="30"/>
        </w:numPr>
        <w:tabs>
          <w:tab w:val="clear" w:pos="786"/>
        </w:tabs>
        <w:snapToGrid w:val="0"/>
        <w:spacing w:line="460" w:lineRule="exact"/>
        <w:ind w:firstLine="602" w:firstLineChars="200"/>
        <w:rPr>
          <w:rFonts w:ascii="仿宋" w:hAnsi="仿宋" w:eastAsia="仿宋" w:cs="Arial"/>
          <w:bCs/>
          <w:color w:val="000000" w:themeColor="text1"/>
          <w:sz w:val="28"/>
          <w:szCs w:val="28"/>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本项目不接受联合体投标。</w:t>
      </w:r>
    </w:p>
    <w:p>
      <w:pPr>
        <w:tabs>
          <w:tab w:val="left" w:pos="786"/>
        </w:tabs>
        <w:snapToGrid w:val="0"/>
        <w:spacing w:line="460" w:lineRule="exact"/>
        <w:ind w:left="1388"/>
        <w:rPr>
          <w:rFonts w:ascii="仿宋" w:hAnsi="仿宋" w:eastAsia="仿宋" w:cs="Arial"/>
          <w:bCs/>
          <w:color w:val="000000" w:themeColor="text1"/>
          <w:sz w:val="28"/>
          <w:szCs w:val="28"/>
          <w14:textFill>
            <w14:solidFill>
              <w14:schemeClr w14:val="tx1"/>
            </w14:solidFill>
          </w14:textFill>
        </w:rPr>
      </w:pPr>
    </w:p>
    <w:p>
      <w:pPr>
        <w:snapToGrid w:val="0"/>
        <w:spacing w:line="44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五、投标报名：</w:t>
      </w:r>
    </w:p>
    <w:p>
      <w:pPr>
        <w:snapToGrid w:val="0"/>
        <w:spacing w:line="44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t>1、报名时间：</w:t>
      </w:r>
      <w:r>
        <w:rPr>
          <w:rFonts w:ascii="仿宋" w:hAnsi="仿宋" w:eastAsia="仿宋"/>
          <w:color w:val="000000" w:themeColor="text1"/>
          <w:kern w:val="0"/>
          <w:sz w:val="30"/>
          <w:szCs w:val="30"/>
          <w14:textFill>
            <w14:solidFill>
              <w14:schemeClr w14:val="tx1"/>
            </w14:solidFill>
          </w14:textFill>
        </w:rPr>
        <w:t>20</w:t>
      </w:r>
      <w:r>
        <w:rPr>
          <w:rFonts w:hint="eastAsia" w:ascii="仿宋" w:hAnsi="仿宋" w:eastAsia="仿宋"/>
          <w:color w:val="000000" w:themeColor="text1"/>
          <w:kern w:val="0"/>
          <w:sz w:val="30"/>
          <w:szCs w:val="30"/>
          <w14:textFill>
            <w14:solidFill>
              <w14:schemeClr w14:val="tx1"/>
            </w14:solidFill>
          </w14:textFill>
        </w:rPr>
        <w:t>21</w:t>
      </w:r>
      <w:r>
        <w:rPr>
          <w:rFonts w:ascii="仿宋" w:hAnsi="仿宋" w:eastAsia="仿宋"/>
          <w:color w:val="000000" w:themeColor="text1"/>
          <w:kern w:val="0"/>
          <w:sz w:val="30"/>
          <w:szCs w:val="30"/>
          <w14:textFill>
            <w14:solidFill>
              <w14:schemeClr w14:val="tx1"/>
            </w14:solidFill>
          </w14:textFill>
        </w:rPr>
        <w:t>年</w:t>
      </w:r>
      <w:r>
        <w:rPr>
          <w:rFonts w:hint="eastAsia" w:ascii="仿宋" w:hAnsi="仿宋" w:eastAsia="仿宋"/>
          <w:color w:val="000000" w:themeColor="text1"/>
          <w:kern w:val="0"/>
          <w:sz w:val="30"/>
          <w:szCs w:val="30"/>
          <w14:textFill>
            <w14:solidFill>
              <w14:schemeClr w14:val="tx1"/>
            </w14:solidFill>
          </w14:textFill>
        </w:rPr>
        <w:t xml:space="preserve"> 1</w:t>
      </w:r>
      <w:r>
        <w:rPr>
          <w:rFonts w:ascii="仿宋" w:hAnsi="仿宋" w:eastAsia="仿宋"/>
          <w:color w:val="000000" w:themeColor="text1"/>
          <w:kern w:val="0"/>
          <w:sz w:val="30"/>
          <w:szCs w:val="30"/>
          <w14:textFill>
            <w14:solidFill>
              <w14:schemeClr w14:val="tx1"/>
            </w14:solidFill>
          </w14:textFill>
        </w:rPr>
        <w:t>月</w:t>
      </w:r>
      <w:r>
        <w:rPr>
          <w:rFonts w:hint="eastAsia" w:ascii="仿宋" w:hAnsi="仿宋" w:eastAsia="仿宋"/>
          <w:color w:val="000000" w:themeColor="text1"/>
          <w:kern w:val="0"/>
          <w:sz w:val="30"/>
          <w:szCs w:val="30"/>
          <w:lang w:val="en-US" w:eastAsia="zh-CN"/>
          <w14:textFill>
            <w14:solidFill>
              <w14:schemeClr w14:val="tx1"/>
            </w14:solidFill>
          </w14:textFill>
        </w:rPr>
        <w:t>18</w:t>
      </w:r>
      <w:r>
        <w:rPr>
          <w:rFonts w:ascii="仿宋" w:hAnsi="仿宋" w:eastAsia="仿宋"/>
          <w:color w:val="000000" w:themeColor="text1"/>
          <w:kern w:val="0"/>
          <w:sz w:val="30"/>
          <w:szCs w:val="30"/>
          <w14:textFill>
            <w14:solidFill>
              <w14:schemeClr w14:val="tx1"/>
            </w14:solidFill>
          </w14:textFill>
        </w:rPr>
        <w:t>日</w:t>
      </w:r>
      <w:r>
        <w:rPr>
          <w:rFonts w:hint="eastAsia" w:ascii="仿宋" w:hAnsi="仿宋" w:eastAsia="仿宋"/>
          <w:color w:val="000000" w:themeColor="text1"/>
          <w:kern w:val="0"/>
          <w:sz w:val="30"/>
          <w:szCs w:val="30"/>
          <w14:textFill>
            <w14:solidFill>
              <w14:schemeClr w14:val="tx1"/>
            </w14:solidFill>
          </w14:textFill>
        </w:rPr>
        <w:t xml:space="preserve"> 至2021年1月 </w:t>
      </w:r>
      <w:r>
        <w:rPr>
          <w:rFonts w:hint="eastAsia" w:ascii="仿宋" w:hAnsi="仿宋" w:eastAsia="仿宋"/>
          <w:color w:val="000000" w:themeColor="text1"/>
          <w:kern w:val="0"/>
          <w:sz w:val="30"/>
          <w:szCs w:val="30"/>
          <w:lang w:val="en-US" w:eastAsia="zh-CN"/>
          <w14:textFill>
            <w14:solidFill>
              <w14:schemeClr w14:val="tx1"/>
            </w14:solidFill>
          </w14:textFill>
        </w:rPr>
        <w:t>22</w:t>
      </w:r>
      <w:r>
        <w:rPr>
          <w:rFonts w:hint="eastAsia" w:ascii="仿宋" w:hAnsi="仿宋" w:eastAsia="仿宋"/>
          <w:color w:val="000000" w:themeColor="text1"/>
          <w:kern w:val="0"/>
          <w:sz w:val="30"/>
          <w:szCs w:val="30"/>
          <w14:textFill>
            <w14:solidFill>
              <w14:schemeClr w14:val="tx1"/>
            </w14:solidFill>
          </w14:textFill>
        </w:rPr>
        <w:t>注册成功后，用账号密码登录后台界面；</w:t>
      </w:r>
    </w:p>
    <w:p>
      <w:pPr>
        <w:snapToGrid w:val="0"/>
        <w:spacing w:line="440" w:lineRule="exact"/>
        <w:ind w:firstLine="602" w:firstLineChars="200"/>
        <w:rPr>
          <w:rFonts w:ascii="仿宋" w:hAnsi="仿宋" w:eastAsia="仿宋"/>
          <w:b/>
          <w:color w:val="000000" w:themeColor="text1"/>
          <w:kern w:val="0"/>
          <w:sz w:val="30"/>
          <w:szCs w:val="30"/>
          <w14:textFill>
            <w14:solidFill>
              <w14:schemeClr w14:val="tx1"/>
            </w14:solidFill>
          </w14:textFill>
        </w:rPr>
      </w:pPr>
      <w:r>
        <w:rPr>
          <w:rFonts w:hint="eastAsia" w:ascii="仿宋" w:hAnsi="仿宋" w:eastAsia="仿宋"/>
          <w:b/>
          <w:color w:val="000000" w:themeColor="text1"/>
          <w:kern w:val="0"/>
          <w:sz w:val="30"/>
          <w:szCs w:val="30"/>
          <w14:textFill>
            <w14:solidFill>
              <w14:schemeClr w14:val="tx1"/>
            </w14:solidFill>
          </w14:textFill>
        </w:rPr>
        <w:t>3、供应商报名路径：项目管理-项目采购-获取采购文件，找到本项目的项目名称申请获取采购文件，按照系统界面要求填写供应商相关信息，同时将以下文件扫描件作为附件上传。</w:t>
      </w:r>
    </w:p>
    <w:p>
      <w:pPr>
        <w:snapToGrid w:val="0"/>
        <w:spacing w:line="440" w:lineRule="exact"/>
        <w:ind w:left="630" w:leftChars="300"/>
        <w:rPr>
          <w:rFonts w:ascii="仿宋" w:hAnsi="仿宋" w:eastAsia="仿宋"/>
          <w:b/>
          <w:color w:val="000000" w:themeColor="text1"/>
          <w:kern w:val="0"/>
          <w:sz w:val="30"/>
          <w:szCs w:val="30"/>
          <w14:textFill>
            <w14:solidFill>
              <w14:schemeClr w14:val="tx1"/>
            </w14:solidFill>
          </w14:textFill>
        </w:rPr>
      </w:pPr>
      <w:r>
        <w:rPr>
          <w:rFonts w:hint="eastAsia" w:ascii="仿宋" w:hAnsi="仿宋" w:eastAsia="仿宋"/>
          <w:b/>
          <w:color w:val="000000" w:themeColor="text1"/>
          <w:kern w:val="0"/>
          <w:sz w:val="30"/>
          <w:szCs w:val="30"/>
          <w14:textFill>
            <w14:solidFill>
              <w14:schemeClr w14:val="tx1"/>
            </w14:solidFill>
          </w14:textFill>
        </w:rPr>
        <w:t>（1）法定代表人授权委托书扫描件（法定代表人手写签字或盖章，并加盖单位公章）；</w:t>
      </w:r>
    </w:p>
    <w:p>
      <w:pPr>
        <w:snapToGrid w:val="0"/>
        <w:spacing w:line="440" w:lineRule="exact"/>
        <w:ind w:firstLine="600"/>
        <w:rPr>
          <w:rFonts w:ascii="仿宋" w:hAnsi="仿宋" w:eastAsia="仿宋"/>
          <w:b/>
          <w:color w:val="000000" w:themeColor="text1"/>
          <w:kern w:val="0"/>
          <w:sz w:val="30"/>
          <w:szCs w:val="30"/>
          <w14:textFill>
            <w14:solidFill>
              <w14:schemeClr w14:val="tx1"/>
            </w14:solidFill>
          </w14:textFill>
        </w:rPr>
      </w:pPr>
      <w:r>
        <w:rPr>
          <w:rFonts w:hint="eastAsia" w:ascii="仿宋" w:hAnsi="仿宋" w:eastAsia="仿宋"/>
          <w:b/>
          <w:color w:val="000000" w:themeColor="text1"/>
          <w:kern w:val="0"/>
          <w:sz w:val="30"/>
          <w:szCs w:val="30"/>
          <w14:textFill>
            <w14:solidFill>
              <w14:schemeClr w14:val="tx1"/>
            </w14:solidFill>
          </w14:textFill>
        </w:rPr>
        <w:t>（2）授权代表身份证扫描件</w:t>
      </w:r>
    </w:p>
    <w:p>
      <w:pPr>
        <w:snapToGrid w:val="0"/>
        <w:spacing w:line="440" w:lineRule="exact"/>
        <w:ind w:firstLine="600" w:firstLineChars="200"/>
        <w:rPr>
          <w:rFonts w:ascii="仿宋" w:hAnsi="仿宋" w:eastAsia="仿宋"/>
          <w:color w:val="000000" w:themeColor="text1"/>
          <w:kern w:val="0"/>
          <w:sz w:val="30"/>
          <w:szCs w:val="30"/>
          <w14:textFill>
            <w14:solidFill>
              <w14:schemeClr w14:val="tx1"/>
            </w14:solidFill>
          </w14:textFill>
        </w:rPr>
      </w:pPr>
    </w:p>
    <w:p>
      <w:pPr>
        <w:snapToGrid w:val="0"/>
        <w:spacing w:line="440" w:lineRule="exact"/>
        <w:ind w:firstLine="602" w:firstLineChars="200"/>
        <w:jc w:val="center"/>
        <w:rPr>
          <w:rFonts w:ascii="仿宋" w:hAnsi="仿宋" w:eastAsia="仿宋"/>
          <w:b/>
          <w:color w:val="000000" w:themeColor="text1"/>
          <w:kern w:val="0"/>
          <w:sz w:val="30"/>
          <w:szCs w:val="30"/>
          <w14:textFill>
            <w14:solidFill>
              <w14:schemeClr w14:val="tx1"/>
            </w14:solidFill>
          </w14:textFill>
        </w:rPr>
      </w:pPr>
      <w:r>
        <w:rPr>
          <w:rFonts w:hint="eastAsia" w:ascii="仿宋" w:hAnsi="仿宋" w:eastAsia="仿宋"/>
          <w:b/>
          <w:color w:val="000000" w:themeColor="text1"/>
          <w:kern w:val="0"/>
          <w:sz w:val="30"/>
          <w:szCs w:val="30"/>
          <w14:textFill>
            <w14:solidFill>
              <w14:schemeClr w14:val="tx1"/>
            </w14:solidFill>
          </w14:textFill>
        </w:rPr>
        <w:t>法定代表人的授权委托书</w:t>
      </w:r>
    </w:p>
    <w:p>
      <w:pPr>
        <w:snapToGrid w:val="0"/>
        <w:spacing w:line="44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t>国家体育总局体育器材装备中心：</w:t>
      </w:r>
    </w:p>
    <w:p>
      <w:pPr>
        <w:snapToGrid w:val="0"/>
        <w:spacing w:line="44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t>本授权委托书声明：注册于（公司住址）的（公司名称）法定代表人（法定代表人姓名、职务）代表本公司授权在下面签字的（法定代表人授权代表职务、姓名）为本公司的合法代理人，就贵方组织的（项目名称）项目，采购编号： ，以本公司名义办理报名登记。</w:t>
      </w:r>
    </w:p>
    <w:p>
      <w:pPr>
        <w:snapToGrid w:val="0"/>
        <w:spacing w:line="44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t>本授权书于 年 月 日 签字生效，特此声明。</w:t>
      </w:r>
    </w:p>
    <w:p>
      <w:pPr>
        <w:snapToGrid w:val="0"/>
        <w:spacing w:line="440" w:lineRule="exact"/>
        <w:ind w:firstLine="600" w:firstLineChars="200"/>
        <w:rPr>
          <w:rFonts w:ascii="仿宋" w:hAnsi="仿宋" w:eastAsia="仿宋"/>
          <w:color w:val="000000" w:themeColor="text1"/>
          <w:kern w:val="0"/>
          <w:sz w:val="30"/>
          <w:szCs w:val="30"/>
          <w14:textFill>
            <w14:solidFill>
              <w14:schemeClr w14:val="tx1"/>
            </w14:solidFill>
          </w14:textFill>
        </w:rPr>
      </w:pPr>
    </w:p>
    <w:p>
      <w:pPr>
        <w:snapToGrid w:val="0"/>
        <w:spacing w:line="44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t>法定代表人印刷体姓名： 签字： 电话：</w:t>
      </w:r>
    </w:p>
    <w:p>
      <w:pPr>
        <w:snapToGrid w:val="0"/>
        <w:spacing w:line="44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t>授权代表印刷体姓名： 签字： 职务： 电话：</w:t>
      </w:r>
    </w:p>
    <w:p>
      <w:pPr>
        <w:snapToGrid w:val="0"/>
        <w:spacing w:line="44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t>授权代表身份证号： （身份证扫描件附后）</w:t>
      </w:r>
    </w:p>
    <w:p>
      <w:pPr>
        <w:snapToGrid w:val="0"/>
        <w:spacing w:line="44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t>公司全称（公章）：</w:t>
      </w:r>
    </w:p>
    <w:p>
      <w:pPr>
        <w:snapToGrid w:val="0"/>
        <w:spacing w:line="44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t>未在规定时间内按要求提交以上文件进行报名登记，而直接编制报价文件参与报价的企业，其报价将被拒绝。</w:t>
      </w:r>
    </w:p>
    <w:p>
      <w:pPr>
        <w:snapToGrid w:val="0"/>
        <w:spacing w:line="440" w:lineRule="exact"/>
        <w:ind w:firstLine="560" w:firstLineChars="200"/>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3、招标文件售价：0元，招标文件请至公告附件处下载。</w:t>
      </w:r>
    </w:p>
    <w:p>
      <w:pPr>
        <w:snapToGrid w:val="0"/>
        <w:spacing w:line="440" w:lineRule="exact"/>
        <w:ind w:firstLine="602" w:firstLineChars="200"/>
        <w:rPr>
          <w:rFonts w:ascii="仿宋" w:hAnsi="仿宋" w:eastAsia="仿宋" w:cs="Arial"/>
          <w:b/>
          <w:bCs/>
          <w:color w:val="000000" w:themeColor="text1"/>
          <w:sz w:val="30"/>
          <w:szCs w:val="30"/>
          <w14:textFill>
            <w14:solidFill>
              <w14:schemeClr w14:val="tx1"/>
            </w14:solidFill>
          </w14:textFill>
        </w:rPr>
      </w:pPr>
    </w:p>
    <w:p>
      <w:pPr>
        <w:snapToGrid w:val="0"/>
        <w:spacing w:line="44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六、投标保证金：</w:t>
      </w:r>
    </w:p>
    <w:p>
      <w:pPr>
        <w:snapToGrid w:val="0"/>
        <w:spacing w:line="44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t>投标保证金（人民币）：标项1：50000元; 标项2：50000元; 标项3：50000元; 标项4：50000元;</w:t>
      </w:r>
    </w:p>
    <w:p>
      <w:pPr>
        <w:snapToGrid w:val="0"/>
        <w:spacing w:line="440" w:lineRule="exact"/>
        <w:ind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如需缴纳保证金，</w:t>
      </w:r>
      <w:r>
        <w:rPr>
          <w:rFonts w:hint="eastAsia" w:ascii="仿宋" w:hAnsi="仿宋" w:eastAsia="仿宋" w:cs="Arial"/>
          <w:color w:val="000000" w:themeColor="text1"/>
          <w:sz w:val="30"/>
          <w:szCs w:val="30"/>
          <w14:textFill>
            <w14:solidFill>
              <w14:schemeClr w14:val="tx1"/>
            </w14:solidFill>
          </w14:textFill>
        </w:rPr>
        <w:t>投标人应于</w:t>
      </w:r>
      <w:r>
        <w:rPr>
          <w:rFonts w:ascii="仿宋" w:hAnsi="仿宋" w:eastAsia="仿宋" w:cs="Arial"/>
          <w:color w:val="000000" w:themeColor="text1"/>
          <w:sz w:val="30"/>
          <w:szCs w:val="30"/>
          <w14:textFill>
            <w14:solidFill>
              <w14:schemeClr w14:val="tx1"/>
            </w14:solidFill>
          </w14:textFill>
        </w:rPr>
        <w:t>202</w:t>
      </w:r>
      <w:r>
        <w:rPr>
          <w:rFonts w:hint="eastAsia" w:ascii="仿宋" w:hAnsi="仿宋" w:eastAsia="仿宋" w:cs="Arial"/>
          <w:color w:val="000000" w:themeColor="text1"/>
          <w:sz w:val="30"/>
          <w:szCs w:val="30"/>
          <w14:textFill>
            <w14:solidFill>
              <w14:schemeClr w14:val="tx1"/>
            </w14:solidFill>
          </w14:textFill>
        </w:rPr>
        <w:t>1年</w:t>
      </w:r>
      <w:r>
        <w:rPr>
          <w:rFonts w:hint="eastAsia" w:ascii="仿宋" w:hAnsi="仿宋" w:eastAsia="仿宋" w:cs="Arial"/>
          <w:color w:val="000000" w:themeColor="text1"/>
          <w:sz w:val="30"/>
          <w:szCs w:val="30"/>
          <w:lang w:val="en-US" w:eastAsia="zh-CN"/>
          <w14:textFill>
            <w14:solidFill>
              <w14:schemeClr w14:val="tx1"/>
            </w14:solidFill>
          </w14:textFill>
        </w:rPr>
        <w:t>2</w:t>
      </w:r>
      <w:r>
        <w:rPr>
          <w:rFonts w:hint="eastAsia" w:ascii="仿宋" w:hAnsi="仿宋" w:eastAsia="仿宋" w:cs="Arial"/>
          <w:color w:val="000000" w:themeColor="text1"/>
          <w:sz w:val="30"/>
          <w:szCs w:val="30"/>
          <w14:textFill>
            <w14:solidFill>
              <w14:schemeClr w14:val="tx1"/>
            </w14:solidFill>
          </w14:textFill>
        </w:rPr>
        <w:t>月</w:t>
      </w:r>
      <w:r>
        <w:rPr>
          <w:rFonts w:hint="eastAsia" w:ascii="仿宋" w:hAnsi="仿宋" w:eastAsia="仿宋" w:cs="Arial"/>
          <w:color w:val="000000" w:themeColor="text1"/>
          <w:sz w:val="30"/>
          <w:szCs w:val="30"/>
          <w:lang w:val="en-US" w:eastAsia="zh-CN"/>
          <w14:textFill>
            <w14:solidFill>
              <w14:schemeClr w14:val="tx1"/>
            </w14:solidFill>
          </w14:textFill>
        </w:rPr>
        <w:t>8</w:t>
      </w:r>
      <w:r>
        <w:rPr>
          <w:rFonts w:hint="eastAsia" w:ascii="仿宋" w:hAnsi="仿宋" w:eastAsia="仿宋" w:cs="Arial"/>
          <w:color w:val="000000" w:themeColor="text1"/>
          <w:sz w:val="30"/>
          <w:szCs w:val="30"/>
          <w14:textFill>
            <w14:solidFill>
              <w14:schemeClr w14:val="tx1"/>
            </w14:solidFill>
          </w14:textFill>
        </w:rPr>
        <w:t>日9:</w:t>
      </w:r>
      <w:r>
        <w:rPr>
          <w:rFonts w:hint="eastAsia" w:ascii="仿宋" w:hAnsi="仿宋" w:eastAsia="仿宋" w:cs="Arial"/>
          <w:color w:val="000000" w:themeColor="text1"/>
          <w:sz w:val="30"/>
          <w:szCs w:val="30"/>
          <w:lang w:val="en-US" w:eastAsia="zh-CN"/>
          <w14:textFill>
            <w14:solidFill>
              <w14:schemeClr w14:val="tx1"/>
            </w14:solidFill>
          </w14:textFill>
        </w:rPr>
        <w:t>0</w:t>
      </w:r>
      <w:r>
        <w:rPr>
          <w:rFonts w:hint="eastAsia" w:ascii="仿宋" w:hAnsi="仿宋" w:eastAsia="仿宋" w:cs="Arial"/>
          <w:color w:val="000000" w:themeColor="text1"/>
          <w:sz w:val="30"/>
          <w:szCs w:val="30"/>
          <w14:textFill>
            <w14:solidFill>
              <w14:schemeClr w14:val="tx1"/>
            </w14:solidFill>
          </w14:textFill>
        </w:rPr>
        <w:t>0时</w:t>
      </w:r>
      <w:r>
        <w:rPr>
          <w:rFonts w:hint="eastAsia" w:ascii="仿宋" w:hAnsi="仿宋" w:eastAsia="仿宋" w:cs="Arial"/>
          <w:color w:val="000000" w:themeColor="text1"/>
          <w:sz w:val="28"/>
          <w:szCs w:val="28"/>
          <w14:textFill>
            <w14:solidFill>
              <w14:schemeClr w14:val="tx1"/>
            </w14:solidFill>
          </w14:textFill>
        </w:rPr>
        <w:t>前将投标保证金以网银、汇票、电汇、转帐支票、银行保函方式（</w:t>
      </w:r>
      <w:r>
        <w:rPr>
          <w:rFonts w:hint="eastAsia" w:ascii="仿宋" w:hAnsi="仿宋" w:eastAsia="仿宋"/>
          <w:color w:val="000000" w:themeColor="text1"/>
          <w:sz w:val="28"/>
          <w:szCs w:val="28"/>
          <w14:textFill>
            <w14:solidFill>
              <w14:schemeClr w14:val="tx1"/>
            </w14:solidFill>
          </w14:textFill>
        </w:rPr>
        <w:t>招标方不接受以现金支票、现金、支付宝、微信及个人转账方式交纳的保证金</w:t>
      </w:r>
      <w:r>
        <w:rPr>
          <w:rFonts w:hint="eastAsia" w:ascii="仿宋" w:hAnsi="仿宋" w:eastAsia="仿宋" w:cs="Arial"/>
          <w:color w:val="000000" w:themeColor="text1"/>
          <w:sz w:val="28"/>
          <w:szCs w:val="28"/>
          <w14:textFill>
            <w14:solidFill>
              <w14:schemeClr w14:val="tx1"/>
            </w14:solidFill>
          </w14:textFill>
        </w:rPr>
        <w:t>）交至国家体育总局体育器材装备中心。投标保证金为银行保函形式的，银行保函有效期需比投标有效期长28天。</w:t>
      </w:r>
    </w:p>
    <w:p>
      <w:pPr>
        <w:snapToGrid w:val="0"/>
        <w:spacing w:line="440" w:lineRule="exact"/>
        <w:ind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开户名：  国家体育总局体育器材装备中心</w:t>
      </w:r>
    </w:p>
    <w:p>
      <w:pPr>
        <w:snapToGrid w:val="0"/>
        <w:spacing w:line="440" w:lineRule="exact"/>
        <w:ind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开户银行：工行北京体育馆路支行</w:t>
      </w:r>
    </w:p>
    <w:p>
      <w:pPr>
        <w:snapToGrid w:val="0"/>
        <w:spacing w:line="440" w:lineRule="exact"/>
        <w:ind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银行账号：0200008109089053553</w:t>
      </w:r>
    </w:p>
    <w:p>
      <w:pPr>
        <w:snapToGrid w:val="0"/>
        <w:spacing w:line="440" w:lineRule="exact"/>
        <w:ind w:firstLine="560" w:firstLineChars="200"/>
        <w:rPr>
          <w:rFonts w:ascii="仿宋" w:hAnsi="仿宋" w:eastAsia="仿宋" w:cs="Arial"/>
          <w:color w:val="000000" w:themeColor="text1"/>
          <w:sz w:val="28"/>
          <w:szCs w:val="28"/>
          <w14:textFill>
            <w14:solidFill>
              <w14:schemeClr w14:val="tx1"/>
            </w14:solidFill>
          </w14:textFill>
        </w:rPr>
      </w:pPr>
    </w:p>
    <w:p>
      <w:pPr>
        <w:snapToGrid w:val="0"/>
        <w:spacing w:line="440" w:lineRule="exact"/>
        <w:ind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未按前述各款要求提交投标保证金的投标将视为无效投标。</w:t>
      </w:r>
    </w:p>
    <w:p>
      <w:pPr>
        <w:snapToGrid w:val="0"/>
        <w:spacing w:line="440" w:lineRule="exact"/>
        <w:ind w:firstLine="560" w:firstLineChars="200"/>
        <w:rPr>
          <w:rFonts w:ascii="仿宋" w:hAnsi="仿宋" w:eastAsia="仿宋" w:cs="Arial"/>
          <w:b/>
          <w:bCs/>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投标人递交投标保证金时需提供投标人全称、开户行、银行帐号等银行信息, 并加盖投标人公章，以便招标方退还投标保证金</w:t>
      </w:r>
      <w:r>
        <w:rPr>
          <w:rFonts w:ascii="仿宋" w:hAnsi="仿宋" w:eastAsia="仿宋" w:cs="Arial"/>
          <w:b/>
          <w:bCs/>
          <w:color w:val="000000" w:themeColor="text1"/>
          <w:sz w:val="28"/>
          <w:szCs w:val="28"/>
          <w14:textFill>
            <w14:solidFill>
              <w14:schemeClr w14:val="tx1"/>
            </w14:solidFill>
          </w14:textFill>
        </w:rPr>
        <w:t>。</w:t>
      </w:r>
    </w:p>
    <w:p>
      <w:pPr>
        <w:snapToGrid w:val="0"/>
        <w:ind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投标保证金的退还：未中标的投标人在中标公告发布2个工作日内应立即将招标方开出的投标保证金收据退回，招标方将在中标通知书发出之日起5个工作日内按投标人递交投标保证金时提供的银行信息用网上汇款等方式退还投标保证金；</w:t>
      </w:r>
    </w:p>
    <w:p>
      <w:pPr>
        <w:snapToGrid w:val="0"/>
        <w:spacing w:line="440" w:lineRule="exact"/>
        <w:ind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中标人签订采购合同后应立即将招标方开出的投标保证金收据退回，招标方将在采购合同签订之日起5个工作日内按投标人递交投标保证金时提供的银行信息用网上汇款等方式退还投标保证金或者转为中标人的履约保证金</w:t>
      </w:r>
      <w:r>
        <w:rPr>
          <w:rFonts w:ascii="仿宋" w:hAnsi="仿宋" w:eastAsia="仿宋" w:cs="Arial"/>
          <w:color w:val="000000" w:themeColor="text1"/>
          <w:sz w:val="28"/>
          <w:szCs w:val="28"/>
          <w14:textFill>
            <w14:solidFill>
              <w14:schemeClr w14:val="tx1"/>
            </w14:solidFill>
          </w14:textFill>
        </w:rPr>
        <w:t>。</w:t>
      </w:r>
    </w:p>
    <w:p>
      <w:pPr>
        <w:snapToGrid w:val="0"/>
        <w:spacing w:line="440" w:lineRule="exact"/>
        <w:ind w:firstLine="560" w:firstLineChars="200"/>
        <w:rPr>
          <w:rFonts w:ascii="仿宋" w:hAnsi="仿宋" w:eastAsia="仿宋" w:cs="Arial"/>
          <w:bCs/>
          <w:color w:val="000000" w:themeColor="text1"/>
          <w:sz w:val="28"/>
          <w:szCs w:val="28"/>
          <w14:textFill>
            <w14:solidFill>
              <w14:schemeClr w14:val="tx1"/>
            </w14:solidFill>
          </w14:textFill>
        </w:rPr>
      </w:pPr>
      <w:r>
        <w:rPr>
          <w:rFonts w:hint="eastAsia" w:ascii="仿宋" w:hAnsi="仿宋" w:eastAsia="仿宋" w:cs="Arial"/>
          <w:bCs/>
          <w:color w:val="000000" w:themeColor="text1"/>
          <w:sz w:val="28"/>
          <w:szCs w:val="28"/>
          <w14:textFill>
            <w14:solidFill>
              <w14:schemeClr w14:val="tx1"/>
            </w14:solidFill>
          </w14:textFill>
        </w:rPr>
        <w:t>投标人有如下情况之一，将被没收其投标保证金，投标人不得要求全部或部分返还:</w:t>
      </w:r>
    </w:p>
    <w:p>
      <w:pPr>
        <w:snapToGrid w:val="0"/>
        <w:spacing w:line="440" w:lineRule="exact"/>
        <w:ind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1、在投标文件有效期内撤回投标文件的；</w:t>
      </w:r>
    </w:p>
    <w:p>
      <w:pPr>
        <w:snapToGrid w:val="0"/>
        <w:spacing w:line="440" w:lineRule="exact"/>
        <w:ind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2、</w:t>
      </w:r>
      <w:r>
        <w:rPr>
          <w:rFonts w:hint="eastAsia" w:ascii="仿宋" w:hAnsi="仿宋" w:eastAsia="仿宋"/>
          <w:color w:val="000000" w:themeColor="text1"/>
          <w:sz w:val="28"/>
          <w:szCs w:val="28"/>
          <w14:textFill>
            <w14:solidFill>
              <w14:schemeClr w14:val="tx1"/>
            </w14:solidFill>
          </w14:textFill>
        </w:rPr>
        <w:t>投标人在投标过程中弄虚作假，提供虚假材料的；</w:t>
      </w:r>
    </w:p>
    <w:p>
      <w:pPr>
        <w:snapToGrid w:val="0"/>
        <w:spacing w:line="440" w:lineRule="exact"/>
        <w:ind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3、中标人无正当理由未能按本文件规定签订采购合同；</w:t>
      </w:r>
    </w:p>
    <w:p>
      <w:pPr>
        <w:snapToGrid w:val="0"/>
        <w:spacing w:line="440" w:lineRule="exact"/>
        <w:ind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4、</w:t>
      </w:r>
      <w:r>
        <w:rPr>
          <w:rFonts w:ascii="仿宋" w:hAnsi="仿宋" w:eastAsia="仿宋" w:cs="Arial"/>
          <w:color w:val="000000" w:themeColor="text1"/>
          <w:sz w:val="28"/>
          <w:szCs w:val="28"/>
          <w14:textFill>
            <w14:solidFill>
              <w14:schemeClr w14:val="tx1"/>
            </w14:solidFill>
          </w14:textFill>
        </w:rPr>
        <w:t>投标人拒绝在开标记录上签字确认，经</w:t>
      </w:r>
      <w:r>
        <w:rPr>
          <w:rFonts w:hint="eastAsia" w:ascii="仿宋" w:hAnsi="仿宋" w:eastAsia="仿宋" w:cs="Arial"/>
          <w:color w:val="000000" w:themeColor="text1"/>
          <w:sz w:val="28"/>
          <w:szCs w:val="28"/>
          <w14:textFill>
            <w14:solidFill>
              <w14:schemeClr w14:val="tx1"/>
            </w14:solidFill>
          </w14:textFill>
        </w:rPr>
        <w:t>相关</w:t>
      </w:r>
      <w:r>
        <w:rPr>
          <w:rFonts w:ascii="仿宋" w:hAnsi="仿宋" w:eastAsia="仿宋" w:cs="Arial"/>
          <w:color w:val="000000" w:themeColor="text1"/>
          <w:sz w:val="28"/>
          <w:szCs w:val="28"/>
          <w14:textFill>
            <w14:solidFill>
              <w14:schemeClr w14:val="tx1"/>
            </w14:solidFill>
          </w14:textFill>
        </w:rPr>
        <w:t>招标投标监督管理机构核实开标记录无误后，投标人仍拒绝签字确认；</w:t>
      </w:r>
    </w:p>
    <w:p>
      <w:pPr>
        <w:snapToGrid w:val="0"/>
        <w:spacing w:line="440" w:lineRule="exact"/>
        <w:ind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5、</w:t>
      </w:r>
      <w:r>
        <w:rPr>
          <w:rFonts w:hint="eastAsia" w:ascii="仿宋" w:hAnsi="仿宋" w:eastAsia="仿宋"/>
          <w:bCs/>
          <w:color w:val="000000" w:themeColor="text1"/>
          <w:sz w:val="28"/>
          <w:szCs w:val="28"/>
          <w14:textFill>
            <w14:solidFill>
              <w14:schemeClr w14:val="tx1"/>
            </w14:solidFill>
          </w14:textFill>
        </w:rPr>
        <w:t>将中标项目转让给他人的；</w:t>
      </w:r>
    </w:p>
    <w:p>
      <w:pPr>
        <w:snapToGrid w:val="0"/>
        <w:spacing w:line="440" w:lineRule="exact"/>
        <w:ind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6、</w:t>
      </w:r>
      <w:r>
        <w:rPr>
          <w:rFonts w:ascii="仿宋" w:hAnsi="仿宋" w:eastAsia="仿宋" w:cs="Arial"/>
          <w:color w:val="000000" w:themeColor="text1"/>
          <w:sz w:val="28"/>
          <w:szCs w:val="28"/>
          <w14:textFill>
            <w14:solidFill>
              <w14:schemeClr w14:val="tx1"/>
            </w14:solidFill>
          </w14:textFill>
        </w:rPr>
        <w:t>由于投标人未能遵守招标文件的其它规定而致使招标方的招标工作失败或对招标工作产生极其不利的影响，包括但不限于投标人的恶意串谋、欺诈、威胁、贿赂等。</w:t>
      </w:r>
    </w:p>
    <w:p>
      <w:pPr>
        <w:snapToGrid w:val="0"/>
        <w:spacing w:line="460" w:lineRule="exact"/>
        <w:ind w:firstLine="554" w:firstLineChars="198"/>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7、其他严重扰乱招投标程序的；</w:t>
      </w:r>
    </w:p>
    <w:p>
      <w:pPr>
        <w:snapToGrid w:val="0"/>
        <w:spacing w:line="440" w:lineRule="exact"/>
        <w:ind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投标人在投标截止时间前撤回已提交的投标文件的，采购人或者招标方应当自收到投标人书面撤回通知之日起５个工作日内，退还已收取的投标保证金，但因投标人自身原因导致无法及时退还的除外。</w:t>
      </w:r>
    </w:p>
    <w:p>
      <w:pPr>
        <w:snapToGrid w:val="0"/>
        <w:spacing w:line="440" w:lineRule="exact"/>
        <w:rPr>
          <w:rFonts w:ascii="仿宋" w:hAnsi="仿宋" w:eastAsia="仿宋"/>
          <w:color w:val="000000" w:themeColor="text1"/>
          <w:kern w:val="0"/>
          <w:sz w:val="30"/>
          <w:szCs w:val="30"/>
          <w14:textFill>
            <w14:solidFill>
              <w14:schemeClr w14:val="tx1"/>
            </w14:solidFill>
          </w14:textFill>
        </w:rPr>
      </w:pPr>
    </w:p>
    <w:p>
      <w:pPr>
        <w:snapToGrid w:val="0"/>
        <w:spacing w:line="44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七、投标截止时间和地点：</w:t>
      </w:r>
    </w:p>
    <w:p>
      <w:pPr>
        <w:snapToGrid w:val="0"/>
        <w:spacing w:line="440" w:lineRule="exact"/>
        <w:ind w:firstLine="600" w:firstLineChars="200"/>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color w:val="000000" w:themeColor="text1"/>
          <w:sz w:val="30"/>
          <w:szCs w:val="30"/>
          <w14:textFill>
            <w14:solidFill>
              <w14:schemeClr w14:val="tx1"/>
            </w14:solidFill>
          </w14:textFill>
        </w:rPr>
        <w:t>投标人应于</w:t>
      </w:r>
      <w:bookmarkStart w:id="3" w:name="PO_15528_PM015"/>
      <w:r>
        <w:rPr>
          <w:rFonts w:hint="eastAsia" w:ascii="仿宋" w:hAnsi="仿宋" w:eastAsia="仿宋" w:cs="Arial"/>
          <w:color w:val="000000" w:themeColor="text1"/>
          <w:sz w:val="30"/>
          <w:szCs w:val="30"/>
          <w14:textFill>
            <w14:solidFill>
              <w14:schemeClr w14:val="tx1"/>
            </w14:solidFill>
          </w14:textFill>
        </w:rPr>
        <w:t>2021年</w:t>
      </w:r>
      <w:r>
        <w:rPr>
          <w:rFonts w:hint="eastAsia" w:ascii="仿宋" w:hAnsi="仿宋" w:eastAsia="仿宋" w:cs="Arial"/>
          <w:color w:val="000000" w:themeColor="text1"/>
          <w:sz w:val="30"/>
          <w:szCs w:val="30"/>
          <w:lang w:val="en-US" w:eastAsia="zh-CN"/>
          <w14:textFill>
            <w14:solidFill>
              <w14:schemeClr w14:val="tx1"/>
            </w14:solidFill>
          </w14:textFill>
        </w:rPr>
        <w:t>2</w:t>
      </w:r>
      <w:r>
        <w:rPr>
          <w:rFonts w:hint="eastAsia" w:ascii="仿宋" w:hAnsi="仿宋" w:eastAsia="仿宋" w:cs="Arial"/>
          <w:color w:val="000000" w:themeColor="text1"/>
          <w:sz w:val="30"/>
          <w:szCs w:val="30"/>
          <w14:textFill>
            <w14:solidFill>
              <w14:schemeClr w14:val="tx1"/>
            </w14:solidFill>
          </w14:textFill>
        </w:rPr>
        <w:t>月</w:t>
      </w:r>
      <w:r>
        <w:rPr>
          <w:rFonts w:hint="eastAsia" w:ascii="仿宋" w:hAnsi="仿宋" w:eastAsia="仿宋" w:cs="Arial"/>
          <w:color w:val="000000" w:themeColor="text1"/>
          <w:sz w:val="30"/>
          <w:szCs w:val="30"/>
          <w:lang w:val="en-US" w:eastAsia="zh-CN"/>
          <w14:textFill>
            <w14:solidFill>
              <w14:schemeClr w14:val="tx1"/>
            </w14:solidFill>
          </w14:textFill>
        </w:rPr>
        <w:t>8</w:t>
      </w:r>
      <w:r>
        <w:rPr>
          <w:rFonts w:hint="eastAsia" w:ascii="仿宋" w:hAnsi="仿宋" w:eastAsia="仿宋" w:cs="Arial"/>
          <w:color w:val="000000" w:themeColor="text1"/>
          <w:sz w:val="30"/>
          <w:szCs w:val="30"/>
          <w14:textFill>
            <w14:solidFill>
              <w14:schemeClr w14:val="tx1"/>
            </w14:solidFill>
          </w14:textFill>
        </w:rPr>
        <w:t>日9：</w:t>
      </w:r>
      <w:r>
        <w:rPr>
          <w:rFonts w:hint="eastAsia" w:ascii="仿宋" w:hAnsi="仿宋" w:eastAsia="仿宋" w:cs="Arial"/>
          <w:color w:val="000000" w:themeColor="text1"/>
          <w:sz w:val="30"/>
          <w:szCs w:val="30"/>
          <w:lang w:val="en-US" w:eastAsia="zh-CN"/>
          <w14:textFill>
            <w14:solidFill>
              <w14:schemeClr w14:val="tx1"/>
            </w14:solidFill>
          </w14:textFill>
        </w:rPr>
        <w:t>0</w:t>
      </w:r>
      <w:r>
        <w:rPr>
          <w:rFonts w:hint="eastAsia" w:ascii="仿宋" w:hAnsi="仿宋" w:eastAsia="仿宋" w:cs="Arial"/>
          <w:color w:val="000000" w:themeColor="text1"/>
          <w:sz w:val="30"/>
          <w:szCs w:val="30"/>
          <w14:textFill>
            <w14:solidFill>
              <w14:schemeClr w14:val="tx1"/>
            </w14:solidFill>
          </w14:textFill>
        </w:rPr>
        <w:t>0</w:t>
      </w:r>
      <w:bookmarkEnd w:id="3"/>
      <w:r>
        <w:rPr>
          <w:rFonts w:hint="eastAsia" w:ascii="仿宋" w:hAnsi="仿宋" w:eastAsia="仿宋" w:cs="Arial"/>
          <w:color w:val="000000" w:themeColor="text1"/>
          <w:sz w:val="30"/>
          <w:szCs w:val="30"/>
          <w14:textFill>
            <w14:solidFill>
              <w14:schemeClr w14:val="tx1"/>
            </w14:solidFill>
          </w14:textFill>
        </w:rPr>
        <w:t>前</w:t>
      </w:r>
      <w:r>
        <w:rPr>
          <w:rFonts w:hint="eastAsia" w:ascii="仿宋" w:hAnsi="仿宋" w:eastAsia="仿宋" w:cs="Arial"/>
          <w:color w:val="000000" w:themeColor="text1"/>
          <w:sz w:val="28"/>
          <w:szCs w:val="28"/>
          <w14:textFill>
            <w14:solidFill>
              <w14:schemeClr w14:val="tx1"/>
            </w14:solidFill>
          </w14:textFill>
        </w:rPr>
        <w:t>派授权代表</w:t>
      </w:r>
      <w:r>
        <w:rPr>
          <w:rFonts w:hint="eastAsia" w:ascii="仿宋" w:hAnsi="仿宋" w:eastAsia="仿宋" w:cs="Arial"/>
          <w:color w:val="000000" w:themeColor="text1"/>
          <w:sz w:val="30"/>
          <w:szCs w:val="30"/>
          <w14:textFill>
            <w14:solidFill>
              <w14:schemeClr w14:val="tx1"/>
            </w14:solidFill>
          </w14:textFill>
        </w:rPr>
        <w:t>将投标文件密封送交到</w:t>
      </w:r>
      <w:bookmarkStart w:id="4" w:name="PO_15528_PM016"/>
      <w:r>
        <w:rPr>
          <w:rFonts w:hint="eastAsia" w:ascii="仿宋" w:hAnsi="仿宋" w:eastAsia="仿宋" w:cs="Arial"/>
          <w:color w:val="000000" w:themeColor="text1"/>
          <w:sz w:val="30"/>
          <w:szCs w:val="30"/>
          <w14:textFill>
            <w14:solidFill>
              <w14:schemeClr w14:val="tx1"/>
            </w14:solidFill>
          </w14:textFill>
        </w:rPr>
        <w:t>国家体育总局体育器材装备中心501会议室</w:t>
      </w:r>
      <w:bookmarkEnd w:id="4"/>
      <w:r>
        <w:rPr>
          <w:rFonts w:hint="eastAsia" w:ascii="仿宋" w:hAnsi="仿宋" w:eastAsia="仿宋" w:cs="Arial"/>
          <w:color w:val="000000" w:themeColor="text1"/>
          <w:sz w:val="30"/>
          <w:szCs w:val="30"/>
          <w14:textFill>
            <w14:solidFill>
              <w14:schemeClr w14:val="tx1"/>
            </w14:solidFill>
          </w14:textFill>
        </w:rPr>
        <w:t>，逾期送达或未密封将予以拒收。</w:t>
      </w:r>
      <w:r>
        <w:rPr>
          <w:rFonts w:hint="eastAsia" w:ascii="仿宋" w:hAnsi="仿宋" w:eastAsia="仿宋" w:cs="Arial"/>
          <w:color w:val="000000" w:themeColor="text1"/>
          <w:sz w:val="28"/>
          <w:szCs w:val="28"/>
          <w14:textFill>
            <w14:solidFill>
              <w14:schemeClr w14:val="tx1"/>
            </w14:solidFill>
          </w14:textFill>
        </w:rPr>
        <w:t>（授权代表应当是投标人的在职正式职工，并携带身份证及法定代表人授权书有效证明出席）</w:t>
      </w:r>
      <w:r>
        <w:rPr>
          <w:rFonts w:hint="eastAsia" w:ascii="仿宋" w:hAnsi="仿宋" w:eastAsia="仿宋" w:cs="Arial"/>
          <w:b/>
          <w:color w:val="000000" w:themeColor="text1"/>
          <w:sz w:val="28"/>
          <w:szCs w:val="28"/>
          <w14:textFill>
            <w14:solidFill>
              <w14:schemeClr w14:val="tx1"/>
            </w14:solidFill>
          </w14:textFill>
        </w:rPr>
        <w:t>投标人在递交投标文件时另行提供投标文件送达回执、政府采购活动现场确认声明书（格式详见附件，不密封进投标文件）。</w:t>
      </w:r>
    </w:p>
    <w:p>
      <w:pPr>
        <w:snapToGrid w:val="0"/>
        <w:spacing w:line="440" w:lineRule="exact"/>
        <w:ind w:firstLine="600" w:firstLineChars="200"/>
        <w:rPr>
          <w:rFonts w:ascii="仿宋" w:hAnsi="仿宋" w:eastAsia="仿宋" w:cs="Arial"/>
          <w:color w:val="000000" w:themeColor="text1"/>
          <w:sz w:val="30"/>
          <w:szCs w:val="30"/>
          <w14:textFill>
            <w14:solidFill>
              <w14:schemeClr w14:val="tx1"/>
            </w14:solidFill>
          </w14:textFill>
        </w:rPr>
      </w:pPr>
    </w:p>
    <w:p>
      <w:pPr>
        <w:snapToGrid w:val="0"/>
        <w:spacing w:line="44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八、开标时间及地点：</w:t>
      </w:r>
      <w:r>
        <w:rPr>
          <w:rFonts w:hint="eastAsia" w:ascii="仿宋" w:hAnsi="仿宋" w:eastAsia="仿宋" w:cs="Arial"/>
          <w:b/>
          <w:bCs/>
          <w:color w:val="000000" w:themeColor="text1"/>
          <w:sz w:val="30"/>
          <w:szCs w:val="30"/>
          <w14:textFill>
            <w14:solidFill>
              <w14:schemeClr w14:val="tx1"/>
            </w14:solidFill>
          </w14:textFill>
        </w:rPr>
        <w:tab/>
      </w:r>
    </w:p>
    <w:p>
      <w:pPr>
        <w:snapToGrid w:val="0"/>
        <w:spacing w:line="440" w:lineRule="exact"/>
        <w:ind w:firstLine="60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30"/>
          <w:szCs w:val="30"/>
          <w14:textFill>
            <w14:solidFill>
              <w14:schemeClr w14:val="tx1"/>
            </w14:solidFill>
          </w14:textFill>
        </w:rPr>
        <w:t>本次招标将于</w:t>
      </w:r>
      <w:r>
        <w:rPr>
          <w:rFonts w:ascii="仿宋" w:hAnsi="仿宋" w:eastAsia="仿宋" w:cs="Arial"/>
          <w:color w:val="000000" w:themeColor="text1"/>
          <w:sz w:val="30"/>
          <w:szCs w:val="30"/>
          <w14:textFill>
            <w14:solidFill>
              <w14:schemeClr w14:val="tx1"/>
            </w14:solidFill>
          </w14:textFill>
        </w:rPr>
        <w:t>202</w:t>
      </w:r>
      <w:r>
        <w:rPr>
          <w:rFonts w:hint="eastAsia" w:ascii="仿宋" w:hAnsi="仿宋" w:eastAsia="仿宋" w:cs="Arial"/>
          <w:color w:val="000000" w:themeColor="text1"/>
          <w:sz w:val="30"/>
          <w:szCs w:val="30"/>
          <w14:textFill>
            <w14:solidFill>
              <w14:schemeClr w14:val="tx1"/>
            </w14:solidFill>
          </w14:textFill>
        </w:rPr>
        <w:t>1年</w:t>
      </w:r>
      <w:r>
        <w:rPr>
          <w:rFonts w:hint="eastAsia" w:ascii="仿宋" w:hAnsi="仿宋" w:eastAsia="仿宋" w:cs="Arial"/>
          <w:color w:val="000000" w:themeColor="text1"/>
          <w:sz w:val="30"/>
          <w:szCs w:val="30"/>
          <w:lang w:val="en-US" w:eastAsia="zh-CN"/>
          <w14:textFill>
            <w14:solidFill>
              <w14:schemeClr w14:val="tx1"/>
            </w14:solidFill>
          </w14:textFill>
        </w:rPr>
        <w:t>2</w:t>
      </w:r>
      <w:r>
        <w:rPr>
          <w:rFonts w:hint="eastAsia" w:ascii="仿宋" w:hAnsi="仿宋" w:eastAsia="仿宋" w:cs="Arial"/>
          <w:color w:val="000000" w:themeColor="text1"/>
          <w:sz w:val="30"/>
          <w:szCs w:val="30"/>
          <w14:textFill>
            <w14:solidFill>
              <w14:schemeClr w14:val="tx1"/>
            </w14:solidFill>
          </w14:textFill>
        </w:rPr>
        <w:t>月</w:t>
      </w:r>
      <w:r>
        <w:rPr>
          <w:rFonts w:hint="eastAsia" w:ascii="仿宋" w:hAnsi="仿宋" w:eastAsia="仿宋" w:cs="Arial"/>
          <w:color w:val="000000" w:themeColor="text1"/>
          <w:sz w:val="30"/>
          <w:szCs w:val="30"/>
          <w:lang w:val="en-US" w:eastAsia="zh-CN"/>
          <w14:textFill>
            <w14:solidFill>
              <w14:schemeClr w14:val="tx1"/>
            </w14:solidFill>
          </w14:textFill>
        </w:rPr>
        <w:t>8</w:t>
      </w:r>
      <w:r>
        <w:rPr>
          <w:rFonts w:hint="eastAsia" w:ascii="仿宋" w:hAnsi="仿宋" w:eastAsia="仿宋" w:cs="Arial"/>
          <w:color w:val="000000" w:themeColor="text1"/>
          <w:sz w:val="30"/>
          <w:szCs w:val="30"/>
          <w14:textFill>
            <w14:solidFill>
              <w14:schemeClr w14:val="tx1"/>
            </w14:solidFill>
          </w14:textFill>
        </w:rPr>
        <w:t>日9:</w:t>
      </w:r>
      <w:r>
        <w:rPr>
          <w:rFonts w:hint="eastAsia" w:ascii="仿宋" w:hAnsi="仿宋" w:eastAsia="仿宋" w:cs="Arial"/>
          <w:color w:val="000000" w:themeColor="text1"/>
          <w:sz w:val="30"/>
          <w:szCs w:val="30"/>
          <w:lang w:val="en-US" w:eastAsia="zh-CN"/>
          <w14:textFill>
            <w14:solidFill>
              <w14:schemeClr w14:val="tx1"/>
            </w14:solidFill>
          </w14:textFill>
        </w:rPr>
        <w:t>0</w:t>
      </w:r>
      <w:r>
        <w:rPr>
          <w:rFonts w:hint="eastAsia" w:ascii="仿宋" w:hAnsi="仿宋" w:eastAsia="仿宋" w:cs="Arial"/>
          <w:color w:val="000000" w:themeColor="text1"/>
          <w:sz w:val="30"/>
          <w:szCs w:val="30"/>
          <w14:textFill>
            <w14:solidFill>
              <w14:schemeClr w14:val="tx1"/>
            </w14:solidFill>
          </w14:textFill>
        </w:rPr>
        <w:t>0 在</w:t>
      </w:r>
      <w:bookmarkStart w:id="5" w:name="PO_15528_PM016_1"/>
      <w:r>
        <w:rPr>
          <w:rFonts w:hint="eastAsia" w:ascii="仿宋" w:hAnsi="仿宋" w:eastAsia="仿宋" w:cs="Arial"/>
          <w:color w:val="000000" w:themeColor="text1"/>
          <w:sz w:val="30"/>
          <w:szCs w:val="30"/>
          <w14:textFill>
            <w14:solidFill>
              <w14:schemeClr w14:val="tx1"/>
            </w14:solidFill>
          </w14:textFill>
        </w:rPr>
        <w:t>国家体育总局体育器材装备中心501会议室</w:t>
      </w:r>
      <w:bookmarkEnd w:id="5"/>
      <w:r>
        <w:rPr>
          <w:rFonts w:hint="eastAsia" w:ascii="仿宋" w:hAnsi="仿宋" w:eastAsia="仿宋" w:cs="Arial"/>
          <w:color w:val="000000" w:themeColor="text1"/>
          <w:sz w:val="30"/>
          <w:szCs w:val="30"/>
          <w14:textFill>
            <w14:solidFill>
              <w14:schemeClr w14:val="tx1"/>
            </w14:solidFill>
          </w14:textFill>
        </w:rPr>
        <w:t>开标，</w:t>
      </w:r>
      <w:r>
        <w:rPr>
          <w:rFonts w:hint="eastAsia" w:ascii="仿宋" w:hAnsi="仿宋" w:eastAsia="仿宋" w:cs="Arial"/>
          <w:color w:val="000000" w:themeColor="text1"/>
          <w:sz w:val="28"/>
          <w:szCs w:val="28"/>
          <w14:textFill>
            <w14:solidFill>
              <w14:schemeClr w14:val="tx1"/>
            </w14:solidFill>
          </w14:textFill>
        </w:rPr>
        <w:t>投标人可以派授权代表出席开标会议。</w:t>
      </w:r>
    </w:p>
    <w:p>
      <w:pPr>
        <w:snapToGrid w:val="0"/>
        <w:spacing w:line="440" w:lineRule="exact"/>
        <w:ind w:firstLine="600" w:firstLineChars="200"/>
        <w:rPr>
          <w:rFonts w:ascii="仿宋" w:hAnsi="仿宋" w:eastAsia="仿宋" w:cs="Arial"/>
          <w:color w:val="000000" w:themeColor="text1"/>
          <w:sz w:val="30"/>
          <w:szCs w:val="30"/>
          <w14:textFill>
            <w14:solidFill>
              <w14:schemeClr w14:val="tx1"/>
            </w14:solidFill>
          </w14:textFill>
        </w:rPr>
      </w:pPr>
    </w:p>
    <w:p>
      <w:pPr>
        <w:snapToGrid w:val="0"/>
        <w:spacing w:line="44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九、业务咨询</w:t>
      </w:r>
    </w:p>
    <w:tbl>
      <w:tblPr>
        <w:tblStyle w:val="58"/>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机 构</w:t>
            </w:r>
          </w:p>
        </w:tc>
        <w:tc>
          <w:tcPr>
            <w:tcW w:w="8113"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国家体育总局体育器材装备中心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北京市东城区体育馆路3号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项目联系人</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俞冠男</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themeColor="text1"/>
                <w:sz w:val="28"/>
                <w:szCs w:val="28"/>
                <w14:textFill>
                  <w14:solidFill>
                    <w14:schemeClr w14:val="tx1"/>
                  </w14:solidFill>
                </w14:textFill>
              </w:rPr>
            </w:pPr>
            <w:bookmarkStart w:id="6" w:name="PO_15528_PM033"/>
            <w:r>
              <w:rPr>
                <w:rFonts w:ascii="仿宋" w:hAnsi="仿宋" w:eastAsia="仿宋" w:cs="仿宋"/>
                <w:color w:val="000000" w:themeColor="text1"/>
                <w:sz w:val="28"/>
                <w:szCs w:val="28"/>
                <w14:textFill>
                  <w14:solidFill>
                    <w14:schemeClr w14:val="tx1"/>
                  </w14:solidFill>
                </w14:textFill>
              </w:rPr>
              <w:t>010-8718</w:t>
            </w:r>
            <w:bookmarkEnd w:id="6"/>
            <w:r>
              <w:rPr>
                <w:rFonts w:hint="eastAsia" w:ascii="仿宋" w:hAnsi="仿宋" w:eastAsia="仿宋" w:cs="仿宋"/>
                <w:color w:val="000000" w:themeColor="text1"/>
                <w:sz w:val="28"/>
                <w:szCs w:val="28"/>
                <w14:textFill>
                  <w14:solidFill>
                    <w14:schemeClr w14:val="tx1"/>
                  </w14:solidFill>
                </w14:textFill>
              </w:rPr>
              <w:t>2681</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p>
        </w:tc>
        <w:tc>
          <w:tcPr>
            <w:tcW w:w="2644"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六楼</w:t>
            </w:r>
            <w:bookmarkStart w:id="7" w:name="PO_409_PM001385"/>
            <w:r>
              <w:rPr>
                <w:rFonts w:hint="eastAsia" w:ascii="仿宋" w:hAnsi="仿宋" w:eastAsia="仿宋" w:cs="仿宋"/>
                <w:color w:val="000000" w:themeColor="text1"/>
                <w:sz w:val="28"/>
                <w:szCs w:val="28"/>
                <w14:textFill>
                  <w14:solidFill>
                    <w14:schemeClr w14:val="tx1"/>
                  </w14:solidFill>
                </w14:textFill>
              </w:rPr>
              <w:t>集中采购处</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项目保证金</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师 同</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010-87182648</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四楼（财务室）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周立泉</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010-87182673</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六楼（集中采购处）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网站系统问题</w:t>
            </w:r>
          </w:p>
        </w:tc>
        <w:tc>
          <w:tcPr>
            <w:tcW w:w="1314"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客  服</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4008817190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注册、账号等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8"/>
                <w:szCs w:val="28"/>
                <w14:textFill>
                  <w14:solidFill>
                    <w14:schemeClr w14:val="tx1"/>
                  </w14:solidFill>
                </w14:textFill>
              </w:rPr>
            </w:pPr>
          </w:p>
        </w:tc>
        <w:tc>
          <w:tcPr>
            <w:tcW w:w="13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8"/>
                <w:szCs w:val="28"/>
                <w14:textFill>
                  <w14:solidFill>
                    <w14:schemeClr w14:val="tx1"/>
                  </w14:solidFill>
                </w14:textFill>
              </w:rPr>
            </w:pP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4008371020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其他问题</w:t>
            </w:r>
          </w:p>
        </w:tc>
      </w:tr>
    </w:tbl>
    <w:p>
      <w:pPr>
        <w:snapToGrid w:val="0"/>
        <w:spacing w:line="440" w:lineRule="exact"/>
        <w:ind w:left="238"/>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s="Arial"/>
          <w:color w:val="000000" w:themeColor="text1"/>
          <w:sz w:val="30"/>
          <w:szCs w:val="30"/>
          <w14:textFill>
            <w14:solidFill>
              <w14:schemeClr w14:val="tx1"/>
            </w14:solidFill>
          </w14:textFill>
        </w:rPr>
        <w:t xml:space="preserve">                            </w:t>
      </w:r>
    </w:p>
    <w:p>
      <w:pPr>
        <w:snapToGrid w:val="0"/>
        <w:spacing w:line="44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十、采购需求咨询</w:t>
      </w:r>
      <w:bookmarkStart w:id="8" w:name="PO_TDCUS_ITEM_PRC_TABLE_1_1"/>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3"/>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703" w:type="pct"/>
          </w:tcPr>
          <w:p>
            <w:pPr>
              <w:pStyle w:val="805"/>
              <w:spacing w:before="156" w:after="156"/>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采购单位</w:t>
            </w:r>
          </w:p>
        </w:tc>
        <w:tc>
          <w:tcPr>
            <w:tcW w:w="3297" w:type="pct"/>
          </w:tcPr>
          <w:p>
            <w:pPr>
              <w:pStyle w:val="805"/>
              <w:spacing w:before="156" w:after="156"/>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国家体育总局体育信息中心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03" w:type="pct"/>
          </w:tcPr>
          <w:p>
            <w:pPr>
              <w:pStyle w:val="805"/>
              <w:spacing w:before="156" w:after="156"/>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地址</w:t>
            </w:r>
          </w:p>
        </w:tc>
        <w:tc>
          <w:tcPr>
            <w:tcW w:w="3297" w:type="pct"/>
          </w:tcPr>
          <w:p>
            <w:pPr>
              <w:pStyle w:val="805"/>
              <w:spacing w:before="156" w:after="156"/>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北京市东城区体育馆路1</w:t>
            </w:r>
            <w:r>
              <w:rPr>
                <w:rFonts w:ascii="仿宋_GB2312" w:hAnsi="仿宋" w:eastAsia="仿宋_GB2312"/>
                <w:color w:val="000000" w:themeColor="text1"/>
                <w:sz w:val="30"/>
                <w:szCs w:val="30"/>
                <w14:textFill>
                  <w14:solidFill>
                    <w14:schemeClr w14:val="tx1"/>
                  </w14:solidFill>
                </w14:textFill>
              </w:rPr>
              <w:t>1</w:t>
            </w:r>
            <w:r>
              <w:rPr>
                <w:rFonts w:hint="eastAsia" w:ascii="仿宋_GB2312" w:hAnsi="仿宋" w:eastAsia="仿宋_GB2312"/>
                <w:color w:val="000000" w:themeColor="text1"/>
                <w:sz w:val="30"/>
                <w:szCs w:val="30"/>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pct"/>
          </w:tcPr>
          <w:p>
            <w:pPr>
              <w:pStyle w:val="805"/>
              <w:spacing w:before="156" w:after="156"/>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咨询事项</w:t>
            </w:r>
          </w:p>
        </w:tc>
        <w:tc>
          <w:tcPr>
            <w:tcW w:w="3297" w:type="pct"/>
          </w:tcPr>
          <w:p>
            <w:pPr>
              <w:pStyle w:val="805"/>
              <w:spacing w:before="156" w:after="156"/>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703" w:type="pct"/>
          </w:tcPr>
          <w:p>
            <w:pPr>
              <w:pStyle w:val="805"/>
              <w:spacing w:before="156" w:after="156"/>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联系人及联系方式</w:t>
            </w:r>
          </w:p>
        </w:tc>
        <w:tc>
          <w:tcPr>
            <w:tcW w:w="3297" w:type="pct"/>
          </w:tcPr>
          <w:p>
            <w:pPr>
              <w:pStyle w:val="805"/>
              <w:spacing w:before="156" w:after="156"/>
              <w:rPr>
                <w:rFonts w:ascii="仿宋_GB2312" w:hAnsi="仿宋" w:eastAsia="仿宋_GB2312"/>
                <w:color w:val="000000" w:themeColor="text1"/>
                <w:sz w:val="30"/>
                <w:szCs w:val="30"/>
                <w14:textFill>
                  <w14:solidFill>
                    <w14:schemeClr w14:val="tx1"/>
                  </w14:solidFill>
                </w14:textFill>
              </w:rPr>
            </w:pPr>
            <w:r>
              <w:rPr>
                <w:rFonts w:ascii="仿宋_GB2312" w:hAnsi="仿宋" w:eastAsia="仿宋_GB2312"/>
                <w:color w:val="000000" w:themeColor="text1"/>
                <w:sz w:val="30"/>
                <w:szCs w:val="30"/>
                <w14:textFill>
                  <w14:solidFill>
                    <w14:schemeClr w14:val="tx1"/>
                  </w14:solidFill>
                </w14:textFill>
              </w:rPr>
              <w:t>刘硕</w:t>
            </w:r>
            <w:r>
              <w:rPr>
                <w:rFonts w:hint="eastAsia" w:ascii="仿宋_GB2312" w:hAnsi="仿宋" w:eastAsia="仿宋_GB2312"/>
                <w:color w:val="000000" w:themeColor="text1"/>
                <w:sz w:val="30"/>
                <w:szCs w:val="30"/>
                <w14:textFill>
                  <w14:solidFill>
                    <w14:schemeClr w14:val="tx1"/>
                  </w14:solidFill>
                </w14:textFill>
              </w:rPr>
              <w:t>；</w:t>
            </w:r>
            <w:r>
              <w:rPr>
                <w:rFonts w:ascii="仿宋_GB2312" w:hAnsi="仿宋" w:eastAsia="仿宋_GB2312"/>
                <w:color w:val="000000" w:themeColor="text1"/>
                <w:sz w:val="30"/>
                <w:szCs w:val="30"/>
                <w14:textFill>
                  <w14:solidFill>
                    <w14:schemeClr w14:val="tx1"/>
                  </w14:solidFill>
                </w14:textFill>
              </w:rPr>
              <w:t>13581680211</w:t>
            </w:r>
          </w:p>
        </w:tc>
      </w:tr>
      <w:bookmarkEnd w:id="8"/>
    </w:tbl>
    <w:p>
      <w:pPr>
        <w:pStyle w:val="31"/>
        <w:spacing w:before="156" w:after="156" w:line="360" w:lineRule="auto"/>
        <w:outlineLvl w:val="0"/>
        <w:rPr>
          <w:rFonts w:ascii="仿宋" w:hAnsi="仿宋" w:eastAsia="仿宋"/>
          <w:b/>
          <w:color w:val="000000" w:themeColor="text1"/>
          <w:sz w:val="36"/>
          <w:szCs w:val="36"/>
          <w14:textFill>
            <w14:solidFill>
              <w14:schemeClr w14:val="tx1"/>
            </w14:solidFill>
          </w14:textFill>
        </w:rPr>
      </w:pPr>
      <w:bookmarkStart w:id="9" w:name="_Toc51935128"/>
    </w:p>
    <w:p>
      <w:pPr>
        <w:pStyle w:val="31"/>
        <w:spacing w:before="156" w:after="156" w:line="360" w:lineRule="auto"/>
        <w:jc w:val="center"/>
        <w:outlineLvl w:val="0"/>
        <w:rPr>
          <w:rFonts w:hAnsi="宋体"/>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第二章  投标人须知</w:t>
      </w:r>
      <w:bookmarkEnd w:id="9"/>
      <w:r>
        <w:rPr>
          <w:rFonts w:hint="eastAsia" w:hAnsi="宋体"/>
          <w:b/>
          <w:color w:val="000000" w:themeColor="text1"/>
          <w:sz w:val="36"/>
          <w:szCs w:val="36"/>
          <w14:textFill>
            <w14:solidFill>
              <w14:schemeClr w14:val="tx1"/>
            </w14:solidFill>
          </w14:textFill>
        </w:rPr>
        <w:t xml:space="preserve"> </w:t>
      </w:r>
    </w:p>
    <w:p>
      <w:pPr>
        <w:pStyle w:val="31"/>
        <w:spacing w:before="156" w:after="156" w:line="360" w:lineRule="auto"/>
        <w:outlineLvl w:val="0"/>
        <w:rPr>
          <w:rFonts w:hAnsi="宋体"/>
          <w:b/>
          <w:color w:val="000000" w:themeColor="text1"/>
          <w:sz w:val="36"/>
          <w:szCs w:val="36"/>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前附表</w:t>
      </w:r>
    </w:p>
    <w:tbl>
      <w:tblPr>
        <w:tblStyle w:val="58"/>
        <w:tblW w:w="90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07"/>
        <w:gridCol w:w="978"/>
        <w:gridCol w:w="72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序号</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内 容</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ind w:firstLine="1960" w:firstLineChars="7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项目名称及数量</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详见《公开招标采购公告》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信用记录</w:t>
            </w:r>
          </w:p>
        </w:tc>
        <w:tc>
          <w:tcPr>
            <w:tcW w:w="7254" w:type="dxa"/>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hint="eastAsia" w:ascii="仿宋" w:hAnsi="仿宋" w:eastAsia="仿宋"/>
                <w:b/>
                <w:color w:val="000000" w:themeColor="text1"/>
                <w:sz w:val="24"/>
                <w:szCs w:val="24"/>
                <w14:textFill>
                  <w14:solidFill>
                    <w14:schemeClr w14:val="tx1"/>
                  </w14:solidFill>
                </w14:textFill>
              </w:rPr>
              <w:t>其投标将作无效标处理</w:t>
            </w:r>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政府采购节能环保产品</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投标产品若属于节能环保产品的，请提供财政部、环境保护保部发布有效期内环境标志产品政府采购清单以及财政部、发改委联合发布有效期内节能产品政府采购清单。</w:t>
            </w:r>
          </w:p>
          <w:p>
            <w:pPr>
              <w:snapToGrid w:val="0"/>
              <w:jc w:val="left"/>
              <w:rPr>
                <w:rFonts w:ascii="仿宋" w:hAnsi="仿宋" w:eastAsia="仿宋"/>
                <w:bCs/>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招标需求中要求提供的产品属于节能清单中政府强制采购节能产品品目的，投标人须提供该清单内产品，</w:t>
            </w:r>
            <w:r>
              <w:rPr>
                <w:rFonts w:hint="eastAsia" w:ascii="仿宋" w:hAnsi="仿宋" w:eastAsia="仿宋"/>
                <w:b/>
                <w:color w:val="000000" w:themeColor="text1"/>
                <w:sz w:val="24"/>
                <w:szCs w:val="24"/>
                <w14:textFill>
                  <w14:solidFill>
                    <w14:schemeClr w14:val="tx1"/>
                  </w14:solidFill>
                </w14:textFill>
              </w:rPr>
              <w:t>否则其投标将作为无效标处理。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小微企业有关政策</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根据财库〔2020〕46号的相关规定，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snapToGrid w:val="0"/>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价格扣除比例或者价格分加分比例对小型企业和微型企业同等对待，不作区分。</w:t>
            </w:r>
          </w:p>
          <w:p>
            <w:pPr>
              <w:snapToGrid w:val="0"/>
              <w:ind w:firstLine="602" w:firstLineChars="25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中小企业参加政府采购活动，应当出具本办法规定的《中小企业声明函》（见附件），否则不得享受相关中小企业扶持政策。</w:t>
            </w:r>
          </w:p>
          <w:p>
            <w:pPr>
              <w:snapToGrid w:val="0"/>
              <w:ind w:firstLine="602" w:firstLineChars="25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注：（1）本项目非专门面向中小企业采购的采购项目。（2）本项目所属行业为软件和信息技术服务业，对小微企业报价给予6%的扣除，用扣除后的价格参加评审。</w:t>
            </w:r>
          </w:p>
          <w:p>
            <w:pPr>
              <w:snapToGrid w:val="0"/>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答疑与澄清</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bCs/>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投标人如对招标文件有异议，应当于公告发布之日起至</w:t>
            </w:r>
            <w:r>
              <w:rPr>
                <w:rFonts w:hint="eastAsia" w:ascii="仿宋" w:hAnsi="仿宋" w:eastAsia="仿宋"/>
                <w:bCs/>
                <w:color w:val="000000" w:themeColor="text1"/>
                <w:sz w:val="24"/>
                <w:szCs w:val="24"/>
                <w14:textFill>
                  <w14:solidFill>
                    <w14:schemeClr w14:val="tx1"/>
                  </w14:solidFill>
                </w14:textFill>
              </w:rPr>
              <w:t>公告期限满第7个工作日内</w:t>
            </w:r>
            <w:r>
              <w:rPr>
                <w:rFonts w:hint="eastAsia" w:ascii="仿宋" w:hAnsi="仿宋" w:eastAsia="仿宋"/>
                <w:color w:val="000000" w:themeColor="text1"/>
                <w:sz w:val="24"/>
                <w:szCs w:val="24"/>
                <w14:textFill>
                  <w14:solidFill>
                    <w14:schemeClr w14:val="tx1"/>
                  </w14:solidFill>
                </w14:textFill>
              </w:rPr>
              <w:t>，以书面形式向招标采购单位提出，逾期不予受理。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6</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是否允许采购进口产品</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具体要求详见第四章招标需求对应内容。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7</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是否允许转包</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转包：否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8</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是否接受联合体投标</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4"/>
                <w14:textFill>
                  <w14:solidFill>
                    <w14:schemeClr w14:val="tx1"/>
                  </w14:solidFill>
                </w14:textFill>
              </w:rPr>
            </w:pPr>
            <w:bookmarkStart w:id="10" w:name="PO_15528_PM007_1"/>
            <w:r>
              <w:rPr>
                <w:rFonts w:ascii="仿宋" w:hAnsi="仿宋" w:eastAsia="仿宋"/>
                <w:color w:val="000000" w:themeColor="text1"/>
                <w:sz w:val="24"/>
                <w:szCs w:val="24"/>
                <w14:textFill>
                  <w14:solidFill>
                    <w14:schemeClr w14:val="tx1"/>
                  </w14:solidFill>
                </w14:textFill>
              </w:rPr>
              <w:t>不允许联合体投标</w:t>
            </w:r>
            <w:bookmarkEnd w:id="10"/>
          </w:p>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（接受联合体投标的请提供联合体协议书。）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9</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是否现场踏勘</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bookmarkStart w:id="11" w:name="PO_15528_PM040"/>
            <w:r>
              <w:rPr>
                <w:rFonts w:hint="eastAsia" w:ascii="仿宋" w:hAnsi="仿宋" w:eastAsia="仿宋"/>
                <w:color w:val="000000" w:themeColor="text1"/>
                <w:sz w:val="24"/>
                <w:szCs w:val="24"/>
                <w14:textFill>
                  <w14:solidFill>
                    <w14:schemeClr w14:val="tx1"/>
                  </w14:solidFill>
                </w14:textFill>
              </w:rPr>
              <w:t>不组织现场踏勘</w:t>
            </w:r>
            <w:bookmarkEnd w:id="11"/>
          </w:p>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具体要求详见第四章招标需求对应内容。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10</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是否提供演示</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4"/>
                <w14:textFill>
                  <w14:solidFill>
                    <w14:schemeClr w14:val="tx1"/>
                  </w14:solidFill>
                </w14:textFill>
              </w:rPr>
            </w:pPr>
            <w:bookmarkStart w:id="12" w:name="PO_15528_PM041"/>
            <w:r>
              <w:rPr>
                <w:rFonts w:hint="eastAsia" w:ascii="仿宋" w:hAnsi="仿宋" w:eastAsia="仿宋"/>
                <w:color w:val="000000" w:themeColor="text1"/>
                <w:sz w:val="24"/>
                <w:szCs w:val="24"/>
                <w14:textFill>
                  <w14:solidFill>
                    <w14:schemeClr w14:val="tx1"/>
                  </w14:solidFill>
                </w14:textFill>
              </w:rPr>
              <w:t>不进行演示</w:t>
            </w:r>
            <w:bookmarkEnd w:id="12"/>
          </w:p>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具体要求详见第四章招标需求对应内容。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11</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是否提供样品</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4"/>
                <w14:textFill>
                  <w14:solidFill>
                    <w14:schemeClr w14:val="tx1"/>
                  </w14:solidFill>
                </w14:textFill>
              </w:rPr>
            </w:pPr>
            <w:bookmarkStart w:id="13" w:name="PO_15528_PM043"/>
            <w:r>
              <w:rPr>
                <w:rFonts w:hint="eastAsia" w:ascii="仿宋" w:hAnsi="仿宋" w:eastAsia="仿宋"/>
                <w:color w:val="000000" w:themeColor="text1"/>
                <w:sz w:val="24"/>
                <w:szCs w:val="24"/>
                <w14:textFill>
                  <w14:solidFill>
                    <w14:schemeClr w14:val="tx1"/>
                  </w14:solidFill>
                </w14:textFill>
              </w:rPr>
              <w:t>不要求提供样品</w:t>
            </w:r>
            <w:bookmarkEnd w:id="13"/>
          </w:p>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具体要求详见第四章招标需求对应内容。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12</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投标文件组成</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投标文件由开标一览表、资质文件、技术及商务文件、报价文件正本</w:t>
            </w:r>
            <w:r>
              <w:rPr>
                <w:rFonts w:hint="eastAsia" w:ascii="仿宋" w:hAnsi="仿宋" w:eastAsia="仿宋"/>
                <w:b/>
                <w:color w:val="000000" w:themeColor="text1"/>
                <w:sz w:val="24"/>
                <w:szCs w:val="24"/>
                <w14:textFill>
                  <w14:solidFill>
                    <w14:schemeClr w14:val="tx1"/>
                  </w14:solidFill>
                </w14:textFill>
              </w:rPr>
              <w:t>各</w:t>
            </w:r>
            <w:r>
              <w:rPr>
                <w:rFonts w:hint="eastAsia" w:ascii="仿宋" w:hAnsi="仿宋" w:eastAsia="仿宋" w:cs="Arial"/>
                <w:b/>
                <w:color w:val="000000" w:themeColor="text1"/>
                <w:sz w:val="24"/>
                <w:szCs w:val="24"/>
                <w:u w:val="single"/>
                <w14:textFill>
                  <w14:solidFill>
                    <w14:schemeClr w14:val="tx1"/>
                  </w14:solidFill>
                </w14:textFill>
              </w:rPr>
              <w:t xml:space="preserve"> 1 </w:t>
            </w:r>
            <w:r>
              <w:rPr>
                <w:rFonts w:hint="eastAsia" w:ascii="仿宋" w:hAnsi="仿宋" w:eastAsia="仿宋"/>
                <w:b/>
                <w:color w:val="000000" w:themeColor="text1"/>
                <w:sz w:val="24"/>
                <w:szCs w:val="24"/>
                <w14:textFill>
                  <w14:solidFill>
                    <w14:schemeClr w14:val="tx1"/>
                  </w14:solidFill>
                </w14:textFill>
              </w:rPr>
              <w:t>份</w:t>
            </w:r>
            <w:r>
              <w:rPr>
                <w:rFonts w:hint="eastAsia" w:ascii="仿宋" w:hAnsi="仿宋" w:eastAsia="仿宋"/>
                <w:color w:val="000000" w:themeColor="text1"/>
                <w:sz w:val="24"/>
                <w:szCs w:val="24"/>
                <w14:textFill>
                  <w14:solidFill>
                    <w14:schemeClr w14:val="tx1"/>
                  </w14:solidFill>
                </w14:textFill>
              </w:rPr>
              <w:t>；资质文件、技术及商务文件、报价文件副本</w:t>
            </w:r>
            <w:r>
              <w:rPr>
                <w:rFonts w:hint="eastAsia" w:ascii="仿宋" w:hAnsi="仿宋" w:eastAsia="仿宋"/>
                <w:b/>
                <w:color w:val="000000" w:themeColor="text1"/>
                <w:sz w:val="24"/>
                <w:szCs w:val="24"/>
                <w14:textFill>
                  <w14:solidFill>
                    <w14:schemeClr w14:val="tx1"/>
                  </w14:solidFill>
                </w14:textFill>
              </w:rPr>
              <w:t>各</w:t>
            </w:r>
            <w:bookmarkStart w:id="14" w:name="PO_15528_PM045"/>
            <w:r>
              <w:rPr>
                <w:rFonts w:ascii="仿宋" w:hAnsi="仿宋" w:eastAsia="仿宋"/>
                <w:b/>
                <w:color w:val="000000" w:themeColor="text1"/>
                <w:sz w:val="24"/>
                <w:szCs w:val="24"/>
                <w14:textFill>
                  <w14:solidFill>
                    <w14:schemeClr w14:val="tx1"/>
                  </w14:solidFill>
                </w14:textFill>
              </w:rPr>
              <w:t>3</w:t>
            </w:r>
            <w:bookmarkEnd w:id="14"/>
            <w:r>
              <w:rPr>
                <w:rFonts w:hint="eastAsia" w:ascii="仿宋" w:hAnsi="仿宋" w:eastAsia="仿宋"/>
                <w:b/>
                <w:color w:val="000000" w:themeColor="text1"/>
                <w:sz w:val="24"/>
                <w:szCs w:val="24"/>
                <w14:textFill>
                  <w14:solidFill>
                    <w14:schemeClr w14:val="tx1"/>
                  </w14:solidFill>
                </w14:textFill>
              </w:rPr>
              <w:t>份</w:t>
            </w:r>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8"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13</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中标结果公告</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中标供应商确定之日起2个工作日内，将在</w:t>
            </w:r>
            <w:r>
              <w:rPr>
                <w:rFonts w:hint="eastAsia" w:ascii="仿宋" w:hAnsi="仿宋" w:eastAsia="仿宋" w:cs="Arial"/>
                <w:color w:val="000000" w:themeColor="text1"/>
                <w:sz w:val="24"/>
                <w:szCs w:val="24"/>
                <w14:textFill>
                  <w14:solidFill>
                    <w14:schemeClr w14:val="tx1"/>
                  </w14:solidFill>
                </w14:textFill>
              </w:rPr>
              <w:t>中国政府采购网(</w:t>
            </w:r>
            <w:r>
              <w:rPr>
                <w:rFonts w:hint="eastAsia" w:ascii="仿宋" w:hAnsi="仿宋" w:eastAsia="仿宋"/>
                <w:color w:val="000000" w:themeColor="text1"/>
                <w:sz w:val="24"/>
                <w:szCs w:val="24"/>
                <w14:textFill>
                  <w14:solidFill>
                    <w14:schemeClr w14:val="tx1"/>
                  </w14:solidFill>
                </w14:textFill>
              </w:rPr>
              <w:t xml:space="preserve"> </w:t>
            </w:r>
            <w:r>
              <w:fldChar w:fldCharType="begin"/>
            </w:r>
            <w:r>
              <w:instrText xml:space="preserve"> HYPERLINK "http://www.ccgp.gov.cn" </w:instrText>
            </w:r>
            <w:r>
              <w:fldChar w:fldCharType="separate"/>
            </w:r>
            <w:r>
              <w:rPr>
                <w:rStyle w:val="68"/>
                <w:rFonts w:hint="eastAsia" w:ascii="仿宋" w:hAnsi="仿宋" w:eastAsia="仿宋"/>
                <w:color w:val="000000" w:themeColor="text1"/>
                <w:sz w:val="24"/>
                <w:szCs w:val="24"/>
                <w14:textFill>
                  <w14:solidFill>
                    <w14:schemeClr w14:val="tx1"/>
                  </w14:solidFill>
                </w14:textFill>
              </w:rPr>
              <w:t>http://www.ccgp.gov.cn</w:t>
            </w:r>
            <w:r>
              <w:rPr>
                <w:rStyle w:val="68"/>
                <w:rFonts w:hint="eastAsia" w:ascii="仿宋" w:hAnsi="仿宋" w:eastAsia="仿宋"/>
                <w:color w:val="000000" w:themeColor="text1"/>
                <w:sz w:val="24"/>
                <w:szCs w:val="24"/>
                <w14:textFill>
                  <w14:solidFill>
                    <w14:schemeClr w14:val="tx1"/>
                  </w14:solidFill>
                </w14:textFill>
              </w:rPr>
              <w:fldChar w:fldCharType="end"/>
            </w:r>
            <w:r>
              <w:rPr>
                <w:rFonts w:hint="eastAsia" w:ascii="仿宋" w:hAnsi="仿宋" w:eastAsia="仿宋" w:cs="Arial"/>
                <w:color w:val="000000" w:themeColor="text1"/>
                <w:sz w:val="24"/>
                <w:szCs w:val="24"/>
                <w14:textFill>
                  <w14:solidFill>
                    <w14:schemeClr w14:val="tx1"/>
                  </w14:solidFill>
                </w14:textFill>
              </w:rPr>
              <w:t>)发布</w:t>
            </w:r>
            <w:r>
              <w:rPr>
                <w:rFonts w:hint="eastAsia" w:ascii="仿宋" w:hAnsi="仿宋" w:eastAsia="仿宋"/>
                <w:color w:val="000000" w:themeColor="text1"/>
                <w:sz w:val="24"/>
                <w:szCs w:val="24"/>
                <w14:textFill>
                  <w14:solidFill>
                    <w14:schemeClr w14:val="tx1"/>
                  </w14:solidFill>
                </w14:textFill>
              </w:rPr>
              <w:t>中标公告，公告期限为1个工作日，采购项目负责人根据报名时预留地址寄送</w:t>
            </w:r>
            <w:r>
              <w:rPr>
                <w:rFonts w:hint="eastAsia" w:ascii="仿宋" w:hAnsi="仿宋" w:eastAsia="仿宋" w:cs="Arial"/>
                <w:color w:val="000000" w:themeColor="text1"/>
                <w:sz w:val="24"/>
                <w:szCs w:val="24"/>
                <w14:textFill>
                  <w14:solidFill>
                    <w14:schemeClr w14:val="tx1"/>
                  </w14:solidFill>
                </w14:textFill>
              </w:rPr>
              <w:t>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14</w:t>
            </w:r>
          </w:p>
        </w:tc>
        <w:tc>
          <w:tcPr>
            <w:tcW w:w="97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投标保证金</w:t>
            </w:r>
          </w:p>
        </w:tc>
        <w:tc>
          <w:tcPr>
            <w:tcW w:w="72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交纳：投标保证金应按《招标采购公告》六规定交纳。</w:t>
            </w:r>
          </w:p>
          <w:p>
            <w:pPr>
              <w:autoSpaceDE w:val="0"/>
              <w:autoSpaceDN w:val="0"/>
              <w:snapToGrid w:val="0"/>
              <w:jc w:val="left"/>
              <w:textAlignment w:val="bottom"/>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退还：中标通知书发出之日起5个工作日内，未中标的投标人提供交入投标保证金时取得的第二联“供应商退款凭据”到招标方采购项目联系人，招标方以电汇或转账等方式退还投标保证金。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15</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合同签订时间</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3"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16</w:t>
            </w:r>
          </w:p>
        </w:tc>
        <w:tc>
          <w:tcPr>
            <w:tcW w:w="97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履约保证金</w:t>
            </w:r>
          </w:p>
        </w:tc>
        <w:tc>
          <w:tcPr>
            <w:tcW w:w="72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6"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17</w:t>
            </w:r>
          </w:p>
        </w:tc>
        <w:tc>
          <w:tcPr>
            <w:tcW w:w="97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付款方式</w:t>
            </w:r>
          </w:p>
        </w:tc>
        <w:tc>
          <w:tcPr>
            <w:tcW w:w="72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采购人自行支付，详见采购合同模板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18</w:t>
            </w:r>
          </w:p>
        </w:tc>
        <w:tc>
          <w:tcPr>
            <w:tcW w:w="97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投标文件有效期</w:t>
            </w:r>
          </w:p>
        </w:tc>
        <w:tc>
          <w:tcPr>
            <w:tcW w:w="72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themeColor="text1"/>
                <w:sz w:val="28"/>
                <w:szCs w:val="28"/>
                <w14:textFill>
                  <w14:solidFill>
                    <w14:schemeClr w14:val="tx1"/>
                  </w14:solidFill>
                </w14:textFill>
              </w:rPr>
            </w:pPr>
            <w:r>
              <w:rPr>
                <w:rFonts w:hint="eastAsia" w:ascii="仿宋" w:hAnsi="仿宋" w:eastAsia="仿宋" w:cs="Arial"/>
                <w:color w:val="000000" w:themeColor="text1"/>
                <w:sz w:val="24"/>
                <w:szCs w:val="24"/>
                <w14:textFill>
                  <w14:solidFill>
                    <w14:schemeClr w14:val="tx1"/>
                  </w14:solidFill>
                </w14:textFill>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19</w:t>
            </w:r>
          </w:p>
        </w:tc>
        <w:tc>
          <w:tcPr>
            <w:tcW w:w="97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投标文件的接收</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招标方于投标截止时间前半小时内接收投标文件，投标文件送达回执、政府采购活动现场确认声明书（格式详见附件）应单独提供，如投标人递交投标文件时未提供回执，视同不需要回执。</w:t>
            </w:r>
          </w:p>
          <w:p>
            <w:pPr>
              <w:snapToGrid w:val="0"/>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投标人递交投标文件时</w:t>
            </w:r>
            <w:r>
              <w:rPr>
                <w:rFonts w:hint="eastAsia" w:ascii="仿宋" w:hAnsi="仿宋" w:eastAsia="仿宋"/>
                <w:color w:val="000000" w:themeColor="text1"/>
                <w:sz w:val="24"/>
                <w:szCs w:val="24"/>
                <w14:textFill>
                  <w14:solidFill>
                    <w14:schemeClr w14:val="tx1"/>
                  </w14:solidFill>
                </w14:textFill>
              </w:rPr>
              <w:t>，</w:t>
            </w:r>
            <w:r>
              <w:rPr>
                <w:rFonts w:hint="eastAsia" w:ascii="仿宋" w:hAnsi="仿宋" w:eastAsia="仿宋"/>
                <w:b/>
                <w:color w:val="000000" w:themeColor="text1"/>
                <w:sz w:val="24"/>
                <w:szCs w:val="24"/>
                <w14:textFill>
                  <w14:solidFill>
                    <w14:schemeClr w14:val="tx1"/>
                  </w14:solidFill>
                </w14:textFill>
              </w:rPr>
              <w:t>如出现下列情况之一的，投标文件将被拒收：</w:t>
            </w:r>
          </w:p>
          <w:p>
            <w:pPr>
              <w:snapToGrid w:val="0"/>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1、未按规定密封或标记的投标文件；</w:t>
            </w:r>
          </w:p>
          <w:p>
            <w:pPr>
              <w:snapToGrid w:val="0"/>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2、由于包装不妥，在送交途中严重破损或失散的投标文件；</w:t>
            </w:r>
          </w:p>
          <w:p>
            <w:pPr>
              <w:snapToGrid w:val="0"/>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3、仅以非纸制文本形式的投标文件；</w:t>
            </w:r>
          </w:p>
          <w:p>
            <w:pPr>
              <w:snapToGrid w:val="0"/>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4、未成功办理投标人报名手续的；</w:t>
            </w:r>
          </w:p>
          <w:p>
            <w:pPr>
              <w:snapToGrid w:val="0"/>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5、超过投标截止时间送达的投标文件。</w:t>
            </w:r>
          </w:p>
          <w:p>
            <w:pPr>
              <w:autoSpaceDE w:val="0"/>
              <w:autoSpaceDN w:val="0"/>
              <w:snapToGrid w:val="0"/>
              <w:jc w:val="left"/>
              <w:textAlignment w:val="bottom"/>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投标人在投标截止时间前，可以书面通知（加盖公章）招标方，对所递交的投标文件进行补充、修改或者撤回。补充、修改的内容应当按照招标文件要求签署、盖章、密封后，作为投标文件的组成部分。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20</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招标方代理费用</w:t>
            </w:r>
          </w:p>
        </w:tc>
        <w:tc>
          <w:tcPr>
            <w:tcW w:w="7254" w:type="dxa"/>
            <w:tcBorders>
              <w:top w:val="single" w:color="auto" w:sz="4" w:space="0"/>
              <w:left w:val="single" w:color="auto" w:sz="4" w:space="0"/>
              <w:bottom w:val="single" w:color="auto" w:sz="4" w:space="0"/>
              <w:right w:val="single" w:color="auto" w:sz="4" w:space="0"/>
            </w:tcBorders>
            <w:vAlign w:val="center"/>
          </w:tcPr>
          <w:p>
            <w:pPr>
              <w:keepNext/>
              <w:keepLines/>
              <w:snapToGrid w:val="0"/>
              <w:spacing w:before="260" w:after="260" w:line="276" w:lineRule="auto"/>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本次招标收取中标服务费，中标服务费按照差额定率累进计费方式计取，由中标人在收到中标通知书后7个工作日内以汇款方式向招标单位一次支付。收费标准：</w:t>
            </w:r>
          </w:p>
          <w:tbl>
            <w:tblPr>
              <w:tblStyle w:val="58"/>
              <w:tblW w:w="0" w:type="auto"/>
              <w:tblCellSpacing w:w="0" w:type="dxa"/>
              <w:tblInd w:w="0" w:type="dxa"/>
              <w:shd w:val="clear" w:color="auto" w:fill="F0E7B4"/>
              <w:tblLayout w:type="autofit"/>
              <w:tblCellMar>
                <w:top w:w="0" w:type="dxa"/>
                <w:left w:w="0" w:type="dxa"/>
                <w:bottom w:w="0" w:type="dxa"/>
                <w:right w:w="0" w:type="dxa"/>
              </w:tblCellMar>
            </w:tblPr>
            <w:tblGrid>
              <w:gridCol w:w="2765"/>
              <w:gridCol w:w="3143"/>
            </w:tblGrid>
            <w:tr>
              <w:tblPrEx>
                <w:shd w:val="clear" w:color="auto" w:fill="F0E7B4"/>
                <w:tblCellMar>
                  <w:top w:w="0" w:type="dxa"/>
                  <w:left w:w="0" w:type="dxa"/>
                  <w:bottom w:w="0" w:type="dxa"/>
                  <w:right w:w="0" w:type="dxa"/>
                </w:tblCellMar>
              </w:tblPrEx>
              <w:trPr>
                <w:trHeight w:val="317" w:hRule="atLeast"/>
                <w:tblCellSpacing w:w="0" w:type="dxa"/>
              </w:trPr>
              <w:tc>
                <w:tcPr>
                  <w:tcW w:w="2765" w:type="dxa"/>
                  <w:shd w:val="clear" w:color="auto" w:fill="F0E7B4"/>
                </w:tcPr>
                <w:p>
                  <w:pPr>
                    <w:widowControl/>
                    <w:spacing w:after="75" w:line="270" w:lineRule="atLeast"/>
                    <w:jc w:val="center"/>
                    <w:rPr>
                      <w:rFonts w:ascii="Verdana" w:hAnsi="Verdana" w:cs="宋体"/>
                      <w:color w:val="000000" w:themeColor="text1"/>
                      <w:kern w:val="0"/>
                      <w:sz w:val="18"/>
                      <w:szCs w:val="18"/>
                      <w14:textFill>
                        <w14:solidFill>
                          <w14:schemeClr w14:val="tx1"/>
                        </w14:solidFill>
                      </w14:textFill>
                    </w:rPr>
                  </w:pPr>
                  <w:r>
                    <w:rPr>
                      <w:rFonts w:ascii="Verdana" w:hAnsi="Verdana" w:cs="宋体"/>
                      <w:b/>
                      <w:bCs/>
                      <w:color w:val="000000" w:themeColor="text1"/>
                      <w:kern w:val="0"/>
                      <w:sz w:val="18"/>
                      <w:szCs w:val="18"/>
                      <w14:textFill>
                        <w14:solidFill>
                          <w14:schemeClr w14:val="tx1"/>
                        </w14:solidFill>
                      </w14:textFill>
                    </w:rPr>
                    <w:t>中标金额（万元）</w:t>
                  </w:r>
                </w:p>
              </w:tc>
              <w:tc>
                <w:tcPr>
                  <w:tcW w:w="3143" w:type="dxa"/>
                  <w:shd w:val="clear" w:color="auto" w:fill="F0E7B4"/>
                  <w:vAlign w:val="center"/>
                </w:tcPr>
                <w:p>
                  <w:pPr>
                    <w:widowControl/>
                    <w:spacing w:after="75" w:line="270" w:lineRule="atLeast"/>
                    <w:rPr>
                      <w:rFonts w:ascii="Verdana" w:hAnsi="Verdana" w:cs="宋体"/>
                      <w:color w:val="000000" w:themeColor="text1"/>
                      <w:kern w:val="0"/>
                      <w:sz w:val="18"/>
                      <w:szCs w:val="18"/>
                      <w14:textFill>
                        <w14:solidFill>
                          <w14:schemeClr w14:val="tx1"/>
                        </w14:solidFill>
                      </w14:textFill>
                    </w:rPr>
                  </w:pPr>
                  <w:r>
                    <w:rPr>
                      <w:rFonts w:hint="eastAsia" w:ascii="Verdana" w:hAnsi="Verdana" w:cs="宋体"/>
                      <w:b/>
                      <w:bCs/>
                      <w:color w:val="000000" w:themeColor="text1"/>
                      <w:kern w:val="0"/>
                      <w:sz w:val="18"/>
                      <w:szCs w:val="18"/>
                      <w14:textFill>
                        <w14:solidFill>
                          <w14:schemeClr w14:val="tx1"/>
                        </w14:solidFill>
                      </w14:textFill>
                    </w:rPr>
                    <w:t>货物</w:t>
                  </w:r>
                  <w:r>
                    <w:rPr>
                      <w:rFonts w:ascii="Verdana" w:hAnsi="Verdana" w:cs="宋体"/>
                      <w:b/>
                      <w:bCs/>
                      <w:color w:val="000000" w:themeColor="text1"/>
                      <w:kern w:val="0"/>
                      <w:sz w:val="18"/>
                      <w:szCs w:val="18"/>
                      <w14:textFill>
                        <w14:solidFill>
                          <w14:schemeClr w14:val="tx1"/>
                        </w14:solidFill>
                      </w14:textFill>
                    </w:rPr>
                    <w:t>招标</w:t>
                  </w:r>
                  <w:r>
                    <w:rPr>
                      <w:rFonts w:hint="eastAsia" w:ascii="Verdana" w:hAnsi="Verdana" w:cs="宋体"/>
                      <w:b/>
                      <w:bCs/>
                      <w:color w:val="000000" w:themeColor="text1"/>
                      <w:kern w:val="0"/>
                      <w:sz w:val="18"/>
                      <w:szCs w:val="18"/>
                      <w14:textFill>
                        <w14:solidFill>
                          <w14:schemeClr w14:val="tx1"/>
                        </w14:solidFill>
                      </w14:textFill>
                    </w:rPr>
                    <w:t xml:space="preserve">       服务招标</w:t>
                  </w:r>
                </w:p>
              </w:tc>
            </w:tr>
            <w:tr>
              <w:tblPrEx>
                <w:shd w:val="clear" w:color="auto" w:fill="F0E7B4"/>
                <w:tblCellMar>
                  <w:top w:w="0" w:type="dxa"/>
                  <w:left w:w="0" w:type="dxa"/>
                  <w:bottom w:w="0" w:type="dxa"/>
                  <w:right w:w="0" w:type="dxa"/>
                </w:tblCellMar>
              </w:tblPrEx>
              <w:trPr>
                <w:trHeight w:val="317" w:hRule="atLeast"/>
                <w:tblCellSpacing w:w="0" w:type="dxa"/>
              </w:trPr>
              <w:tc>
                <w:tcPr>
                  <w:tcW w:w="2765" w:type="dxa"/>
                  <w:shd w:val="clear" w:color="auto" w:fill="F0E7B4"/>
                </w:tcPr>
                <w:p>
                  <w:pPr>
                    <w:widowControl/>
                    <w:spacing w:after="75" w:line="270" w:lineRule="atLeast"/>
                    <w:jc w:val="center"/>
                    <w:rPr>
                      <w:rFonts w:ascii="Verdana" w:hAnsi="Verdana" w:cs="宋体"/>
                      <w:color w:val="000000" w:themeColor="text1"/>
                      <w:kern w:val="0"/>
                      <w:sz w:val="18"/>
                      <w:szCs w:val="18"/>
                      <w14:textFill>
                        <w14:solidFill>
                          <w14:schemeClr w14:val="tx1"/>
                        </w14:solidFill>
                      </w14:textFill>
                    </w:rPr>
                  </w:pPr>
                  <w:r>
                    <w:rPr>
                      <w:rFonts w:ascii="Verdana" w:hAnsi="Verdana" w:cs="宋体"/>
                      <w:color w:val="000000" w:themeColor="text1"/>
                      <w:kern w:val="0"/>
                      <w:sz w:val="18"/>
                      <w:szCs w:val="18"/>
                      <w14:textFill>
                        <w14:solidFill>
                          <w14:schemeClr w14:val="tx1"/>
                        </w14:solidFill>
                      </w14:textFill>
                    </w:rPr>
                    <w:t>100以下</w:t>
                  </w:r>
                </w:p>
              </w:tc>
              <w:tc>
                <w:tcPr>
                  <w:tcW w:w="3143" w:type="dxa"/>
                  <w:shd w:val="clear" w:color="auto" w:fill="F0E7B4"/>
                </w:tcPr>
                <w:p>
                  <w:pPr>
                    <w:widowControl/>
                    <w:spacing w:after="75" w:line="270" w:lineRule="atLeast"/>
                    <w:rPr>
                      <w:rFonts w:ascii="Verdana" w:hAnsi="Verdana" w:cs="宋体"/>
                      <w:color w:val="000000" w:themeColor="text1"/>
                      <w:kern w:val="0"/>
                      <w:sz w:val="18"/>
                      <w:szCs w:val="18"/>
                      <w14:textFill>
                        <w14:solidFill>
                          <w14:schemeClr w14:val="tx1"/>
                        </w14:solidFill>
                      </w14:textFill>
                    </w:rPr>
                  </w:pPr>
                  <w:r>
                    <w:rPr>
                      <w:rFonts w:ascii="Verdana" w:hAnsi="Verdana" w:cs="宋体"/>
                      <w:color w:val="000000" w:themeColor="text1"/>
                      <w:kern w:val="0"/>
                      <w:sz w:val="18"/>
                      <w:szCs w:val="18"/>
                      <w14:textFill>
                        <w14:solidFill>
                          <w14:schemeClr w14:val="tx1"/>
                        </w14:solidFill>
                      </w14:textFill>
                    </w:rPr>
                    <w:t>1.5%</w:t>
                  </w:r>
                  <w:r>
                    <w:rPr>
                      <w:rFonts w:hint="eastAsia" w:ascii="Verdana" w:hAnsi="Verdana" w:cs="宋体"/>
                      <w:color w:val="000000" w:themeColor="text1"/>
                      <w:kern w:val="0"/>
                      <w:sz w:val="18"/>
                      <w:szCs w:val="18"/>
                      <w14:textFill>
                        <w14:solidFill>
                          <w14:schemeClr w14:val="tx1"/>
                        </w14:solidFill>
                      </w14:textFill>
                    </w:rPr>
                    <w:t xml:space="preserve">          1</w:t>
                  </w:r>
                  <w:r>
                    <w:rPr>
                      <w:rFonts w:ascii="Verdana" w:hAnsi="Verdana" w:cs="宋体"/>
                      <w:color w:val="000000" w:themeColor="text1"/>
                      <w:kern w:val="0"/>
                      <w:sz w:val="18"/>
                      <w:szCs w:val="18"/>
                      <w14:textFill>
                        <w14:solidFill>
                          <w14:schemeClr w14:val="tx1"/>
                        </w14:solidFill>
                      </w14:textFill>
                    </w:rPr>
                    <w:t>.5%</w:t>
                  </w:r>
                  <w:r>
                    <w:rPr>
                      <w:rFonts w:hint="eastAsia" w:ascii="Verdana" w:hAnsi="Verdana" w:cs="宋体"/>
                      <w:color w:val="000000" w:themeColor="text1"/>
                      <w:kern w:val="0"/>
                      <w:sz w:val="18"/>
                      <w:szCs w:val="18"/>
                      <w14:textFill>
                        <w14:solidFill>
                          <w14:schemeClr w14:val="tx1"/>
                        </w14:solidFill>
                      </w14:textFill>
                    </w:rPr>
                    <w:t xml:space="preserve">        </w:t>
                  </w:r>
                </w:p>
              </w:tc>
            </w:tr>
            <w:tr>
              <w:tblPrEx>
                <w:shd w:val="clear" w:color="auto" w:fill="F0E7B4"/>
                <w:tblCellMar>
                  <w:top w:w="0" w:type="dxa"/>
                  <w:left w:w="0" w:type="dxa"/>
                  <w:bottom w:w="0" w:type="dxa"/>
                  <w:right w:w="0" w:type="dxa"/>
                </w:tblCellMar>
              </w:tblPrEx>
              <w:trPr>
                <w:trHeight w:val="973" w:hRule="atLeast"/>
                <w:tblCellSpacing w:w="0" w:type="dxa"/>
              </w:trPr>
              <w:tc>
                <w:tcPr>
                  <w:tcW w:w="2765" w:type="dxa"/>
                  <w:shd w:val="clear" w:color="auto" w:fill="F0E7B4"/>
                </w:tcPr>
                <w:p>
                  <w:pPr>
                    <w:widowControl/>
                    <w:spacing w:after="75" w:line="270" w:lineRule="atLeast"/>
                    <w:jc w:val="center"/>
                    <w:rPr>
                      <w:rFonts w:ascii="Verdana" w:hAnsi="Verdana" w:cs="宋体"/>
                      <w:color w:val="000000" w:themeColor="text1"/>
                      <w:kern w:val="0"/>
                      <w:sz w:val="18"/>
                      <w:szCs w:val="18"/>
                      <w14:textFill>
                        <w14:solidFill>
                          <w14:schemeClr w14:val="tx1"/>
                        </w14:solidFill>
                      </w14:textFill>
                    </w:rPr>
                  </w:pPr>
                  <w:r>
                    <w:rPr>
                      <w:rFonts w:ascii="Verdana" w:hAnsi="Verdana" w:cs="宋体"/>
                      <w:color w:val="000000" w:themeColor="text1"/>
                      <w:kern w:val="0"/>
                      <w:sz w:val="18"/>
                      <w:szCs w:val="18"/>
                      <w14:textFill>
                        <w14:solidFill>
                          <w14:schemeClr w14:val="tx1"/>
                        </w14:solidFill>
                      </w14:textFill>
                    </w:rPr>
                    <w:t>100-500</w:t>
                  </w:r>
                </w:p>
                <w:p>
                  <w:pPr>
                    <w:widowControl/>
                    <w:spacing w:after="75" w:line="270" w:lineRule="atLeast"/>
                    <w:jc w:val="center"/>
                    <w:rPr>
                      <w:rFonts w:ascii="Verdana" w:hAnsi="Verdana" w:cs="宋体"/>
                      <w:color w:val="000000" w:themeColor="text1"/>
                      <w:kern w:val="0"/>
                      <w:sz w:val="18"/>
                      <w:szCs w:val="18"/>
                      <w14:textFill>
                        <w14:solidFill>
                          <w14:schemeClr w14:val="tx1"/>
                        </w14:solidFill>
                      </w14:textFill>
                    </w:rPr>
                  </w:pPr>
                  <w:r>
                    <w:rPr>
                      <w:rFonts w:hint="eastAsia" w:ascii="Verdana" w:hAnsi="Verdana" w:cs="宋体"/>
                      <w:color w:val="000000" w:themeColor="text1"/>
                      <w:kern w:val="0"/>
                      <w:sz w:val="18"/>
                      <w:szCs w:val="18"/>
                      <w14:textFill>
                        <w14:solidFill>
                          <w14:schemeClr w14:val="tx1"/>
                        </w14:solidFill>
                      </w14:textFill>
                    </w:rPr>
                    <w:t>500-1000</w:t>
                  </w:r>
                </w:p>
                <w:p>
                  <w:pPr>
                    <w:widowControl/>
                    <w:spacing w:after="75" w:line="270" w:lineRule="atLeast"/>
                    <w:jc w:val="center"/>
                    <w:rPr>
                      <w:rFonts w:ascii="Verdana" w:hAnsi="Verdana" w:cs="宋体"/>
                      <w:color w:val="000000" w:themeColor="text1"/>
                      <w:kern w:val="0"/>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1000—5000</w:t>
                  </w:r>
                </w:p>
              </w:tc>
              <w:tc>
                <w:tcPr>
                  <w:tcW w:w="3143" w:type="dxa"/>
                  <w:shd w:val="clear" w:color="auto" w:fill="F0E7B4"/>
                </w:tcPr>
                <w:p>
                  <w:pPr>
                    <w:widowControl/>
                    <w:spacing w:after="75" w:line="270" w:lineRule="atLeast"/>
                    <w:rPr>
                      <w:rFonts w:ascii="Verdana" w:hAnsi="Verdana" w:cs="宋体"/>
                      <w:color w:val="000000" w:themeColor="text1"/>
                      <w:kern w:val="0"/>
                      <w:sz w:val="18"/>
                      <w:szCs w:val="18"/>
                      <w14:textFill>
                        <w14:solidFill>
                          <w14:schemeClr w14:val="tx1"/>
                        </w14:solidFill>
                      </w14:textFill>
                    </w:rPr>
                  </w:pPr>
                  <w:r>
                    <w:rPr>
                      <w:rFonts w:hint="eastAsia" w:ascii="Verdana" w:hAnsi="Verdana" w:cs="宋体"/>
                      <w:color w:val="000000" w:themeColor="text1"/>
                      <w:kern w:val="0"/>
                      <w:sz w:val="18"/>
                      <w:szCs w:val="18"/>
                      <w14:textFill>
                        <w14:solidFill>
                          <w14:schemeClr w14:val="tx1"/>
                        </w14:solidFill>
                      </w14:textFill>
                    </w:rPr>
                    <w:t>1.1</w:t>
                  </w:r>
                  <w:r>
                    <w:rPr>
                      <w:rFonts w:ascii="Verdana" w:hAnsi="Verdana" w:cs="宋体"/>
                      <w:color w:val="000000" w:themeColor="text1"/>
                      <w:kern w:val="0"/>
                      <w:sz w:val="18"/>
                      <w:szCs w:val="18"/>
                      <w14:textFill>
                        <w14:solidFill>
                          <w14:schemeClr w14:val="tx1"/>
                        </w14:solidFill>
                      </w14:textFill>
                    </w:rPr>
                    <w:t>%</w:t>
                  </w:r>
                  <w:r>
                    <w:rPr>
                      <w:rFonts w:hint="eastAsia" w:ascii="Verdana" w:hAnsi="Verdana" w:cs="宋体"/>
                      <w:color w:val="000000" w:themeColor="text1"/>
                      <w:kern w:val="0"/>
                      <w:sz w:val="18"/>
                      <w:szCs w:val="18"/>
                      <w14:textFill>
                        <w14:solidFill>
                          <w14:schemeClr w14:val="tx1"/>
                        </w14:solidFill>
                      </w14:textFill>
                    </w:rPr>
                    <w:t xml:space="preserve">          0.8%    </w:t>
                  </w:r>
                </w:p>
                <w:p>
                  <w:pPr>
                    <w:widowControl/>
                    <w:spacing w:after="75" w:line="270" w:lineRule="atLeast"/>
                    <w:rPr>
                      <w:rFonts w:ascii="Verdana" w:hAnsi="Verdana" w:cs="宋体"/>
                      <w:color w:val="000000" w:themeColor="text1"/>
                      <w:kern w:val="0"/>
                      <w:sz w:val="18"/>
                      <w:szCs w:val="18"/>
                      <w14:textFill>
                        <w14:solidFill>
                          <w14:schemeClr w14:val="tx1"/>
                        </w14:solidFill>
                      </w14:textFill>
                    </w:rPr>
                  </w:pPr>
                  <w:r>
                    <w:rPr>
                      <w:rFonts w:hint="eastAsia" w:ascii="Verdana" w:hAnsi="Verdana" w:cs="宋体"/>
                      <w:color w:val="000000" w:themeColor="text1"/>
                      <w:kern w:val="0"/>
                      <w:sz w:val="18"/>
                      <w:szCs w:val="18"/>
                      <w14:textFill>
                        <w14:solidFill>
                          <w14:schemeClr w14:val="tx1"/>
                        </w14:solidFill>
                      </w14:textFill>
                    </w:rPr>
                    <w:t>0.8%          0.45%</w:t>
                  </w:r>
                </w:p>
                <w:p>
                  <w:pPr>
                    <w:widowControl/>
                    <w:spacing w:after="75" w:line="270" w:lineRule="atLeast"/>
                    <w:rPr>
                      <w:rFonts w:ascii="Verdana" w:hAnsi="Verdana" w:cs="宋体"/>
                      <w:color w:val="000000" w:themeColor="text1"/>
                      <w:kern w:val="0"/>
                      <w:sz w:val="18"/>
                      <w:szCs w:val="18"/>
                      <w14:textFill>
                        <w14:solidFill>
                          <w14:schemeClr w14:val="tx1"/>
                        </w14:solidFill>
                      </w14:textFill>
                    </w:rPr>
                  </w:pPr>
                  <w:r>
                    <w:rPr>
                      <w:rFonts w:ascii="Verdana" w:hAnsi="Verdana" w:cs="宋体"/>
                      <w:color w:val="000000" w:themeColor="text1"/>
                      <w:kern w:val="0"/>
                      <w:sz w:val="18"/>
                      <w:szCs w:val="18"/>
                      <w14:textFill>
                        <w14:solidFill>
                          <w14:schemeClr w14:val="tx1"/>
                        </w14:solidFill>
                      </w14:textFill>
                    </w:rPr>
                    <w:t>0.5%</w:t>
                  </w:r>
                  <w:r>
                    <w:rPr>
                      <w:rFonts w:hint="eastAsia" w:ascii="Verdana" w:hAnsi="Verdana" w:cs="宋体"/>
                      <w:color w:val="000000" w:themeColor="text1"/>
                      <w:kern w:val="0"/>
                      <w:sz w:val="18"/>
                      <w:szCs w:val="18"/>
                      <w14:textFill>
                        <w14:solidFill>
                          <w14:schemeClr w14:val="tx1"/>
                        </w14:solidFill>
                      </w14:textFill>
                    </w:rPr>
                    <w:t xml:space="preserve">          0.25%</w:t>
                  </w:r>
                </w:p>
              </w:tc>
            </w:tr>
          </w:tbl>
          <w:p>
            <w:pPr>
              <w:snapToGrid w:val="0"/>
              <w:ind w:firstLine="720" w:firstLineChars="30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招标代理服务收费按差额定率累进法计算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21</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解释权</w:t>
            </w:r>
          </w:p>
        </w:tc>
        <w:tc>
          <w:tcPr>
            <w:tcW w:w="7254"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本招标文件的解释权属于国家体育总局体育器材装备中心。</w:t>
            </w:r>
          </w:p>
        </w:tc>
      </w:tr>
    </w:tbl>
    <w:p>
      <w:pPr>
        <w:pStyle w:val="31"/>
        <w:snapToGrid w:val="0"/>
        <w:spacing w:before="312" w:beforeLines="100" w:after="312" w:afterLines="100" w:line="360" w:lineRule="auto"/>
        <w:jc w:val="center"/>
        <w:rPr>
          <w:rFonts w:ascii="仿宋" w:hAnsi="仿宋" w:eastAsia="仿宋"/>
          <w:b/>
          <w:color w:val="000000" w:themeColor="text1"/>
          <w:sz w:val="30"/>
          <w:szCs w:val="30"/>
          <w14:textFill>
            <w14:solidFill>
              <w14:schemeClr w14:val="tx1"/>
            </w14:solidFill>
          </w14:textFill>
        </w:rPr>
      </w:pPr>
      <w:r>
        <w:rPr>
          <w:rFonts w:ascii="仿宋" w:hAnsi="仿宋" w:eastAsia="仿宋_GB2312"/>
          <w:color w:val="000000" w:themeColor="text1"/>
          <w:sz w:val="30"/>
          <w:szCs w:val="30"/>
          <w14:textFill>
            <w14:solidFill>
              <w14:schemeClr w14:val="tx1"/>
            </w14:solidFill>
          </w14:textFill>
        </w:rPr>
        <w:br w:type="page"/>
      </w:r>
      <w:r>
        <w:rPr>
          <w:rFonts w:hint="eastAsia" w:ascii="仿宋" w:hAnsi="仿宋" w:eastAsia="仿宋"/>
          <w:b/>
          <w:color w:val="000000" w:themeColor="text1"/>
          <w:sz w:val="30"/>
          <w:szCs w:val="30"/>
          <w14:textFill>
            <w14:solidFill>
              <w14:schemeClr w14:val="tx1"/>
            </w14:solidFill>
          </w14:textFill>
        </w:rPr>
        <w:t>一、总  则</w:t>
      </w:r>
    </w:p>
    <w:p>
      <w:pPr>
        <w:snapToGrid w:val="0"/>
        <w:spacing w:line="460" w:lineRule="exact"/>
        <w:ind w:firstLine="416" w:firstLineChars="148"/>
        <w:jc w:val="left"/>
        <w:outlineLvl w:val="1"/>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（一）适用范围</w:t>
      </w:r>
    </w:p>
    <w:p>
      <w:pPr>
        <w:snapToGrid w:val="0"/>
        <w:spacing w:line="460" w:lineRule="exact"/>
        <w:ind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仅适用于本次招标文件中采购项目的招标、投标、评标、定标、验收、合同履约、付款等行为（法律、法规另有规定的，从其规定）。</w:t>
      </w:r>
    </w:p>
    <w:p>
      <w:pPr>
        <w:snapToGrid w:val="0"/>
        <w:spacing w:before="156" w:beforeLines="50" w:line="460" w:lineRule="exact"/>
        <w:ind w:firstLine="413" w:firstLineChars="147"/>
        <w:jc w:val="left"/>
        <w:outlineLvl w:val="1"/>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（二）定义 </w:t>
      </w:r>
    </w:p>
    <w:p>
      <w:pPr>
        <w:snapToGrid w:val="0"/>
        <w:spacing w:line="460" w:lineRule="exact"/>
        <w:ind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1、“招标方”系指组织本项目采购的国家体育总局体育器材装备中心。</w:t>
      </w:r>
    </w:p>
    <w:p>
      <w:pPr>
        <w:snapToGrid w:val="0"/>
        <w:spacing w:line="460" w:lineRule="exact"/>
        <w:ind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2、“投标人”系指向招标方提交投标文件的单位或个人。</w:t>
      </w:r>
    </w:p>
    <w:p>
      <w:pPr>
        <w:snapToGrid w:val="0"/>
        <w:spacing w:line="460" w:lineRule="exact"/>
        <w:ind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3、“采购人” 系指委托招标方采购本次货物、服务项目的国家机关、事业单位和团体组织。</w:t>
      </w:r>
    </w:p>
    <w:p>
      <w:pPr>
        <w:snapToGrid w:val="0"/>
        <w:spacing w:line="460" w:lineRule="exact"/>
        <w:ind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4、“货物”系指招标文件规定投标人须向采购人提供的一切材料、设备、机械、仪器仪表、工具及其它有关技术资料和文字材料。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5、“服务”系指招标文件规定投标人须承担的劳务以及其他类似的义务。</w:t>
      </w:r>
    </w:p>
    <w:p>
      <w:pPr>
        <w:snapToGrid w:val="0"/>
        <w:spacing w:line="460" w:lineRule="exact"/>
        <w:ind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6、“项目”系指投标人按招标文件规定向采购人提供的需求总称。</w:t>
      </w:r>
    </w:p>
    <w:p>
      <w:pPr>
        <w:snapToGrid w:val="0"/>
        <w:spacing w:before="156" w:beforeLines="50" w:line="460" w:lineRule="exact"/>
        <w:ind w:firstLine="551" w:firstLineChars="196"/>
        <w:jc w:val="left"/>
        <w:outlineLvl w:val="1"/>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（三）投标人及委托有关说明</w:t>
      </w:r>
    </w:p>
    <w:p>
      <w:pPr>
        <w:snapToGrid w:val="0"/>
        <w:spacing w:line="460" w:lineRule="exact"/>
        <w:ind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1、授权代表须携带有效身份证件。如授权代表不是法定代表人，须有法定代表人出具的授权委托书（投标文件正本用原件，副本用复印件，格式见附件）。</w:t>
      </w:r>
    </w:p>
    <w:p>
      <w:pPr>
        <w:pStyle w:val="31"/>
        <w:snapToGrid w:val="0"/>
        <w:spacing w:before="156" w:after="156" w:line="460" w:lineRule="exact"/>
        <w:ind w:left="2" w:leftChars="1"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2、投标人投标所使用的资格、信誉、荣誉、业绩与企业认证必须为本法人所拥有。投标人投标所使用的采购项目实施人员必须为投标人员工（或投标人控股公司正式员工）。</w:t>
      </w:r>
    </w:p>
    <w:p>
      <w:pPr>
        <w:pStyle w:val="31"/>
        <w:snapToGrid w:val="0"/>
        <w:spacing w:before="156" w:after="156" w:line="460" w:lineRule="exact"/>
        <w:ind w:left="2" w:leftChars="1"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3、以联合体形式参加政府采购活动的，联合体各方不得再单独参加或者与其他供应商另外组成联合体参加同一合同项下的政府采购活动。</w:t>
      </w:r>
    </w:p>
    <w:p>
      <w:pPr>
        <w:snapToGrid w:val="0"/>
        <w:spacing w:line="460" w:lineRule="exact"/>
        <w:ind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4、单位负责人为同一人或者存在直接控股、管理关系的不同供应商，不得参加同一合同项下的政府采购活动。</w:t>
      </w:r>
    </w:p>
    <w:p>
      <w:pPr>
        <w:pStyle w:val="31"/>
        <w:snapToGrid w:val="0"/>
        <w:spacing w:beforeLines="0" w:afterLines="0" w:line="460" w:lineRule="exact"/>
        <w:ind w:left="2" w:leftChars="1"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5、投标人应仔细阅读招标文件的所有内容，按照招标文件的要求提交投标文件，并对所提供的全部资料的真实性承担法律责任。</w:t>
      </w:r>
    </w:p>
    <w:p>
      <w:pPr>
        <w:snapToGrid w:val="0"/>
        <w:spacing w:before="156" w:beforeLines="50" w:line="460" w:lineRule="exact"/>
        <w:ind w:firstLine="551" w:firstLineChars="196"/>
        <w:jc w:val="left"/>
        <w:outlineLvl w:val="1"/>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（四）投标费用</w:t>
      </w:r>
    </w:p>
    <w:p>
      <w:pPr>
        <w:snapToGrid w:val="0"/>
        <w:spacing w:line="460" w:lineRule="exact"/>
        <w:ind w:firstLine="560" w:firstLineChars="200"/>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不论投标结果如何，投标人均应自行承担所有与投标有关的全部费用（招标文件有其他相反规定除外）。</w:t>
      </w:r>
    </w:p>
    <w:p>
      <w:pPr>
        <w:snapToGrid w:val="0"/>
        <w:spacing w:line="460" w:lineRule="exact"/>
        <w:ind w:firstLine="416" w:firstLineChars="148"/>
        <w:jc w:val="left"/>
        <w:outlineLvl w:val="1"/>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（五）质疑</w:t>
      </w:r>
    </w:p>
    <w:p>
      <w:pPr>
        <w:widowControl/>
        <w:spacing w:line="460" w:lineRule="exact"/>
        <w:ind w:firstLine="560" w:firstLineChars="200"/>
        <w:jc w:val="lef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1、投标人对采购事项有疑问的，可以向招标方提出询问。</w:t>
      </w:r>
    </w:p>
    <w:p>
      <w:pPr>
        <w:widowControl/>
        <w:spacing w:line="460" w:lineRule="exact"/>
        <w:ind w:firstLine="560" w:firstLineChars="200"/>
        <w:jc w:val="lef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2、招标程序受《中华人民共和国政府采购法》</w:t>
      </w:r>
      <w:r>
        <w:rPr>
          <w:rFonts w:hint="eastAsia" w:ascii="仿宋" w:hAnsi="仿宋" w:eastAsia="仿宋" w:cs="Arial"/>
          <w:bCs/>
          <w:color w:val="000000" w:themeColor="text1"/>
          <w:sz w:val="28"/>
          <w:szCs w:val="28"/>
          <w14:textFill>
            <w14:solidFill>
              <w14:schemeClr w14:val="tx1"/>
            </w14:solidFill>
          </w14:textFill>
        </w:rPr>
        <w:t>等</w:t>
      </w:r>
      <w:r>
        <w:rPr>
          <w:rFonts w:hint="eastAsia" w:ascii="仿宋" w:hAnsi="仿宋" w:eastAsia="仿宋" w:cs="Arial"/>
          <w:color w:val="000000" w:themeColor="text1"/>
          <w:sz w:val="28"/>
          <w:szCs w:val="28"/>
          <w14:textFill>
            <w14:solidFill>
              <w14:schemeClr w14:val="tx1"/>
            </w14:solidFill>
          </w14:textFill>
        </w:rPr>
        <w:t>相关法律法规的约束，并受到严格的内部监察，以确保授予合同过程的公平公正。供应商认为采购文件、采购过程、中标结果使自己的权益受到损害的，可以在知道或者应知其权益受到损害之日起7个工作日内，以书面形式向采购人、采购代理机构提出质疑。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提出。对中标结果提出质疑的，应在中标公告发布之日起七个工作日内提出。供应商应该在法定质疑期内一次性提出针对同一采购程序环节的质疑。接收质疑函及必要证明材料联系人：俞冠男，联系电话：</w:t>
      </w:r>
      <w:r>
        <w:rPr>
          <w:rFonts w:ascii="仿宋" w:hAnsi="仿宋" w:eastAsia="仿宋" w:cs="Arial"/>
          <w:color w:val="000000" w:themeColor="text1"/>
          <w:sz w:val="28"/>
          <w:szCs w:val="28"/>
          <w14:textFill>
            <w14:solidFill>
              <w14:schemeClr w14:val="tx1"/>
            </w14:solidFill>
          </w14:textFill>
        </w:rPr>
        <w:t>010-87182681</w:t>
      </w:r>
      <w:r>
        <w:rPr>
          <w:rFonts w:hint="eastAsia" w:ascii="仿宋" w:hAnsi="仿宋" w:eastAsia="仿宋" w:cs="Arial"/>
          <w:color w:val="000000" w:themeColor="text1"/>
          <w:sz w:val="28"/>
          <w:szCs w:val="28"/>
          <w14:textFill>
            <w14:solidFill>
              <w14:schemeClr w14:val="tx1"/>
            </w14:solidFill>
          </w14:textFill>
        </w:rPr>
        <w:t>。</w:t>
      </w:r>
    </w:p>
    <w:p>
      <w:pPr>
        <w:widowControl/>
        <w:spacing w:line="460" w:lineRule="exact"/>
        <w:ind w:firstLine="560" w:firstLineChars="200"/>
        <w:jc w:val="lef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供应商如认为整个招标过程中招标方工作人员有违规违纪行为的，可向国家体育总局体育器材装备中心纪检部门以书面形式提出，书面文件应注明联系人、联系方式且加盖单位公章，密封后递交至国家体育总局体育器材装备中心纪检监察室。</w:t>
      </w:r>
    </w:p>
    <w:p>
      <w:pPr>
        <w:widowControl/>
        <w:spacing w:line="460" w:lineRule="exact"/>
        <w:ind w:firstLine="560" w:firstLineChars="200"/>
        <w:jc w:val="lef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3、质疑应当以书面形式提出，格式见《</w:t>
      </w:r>
      <w:r>
        <w:rPr>
          <w:rFonts w:ascii="仿宋" w:hAnsi="仿宋" w:eastAsia="仿宋" w:cs="Arial"/>
          <w:color w:val="000000" w:themeColor="text1"/>
          <w:sz w:val="28"/>
          <w:szCs w:val="28"/>
          <w14:textFill>
            <w14:solidFill>
              <w14:schemeClr w14:val="tx1"/>
            </w14:solidFill>
          </w14:textFill>
        </w:rPr>
        <w:t>政府采购质疑和投诉办法</w:t>
      </w:r>
      <w:r>
        <w:rPr>
          <w:rFonts w:hint="eastAsia" w:ascii="仿宋" w:hAnsi="仿宋" w:eastAsia="仿宋" w:cs="Arial"/>
          <w:color w:val="000000" w:themeColor="text1"/>
          <w:sz w:val="28"/>
          <w:szCs w:val="28"/>
          <w14:textFill>
            <w14:solidFill>
              <w14:schemeClr w14:val="tx1"/>
            </w14:solidFill>
          </w14:textFill>
        </w:rPr>
        <w:t>》（</w:t>
      </w:r>
      <w:r>
        <w:rPr>
          <w:rFonts w:ascii="仿宋" w:hAnsi="仿宋" w:eastAsia="仿宋" w:cs="Arial"/>
          <w:color w:val="000000" w:themeColor="text1"/>
          <w:sz w:val="28"/>
          <w:szCs w:val="28"/>
          <w14:textFill>
            <w14:solidFill>
              <w14:schemeClr w14:val="tx1"/>
            </w14:solidFill>
          </w14:textFill>
        </w:rPr>
        <w:t>财政部令第94号</w:t>
      </w:r>
      <w:r>
        <w:rPr>
          <w:rFonts w:hint="eastAsia" w:ascii="仿宋" w:hAnsi="仿宋" w:eastAsia="仿宋" w:cs="Arial"/>
          <w:color w:val="000000" w:themeColor="text1"/>
          <w:sz w:val="28"/>
          <w:szCs w:val="28"/>
          <w14:textFill>
            <w14:solidFill>
              <w14:schemeClr w14:val="tx1"/>
            </w14:solidFill>
          </w14:textFill>
        </w:rPr>
        <w:t>）附件范本，下载网址：中国政府采购网(www.ccgp.gov.cn)，位置：“首页-下载专区-政府采购供应商质疑函范本”。供应商提出质疑应当提交质疑函和必要的证明材料。质疑函应当包括下列内容：</w:t>
      </w:r>
    </w:p>
    <w:p>
      <w:pPr>
        <w:widowControl/>
        <w:spacing w:line="460" w:lineRule="exact"/>
        <w:ind w:firstLine="560" w:firstLineChars="200"/>
        <w:jc w:val="lef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a供应商的姓名或者名称、地址、邮编、联系人及联系电话；</w:t>
      </w:r>
    </w:p>
    <w:p>
      <w:pPr>
        <w:widowControl/>
        <w:spacing w:line="460" w:lineRule="exact"/>
        <w:ind w:firstLine="560" w:firstLineChars="200"/>
        <w:jc w:val="lef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b质疑项目的名称、编号；</w:t>
      </w:r>
    </w:p>
    <w:p>
      <w:pPr>
        <w:widowControl/>
        <w:spacing w:line="460" w:lineRule="exact"/>
        <w:ind w:firstLine="560" w:firstLineChars="200"/>
        <w:jc w:val="lef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c具体、明确的质疑事项和与质疑事项相关的请求；</w:t>
      </w:r>
    </w:p>
    <w:p>
      <w:pPr>
        <w:widowControl/>
        <w:spacing w:line="460" w:lineRule="exact"/>
        <w:ind w:firstLine="560" w:firstLineChars="200"/>
        <w:jc w:val="lef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d事实依据；</w:t>
      </w:r>
    </w:p>
    <w:p>
      <w:pPr>
        <w:widowControl/>
        <w:spacing w:line="460" w:lineRule="exact"/>
        <w:ind w:firstLine="560" w:firstLineChars="200"/>
        <w:jc w:val="lef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e必要的法律依据；</w:t>
      </w:r>
    </w:p>
    <w:p>
      <w:pPr>
        <w:widowControl/>
        <w:spacing w:line="460" w:lineRule="exact"/>
        <w:ind w:firstLine="560" w:firstLineChars="200"/>
        <w:jc w:val="left"/>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f提出质疑的日期。</w:t>
      </w:r>
    </w:p>
    <w:p>
      <w:pPr>
        <w:snapToGrid w:val="0"/>
        <w:spacing w:line="460" w:lineRule="exact"/>
        <w:ind w:firstLine="414" w:firstLineChars="148"/>
        <w:jc w:val="left"/>
        <w:outlineLvl w:val="1"/>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供应商为自然人的，应当由本人签字；供应商为法人或者其他组织的，应当由法定代表人、主要负责人，或者其授权代表签字或者盖章，并加盖公章</w:t>
      </w:r>
      <w:r>
        <w:rPr>
          <w:rFonts w:ascii="仿宋" w:hAnsi="仿宋" w:eastAsia="仿宋" w:cs="Arial"/>
          <w:color w:val="000000" w:themeColor="text1"/>
          <w:sz w:val="28"/>
          <w:szCs w:val="28"/>
          <w14:textFill>
            <w14:solidFill>
              <w14:schemeClr w14:val="tx1"/>
            </w14:solidFill>
          </w14:textFill>
        </w:rPr>
        <w:t>。</w:t>
      </w:r>
      <w:r>
        <w:rPr>
          <w:rFonts w:hint="eastAsia" w:ascii="仿宋" w:hAnsi="仿宋" w:eastAsia="仿宋" w:cs="Arial"/>
          <w:color w:val="000000" w:themeColor="text1"/>
          <w:sz w:val="28"/>
          <w:szCs w:val="28"/>
          <w14:textFill>
            <w14:solidFill>
              <w14:schemeClr w14:val="tx1"/>
            </w14:solidFill>
          </w14:textFill>
        </w:rPr>
        <w:t>质疑应明确阐述招标过程或中标结果中使自己合法权益受到损害的实质性内容，提供相关事实、依据和证据及其来源或线索，便于有关单位调查、答复和处理, 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4、招标方将在收到书面质疑后7个工作日内审查质疑事项，做出答复或相关处理决定，并以书面形式通知质疑供应商和其他有关供应商，但答复的内容不涉及商业秘密。</w:t>
      </w:r>
    </w:p>
    <w:p>
      <w:pPr>
        <w:snapToGrid w:val="0"/>
        <w:spacing w:line="460" w:lineRule="exact"/>
        <w:ind w:firstLine="414" w:firstLineChars="148"/>
        <w:jc w:val="left"/>
        <w:outlineLvl w:val="1"/>
        <w:rPr>
          <w:rFonts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5、质疑供应商对招标方的答复不满意以及招标方未在规定的时间内做出答复的， 可以在答复期满后15个工作日内向财政部投诉。</w:t>
      </w:r>
    </w:p>
    <w:p>
      <w:pPr>
        <w:snapToGrid w:val="0"/>
        <w:spacing w:line="460" w:lineRule="exact"/>
        <w:ind w:firstLine="416" w:firstLineChars="148"/>
        <w:jc w:val="left"/>
        <w:outlineLvl w:val="1"/>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（六）招标文件的澄清与修改 </w:t>
      </w:r>
    </w:p>
    <w:p>
      <w:pPr>
        <w:pStyle w:val="31"/>
        <w:snapToGrid w:val="0"/>
        <w:spacing w:before="156" w:after="156"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w:t>
      </w:r>
      <w:r>
        <w:rPr>
          <w:rFonts w:hint="eastAsia" w:ascii="仿宋" w:hAnsi="仿宋" w:eastAsia="仿宋"/>
          <w:bCs/>
          <w:color w:val="000000" w:themeColor="text1"/>
          <w:sz w:val="28"/>
          <w:szCs w:val="28"/>
          <w14:textFill>
            <w14:solidFill>
              <w14:schemeClr w14:val="tx1"/>
            </w14:solidFill>
          </w14:textFill>
        </w:rPr>
        <w:t>投标人应认真阅读本招标文件，发现其中有误或有不合理要求的，投标人</w:t>
      </w:r>
      <w:r>
        <w:rPr>
          <w:rFonts w:hint="eastAsia" w:ascii="仿宋" w:hAnsi="仿宋" w:eastAsia="仿宋"/>
          <w:color w:val="000000" w:themeColor="text1"/>
          <w:sz w:val="28"/>
          <w:szCs w:val="28"/>
          <w14:textFill>
            <w14:solidFill>
              <w14:schemeClr w14:val="tx1"/>
            </w14:solidFill>
          </w14:textFill>
        </w:rPr>
        <w:t>应当</w:t>
      </w:r>
      <w:r>
        <w:rPr>
          <w:rFonts w:hint="eastAsia" w:ascii="仿宋" w:hAnsi="仿宋" w:eastAsia="仿宋"/>
          <w:bCs/>
          <w:color w:val="000000" w:themeColor="text1"/>
          <w:sz w:val="28"/>
          <w:szCs w:val="28"/>
          <w14:textFill>
            <w14:solidFill>
              <w14:schemeClr w14:val="tx1"/>
            </w14:solidFill>
          </w14:textFill>
        </w:rPr>
        <w:t>于公告发布之日起至公告期限满第7个工作日内以书面形式向招标方提出。招标方将在规定的时</w:t>
      </w:r>
      <w:r>
        <w:rPr>
          <w:rFonts w:hint="eastAsia" w:ascii="仿宋" w:hAnsi="仿宋" w:eastAsia="仿宋"/>
          <w:color w:val="000000" w:themeColor="text1"/>
          <w:sz w:val="28"/>
          <w:szCs w:val="28"/>
          <w14:textFill>
            <w14:solidFill>
              <w14:schemeClr w14:val="tx1"/>
            </w14:solidFill>
          </w14:textFill>
        </w:rPr>
        <w:t>间内，在财政部门指定的政府采购信息发布媒体上发布更正公告，并以书面形式通知所有招标文件收受人。</w:t>
      </w:r>
      <w:r>
        <w:rPr>
          <w:rFonts w:hint="eastAsia" w:ascii="仿宋" w:hAnsi="仿宋" w:eastAsia="仿宋"/>
          <w:b/>
          <w:color w:val="000000" w:themeColor="text1"/>
          <w:sz w:val="28"/>
          <w:szCs w:val="28"/>
          <w14:textFill>
            <w14:solidFill>
              <w14:schemeClr w14:val="tx1"/>
            </w14:solidFill>
          </w14:textFill>
        </w:rPr>
        <w:t>逾期提出招标方将不予受理。</w:t>
      </w:r>
    </w:p>
    <w:p>
      <w:pPr>
        <w:pStyle w:val="31"/>
        <w:snapToGrid w:val="0"/>
        <w:spacing w:before="156" w:after="156"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2、招标方主动进行的澄清、修改：招标方无论出于何种原因，均可主动对招标文件中的相关事项，用补充文件等方式进行澄清和修改。</w:t>
      </w:r>
    </w:p>
    <w:p>
      <w:pPr>
        <w:pStyle w:val="31"/>
        <w:snapToGrid w:val="0"/>
        <w:spacing w:before="156" w:after="156"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312" w:beforeLines="100" w:after="312" w:afterLines="100" w:line="360" w:lineRule="auto"/>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二、投标文件的编制</w:t>
      </w:r>
    </w:p>
    <w:p>
      <w:pPr>
        <w:snapToGrid w:val="0"/>
        <w:spacing w:line="460" w:lineRule="exact"/>
        <w:ind w:firstLine="551" w:firstLineChars="196"/>
        <w:jc w:val="lef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（一）投标文件的组成</w:t>
      </w:r>
    </w:p>
    <w:p>
      <w:pPr>
        <w:snapToGrid w:val="0"/>
        <w:spacing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投标文件由开标一览表、资质文件、技术及商务文件、投标报价文件四部份组成。</w:t>
      </w:r>
    </w:p>
    <w:p>
      <w:pPr>
        <w:snapToGrid w:val="0"/>
        <w:spacing w:before="156" w:beforeLines="50" w:line="460" w:lineRule="exact"/>
        <w:ind w:firstLine="551" w:firstLineChars="196"/>
        <w:jc w:val="left"/>
        <w:rPr>
          <w:rFonts w:ascii="仿宋" w:hAnsi="仿宋" w:eastAsia="仿宋"/>
          <w:b/>
          <w:color w:val="000000" w:themeColor="text1"/>
          <w:sz w:val="28"/>
          <w:szCs w:val="28"/>
          <w14:textFill>
            <w14:solidFill>
              <w14:schemeClr w14:val="tx1"/>
            </w14:solidFill>
          </w14:textFill>
        </w:rPr>
      </w:pPr>
      <w:r>
        <w:rPr>
          <w:rFonts w:ascii="仿宋" w:hAnsi="仿宋" w:eastAsia="仿宋"/>
          <w:b/>
          <w:color w:val="000000" w:themeColor="text1"/>
          <w:sz w:val="28"/>
          <w:szCs w:val="28"/>
          <w14:textFill>
            <w14:solidFill>
              <w14:schemeClr w14:val="tx1"/>
            </w14:solidFill>
          </w14:textFill>
        </w:rPr>
        <w:t>1、开标一览表</w:t>
      </w:r>
      <w:r>
        <w:rPr>
          <w:rFonts w:hint="eastAsia" w:ascii="仿宋" w:hAnsi="仿宋" w:eastAsia="仿宋"/>
          <w:b/>
          <w:color w:val="000000" w:themeColor="text1"/>
          <w:sz w:val="28"/>
          <w:szCs w:val="28"/>
          <w14:textFill>
            <w14:solidFill>
              <w14:schemeClr w14:val="tx1"/>
            </w14:solidFill>
          </w14:textFill>
        </w:rPr>
        <w:t>（格式见本文件附件1）</w:t>
      </w:r>
    </w:p>
    <w:p>
      <w:pPr>
        <w:snapToGrid w:val="0"/>
        <w:spacing w:before="156" w:beforeLines="50" w:line="460" w:lineRule="exact"/>
        <w:ind w:firstLine="551" w:firstLineChars="196"/>
        <w:jc w:val="lef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2、资质文件</w:t>
      </w:r>
    </w:p>
    <w:p>
      <w:pPr>
        <w:snapToGrid w:val="0"/>
        <w:spacing w:line="460" w:lineRule="exact"/>
        <w:ind w:firstLine="548" w:firstLineChars="19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（1）投标声明书 (格式见附件，含重大违法记录声明)；</w:t>
      </w:r>
    </w:p>
    <w:p>
      <w:pPr>
        <w:snapToGrid w:val="0"/>
        <w:spacing w:line="460" w:lineRule="exact"/>
        <w:ind w:firstLine="548" w:firstLineChars="19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（2）法定代表人证明书或授权委托书(格式见附件)；</w:t>
      </w:r>
    </w:p>
    <w:p>
      <w:pPr>
        <w:snapToGrid w:val="0"/>
        <w:spacing w:line="460" w:lineRule="exact"/>
        <w:ind w:firstLine="548" w:firstLineChars="19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48" w:firstLineChars="19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（4）提供有效的依法缴纳税收证明（至投标文件递交截止日一年内一年内任意一个月的完税凭证或税务部门出具的证明），依法免税的投标人须提供相应文件证明其依法免税；</w:t>
      </w:r>
    </w:p>
    <w:p>
      <w:pPr>
        <w:snapToGrid w:val="0"/>
        <w:spacing w:line="460" w:lineRule="exact"/>
        <w:ind w:firstLine="548" w:firstLineChars="19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提供有效的依法缴纳社会保障资金证明（至投标文件递交截止日一年内任意一个月的缴纳凭证或人社部门出具的证明），依法不需要缴纳社会保障资金的投标人，须提供相应文件证明其不需要缴纳社会保障资金；</w:t>
      </w:r>
    </w:p>
    <w:p>
      <w:pPr>
        <w:snapToGrid w:val="0"/>
        <w:spacing w:line="460" w:lineRule="exact"/>
        <w:ind w:firstLine="548" w:firstLineChars="19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投标人基本开户银行出具的资信证明，或参与本采购项目两年内经审计的财务报告复印件，须包括“四表一注”：资产负债表、利润表、现金流量表、所有者权益变动表及其附注（如“四表一注”在合法合规前提下有缺少的情况，须提供出具相应审计报告的审计机构加盖公章的情况说明函），或财政部门认可的专业担保机构出具的针对本项目的投标担保函；</w:t>
      </w:r>
    </w:p>
    <w:p>
      <w:pPr>
        <w:snapToGrid w:val="0"/>
        <w:spacing w:line="460" w:lineRule="exact"/>
        <w:ind w:firstLine="548" w:firstLineChars="19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（7）联合投标协议书（若需要）;</w:t>
      </w:r>
    </w:p>
    <w:p>
      <w:pPr>
        <w:snapToGrid w:val="0"/>
        <w:spacing w:line="460" w:lineRule="exact"/>
        <w:ind w:firstLine="548" w:firstLineChars="19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（8）联合投标授权委托书（若需要）;</w:t>
      </w:r>
    </w:p>
    <w:p>
      <w:pPr>
        <w:snapToGrid w:val="0"/>
        <w:spacing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（9）提供采购公告中符合</w:t>
      </w:r>
      <w:r>
        <w:rPr>
          <w:rFonts w:hint="eastAsia" w:ascii="仿宋" w:hAnsi="仿宋" w:eastAsia="仿宋"/>
          <w:bCs/>
          <w:color w:val="000000" w:themeColor="text1"/>
          <w:sz w:val="28"/>
          <w:szCs w:val="28"/>
          <w14:textFill>
            <w14:solidFill>
              <w14:schemeClr w14:val="tx1"/>
            </w14:solidFill>
          </w14:textFill>
        </w:rPr>
        <w:t>投标人特定条件要求的有效的</w:t>
      </w:r>
      <w:r>
        <w:rPr>
          <w:rFonts w:hint="eastAsia" w:ascii="仿宋" w:hAnsi="仿宋" w:eastAsia="仿宋"/>
          <w:color w:val="000000" w:themeColor="text1"/>
          <w:sz w:val="28"/>
          <w:szCs w:val="28"/>
          <w14:textFill>
            <w14:solidFill>
              <w14:schemeClr w14:val="tx1"/>
            </w14:solidFill>
          </w14:textFill>
        </w:rPr>
        <w:t>其他资质复印件并加盖公司公章及需要说明的资料。</w:t>
      </w:r>
    </w:p>
    <w:p>
      <w:pPr>
        <w:snapToGrid w:val="0"/>
        <w:spacing w:line="460" w:lineRule="exact"/>
        <w:ind w:firstLine="551" w:firstLineChars="196"/>
        <w:jc w:val="lef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3、技术及商务文件</w:t>
      </w:r>
    </w:p>
    <w:p>
      <w:pPr>
        <w:snapToGrid w:val="0"/>
        <w:spacing w:line="460" w:lineRule="exact"/>
        <w:ind w:firstLine="548" w:firstLineChars="19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（1）评分对应表（格式见附件，主要用于评委对应评分内容）</w:t>
      </w:r>
    </w:p>
    <w:p>
      <w:pPr>
        <w:snapToGrid w:val="0"/>
        <w:spacing w:line="460" w:lineRule="exact"/>
        <w:ind w:firstLine="548" w:firstLineChars="19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（2）投标项目明细清单（含货物、服务等）；</w:t>
      </w:r>
    </w:p>
    <w:p>
      <w:pPr>
        <w:snapToGrid w:val="0"/>
        <w:spacing w:line="460" w:lineRule="exact"/>
        <w:ind w:firstLine="548" w:firstLineChars="19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（3）技术响应表（格式见附件）；</w:t>
      </w:r>
    </w:p>
    <w:p>
      <w:pPr>
        <w:snapToGrid w:val="0"/>
        <w:spacing w:line="460" w:lineRule="exact"/>
        <w:ind w:firstLine="548" w:firstLineChars="19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（4）项目总体解决方案（可包含且不限于对项目总体要求的理解、项目总体架构及技术解决方案等，须包含项目需求的各类方案）；</w:t>
      </w:r>
    </w:p>
    <w:p>
      <w:pPr>
        <w:snapToGrid w:val="0"/>
        <w:spacing w:line="460" w:lineRule="exact"/>
        <w:ind w:firstLine="548" w:firstLineChars="19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（5）项目实施计划（可包含且不限于保证工期的组织方案及人力资源安排、项目组人员清单等，须包含项目需求的各类计划和预案）；</w:t>
      </w:r>
    </w:p>
    <w:p>
      <w:pPr>
        <w:snapToGrid w:val="0"/>
        <w:spacing w:line="460" w:lineRule="exact"/>
        <w:ind w:firstLine="548" w:firstLineChars="19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（6）列入政府采购节能环保清单的证明资料（若有）；</w:t>
      </w:r>
    </w:p>
    <w:p>
      <w:pPr>
        <w:snapToGrid w:val="0"/>
        <w:spacing w:line="460" w:lineRule="exact"/>
        <w:ind w:firstLine="548" w:firstLineChars="19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（7）商务响应表（格式见附件）；</w:t>
      </w:r>
    </w:p>
    <w:p>
      <w:pPr>
        <w:snapToGrid w:val="0"/>
        <w:spacing w:line="460" w:lineRule="exact"/>
        <w:ind w:firstLine="548" w:firstLineChars="19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（8） 售后服务计划（可包含且不限于对用户故障的响应、处理、定期巡检、备品备件、常用耗材提供、驻点人员情况等）；</w:t>
      </w:r>
    </w:p>
    <w:p>
      <w:pPr>
        <w:snapToGrid w:val="0"/>
        <w:spacing w:line="460" w:lineRule="exact"/>
        <w:ind w:firstLine="548" w:firstLineChars="19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（9）技术培训计划（若有）；</w:t>
      </w:r>
    </w:p>
    <w:p>
      <w:pPr>
        <w:snapToGrid w:val="0"/>
        <w:spacing w:line="460" w:lineRule="exact"/>
        <w:ind w:firstLine="548" w:firstLineChars="19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（10）投标人履约能力（可包含且不限于技术力量情况、投标人各项能力证书等）；</w:t>
      </w:r>
    </w:p>
    <w:p>
      <w:pPr>
        <w:snapToGrid w:val="0"/>
        <w:spacing w:line="460" w:lineRule="exact"/>
        <w:ind w:firstLine="548" w:firstLineChars="19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（11）案例的业绩证明（投标人业绩情况一览表、合同复印件、合同履行证明等）；</w:t>
      </w:r>
    </w:p>
    <w:p>
      <w:pPr>
        <w:snapToGrid w:val="0"/>
        <w:spacing w:line="460" w:lineRule="exact"/>
        <w:ind w:firstLine="548" w:firstLineChars="19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（12）投标方认为需要的其他文件资料。</w:t>
      </w:r>
    </w:p>
    <w:p>
      <w:pPr>
        <w:snapToGrid w:val="0"/>
        <w:spacing w:line="460" w:lineRule="exact"/>
        <w:ind w:firstLine="551" w:firstLineChars="196"/>
        <w:jc w:val="lef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4、报价文件：</w:t>
      </w:r>
    </w:p>
    <w:p>
      <w:pPr>
        <w:snapToGrid w:val="0"/>
        <w:spacing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（1）投标报价明细表（格式见附件）；</w:t>
      </w:r>
    </w:p>
    <w:p>
      <w:pPr>
        <w:snapToGrid w:val="0"/>
        <w:spacing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（2）投标人针对报价需要说明的其他文件和说明（格式自拟）；</w:t>
      </w:r>
    </w:p>
    <w:p>
      <w:pPr>
        <w:snapToGrid w:val="0"/>
        <w:spacing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（3）中小企业声明函（若有，格式见附件）；</w:t>
      </w:r>
    </w:p>
    <w:p>
      <w:pPr>
        <w:snapToGrid w:val="0"/>
        <w:spacing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（4）残疾人福利企业声明函（若有，格式见附件）。</w:t>
      </w:r>
    </w:p>
    <w:p>
      <w:pPr>
        <w:pStyle w:val="50"/>
        <w:widowControl w:val="0"/>
        <w:spacing w:after="156" w:line="460" w:lineRule="exact"/>
        <w:ind w:firstLine="562" w:firstLineChars="200"/>
        <w:jc w:val="both"/>
        <w:rPr>
          <w:rFonts w:ascii="仿宋" w:hAnsi="仿宋" w:eastAsia="仿宋"/>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注：法定代表人授权委托书、投标声明书、投标报价明细表必须按招标文件格式要求正确签署并加盖投标人公章。资质文件、技术及商务文件中不得出现项目报价信息，否则将作无效标处理。</w:t>
      </w:r>
    </w:p>
    <w:p>
      <w:pPr>
        <w:snapToGrid w:val="0"/>
        <w:spacing w:line="460" w:lineRule="exact"/>
        <w:ind w:firstLine="551" w:firstLineChars="196"/>
        <w:jc w:val="lef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（二）投标文件的语言及计量</w:t>
      </w:r>
    </w:p>
    <w:p>
      <w:pPr>
        <w:snapToGrid w:val="0"/>
        <w:spacing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2、投标计量单位，招标文件已有明确规定的，使用招标文件规定的计量单位；招标文件没有规定的，应采用中华人民共和国法定计量单位（货币单位：人民币元），</w:t>
      </w:r>
      <w:r>
        <w:rPr>
          <w:rFonts w:hint="eastAsia" w:ascii="仿宋" w:hAnsi="仿宋" w:eastAsia="仿宋"/>
          <w:b/>
          <w:bCs/>
          <w:color w:val="000000" w:themeColor="text1"/>
          <w:sz w:val="28"/>
          <w:szCs w:val="28"/>
          <w14:textFill>
            <w14:solidFill>
              <w14:schemeClr w14:val="tx1"/>
            </w14:solidFill>
          </w14:textFill>
        </w:rPr>
        <w:t>否则将作无效标处理</w:t>
      </w:r>
      <w:r>
        <w:rPr>
          <w:rFonts w:hint="eastAsia" w:ascii="仿宋" w:hAnsi="仿宋" w:eastAsia="仿宋"/>
          <w:color w:val="000000" w:themeColor="text1"/>
          <w:sz w:val="28"/>
          <w:szCs w:val="28"/>
          <w14:textFill>
            <w14:solidFill>
              <w14:schemeClr w14:val="tx1"/>
            </w14:solidFill>
          </w14:textFill>
        </w:rPr>
        <w:t>。</w:t>
      </w:r>
    </w:p>
    <w:p>
      <w:pPr>
        <w:pStyle w:val="16"/>
        <w:widowControl w:val="0"/>
        <w:tabs>
          <w:tab w:val="clear" w:pos="454"/>
        </w:tabs>
        <w:snapToGrid w:val="0"/>
        <w:spacing w:before="156" w:beforeLines="50" w:afterLines="0" w:line="460" w:lineRule="exact"/>
        <w:ind w:left="0" w:firstLine="551" w:firstLineChars="196"/>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（三）投标文件的有效期</w:t>
      </w:r>
    </w:p>
    <w:p>
      <w:pPr>
        <w:pStyle w:val="16"/>
        <w:widowControl w:val="0"/>
        <w:tabs>
          <w:tab w:val="clear" w:pos="454"/>
        </w:tabs>
        <w:snapToGrid w:val="0"/>
        <w:spacing w:after="156" w:line="460" w:lineRule="exact"/>
        <w:ind w:firstLine="560"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1、自投标截止日起90天内投标文件应保持有效。</w:t>
      </w:r>
      <w:r>
        <w:rPr>
          <w:rFonts w:hint="eastAsia" w:ascii="仿宋" w:hAnsi="仿宋" w:eastAsia="仿宋"/>
          <w:b/>
          <w:color w:val="000000" w:themeColor="text1"/>
          <w:sz w:val="28"/>
          <w:szCs w:val="28"/>
          <w14:textFill>
            <w14:solidFill>
              <w14:schemeClr w14:val="tx1"/>
            </w14:solidFill>
          </w14:textFill>
        </w:rPr>
        <w:t>有效期不足的投标文件</w:t>
      </w:r>
      <w:r>
        <w:rPr>
          <w:rFonts w:hint="eastAsia" w:ascii="仿宋" w:hAnsi="仿宋" w:eastAsia="仿宋"/>
          <w:b/>
          <w:bCs/>
          <w:color w:val="000000" w:themeColor="text1"/>
          <w:sz w:val="28"/>
          <w:szCs w:val="28"/>
          <w14:textFill>
            <w14:solidFill>
              <w14:schemeClr w14:val="tx1"/>
            </w14:solidFill>
          </w14:textFill>
        </w:rPr>
        <w:t>将作无效标处理</w:t>
      </w:r>
      <w:r>
        <w:rPr>
          <w:rFonts w:hint="eastAsia" w:ascii="仿宋" w:hAnsi="仿宋" w:eastAsia="仿宋"/>
          <w:b/>
          <w:color w:val="000000" w:themeColor="text1"/>
          <w:sz w:val="28"/>
          <w:szCs w:val="28"/>
          <w14:textFill>
            <w14:solidFill>
              <w14:schemeClr w14:val="tx1"/>
            </w14:solidFill>
          </w14:textFill>
        </w:rPr>
        <w:t>。</w:t>
      </w:r>
    </w:p>
    <w:p>
      <w:pPr>
        <w:snapToGrid w:val="0"/>
        <w:spacing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2、中标人的投标文件自开标之日起至合同履行完毕止均应保持有效。</w:t>
      </w:r>
    </w:p>
    <w:p>
      <w:pPr>
        <w:snapToGrid w:val="0"/>
        <w:spacing w:before="156" w:beforeLines="50" w:line="460" w:lineRule="exact"/>
        <w:ind w:firstLine="551" w:firstLineChars="196"/>
        <w:jc w:val="lef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（四）投标文件的签署和份数、包装</w:t>
      </w:r>
    </w:p>
    <w:p>
      <w:pPr>
        <w:snapToGrid w:val="0"/>
        <w:spacing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1、投标人应按本招标文件规定的格式和顺序编制、装订投标文件并标注页码，投标文件内容不完整、编排混乱导致投标文件被误读、漏读或者查找不到相关内容的，是投标人的责任。</w:t>
      </w:r>
    </w:p>
    <w:p>
      <w:pPr>
        <w:snapToGrid w:val="0"/>
        <w:spacing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2、投标人应按开标一览表、资质文件、技术及商务文件、报价文件正本、副本规定的份数分别编制并按A4纸规格分别竖面单独装订成册，投标文件的封面应注明“正本”、“副本”字样。</w:t>
      </w:r>
      <w:r>
        <w:rPr>
          <w:rFonts w:hint="eastAsia" w:ascii="仿宋" w:hAnsi="仿宋" w:eastAsia="仿宋"/>
          <w:b/>
          <w:color w:val="000000" w:themeColor="text1"/>
          <w:sz w:val="28"/>
          <w:szCs w:val="28"/>
          <w14:textFill>
            <w14:solidFill>
              <w14:schemeClr w14:val="tx1"/>
            </w14:solidFill>
          </w14:textFill>
        </w:rPr>
        <w:t>活页装订（是指用卡条、抽杆夹、订书机等形式装订，使标书可以拆卸或者在翻动过程中易脱落的一种装订方式）的投标文件</w:t>
      </w:r>
      <w:r>
        <w:rPr>
          <w:rFonts w:hint="eastAsia" w:ascii="仿宋" w:hAnsi="仿宋" w:eastAsia="仿宋"/>
          <w:b/>
          <w:bCs/>
          <w:color w:val="000000" w:themeColor="text1"/>
          <w:sz w:val="28"/>
          <w:szCs w:val="28"/>
          <w14:textFill>
            <w14:solidFill>
              <w14:schemeClr w14:val="tx1"/>
            </w14:solidFill>
          </w14:textFill>
        </w:rPr>
        <w:t>将作无效标处理</w:t>
      </w:r>
      <w:r>
        <w:rPr>
          <w:rFonts w:hint="eastAsia" w:ascii="仿宋" w:hAnsi="仿宋" w:eastAsia="仿宋"/>
          <w:b/>
          <w:color w:val="000000" w:themeColor="text1"/>
          <w:sz w:val="28"/>
          <w:szCs w:val="28"/>
          <w14:textFill>
            <w14:solidFill>
              <w14:schemeClr w14:val="tx1"/>
            </w14:solidFill>
          </w14:textFill>
        </w:rPr>
        <w:t>。</w:t>
      </w:r>
    </w:p>
    <w:p>
      <w:pPr>
        <w:snapToGrid w:val="0"/>
        <w:spacing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3、投标文件的正本需打印或用不褪色的墨水填写，投标文件正本除《投标人须知》中规定的可提供复印件外均须提供原件。副本为正本的复印件。招标方提倡双面打印或书写。</w:t>
      </w:r>
    </w:p>
    <w:p>
      <w:pPr>
        <w:snapToGrid w:val="0"/>
        <w:spacing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4、投标文件须由投标人在规定位置盖章并由法定代表人或法定代表人的授权委托人签署，投标人应写全称。</w:t>
      </w:r>
    </w:p>
    <w:p>
      <w:pPr>
        <w:snapToGrid w:val="0"/>
        <w:spacing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5、投标文件不得涂改，若有修改错漏处，须加盖供应商公章或者法定代表人或授权委托人签名或盖章。投标文件因字迹潦草或表达不清所引起的后果由投标人负责。</w:t>
      </w:r>
    </w:p>
    <w:p>
      <w:pPr>
        <w:snapToGrid w:val="0"/>
        <w:spacing w:line="460" w:lineRule="exact"/>
        <w:ind w:firstLine="534" w:firstLineChars="19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6、</w:t>
      </w:r>
      <w:r>
        <w:rPr>
          <w:rFonts w:hint="eastAsia" w:ascii="仿宋" w:hAnsi="仿宋" w:eastAsia="仿宋"/>
          <w:color w:val="000000" w:themeColor="text1"/>
          <w:sz w:val="28"/>
          <w:szCs w:val="28"/>
          <w14:textFill>
            <w14:solidFill>
              <w14:schemeClr w14:val="tx1"/>
            </w14:solidFill>
          </w14:textFill>
        </w:rPr>
        <w:t>投标人应按开标一览表、资质文件、技术及商务文件、投标报价文件分类分别单独密封封装。投标文件封装后，外包装封面上应注明投标人名称、投标人地址、投标文件名称（资质文件、技术及商务文件、报价文件）、投标项目名称、项目编号、标项及“开标时启封”字样，并加盖投标人公章。</w:t>
      </w:r>
    </w:p>
    <w:p>
      <w:pPr>
        <w:snapToGrid w:val="0"/>
        <w:spacing w:before="156" w:beforeLines="50" w:line="460" w:lineRule="exact"/>
        <w:ind w:firstLine="551" w:firstLineChars="196"/>
        <w:jc w:val="lef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（五）投标报价</w:t>
      </w:r>
    </w:p>
    <w:p>
      <w:pPr>
        <w:tabs>
          <w:tab w:val="left" w:pos="525"/>
        </w:tabs>
        <w:snapToGrid w:val="0"/>
        <w:spacing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1、投标文件只允许有一个报价，投标报价应按招标文件中相关附表格式填报，该投标报价应与明细报价汇总相等，且</w:t>
      </w:r>
      <w:r>
        <w:rPr>
          <w:rFonts w:hint="eastAsia" w:ascii="仿宋" w:hAnsi="仿宋" w:eastAsia="仿宋"/>
          <w:b/>
          <w:color w:val="000000" w:themeColor="text1"/>
          <w:sz w:val="28"/>
          <w:szCs w:val="28"/>
          <w14:textFill>
            <w14:solidFill>
              <w14:schemeClr w14:val="tx1"/>
            </w14:solidFill>
          </w14:textFill>
        </w:rPr>
        <w:t>不允许出现报价优惠等字样（明细出现“0”元，视同赠送）</w:t>
      </w:r>
      <w:r>
        <w:rPr>
          <w:rFonts w:hint="eastAsia" w:ascii="仿宋" w:hAnsi="仿宋" w:eastAsia="仿宋"/>
          <w:color w:val="000000" w:themeColor="text1"/>
          <w:sz w:val="28"/>
          <w:szCs w:val="28"/>
          <w14:textFill>
            <w14:solidFill>
              <w14:schemeClr w14:val="tx1"/>
            </w14:solidFill>
          </w14:textFill>
        </w:rPr>
        <w:t>。</w:t>
      </w:r>
    </w:p>
    <w:p>
      <w:pPr>
        <w:pStyle w:val="31"/>
        <w:snapToGrid w:val="0"/>
        <w:spacing w:before="156" w:after="156"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2、投标报价</w:t>
      </w:r>
      <w:r>
        <w:rPr>
          <w:rFonts w:hint="eastAsia" w:ascii="仿宋" w:hAnsi="仿宋" w:eastAsia="仿宋"/>
          <w:b/>
          <w:color w:val="000000" w:themeColor="text1"/>
          <w:sz w:val="28"/>
          <w:szCs w:val="28"/>
          <w14:textFill>
            <w14:solidFill>
              <w14:schemeClr w14:val="tx1"/>
            </w14:solidFill>
          </w14:textFill>
        </w:rPr>
        <w:t>应包含项目所需全部货物、服务，不得缺漏</w:t>
      </w:r>
      <w:r>
        <w:rPr>
          <w:rFonts w:hint="eastAsia" w:ascii="仿宋" w:hAnsi="仿宋" w:eastAsia="仿宋"/>
          <w:color w:val="000000" w:themeColor="text1"/>
          <w:sz w:val="28"/>
          <w:szCs w:val="28"/>
          <w14:textFill>
            <w14:solidFill>
              <w14:schemeClr w14:val="tx1"/>
            </w14:solidFill>
          </w14:textFill>
        </w:rPr>
        <w:t>，是履行合同的最终价格（含货款、标准附件、备品备件、专用工具、包装、运输、装卸、保险、税金、货到就位以及安装、调试、培训、保修等一切税金和费用）。</w:t>
      </w:r>
    </w:p>
    <w:p>
      <w:pPr>
        <w:pStyle w:val="31"/>
        <w:snapToGrid w:val="0"/>
        <w:spacing w:before="156" w:after="156"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3、投标报价总价金额到元为止，如投标报价总价出现角、分，将被抹除。</w:t>
      </w:r>
    </w:p>
    <w:p>
      <w:pPr>
        <w:snapToGrid w:val="0"/>
        <w:spacing w:before="156" w:beforeLines="50" w:line="460" w:lineRule="exact"/>
        <w:ind w:left="569" w:leftChars="271" w:firstLine="17" w:firstLineChars="6"/>
        <w:jc w:val="lef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（六）投标保证金</w:t>
      </w:r>
    </w:p>
    <w:p>
      <w:pPr>
        <w:tabs>
          <w:tab w:val="left" w:pos="525"/>
        </w:tabs>
        <w:snapToGrid w:val="0"/>
        <w:spacing w:line="460" w:lineRule="exact"/>
        <w:ind w:firstLine="562" w:firstLineChars="200"/>
        <w:jc w:val="lef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1、</w:t>
      </w:r>
      <w:r>
        <w:rPr>
          <w:rFonts w:ascii="仿宋" w:hAnsi="仿宋" w:eastAsia="仿宋"/>
          <w:b/>
          <w:color w:val="000000" w:themeColor="text1"/>
          <w:sz w:val="28"/>
          <w:szCs w:val="28"/>
          <w14:textFill>
            <w14:solidFill>
              <w14:schemeClr w14:val="tx1"/>
            </w14:solidFill>
          </w14:textFill>
        </w:rPr>
        <w:t>投标</w:t>
      </w:r>
      <w:r>
        <w:rPr>
          <w:rFonts w:hint="eastAsia" w:ascii="仿宋" w:hAnsi="仿宋" w:eastAsia="仿宋"/>
          <w:b/>
          <w:color w:val="000000" w:themeColor="text1"/>
          <w:sz w:val="28"/>
          <w:szCs w:val="28"/>
          <w14:textFill>
            <w14:solidFill>
              <w14:schemeClr w14:val="tx1"/>
            </w14:solidFill>
          </w14:textFill>
        </w:rPr>
        <w:t>人需按招标文件要求的金额、时间向</w:t>
      </w:r>
      <w:r>
        <w:rPr>
          <w:rFonts w:ascii="仿宋" w:hAnsi="仿宋" w:eastAsia="仿宋"/>
          <w:b/>
          <w:color w:val="000000" w:themeColor="text1"/>
          <w:sz w:val="28"/>
          <w:szCs w:val="28"/>
          <w14:textFill>
            <w14:solidFill>
              <w14:schemeClr w14:val="tx1"/>
            </w14:solidFill>
          </w14:textFill>
        </w:rPr>
        <w:t>招标方</w:t>
      </w:r>
      <w:r>
        <w:rPr>
          <w:rFonts w:hint="eastAsia" w:ascii="仿宋" w:hAnsi="仿宋" w:eastAsia="仿宋"/>
          <w:b/>
          <w:color w:val="000000" w:themeColor="text1"/>
          <w:sz w:val="28"/>
          <w:szCs w:val="28"/>
          <w14:textFill>
            <w14:solidFill>
              <w14:schemeClr w14:val="tx1"/>
            </w14:solidFill>
          </w14:textFill>
        </w:rPr>
        <w:t>递交投标保证金。</w:t>
      </w:r>
    </w:p>
    <w:p>
      <w:pPr>
        <w:tabs>
          <w:tab w:val="left" w:pos="525"/>
        </w:tabs>
        <w:snapToGrid w:val="0"/>
        <w:spacing w:line="460" w:lineRule="exact"/>
        <w:ind w:firstLine="562" w:firstLineChars="200"/>
        <w:jc w:val="left"/>
        <w:rPr>
          <w:rFonts w:ascii="仿宋" w:hAnsi="仿宋" w:eastAsia="仿宋"/>
          <w:b/>
          <w:color w:val="000000" w:themeColor="text1"/>
          <w:sz w:val="28"/>
          <w:szCs w:val="28"/>
          <w:u w:val="single"/>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2、</w:t>
      </w:r>
      <w:r>
        <w:rPr>
          <w:rFonts w:hint="eastAsia" w:ascii="仿宋" w:hAnsi="仿宋" w:eastAsia="仿宋"/>
          <w:b/>
          <w:bCs/>
          <w:color w:val="000000" w:themeColor="text1"/>
          <w:sz w:val="28"/>
          <w:szCs w:val="28"/>
          <w14:textFill>
            <w14:solidFill>
              <w14:schemeClr w14:val="tx1"/>
            </w14:solidFill>
          </w14:textFill>
        </w:rPr>
        <w:t>投标保证金金额（人民币）：</w:t>
      </w:r>
      <w:r>
        <w:rPr>
          <w:rFonts w:hint="eastAsia" w:ascii="仿宋" w:hAnsi="仿宋" w:eastAsia="仿宋"/>
          <w:color w:val="000000" w:themeColor="text1"/>
          <w:sz w:val="28"/>
          <w:szCs w:val="28"/>
          <w:u w:val="single"/>
          <w14:textFill>
            <w14:solidFill>
              <w14:schemeClr w14:val="tx1"/>
            </w14:solidFill>
          </w14:textFill>
        </w:rPr>
        <w:t>详见本招标文件第一章“公开招标采购公告”部分。</w:t>
      </w:r>
      <w:r>
        <w:rPr>
          <w:rFonts w:hint="eastAsia" w:ascii="仿宋" w:hAnsi="仿宋" w:eastAsia="仿宋"/>
          <w:b/>
          <w:color w:val="000000" w:themeColor="text1"/>
          <w:sz w:val="28"/>
          <w:szCs w:val="28"/>
          <w14:textFill>
            <w14:solidFill>
              <w14:schemeClr w14:val="tx1"/>
            </w14:solidFill>
          </w14:textFill>
        </w:rPr>
        <w:t xml:space="preserve">   </w:t>
      </w:r>
    </w:p>
    <w:p>
      <w:pPr>
        <w:tabs>
          <w:tab w:val="left" w:pos="525"/>
        </w:tabs>
        <w:snapToGrid w:val="0"/>
        <w:spacing w:line="460" w:lineRule="exact"/>
        <w:ind w:firstLine="562" w:firstLineChars="200"/>
        <w:jc w:val="left"/>
        <w:rPr>
          <w:rFonts w:ascii="仿宋" w:hAnsi="仿宋" w:eastAsia="仿宋"/>
          <w:b/>
          <w:bCs/>
          <w:color w:val="000000" w:themeColor="text1"/>
          <w:sz w:val="28"/>
          <w:szCs w:val="28"/>
          <w:u w:val="single"/>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3、 投标保证金可采用支票、银行汇票、银行保函或汇款的方式，</w:t>
      </w:r>
      <w:r>
        <w:rPr>
          <w:rFonts w:hint="eastAsia" w:ascii="仿宋" w:hAnsi="仿宋" w:eastAsia="仿宋"/>
          <w:b/>
          <w:bCs/>
          <w:color w:val="000000" w:themeColor="text1"/>
          <w:sz w:val="28"/>
          <w:szCs w:val="28"/>
          <w:u w:val="single"/>
          <w14:textFill>
            <w14:solidFill>
              <w14:schemeClr w14:val="tx1"/>
            </w14:solidFill>
          </w14:textFill>
        </w:rPr>
        <w:t>招标方不接受现金形式的投标保证金。</w:t>
      </w:r>
    </w:p>
    <w:p>
      <w:pPr>
        <w:tabs>
          <w:tab w:val="left" w:pos="525"/>
        </w:tabs>
        <w:snapToGrid w:val="0"/>
        <w:spacing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收款单位：国家体育总局体育器材装备中心</w:t>
      </w:r>
    </w:p>
    <w:p>
      <w:pPr>
        <w:tabs>
          <w:tab w:val="left" w:pos="525"/>
        </w:tabs>
        <w:snapToGrid w:val="0"/>
        <w:spacing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开 户 行：工行北京体育馆路支行</w:t>
      </w:r>
    </w:p>
    <w:p>
      <w:pPr>
        <w:tabs>
          <w:tab w:val="left" w:pos="525"/>
        </w:tabs>
        <w:snapToGrid w:val="0"/>
        <w:spacing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银行账号：0200008109089053553</w:t>
      </w:r>
    </w:p>
    <w:p>
      <w:pPr>
        <w:tabs>
          <w:tab w:val="left" w:pos="525"/>
        </w:tabs>
        <w:snapToGrid w:val="0"/>
        <w:spacing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的投标保证金为支票、银行汇票、银行保函形式的，须在开标时间前交到招标方；投标保证金为汇款形式的，须在开标前汇往上述指定帐户，并在递交投标文件时提供汇款单复印件。银行保函有效期需比投标有效期长28天。</w:t>
      </w:r>
    </w:p>
    <w:p>
      <w:pPr>
        <w:tabs>
          <w:tab w:val="left" w:pos="525"/>
        </w:tabs>
        <w:snapToGrid w:val="0"/>
        <w:spacing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4、未按前述各款要求提交投标保证金的投标将视为无效投标。</w:t>
      </w:r>
    </w:p>
    <w:p>
      <w:pPr>
        <w:tabs>
          <w:tab w:val="left" w:pos="525"/>
        </w:tabs>
        <w:snapToGrid w:val="0"/>
        <w:spacing w:line="460" w:lineRule="exact"/>
        <w:ind w:firstLine="562" w:firstLineChars="200"/>
        <w:jc w:val="lef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5、投标人递交投标文件时需提供投标人全称、开户行、银行帐号等银行信息, 并加盖投标人公章，以便招标方退还投标保证金</w:t>
      </w:r>
      <w:r>
        <w:rPr>
          <w:rFonts w:ascii="仿宋" w:hAnsi="仿宋" w:eastAsia="仿宋"/>
          <w:b/>
          <w:bCs/>
          <w:color w:val="000000" w:themeColor="text1"/>
          <w:sz w:val="28"/>
          <w:szCs w:val="28"/>
          <w14:textFill>
            <w14:solidFill>
              <w14:schemeClr w14:val="tx1"/>
            </w14:solidFill>
          </w14:textFill>
        </w:rPr>
        <w:t>。</w:t>
      </w:r>
    </w:p>
    <w:p>
      <w:pPr>
        <w:tabs>
          <w:tab w:val="left" w:pos="525"/>
        </w:tabs>
        <w:snapToGrid w:val="0"/>
        <w:spacing w:line="460" w:lineRule="exact"/>
        <w:ind w:firstLine="562" w:firstLineChars="200"/>
        <w:jc w:val="lef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6、投标保证金的退还：未中标的投标人在中标公告发布七个工作日后应立即将招标方开出的投标保证金收据退回，招标方将在收到退回的收据后5个工作日内按投标人递交投标保证金时提供的银行信息用网上汇款等方式退还投标保证金；</w:t>
      </w:r>
    </w:p>
    <w:p>
      <w:pPr>
        <w:tabs>
          <w:tab w:val="left" w:pos="525"/>
        </w:tabs>
        <w:snapToGrid w:val="0"/>
        <w:spacing w:line="460" w:lineRule="exact"/>
        <w:ind w:firstLine="562" w:firstLineChars="200"/>
        <w:jc w:val="lef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7、中标人签订采购合同后5个工作日内立即将招标方开出的投标保证金收据退回，招标方将在收到退回的收据后5个工作日内按投标人递交投标保证金时提供的银行信息用网上汇款等方式退还投标保证金</w:t>
      </w:r>
      <w:r>
        <w:rPr>
          <w:rFonts w:ascii="仿宋" w:hAnsi="仿宋" w:eastAsia="仿宋"/>
          <w:b/>
          <w:bCs/>
          <w:color w:val="000000" w:themeColor="text1"/>
          <w:sz w:val="28"/>
          <w:szCs w:val="28"/>
          <w14:textFill>
            <w14:solidFill>
              <w14:schemeClr w14:val="tx1"/>
            </w14:solidFill>
          </w14:textFill>
        </w:rPr>
        <w:t>。</w:t>
      </w:r>
    </w:p>
    <w:p>
      <w:pPr>
        <w:tabs>
          <w:tab w:val="left" w:pos="525"/>
        </w:tabs>
        <w:snapToGrid w:val="0"/>
        <w:spacing w:line="460" w:lineRule="exact"/>
        <w:ind w:firstLine="562" w:firstLineChars="200"/>
        <w:jc w:val="lef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8、投标人有下列情形之一的，投标保证金将不予退还：</w:t>
      </w:r>
    </w:p>
    <w:p>
      <w:pPr>
        <w:snapToGrid w:val="0"/>
        <w:spacing w:line="460" w:lineRule="exact"/>
        <w:ind w:firstLine="548" w:firstLineChars="19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（1）投标人在投标截止时间后撤回投标文件的；</w:t>
      </w:r>
    </w:p>
    <w:p>
      <w:pPr>
        <w:snapToGrid w:val="0"/>
        <w:spacing w:line="460" w:lineRule="exact"/>
        <w:ind w:firstLine="548" w:firstLineChars="19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（2）投标人在投标过程中弄虚作假，提供虚假材料的；</w:t>
      </w:r>
    </w:p>
    <w:p>
      <w:pPr>
        <w:snapToGrid w:val="0"/>
        <w:spacing w:line="460" w:lineRule="exact"/>
        <w:ind w:firstLine="548" w:firstLineChars="196"/>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（3）中标人无正当理由不与采购人签订合同的；</w:t>
      </w:r>
    </w:p>
    <w:p>
      <w:pPr>
        <w:snapToGrid w:val="0"/>
        <w:spacing w:line="460" w:lineRule="exact"/>
        <w:ind w:firstLine="548" w:firstLineChars="196"/>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w:t>
      </w:r>
      <w:r>
        <w:rPr>
          <w:rFonts w:hint="eastAsia" w:ascii="仿宋" w:hAnsi="仿宋" w:eastAsia="仿宋"/>
          <w:bCs/>
          <w:color w:val="000000" w:themeColor="text1"/>
          <w:sz w:val="28"/>
          <w:szCs w:val="28"/>
          <w14:textFill>
            <w14:solidFill>
              <w14:schemeClr w14:val="tx1"/>
            </w14:solidFill>
          </w14:textFill>
        </w:rPr>
        <w:t>将中标项目转让给他人或者在投标文件中未说明且未经招标采购单位同意，将中标项目分包给他人的；</w:t>
      </w:r>
    </w:p>
    <w:p>
      <w:pPr>
        <w:snapToGrid w:val="0"/>
        <w:spacing w:line="460" w:lineRule="exact"/>
        <w:ind w:firstLine="554" w:firstLineChars="198"/>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（5）其他严重扰乱招投标程序的；</w:t>
      </w:r>
    </w:p>
    <w:p>
      <w:pPr>
        <w:snapToGrid w:val="0"/>
        <w:spacing w:line="460" w:lineRule="exact"/>
        <w:ind w:firstLine="416" w:firstLineChars="148"/>
        <w:jc w:val="left"/>
        <w:outlineLvl w:val="1"/>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（七）串通投标认定</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有下列情形之一的，视为投标人串通投标，其投标无效：</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1、不同投标人的投标文件由同一单位或者个人编制；</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2、不同投标人委托同一单位或者个人办理投标事宜；</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3、不同投标人的投标文件载明的项目管理成员或者联系人员为同一人；</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4、不同投标人的投标文件异常一致或者投标报价呈规律性差异；</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5、不同投标人的投标文件相互混装；</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6、不同投标人的投标保证金从同一单位或者个人的账户转出。</w:t>
      </w:r>
    </w:p>
    <w:p>
      <w:pPr>
        <w:snapToGrid w:val="0"/>
        <w:spacing w:line="460" w:lineRule="exact"/>
        <w:ind w:firstLine="416" w:firstLineChars="148"/>
        <w:jc w:val="left"/>
        <w:outlineLvl w:val="1"/>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（八）投标无效的情形</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在评审时，如发现下列情形之一的，投标文件将被视为无效：</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w:t>
      </w:r>
      <w:r>
        <w:rPr>
          <w:rFonts w:hint="eastAsia" w:ascii="仿宋" w:hAnsi="仿宋" w:eastAsia="仿宋"/>
          <w:bCs/>
          <w:color w:val="000000" w:themeColor="text1"/>
          <w:sz w:val="28"/>
          <w:szCs w:val="28"/>
          <w14:textFill>
            <w14:solidFill>
              <w14:schemeClr w14:val="tx1"/>
            </w14:solidFill>
          </w14:textFill>
        </w:rPr>
        <w:t>、未按规定交纳投标保证金的；</w:t>
      </w:r>
    </w:p>
    <w:p>
      <w:pPr>
        <w:snapToGrid w:val="0"/>
        <w:spacing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2、投标方未能提供合格的资格文件、投标有效期不足的；</w:t>
      </w:r>
    </w:p>
    <w:p>
      <w:pPr>
        <w:snapToGrid w:val="0"/>
        <w:spacing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3、投标人被列入失信被执行人、重大税收违法案件当事人名单、政府采购严重违法失信行为记录名单的；</w:t>
      </w:r>
    </w:p>
    <w:p>
      <w:pPr>
        <w:snapToGrid w:val="0"/>
        <w:spacing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4、投标文件未按招标文件要求签署、盖章的；</w:t>
      </w:r>
    </w:p>
    <w:p>
      <w:pPr>
        <w:snapToGrid w:val="0"/>
        <w:spacing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5、与招标文件有重大偏离、未满足带“▲”号实质性指标的投标文件；</w:t>
      </w:r>
    </w:p>
    <w:p>
      <w:pPr>
        <w:snapToGrid w:val="0"/>
        <w:spacing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napToGrid w:val="0"/>
          <w:color w:val="000000" w:themeColor="text1"/>
          <w:sz w:val="28"/>
          <w:szCs w:val="28"/>
          <w14:textFill>
            <w14:solidFill>
              <w14:schemeClr w14:val="tx1"/>
            </w14:solidFill>
          </w14:textFill>
        </w:rPr>
        <w:t>7</w:t>
      </w:r>
      <w:r>
        <w:rPr>
          <w:rFonts w:hint="eastAsia" w:ascii="仿宋" w:hAnsi="仿宋" w:eastAsia="仿宋"/>
          <w:color w:val="000000" w:themeColor="text1"/>
          <w:sz w:val="28"/>
          <w:szCs w:val="28"/>
          <w14:textFill>
            <w14:solidFill>
              <w14:schemeClr w14:val="tx1"/>
            </w14:solidFill>
          </w14:textFill>
        </w:rPr>
        <w:t>、资质文件、技术及商务文件中出现投标价格信息的、投标报价超出招标文件中规定的预算金额或者最高限价的；</w:t>
      </w:r>
    </w:p>
    <w:p>
      <w:pPr>
        <w:snapToGrid w:val="0"/>
        <w:spacing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napToGrid w:val="0"/>
          <w:color w:val="000000" w:themeColor="text1"/>
          <w:sz w:val="28"/>
          <w:szCs w:val="28"/>
          <w14:textFill>
            <w14:solidFill>
              <w14:schemeClr w14:val="tx1"/>
            </w14:solidFill>
          </w14:textFill>
        </w:rPr>
        <w:t>8、</w:t>
      </w:r>
      <w:r>
        <w:rPr>
          <w:rFonts w:hint="eastAsia" w:ascii="仿宋" w:hAnsi="仿宋" w:eastAsia="仿宋"/>
          <w:color w:val="000000" w:themeColor="text1"/>
          <w:sz w:val="28"/>
          <w:szCs w:val="28"/>
          <w14:textFill>
            <w14:solidFill>
              <w14:schemeClr w14:val="tx1"/>
            </w14:solidFill>
          </w14:textFill>
        </w:rPr>
        <w:t>标项以赠送方式投标的、对一个标项提供两个投标方案或两个报价的；</w:t>
      </w:r>
    </w:p>
    <w:p>
      <w:pPr>
        <w:snapToGrid w:val="0"/>
        <w:spacing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9、评标委员会认为投标人的报价明显低于其他通过符合性审查投标人的报价，有可能影响产品质量或者不能诚信履约，且不能证明其报价合理性的；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10、投标人不接受报价文件中修正后的报价的；</w:t>
      </w:r>
    </w:p>
    <w:p>
      <w:pPr>
        <w:snapToGrid w:val="0"/>
        <w:spacing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11、未按本章“二、投标文件的编制”第五点投标报价要求报价的；</w:t>
      </w:r>
    </w:p>
    <w:p>
      <w:pPr>
        <w:snapToGrid w:val="0"/>
        <w:spacing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12、投标文件含有采购人不能接受的附加条件的；</w:t>
      </w:r>
    </w:p>
    <w:p>
      <w:pPr>
        <w:snapToGrid w:val="0"/>
        <w:spacing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13、投标人被视为串通投标的；</w:t>
      </w:r>
    </w:p>
    <w:p>
      <w:pPr>
        <w:snapToGrid w:val="0"/>
        <w:spacing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14、不符合法律、法规和本招标文件规定的其他实质性要求的。</w:t>
      </w:r>
    </w:p>
    <w:p>
      <w:pPr>
        <w:pStyle w:val="31"/>
        <w:snapToGrid w:val="0"/>
        <w:spacing w:before="156" w:after="156" w:line="460" w:lineRule="exact"/>
        <w:ind w:left="760" w:leftChars="228" w:hanging="281" w:hangingChars="1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（九）错误修正</w:t>
      </w:r>
    </w:p>
    <w:p>
      <w:pPr>
        <w:snapToGrid w:val="0"/>
        <w:spacing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投标文件报价出现前后不一致的，除招标文件另有规定外，按照下列规定修正：</w:t>
      </w:r>
    </w:p>
    <w:p>
      <w:pPr>
        <w:snapToGrid w:val="0"/>
        <w:spacing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（一）投标文件中报价明细表内容与投标文件中相应内容不一致的，以报价明细表为准；</w:t>
      </w:r>
    </w:p>
    <w:p>
      <w:pPr>
        <w:snapToGrid w:val="0"/>
        <w:spacing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（二）大写金额和小写金额不一致的，以大写金额为准；</w:t>
      </w:r>
    </w:p>
    <w:p>
      <w:pPr>
        <w:snapToGrid w:val="0"/>
        <w:spacing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（三）单价金额小数点或者百分比有明显错位的，以报价明细表的总价为准，并修改单价；</w:t>
      </w:r>
    </w:p>
    <w:p>
      <w:pPr>
        <w:snapToGrid w:val="0"/>
        <w:spacing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（四）总价金额与按单价汇总金额不一致的，以单价金额计算结果为准。</w:t>
      </w:r>
    </w:p>
    <w:p>
      <w:pPr>
        <w:snapToGrid w:val="0"/>
        <w:spacing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同时出现两种以上不一致的，按照前款规定的顺序修正。修正后的报价经投标人加盖公章，或者由法定代表人或其授权的代表签字确认后产生约束力，投标人不确认的，其投标无效。</w:t>
      </w:r>
    </w:p>
    <w:p>
      <w:pPr>
        <w:pStyle w:val="31"/>
        <w:snapToGrid w:val="0"/>
        <w:spacing w:before="312" w:beforeLines="100" w:after="312" w:afterLines="100" w:line="360" w:lineRule="auto"/>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三、组织开、评标程序及评标委员会的评审程序</w:t>
      </w:r>
    </w:p>
    <w:p>
      <w:pPr>
        <w:pStyle w:val="31"/>
        <w:snapToGrid w:val="0"/>
        <w:spacing w:before="156" w:after="156" w:line="460" w:lineRule="exact"/>
        <w:ind w:firstLine="551" w:firstLineChars="196"/>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（一）组织开标程序</w:t>
      </w:r>
    </w:p>
    <w:p>
      <w:pPr>
        <w:pStyle w:val="31"/>
        <w:snapToGrid w:val="0"/>
        <w:spacing w:before="156" w:after="156"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招标方将按照招标文件规定的时间、地点和程序组织开标，各投标人授权代表及相关人员应参加开标会并接受核验、签到，无关人员不得进入开标现场。投标人如不派授权代表参加开标会的，事后不得对采购相关人员、开标过程和开标结果提出异议。</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1、开标会由招标方主持，主持人介绍开标现场的人员情况，宣读递交投标文件的投标人名单、开标纪律、应当回避的情形等注意事项，评标委员会成员不得参加开标活动。投标人不足3家的，不得开标。</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w:t>
      </w:r>
      <w:r>
        <w:rPr>
          <w:rFonts w:hint="eastAsia" w:hAnsi="宋体"/>
          <w:b/>
          <w:color w:val="000000" w:themeColor="text1"/>
          <w14:textFill>
            <w14:solidFill>
              <w14:schemeClr w14:val="tx1"/>
            </w14:solidFill>
          </w14:textFill>
        </w:rPr>
        <w:t>投标人的法定代表人或其授权代表应随身携带以下文件：1、法定代表人证明书或授权委托书（如由授权代表参与投标时）和本人的身份证原件与复印件，2、接收退还投标保证金的账户信息，准时到场，并在签到簿上签名以证明其出席。参加开标会的投标人代表不得超过1人。</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3、在开标会上，由投标人代表检查投标文件、开标一览表的密封情况，确认无误后，由招标方工作人员当场拆封唱标。对不符合装订要求的投标文件，由现场工作人员退还供应商代表。</w:t>
      </w:r>
    </w:p>
    <w:p>
      <w:pPr>
        <w:pStyle w:val="31"/>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招标方将当众宣读投标人全称、投标价格、开标一览表、书面补充、修改和撤回投标的通知以及招标方认为适当的其他内容。投标人开标一览表中若有报价未被唱出，应在开标时声明或提请注意，否则招标方对此不承担任何责任。</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 xml:space="preserve">5、招标方将做开标记录并在开标后要求投标人法定代表人或其正式授权的投标人代表签字确认，存档备案。采购人或者招标方应当对开标、评标现场活动进行全程录音录像。录音录像应当清晰可辨，音像资料作为采购文件一并存档。 投标人代表对开标过程和开标记录有疑义，以及认为采购人、招标方相关工作人员有需要回避的情形的，应当场提出询问或者回避申请。   </w:t>
      </w:r>
    </w:p>
    <w:p>
      <w:pPr>
        <w:pStyle w:val="31"/>
        <w:snapToGrid w:val="0"/>
        <w:spacing w:before="156" w:after="156" w:line="46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（二）组织评标程序</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招标方将按照招标文件规定的时间、地点和程序组织评标，各评审专家及相关人员应参加评审活动并接受核验、签到，无关人员不得进入评审现场。</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1、按规定统一收缴、保存评标现场评审人员的通讯工具。</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2、介绍评审现场的人员情况，宣布评审工作纪律，告知评审人员应当回避情形；组织推选评标委员会组长。</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3、宣读提交投标文件的供应商名单，组织评标委员会各位成员签订《政府采购评审人员廉洁自律承诺书》。</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4、采购人可以在评标前说明项目背景和采购需求，说明内容不得含有歧视性、倾向性意见，不得超出招标文件所述范围。说明应当提交书面材料，并随采购文件一并存档。</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6、采购人、招标方将依法对投标人资格文件进行审查并</w:t>
      </w:r>
      <w:r>
        <w:rPr>
          <w:rFonts w:hint="eastAsia" w:ascii="仿宋" w:hAnsi="仿宋" w:eastAsia="仿宋"/>
          <w:color w:val="000000" w:themeColor="text1"/>
          <w:sz w:val="28"/>
          <w:szCs w:val="28"/>
          <w14:textFill>
            <w14:solidFill>
              <w14:schemeClr w14:val="tx1"/>
            </w14:solidFill>
          </w14:textFill>
        </w:rPr>
        <w:t>以开标当日为准</w:t>
      </w:r>
      <w:r>
        <w:rPr>
          <w:rFonts w:hint="eastAsia" w:ascii="仿宋" w:hAnsi="仿宋" w:eastAsia="仿宋"/>
          <w:bCs/>
          <w:color w:val="000000" w:themeColor="text1"/>
          <w:sz w:val="28"/>
          <w:szCs w:val="28"/>
          <w14:textFill>
            <w14:solidFill>
              <w14:schemeClr w14:val="tx1"/>
            </w14:solidFill>
          </w14:textFill>
        </w:rPr>
        <w:t>对投标人“信用中国”网站（www.creditchina.gov.cn）、中国政府采购网（www.ccgp.gov.cn）信用记录情况进行核实，资格不符合的，应视为未通过资格初审。</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7、评标委员会组长组织评审人员独立评审。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8、做好评审现场相关记录，协助评标委员会组长做好评审报告起草、有关内容电脑文字录入等工作，并要求评标委员会各成员签字确认。</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9、评审结束后，招标方应对评标委员会各成员的专业水平、职业道德、遵纪守法等情况进行评价；同时按规定向评审专家发放评审费，并交还评审人员的通讯工具。</w:t>
      </w:r>
    </w:p>
    <w:p>
      <w:pPr>
        <w:pStyle w:val="31"/>
        <w:snapToGrid w:val="0"/>
        <w:spacing w:before="156" w:after="156" w:line="46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（三）评审程序</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1、在评审专家中推选评标委员会组长。</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3、评审人员对各投标人投标文件的有效性、符合性、完整性和响应程度进行审查，确定是否对招标文件作出实质性响应。</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4、评审人员按招标文件规定的评审方法和评审标准，依法独立对投标人投标文件进行评估、比较，并给予评价或打分，不受任何单位和个人的干预。</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评审人员对各供应商投标文件非实质性内容有疑议或异议，或者审查发现明显的文字或计算错误等，及时向评标委员会组长提出。经评标委员会商议认为需要供应商作出必要澄清或说明的，应通知该投标人以书面形式作出澄清或说明。授权代表未到场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 xml:space="preserve">7、评标委员会根据评审汇总情况和招标文件规定确定中标候选供应商排序名单。 </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8、起草评审报告，所有评审人员须在评审报告上签字确认。</w:t>
      </w:r>
    </w:p>
    <w:p>
      <w:pPr>
        <w:pStyle w:val="31"/>
        <w:snapToGrid w:val="0"/>
        <w:spacing w:before="312" w:beforeLines="100" w:after="312" w:afterLines="100" w:line="360" w:lineRule="auto"/>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四、评审原则</w:t>
      </w:r>
    </w:p>
    <w:p>
      <w:pPr>
        <w:pStyle w:val="31"/>
        <w:snapToGrid w:val="0"/>
        <w:spacing w:before="156" w:after="156"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依法重新组建评标委员会进行评标。采购人或招标人应当将变更、重新组建评标委员会的情况予以记录，并随采购文件一并存档。</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招标方负责人记录在案后，可视为同意评审结果。</w:t>
      </w:r>
    </w:p>
    <w:p>
      <w:pPr>
        <w:pStyle w:val="31"/>
        <w:snapToGrid w:val="0"/>
        <w:spacing w:before="156" w:after="156"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56" w:after="156" w:line="460" w:lineRule="exact"/>
        <w:ind w:firstLine="551" w:firstLineChars="196"/>
        <w:rPr>
          <w:rFonts w:hint="eastAsia"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156" w:after="156" w:line="460" w:lineRule="exact"/>
        <w:ind w:firstLine="551" w:firstLineChars="196"/>
        <w:rPr>
          <w:rFonts w:hint="eastAsia"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5、在评审过程中，评审小组认为投标人最后报价明显低于其他通过符合性审查投标人的最后报价，有可能影响服务质量或者不能诚信履约的，评审小组应当要求其在评审现场合理的时间内提供成本构成书面说明，必要时提交相关证明材料。投标人提交的书面说明、相关证明材料（如涉及）应当由法定代表人或授权代表签字或加盖公章，否则无效。投标人不能证明其报价合理性的，评审小组应当将其响应文件作为无效处理。</w:t>
      </w:r>
    </w:p>
    <w:p>
      <w:pPr>
        <w:pStyle w:val="31"/>
        <w:snapToGrid w:val="0"/>
        <w:spacing w:before="156" w:after="156" w:line="460" w:lineRule="exact"/>
        <w:ind w:firstLine="551" w:firstLineChars="196"/>
        <w:rPr>
          <w:rFonts w:hint="eastAsia" w:ascii="仿宋" w:hAnsi="仿宋" w:eastAsia="仿宋"/>
          <w:b/>
          <w:bCs/>
          <w:color w:val="000000" w:themeColor="text1"/>
          <w:sz w:val="28"/>
          <w:szCs w:val="28"/>
          <w14:textFill>
            <w14:solidFill>
              <w14:schemeClr w14:val="tx1"/>
            </w14:solidFill>
          </w14:textFill>
        </w:rPr>
      </w:pPr>
    </w:p>
    <w:p>
      <w:pPr>
        <w:pStyle w:val="31"/>
        <w:snapToGrid w:val="0"/>
        <w:spacing w:before="312" w:beforeLines="100" w:after="312" w:afterLines="100" w:line="360" w:lineRule="auto"/>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五、确定中标供应商的原则</w:t>
      </w:r>
    </w:p>
    <w:p>
      <w:pPr>
        <w:pStyle w:val="31"/>
        <w:snapToGrid w:val="0"/>
        <w:spacing w:before="156" w:after="156"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1、项目由评标委员会根据详细评审结果确定一至三人为中标候选人，并标明排列顺序。</w:t>
      </w:r>
    </w:p>
    <w:p>
      <w:pPr>
        <w:pStyle w:val="31"/>
        <w:snapToGrid w:val="0"/>
        <w:spacing w:before="156" w:after="156"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1"/>
        <w:snapToGrid w:val="0"/>
        <w:spacing w:before="156" w:after="156"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3、采购结果经采购人确认后，招标方将于2个工作日内在中国政府采购网上发布中标公告，并向中标方签发书面《中标通知书》，招标方根据报名时预留地址寄送</w:t>
      </w:r>
      <w:r>
        <w:rPr>
          <w:rFonts w:hint="eastAsia" w:ascii="仿宋" w:hAnsi="仿宋" w:eastAsia="仿宋" w:cs="Arial"/>
          <w:color w:val="000000" w:themeColor="text1"/>
          <w:sz w:val="28"/>
          <w:szCs w:val="28"/>
          <w14:textFill>
            <w14:solidFill>
              <w14:schemeClr w14:val="tx1"/>
            </w14:solidFill>
          </w14:textFill>
        </w:rPr>
        <w:t>中标通知书。</w:t>
      </w:r>
    </w:p>
    <w:p>
      <w:pPr>
        <w:pStyle w:val="31"/>
        <w:snapToGrid w:val="0"/>
        <w:spacing w:before="312" w:beforeLines="100" w:after="312" w:afterLines="100" w:line="360" w:lineRule="auto"/>
        <w:jc w:val="center"/>
        <w:rPr>
          <w:rFonts w:ascii="仿宋" w:hAnsi="仿宋" w:eastAsia="仿宋"/>
          <w:b/>
          <w:color w:val="000000" w:themeColor="text1"/>
          <w:sz w:val="30"/>
          <w:szCs w:val="30"/>
          <w14:textFill>
            <w14:solidFill>
              <w14:schemeClr w14:val="tx1"/>
            </w14:solidFill>
          </w14:textFill>
        </w:rPr>
      </w:pPr>
    </w:p>
    <w:p>
      <w:pPr>
        <w:pStyle w:val="31"/>
        <w:snapToGrid w:val="0"/>
        <w:spacing w:before="312" w:beforeLines="100" w:after="312" w:afterLines="100" w:line="360" w:lineRule="auto"/>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六、合同授予</w:t>
      </w:r>
    </w:p>
    <w:p>
      <w:pPr>
        <w:snapToGrid w:val="0"/>
        <w:spacing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（一）签订合同</w:t>
      </w:r>
    </w:p>
    <w:p>
      <w:pPr>
        <w:snapToGrid w:val="0"/>
        <w:spacing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1、采购人与中标人应当在《中标通知书》发出之日起30日内签订政府采购合同。</w:t>
      </w:r>
    </w:p>
    <w:p>
      <w:pPr>
        <w:snapToGrid w:val="0"/>
        <w:spacing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2、中标人拖延、拒签合同的,将被扣罚投标保证金并取消中标资格。</w:t>
      </w:r>
    </w:p>
    <w:p>
      <w:pPr>
        <w:pStyle w:val="31"/>
        <w:snapToGrid w:val="0"/>
        <w:spacing w:before="156" w:after="156" w:line="240" w:lineRule="auto"/>
        <w:ind w:firstLine="600" w:firstLineChars="200"/>
        <w:rPr>
          <w:rFonts w:ascii="仿宋_GB2312" w:hAnsi="仿宋" w:eastAsia="仿宋_GB2312"/>
          <w:color w:val="000000" w:themeColor="text1"/>
          <w:sz w:val="30"/>
          <w:szCs w:val="30"/>
          <w14:textFill>
            <w14:solidFill>
              <w14:schemeClr w14:val="tx1"/>
            </w14:solidFill>
          </w14:textFill>
        </w:rPr>
      </w:pPr>
    </w:p>
    <w:p>
      <w:pPr>
        <w:pStyle w:val="31"/>
        <w:spacing w:before="156" w:after="156" w:line="360" w:lineRule="auto"/>
        <w:jc w:val="center"/>
        <w:outlineLvl w:val="0"/>
        <w:rPr>
          <w:rFonts w:hAnsi="宋体"/>
          <w:b/>
          <w:color w:val="000000" w:themeColor="text1"/>
          <w:sz w:val="36"/>
          <w:szCs w:val="36"/>
          <w14:textFill>
            <w14:solidFill>
              <w14:schemeClr w14:val="tx1"/>
            </w14:solidFill>
          </w14:textFill>
        </w:rPr>
      </w:pPr>
      <w:r>
        <w:rPr>
          <w:rFonts w:hAnsi="宋体"/>
          <w:b/>
          <w:color w:val="000000" w:themeColor="text1"/>
          <w:sz w:val="36"/>
          <w:szCs w:val="36"/>
          <w14:textFill>
            <w14:solidFill>
              <w14:schemeClr w14:val="tx1"/>
            </w14:solidFill>
          </w14:textFill>
        </w:rPr>
        <w:br w:type="page"/>
      </w:r>
      <w:bookmarkStart w:id="15" w:name="_Toc51935129"/>
      <w:r>
        <w:rPr>
          <w:rFonts w:hint="eastAsia" w:hAnsi="宋体"/>
          <w:b/>
          <w:color w:val="000000" w:themeColor="text1"/>
          <w:sz w:val="36"/>
          <w:szCs w:val="36"/>
          <w14:textFill>
            <w14:solidFill>
              <w14:schemeClr w14:val="tx1"/>
            </w14:solidFill>
          </w14:textFill>
        </w:rPr>
        <w:t>第三章  评标办法及评分标准</w:t>
      </w:r>
      <w:bookmarkEnd w:id="15"/>
    </w:p>
    <w:p>
      <w:pPr>
        <w:spacing w:before="156" w:beforeLines="50" w:after="156" w:afterLines="50" w:line="460" w:lineRule="exact"/>
        <w:ind w:firstLine="42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根据《中华人民共和国政府采购法》等有关法律法规，结合本项目的实际需求，制定本办法。</w:t>
      </w:r>
    </w:p>
    <w:p>
      <w:pPr>
        <w:spacing w:before="156" w:beforeLines="50" w:after="156" w:afterLines="50" w:line="460" w:lineRule="exact"/>
        <w:ind w:firstLine="551" w:firstLineChars="196"/>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一、总则</w:t>
      </w:r>
    </w:p>
    <w:p>
      <w:pPr>
        <w:spacing w:before="156" w:beforeLines="50" w:after="156" w:afterLines="50"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仿宋" w:hAnsi="仿宋" w:eastAsia="仿宋"/>
          <w:bCs/>
          <w:color w:val="000000" w:themeColor="text1"/>
          <w:sz w:val="28"/>
          <w:szCs w:val="28"/>
          <w14:textFill>
            <w14:solidFill>
              <w14:schemeClr w14:val="tx1"/>
            </w14:solidFill>
          </w14:textFill>
        </w:rPr>
        <w:t>评分过程中采用四舍五入法，并保留小数2位。</w:t>
      </w:r>
    </w:p>
    <w:p>
      <w:pPr>
        <w:spacing w:before="156" w:beforeLines="50" w:after="156" w:afterLines="50"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二、分值的计算</w:t>
      </w:r>
    </w:p>
    <w:p>
      <w:pPr>
        <w:spacing w:before="156" w:beforeLines="50" w:after="156" w:afterLines="50"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技术、资信、商务及其他分按照评标委员会成员的独立评分结果汇总后的算术平均分计算，计算公式为：</w:t>
      </w:r>
    </w:p>
    <w:p>
      <w:pPr>
        <w:spacing w:before="156" w:beforeLines="50" w:after="156" w:afterLines="50" w:line="460" w:lineRule="exact"/>
        <w:ind w:firstLine="495"/>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技术、资信商务及其他分=评标委员会所有成员评分合计数/评标委员会组成人员数</w:t>
      </w:r>
    </w:p>
    <w:p>
      <w:pPr>
        <w:spacing w:before="156" w:beforeLines="50" w:after="156" w:afterLines="50"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投标人评标</w:t>
      </w:r>
      <w:r>
        <w:rPr>
          <w:rFonts w:hint="eastAsia" w:ascii="仿宋" w:hAnsi="仿宋" w:eastAsia="仿宋"/>
          <w:bCs/>
          <w:color w:val="000000" w:themeColor="text1"/>
          <w:sz w:val="28"/>
          <w:szCs w:val="28"/>
          <w14:textFill>
            <w14:solidFill>
              <w14:schemeClr w14:val="tx1"/>
            </w14:solidFill>
          </w14:textFill>
        </w:rPr>
        <w:t>综合得分=价格分+(技术分+资信商务及其他分)</w:t>
      </w:r>
    </w:p>
    <w:p>
      <w:pPr>
        <w:spacing w:before="156" w:beforeLines="50" w:after="156" w:afterLines="50" w:line="460" w:lineRule="exact"/>
        <w:ind w:firstLine="600" w:firstLineChars="200"/>
        <w:rPr>
          <w:rFonts w:ascii="仿宋" w:hAnsi="仿宋" w:eastAsia="仿宋_GB2312"/>
          <w:bCs/>
          <w:color w:val="000000" w:themeColor="text1"/>
          <w:sz w:val="30"/>
          <w:szCs w:val="30"/>
          <w14:textFill>
            <w14:solidFill>
              <w14:schemeClr w14:val="tx1"/>
            </w14:solidFill>
          </w14:textFill>
        </w:rPr>
      </w:pPr>
    </w:p>
    <w:p>
      <w:pPr>
        <w:spacing w:before="156" w:beforeLines="50" w:after="156" w:afterLines="50" w:line="460" w:lineRule="exact"/>
        <w:ind w:firstLine="600" w:firstLineChars="200"/>
        <w:rPr>
          <w:rFonts w:ascii="仿宋" w:hAnsi="仿宋" w:eastAsia="仿宋_GB2312"/>
          <w:bCs/>
          <w:color w:val="000000" w:themeColor="text1"/>
          <w:sz w:val="30"/>
          <w:szCs w:val="30"/>
          <w14:textFill>
            <w14:solidFill>
              <w14:schemeClr w14:val="tx1"/>
            </w14:solidFill>
          </w14:textFill>
        </w:rPr>
      </w:pPr>
    </w:p>
    <w:p>
      <w:pPr>
        <w:spacing w:before="156" w:beforeLines="50" w:after="156" w:afterLines="50" w:line="320" w:lineRule="exact"/>
        <w:ind w:firstLine="600" w:firstLineChars="200"/>
        <w:rPr>
          <w:rFonts w:ascii="仿宋_GB2312" w:hAnsi="宋体" w:eastAsia="仿宋_GB2312"/>
          <w:b/>
          <w:color w:val="000000" w:themeColor="text1"/>
          <w:sz w:val="32"/>
          <w:szCs w:val="32"/>
          <w14:textFill>
            <w14:solidFill>
              <w14:schemeClr w14:val="tx1"/>
            </w14:solidFill>
          </w14:textFill>
        </w:rPr>
      </w:pPr>
      <w:r>
        <w:rPr>
          <w:rFonts w:ascii="仿宋" w:hAnsi="仿宋" w:eastAsia="仿宋_GB2312"/>
          <w:bCs/>
          <w:color w:val="000000" w:themeColor="text1"/>
          <w:sz w:val="30"/>
          <w:szCs w:val="30"/>
          <w14:textFill>
            <w14:solidFill>
              <w14:schemeClr w14:val="tx1"/>
            </w14:solidFill>
          </w14:textFill>
        </w:rPr>
        <w:br w:type="page"/>
      </w:r>
      <w:r>
        <w:rPr>
          <w:rFonts w:hint="eastAsia" w:ascii="仿宋" w:hAnsi="仿宋" w:eastAsia="仿宋_GB2312"/>
          <w:b/>
          <w:color w:val="000000" w:themeColor="text1"/>
          <w:sz w:val="32"/>
          <w:szCs w:val="32"/>
          <w14:textFill>
            <w14:solidFill>
              <w14:schemeClr w14:val="tx1"/>
            </w14:solidFill>
          </w14:textFill>
        </w:rPr>
        <w:t>三、评标内容及标</w:t>
      </w:r>
      <w:r>
        <w:rPr>
          <w:rFonts w:hint="eastAsia" w:ascii="仿宋" w:hAnsi="仿宋" w:eastAsia="仿宋_GB2312"/>
          <w:b/>
          <w:color w:val="000000" w:themeColor="text1"/>
          <w:sz w:val="30"/>
          <w:szCs w:val="30"/>
          <w14:textFill>
            <w14:solidFill>
              <w14:schemeClr w14:val="tx1"/>
            </w14:solidFill>
          </w14:textFill>
        </w:rPr>
        <w:t>准</w:t>
      </w:r>
      <w:bookmarkStart w:id="16" w:name="PO_TDCUS_ITEM_SM_TABLE_1"/>
      <w:r>
        <w:rPr>
          <w:rFonts w:ascii="仿宋_GB2312" w:hAnsi="宋体" w:eastAsia="仿宋_GB2312"/>
          <w:b/>
          <w:color w:val="000000" w:themeColor="text1"/>
          <w:sz w:val="32"/>
          <w:szCs w:val="32"/>
          <w14:textFill>
            <w14:solidFill>
              <w14:schemeClr w14:val="tx1"/>
            </w14:solidFill>
          </w14:textFill>
        </w:rPr>
        <w:t xml:space="preserve"> </w:t>
      </w:r>
      <w:bookmarkEnd w:id="16"/>
    </w:p>
    <w:p>
      <w:pPr>
        <w:spacing w:before="156" w:beforeLines="50" w:after="156" w:afterLines="50" w:line="320" w:lineRule="exact"/>
        <w:ind w:firstLine="643" w:firstLineChars="200"/>
        <w:rPr>
          <w:rFonts w:ascii="仿宋_GB2312" w:hAnsi="宋体" w:eastAsia="仿宋_GB2312"/>
          <w:b/>
          <w:color w:val="000000" w:themeColor="text1"/>
          <w:sz w:val="32"/>
          <w:szCs w:val="32"/>
          <w14:textFill>
            <w14:solidFill>
              <w14:schemeClr w14:val="tx1"/>
            </w14:solidFill>
          </w14:textFill>
        </w:rPr>
      </w:pPr>
      <w:r>
        <w:rPr>
          <w:rFonts w:hint="eastAsia" w:ascii="仿宋_GB2312" w:hAnsi="宋体" w:eastAsia="仿宋_GB2312"/>
          <w:b/>
          <w:color w:val="000000" w:themeColor="text1"/>
          <w:sz w:val="32"/>
          <w:szCs w:val="32"/>
          <w14:textFill>
            <w14:solidFill>
              <w14:schemeClr w14:val="tx1"/>
            </w14:solidFill>
          </w14:textFill>
        </w:rPr>
        <w:t>标项1</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0"/>
        <w:gridCol w:w="747"/>
        <w:gridCol w:w="5633"/>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727" w:type="pct"/>
          </w:tcPr>
          <w:p>
            <w:pPr>
              <w:spacing w:before="156" w:beforeLines="50" w:after="156" w:afterLines="50" w:line="276" w:lineRule="auto"/>
              <w:rPr>
                <w:rFonts w:ascii="仿宋_GB2312" w:hAnsi="宋体" w:eastAsia="仿宋_GB2312"/>
                <w:b/>
                <w:bCs w:val="0"/>
                <w:color w:val="000000"/>
                <w:szCs w:val="21"/>
              </w:rPr>
            </w:pPr>
            <w:r>
              <w:rPr>
                <w:rFonts w:hint="eastAsia" w:ascii="仿宋_GB2312" w:hAnsi="宋体" w:eastAsia="仿宋_GB2312"/>
                <w:b/>
                <w:bCs w:val="0"/>
                <w:color w:val="000000"/>
                <w:szCs w:val="21"/>
              </w:rPr>
              <w:t>评分类型</w:t>
            </w:r>
          </w:p>
        </w:tc>
        <w:tc>
          <w:tcPr>
            <w:tcW w:w="438" w:type="pct"/>
          </w:tcPr>
          <w:p>
            <w:pPr>
              <w:spacing w:before="156" w:beforeLines="50" w:after="156" w:afterLines="50" w:line="276" w:lineRule="auto"/>
              <w:jc w:val="center"/>
              <w:rPr>
                <w:rFonts w:ascii="仿宋_GB2312" w:hAnsi="宋体" w:eastAsia="仿宋_GB2312"/>
                <w:b/>
                <w:bCs w:val="0"/>
                <w:color w:val="000000"/>
                <w:szCs w:val="21"/>
              </w:rPr>
            </w:pPr>
            <w:r>
              <w:rPr>
                <w:rFonts w:hint="eastAsia" w:ascii="仿宋_GB2312" w:hAnsi="宋体" w:eastAsia="仿宋_GB2312"/>
                <w:b/>
                <w:bCs w:val="0"/>
                <w:color w:val="000000"/>
                <w:szCs w:val="21"/>
              </w:rPr>
              <w:t>序号</w:t>
            </w:r>
          </w:p>
        </w:tc>
        <w:tc>
          <w:tcPr>
            <w:tcW w:w="3304" w:type="pct"/>
          </w:tcPr>
          <w:p>
            <w:pPr>
              <w:spacing w:before="156" w:beforeLines="50" w:after="156" w:afterLines="50" w:line="276" w:lineRule="auto"/>
              <w:jc w:val="center"/>
              <w:rPr>
                <w:rFonts w:ascii="仿宋_GB2312" w:hAnsi="宋体" w:eastAsia="仿宋_GB2312"/>
                <w:b/>
                <w:bCs w:val="0"/>
                <w:color w:val="000000"/>
                <w:szCs w:val="21"/>
              </w:rPr>
            </w:pPr>
            <w:r>
              <w:rPr>
                <w:rFonts w:hint="eastAsia" w:ascii="仿宋_GB2312" w:hAnsi="宋体" w:eastAsia="仿宋_GB2312"/>
                <w:b/>
                <w:bCs w:val="0"/>
                <w:color w:val="000000"/>
                <w:szCs w:val="21"/>
              </w:rPr>
              <w:t>评分标准</w:t>
            </w:r>
          </w:p>
        </w:tc>
        <w:tc>
          <w:tcPr>
            <w:tcW w:w="529" w:type="pct"/>
          </w:tcPr>
          <w:p>
            <w:pPr>
              <w:spacing w:before="156" w:beforeLines="50" w:after="156" w:afterLines="50" w:line="276" w:lineRule="auto"/>
              <w:rPr>
                <w:rFonts w:ascii="仿宋_GB2312" w:hAnsi="宋体" w:eastAsia="仿宋_GB2312"/>
                <w:b/>
                <w:bCs w:val="0"/>
                <w:color w:val="000000"/>
                <w:szCs w:val="21"/>
              </w:rPr>
            </w:pPr>
            <w:r>
              <w:rPr>
                <w:rFonts w:hint="eastAsia" w:ascii="仿宋_GB2312" w:hAnsi="宋体" w:eastAsia="仿宋_GB2312"/>
                <w:b/>
                <w:bCs w:val="0"/>
                <w:color w:val="000000"/>
                <w:szCs w:val="21"/>
              </w:rPr>
              <w:t>分值</w:t>
            </w:r>
          </w:p>
          <w:p>
            <w:pPr>
              <w:spacing w:before="156" w:beforeLines="50" w:after="156" w:afterLines="50" w:line="276" w:lineRule="auto"/>
              <w:rPr>
                <w:rFonts w:ascii="仿宋_GB2312" w:hAnsi="宋体" w:eastAsia="仿宋_GB2312"/>
                <w:b/>
                <w:bCs w:val="0"/>
                <w:color w:val="000000"/>
                <w:szCs w:val="21"/>
              </w:rPr>
            </w:pPr>
            <w:r>
              <w:rPr>
                <w:rFonts w:hint="eastAsia" w:ascii="仿宋_GB2312" w:hAnsi="宋体" w:eastAsia="仿宋_GB2312"/>
                <w:b/>
                <w:bCs w:val="0"/>
                <w:color w:val="000000"/>
                <w:szCs w:val="21"/>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7" w:hRule="atLeast"/>
        </w:trPr>
        <w:tc>
          <w:tcPr>
            <w:tcW w:w="727" w:type="pct"/>
            <w:vAlign w:val="center"/>
          </w:tcPr>
          <w:p>
            <w:pPr>
              <w:spacing w:before="156" w:beforeLines="50" w:after="156" w:afterLines="50" w:line="276" w:lineRule="auto"/>
              <w:jc w:val="center"/>
              <w:rPr>
                <w:rFonts w:ascii="仿宋_GB2312" w:hAnsi="宋体" w:eastAsia="仿宋_GB2312"/>
                <w:b/>
                <w:bCs w:val="0"/>
                <w:color w:val="000000"/>
                <w:szCs w:val="21"/>
              </w:rPr>
            </w:pPr>
            <w:r>
              <w:rPr>
                <w:rFonts w:ascii="仿宋_GB2312" w:hAnsi="宋体" w:eastAsia="仿宋_GB2312"/>
                <w:b/>
                <w:bCs w:val="0"/>
                <w:color w:val="000000"/>
                <w:szCs w:val="21"/>
              </w:rPr>
              <w:t>报价</w:t>
            </w:r>
            <w:r>
              <w:rPr>
                <w:rFonts w:hint="eastAsia" w:ascii="仿宋_GB2312" w:hAnsi="宋体" w:eastAsia="仿宋_GB2312"/>
                <w:b/>
                <w:bCs w:val="0"/>
                <w:color w:val="000000"/>
                <w:szCs w:val="21"/>
              </w:rPr>
              <w:t>（价格分）10分</w:t>
            </w:r>
          </w:p>
        </w:tc>
        <w:tc>
          <w:tcPr>
            <w:tcW w:w="438" w:type="pct"/>
            <w:vAlign w:val="center"/>
          </w:tcPr>
          <w:p>
            <w:pPr>
              <w:spacing w:before="156" w:beforeLines="50" w:after="156" w:afterLines="50" w:line="276" w:lineRule="auto"/>
              <w:jc w:val="center"/>
              <w:rPr>
                <w:rFonts w:ascii="仿宋_GB2312" w:hAnsi="宋体" w:eastAsia="仿宋_GB2312"/>
                <w:b/>
                <w:bCs w:val="0"/>
                <w:color w:val="000000"/>
                <w:szCs w:val="21"/>
              </w:rPr>
            </w:pPr>
            <w:r>
              <w:rPr>
                <w:rFonts w:ascii="仿宋_GB2312" w:hAnsi="宋体" w:eastAsia="仿宋_GB2312"/>
                <w:b/>
                <w:bCs w:val="0"/>
                <w:color w:val="000000"/>
                <w:szCs w:val="21"/>
              </w:rPr>
              <w:t>1</w:t>
            </w:r>
          </w:p>
        </w:tc>
        <w:tc>
          <w:tcPr>
            <w:tcW w:w="3304" w:type="pct"/>
            <w:vAlign w:val="center"/>
          </w:tcPr>
          <w:p>
            <w:pPr>
              <w:rPr>
                <w:rFonts w:ascii="仿宋" w:hAnsi="仿宋" w:eastAsia="仿宋"/>
                <w:b/>
                <w:bCs w:val="0"/>
              </w:rPr>
            </w:pPr>
            <w:r>
              <w:rPr>
                <w:rFonts w:hint="eastAsia" w:ascii="仿宋" w:hAnsi="仿宋" w:eastAsia="仿宋"/>
                <w:b/>
                <w:bCs w:val="0"/>
              </w:rPr>
              <w:t>价格分统一采用低价优先法计算，即满足招标文件要求且投标价格最低的投标报价为评标基准价，其价格分为满分。其他投标人的价格分统一按照下列公式计算：</w:t>
            </w:r>
          </w:p>
          <w:p>
            <w:pPr>
              <w:rPr>
                <w:rFonts w:ascii="仿宋" w:hAnsi="仿宋" w:eastAsia="仿宋"/>
                <w:b/>
                <w:bCs w:val="0"/>
              </w:rPr>
            </w:pPr>
            <w:r>
              <w:rPr>
                <w:rFonts w:hint="eastAsia" w:ascii="仿宋" w:hAnsi="仿宋" w:eastAsia="仿宋"/>
                <w:b/>
                <w:bCs w:val="0"/>
              </w:rPr>
              <w:t xml:space="preserve">投标报价得分=(评标基准价／投标报价)×价格权值×100               </w:t>
            </w:r>
          </w:p>
          <w:p>
            <w:pPr>
              <w:rPr>
                <w:rFonts w:ascii="仿宋" w:hAnsi="仿宋" w:eastAsia="仿宋"/>
                <w:b/>
                <w:bCs w:val="0"/>
              </w:rPr>
            </w:pPr>
            <w:r>
              <w:rPr>
                <w:rFonts w:hint="eastAsia" w:ascii="仿宋" w:hAnsi="仿宋" w:eastAsia="仿宋"/>
                <w:b/>
                <w:bCs w:val="0"/>
              </w:rPr>
              <w:t>计算分数时四舍五入取小数点后两位</w:t>
            </w:r>
          </w:p>
          <w:p>
            <w:pPr>
              <w:rPr>
                <w:rFonts w:ascii="仿宋" w:hAnsi="仿宋" w:eastAsia="仿宋"/>
                <w:b/>
                <w:bCs w:val="0"/>
              </w:rPr>
            </w:pPr>
            <w:r>
              <w:rPr>
                <w:rFonts w:hint="eastAsia" w:ascii="仿宋" w:hAnsi="仿宋" w:eastAsia="仿宋"/>
                <w:b/>
                <w:bCs w:val="0"/>
              </w:rPr>
              <w:t>注：（1）根据《政府采购促进中小企业发展管理办法》的相关规定，对小型和微型企业的价格给予6%的扣除，用扣除后的价格参与评审。</w:t>
            </w:r>
          </w:p>
          <w:p>
            <w:pPr>
              <w:rPr>
                <w:rFonts w:ascii="仿宋" w:hAnsi="仿宋" w:eastAsia="仿宋"/>
                <w:b/>
                <w:bCs w:val="0"/>
              </w:rPr>
            </w:pPr>
            <w:r>
              <w:rPr>
                <w:rFonts w:hint="eastAsia" w:ascii="仿宋" w:hAnsi="仿宋" w:eastAsia="仿宋"/>
                <w:b/>
                <w:bCs w:val="0"/>
              </w:rPr>
              <w:t>（2）根据《财政部民政部中国残疾人联合会关于促进残疾人就业政府采购政策的通知》（财库〔2017〕141号）的规定，对符合条件的残疾人福利性单位设备的价格给予6%的扣除，用扣除后的价格参与评审。</w:t>
            </w:r>
          </w:p>
          <w:p>
            <w:pPr>
              <w:spacing w:before="156" w:beforeLines="50" w:after="156" w:afterLines="50"/>
              <w:jc w:val="left"/>
              <w:rPr>
                <w:rFonts w:ascii="仿宋_GB2312" w:hAnsi="宋体" w:eastAsia="仿宋_GB2312"/>
                <w:b/>
                <w:bCs w:val="0"/>
                <w:color w:val="000000"/>
                <w:szCs w:val="21"/>
              </w:rPr>
            </w:pPr>
            <w:r>
              <w:rPr>
                <w:rFonts w:hint="eastAsia" w:ascii="仿宋" w:hAnsi="仿宋" w:eastAsia="仿宋"/>
                <w:b/>
                <w:bCs w:val="0"/>
              </w:rPr>
              <w:t>小型、微型企业和监狱企业级符合财政部、民政部、中国残疾人联合会关于促进残疾人就业政府采购政策的通知，以上政策同时具备的仅对其进行一次6%的价格扣除，不重复扣除。</w:t>
            </w:r>
          </w:p>
        </w:tc>
        <w:tc>
          <w:tcPr>
            <w:tcW w:w="529" w:type="pct"/>
          </w:tcPr>
          <w:p>
            <w:pPr>
              <w:spacing w:before="156" w:beforeLines="50" w:after="156" w:afterLines="50" w:line="276" w:lineRule="auto"/>
              <w:rPr>
                <w:rFonts w:ascii="仿宋_GB2312" w:hAnsi="宋体" w:eastAsia="仿宋_GB2312"/>
                <w:b/>
                <w:bCs w:val="0"/>
                <w:color w:val="000000"/>
                <w:szCs w:val="21"/>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pct"/>
            <w:vAlign w:val="center"/>
          </w:tcPr>
          <w:p>
            <w:pPr>
              <w:spacing w:before="156" w:beforeLines="50" w:after="156" w:afterLines="50" w:line="276" w:lineRule="auto"/>
              <w:jc w:val="center"/>
              <w:rPr>
                <w:rFonts w:ascii="仿宋_GB2312" w:hAnsi="宋体" w:eastAsia="仿宋_GB2312"/>
                <w:b/>
                <w:bCs w:val="0"/>
                <w:color w:val="000000"/>
                <w:szCs w:val="21"/>
              </w:rPr>
            </w:pPr>
            <w:r>
              <w:rPr>
                <w:rFonts w:hint="eastAsia" w:ascii="仿宋_GB2312" w:hAnsi="宋体" w:eastAsia="仿宋_GB2312"/>
                <w:b/>
                <w:bCs w:val="0"/>
                <w:color w:val="000000"/>
                <w:szCs w:val="21"/>
              </w:rPr>
              <w:t>商务资信</w:t>
            </w:r>
          </w:p>
          <w:p>
            <w:pPr>
              <w:jc w:val="left"/>
              <w:rPr>
                <w:rFonts w:ascii="仿宋_GB2312" w:hAnsi="宋体" w:eastAsia="仿宋_GB2312"/>
                <w:b/>
                <w:bCs w:val="0"/>
                <w:color w:val="000000"/>
                <w:szCs w:val="21"/>
              </w:rPr>
            </w:pPr>
            <w:r>
              <w:rPr>
                <w:rFonts w:hint="eastAsia" w:ascii="仿宋_GB2312" w:hAnsi="宋体" w:eastAsia="仿宋_GB2312"/>
                <w:b/>
                <w:bCs w:val="0"/>
                <w:color w:val="000000"/>
                <w:szCs w:val="21"/>
              </w:rPr>
              <w:t xml:space="preserve">（投标人业绩15分） </w:t>
            </w:r>
          </w:p>
        </w:tc>
        <w:tc>
          <w:tcPr>
            <w:tcW w:w="438" w:type="pct"/>
            <w:vAlign w:val="center"/>
          </w:tcPr>
          <w:p>
            <w:pPr>
              <w:spacing w:before="156" w:beforeLines="50" w:after="156" w:afterLines="50" w:line="276" w:lineRule="auto"/>
              <w:jc w:val="center"/>
              <w:rPr>
                <w:rFonts w:ascii="仿宋_GB2312" w:hAnsi="宋体" w:eastAsia="仿宋_GB2312"/>
                <w:b/>
                <w:bCs w:val="0"/>
                <w:color w:val="000000"/>
                <w:szCs w:val="21"/>
              </w:rPr>
            </w:pPr>
            <w:r>
              <w:rPr>
                <w:rFonts w:ascii="仿宋_GB2312" w:hAnsi="宋体" w:eastAsia="仿宋_GB2312"/>
                <w:b/>
                <w:bCs w:val="0"/>
                <w:color w:val="000000"/>
                <w:szCs w:val="21"/>
              </w:rPr>
              <w:t>1</w:t>
            </w:r>
            <w:r>
              <w:rPr>
                <w:rFonts w:hint="eastAsia" w:ascii="仿宋_GB2312" w:hAnsi="宋体" w:eastAsia="仿宋_GB2312"/>
                <w:b/>
                <w:bCs w:val="0"/>
                <w:color w:val="000000"/>
                <w:szCs w:val="21"/>
              </w:rPr>
              <w:t>.1</w:t>
            </w:r>
          </w:p>
        </w:tc>
        <w:tc>
          <w:tcPr>
            <w:tcW w:w="3304" w:type="pct"/>
            <w:vAlign w:val="center"/>
          </w:tcPr>
          <w:p>
            <w:pPr>
              <w:rPr>
                <w:rFonts w:ascii="仿宋" w:hAnsi="仿宋" w:eastAsia="仿宋"/>
                <w:b/>
                <w:bCs w:val="0"/>
              </w:rPr>
            </w:pPr>
            <w:r>
              <w:rPr>
                <w:rFonts w:hint="eastAsia" w:ascii="仿宋" w:hAnsi="仿宋" w:eastAsia="仿宋"/>
                <w:b/>
                <w:bCs w:val="0"/>
              </w:rPr>
              <w:t>对投标人提供2010年以来完成的全国性或国际级（多国参与）综合性运动会竞赛信息化成功案例情况进行评分，每个案例合同中应包括电视字幕系统的有关内容，每提供1个成功案例得3分，满分15分。</w:t>
            </w:r>
          </w:p>
          <w:p>
            <w:pPr>
              <w:rPr>
                <w:rFonts w:ascii="仿宋" w:hAnsi="仿宋" w:eastAsia="仿宋"/>
                <w:b/>
                <w:bCs w:val="0"/>
              </w:rPr>
            </w:pPr>
            <w:r>
              <w:rPr>
                <w:rFonts w:hint="eastAsia" w:ascii="仿宋" w:hAnsi="仿宋" w:eastAsia="仿宋"/>
                <w:b/>
                <w:bCs w:val="0"/>
              </w:rPr>
              <w:t>须同时提供以下证明文件，否则不得分：</w:t>
            </w:r>
          </w:p>
          <w:p>
            <w:pPr>
              <w:rPr>
                <w:rFonts w:ascii="仿宋" w:hAnsi="仿宋" w:eastAsia="仿宋"/>
                <w:b/>
                <w:bCs w:val="0"/>
              </w:rPr>
            </w:pPr>
            <w:r>
              <w:rPr>
                <w:rFonts w:hint="eastAsia" w:ascii="仿宋" w:hAnsi="仿宋" w:eastAsia="仿宋"/>
                <w:b/>
                <w:bCs w:val="0"/>
              </w:rPr>
              <w:t>1）合同扫描件或复印件，至少包括买卖双方名称及盖章、服务内容。</w:t>
            </w:r>
          </w:p>
          <w:p>
            <w:pPr>
              <w:rPr>
                <w:rFonts w:ascii="仿宋_GB2312" w:hAnsi="宋体" w:eastAsia="仿宋_GB2312"/>
                <w:b/>
                <w:bCs w:val="0"/>
                <w:color w:val="000000"/>
                <w:szCs w:val="21"/>
              </w:rPr>
            </w:pPr>
            <w:r>
              <w:rPr>
                <w:rFonts w:hint="eastAsia" w:ascii="仿宋" w:hAnsi="仿宋" w:eastAsia="仿宋"/>
                <w:b/>
                <w:bCs w:val="0"/>
              </w:rPr>
              <w:t>2）用户盖章或签字的成功履行合同的证明材料扫描件或复印件。</w:t>
            </w:r>
          </w:p>
        </w:tc>
        <w:tc>
          <w:tcPr>
            <w:tcW w:w="529" w:type="pct"/>
          </w:tcPr>
          <w:p>
            <w:pPr>
              <w:spacing w:before="156" w:beforeLines="50" w:after="156" w:afterLines="50" w:line="276" w:lineRule="auto"/>
              <w:rPr>
                <w:rFonts w:ascii="仿宋_GB2312" w:hAnsi="宋体" w:eastAsia="仿宋_GB2312"/>
                <w:b/>
                <w:bCs w:val="0"/>
                <w:color w:val="000000"/>
                <w:szCs w:val="21"/>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727" w:type="pct"/>
            <w:vMerge w:val="restart"/>
            <w:vAlign w:val="center"/>
          </w:tcPr>
          <w:p>
            <w:pPr>
              <w:spacing w:before="156" w:beforeLines="50" w:after="156" w:afterLines="50" w:line="276" w:lineRule="auto"/>
              <w:jc w:val="center"/>
              <w:rPr>
                <w:rFonts w:ascii="仿宋_GB2312" w:hAnsi="宋体" w:eastAsia="仿宋_GB2312"/>
                <w:b/>
                <w:bCs w:val="0"/>
                <w:color w:val="000000"/>
                <w:szCs w:val="21"/>
              </w:rPr>
            </w:pPr>
            <w:r>
              <w:rPr>
                <w:rFonts w:hint="eastAsia" w:ascii="仿宋_GB2312" w:hAnsi="宋体" w:eastAsia="仿宋_GB2312"/>
                <w:b/>
                <w:bCs w:val="0"/>
                <w:color w:val="000000"/>
                <w:szCs w:val="21"/>
              </w:rPr>
              <w:t>商务资信</w:t>
            </w:r>
          </w:p>
          <w:p>
            <w:pPr>
              <w:spacing w:before="156" w:beforeLines="50" w:after="156" w:afterLines="50" w:line="276" w:lineRule="auto"/>
              <w:jc w:val="center"/>
              <w:rPr>
                <w:rFonts w:ascii="仿宋_GB2312" w:hAnsi="宋体" w:eastAsia="仿宋_GB2312"/>
                <w:b/>
                <w:bCs w:val="0"/>
                <w:color w:val="000000"/>
                <w:szCs w:val="21"/>
              </w:rPr>
            </w:pPr>
            <w:r>
              <w:rPr>
                <w:rFonts w:hint="eastAsia" w:ascii="仿宋_GB2312" w:hAnsi="宋体" w:eastAsia="仿宋_GB2312"/>
                <w:b/>
                <w:bCs w:val="0"/>
                <w:color w:val="000000"/>
                <w:szCs w:val="21"/>
              </w:rPr>
              <w:t>（项目团队5分）</w:t>
            </w:r>
          </w:p>
        </w:tc>
        <w:tc>
          <w:tcPr>
            <w:tcW w:w="438" w:type="pct"/>
            <w:vAlign w:val="center"/>
          </w:tcPr>
          <w:p>
            <w:pPr>
              <w:spacing w:before="156" w:beforeLines="50" w:after="156" w:afterLines="50" w:line="276" w:lineRule="auto"/>
              <w:jc w:val="center"/>
              <w:rPr>
                <w:rFonts w:ascii="仿宋_GB2312" w:hAnsi="宋体" w:eastAsia="仿宋_GB2312"/>
                <w:b/>
                <w:bCs w:val="0"/>
                <w:color w:val="000000"/>
                <w:szCs w:val="21"/>
              </w:rPr>
            </w:pPr>
            <w:r>
              <w:rPr>
                <w:rFonts w:hint="eastAsia" w:ascii="仿宋_GB2312" w:hAnsi="宋体" w:eastAsia="仿宋_GB2312"/>
                <w:b/>
                <w:bCs w:val="0"/>
                <w:color w:val="000000"/>
                <w:szCs w:val="21"/>
              </w:rPr>
              <w:t>1.2.1</w:t>
            </w:r>
          </w:p>
        </w:tc>
        <w:tc>
          <w:tcPr>
            <w:tcW w:w="3304" w:type="pct"/>
            <w:vAlign w:val="center"/>
          </w:tcPr>
          <w:p>
            <w:pPr>
              <w:widowControl/>
              <w:contextualSpacing/>
              <w:rPr>
                <w:rFonts w:ascii="仿宋" w:hAnsi="仿宋" w:eastAsia="仿宋"/>
                <w:b/>
                <w:bCs w:val="0"/>
              </w:rPr>
            </w:pPr>
            <w:r>
              <w:rPr>
                <w:rFonts w:hint="eastAsia" w:ascii="仿宋" w:hAnsi="仿宋" w:eastAsia="仿宋"/>
                <w:b/>
                <w:bCs w:val="0"/>
              </w:rPr>
              <w:t>项目经理至少具有PMP资质或信息系统集成及服务项目管理人员资质，得3分。</w:t>
            </w:r>
          </w:p>
          <w:p>
            <w:pPr>
              <w:widowControl/>
              <w:contextualSpacing/>
              <w:rPr>
                <w:rFonts w:ascii="仿宋" w:hAnsi="仿宋" w:eastAsia="仿宋"/>
                <w:b/>
                <w:bCs w:val="0"/>
              </w:rPr>
            </w:pPr>
            <w:r>
              <w:rPr>
                <w:rFonts w:hint="eastAsia" w:ascii="仿宋" w:hAnsi="仿宋" w:eastAsia="仿宋"/>
                <w:b/>
                <w:bCs w:val="0"/>
              </w:rPr>
              <w:t>须提供相应证书以及</w:t>
            </w:r>
            <w:r>
              <w:rPr>
                <w:rFonts w:hint="eastAsia" w:ascii="仿宋_GB2312" w:hAnsi="宋体" w:eastAsia="仿宋_GB2312"/>
                <w:b/>
                <w:bCs w:val="0"/>
                <w:color w:val="000000"/>
                <w:szCs w:val="21"/>
              </w:rPr>
              <w:t>该人员在投标企业近六个月内任意一个月的社保证明的复印件加盖公章，否则不得分。</w:t>
            </w:r>
          </w:p>
        </w:tc>
        <w:tc>
          <w:tcPr>
            <w:tcW w:w="529" w:type="pct"/>
          </w:tcPr>
          <w:p>
            <w:pPr>
              <w:spacing w:before="156" w:beforeLines="50" w:after="156" w:afterLines="50" w:line="276" w:lineRule="auto"/>
              <w:rPr>
                <w:rFonts w:ascii="仿宋_GB2312" w:hAnsi="宋体" w:eastAsia="仿宋_GB2312"/>
                <w:b/>
                <w:bCs w:val="0"/>
                <w:color w:val="000000"/>
                <w:szCs w:val="21"/>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7" w:type="pct"/>
            <w:vMerge w:val="continue"/>
            <w:vAlign w:val="center"/>
          </w:tcPr>
          <w:p>
            <w:pPr>
              <w:spacing w:before="156" w:beforeLines="50" w:after="156" w:afterLines="50" w:line="276" w:lineRule="auto"/>
              <w:jc w:val="center"/>
              <w:rPr>
                <w:rFonts w:ascii="仿宋_GB2312" w:hAnsi="宋体" w:eastAsia="仿宋_GB2312"/>
                <w:b/>
                <w:bCs w:val="0"/>
                <w:color w:val="000000"/>
                <w:szCs w:val="21"/>
              </w:rPr>
            </w:pPr>
          </w:p>
        </w:tc>
        <w:tc>
          <w:tcPr>
            <w:tcW w:w="438" w:type="pct"/>
            <w:vAlign w:val="center"/>
          </w:tcPr>
          <w:p>
            <w:pPr>
              <w:spacing w:before="156" w:beforeLines="50" w:after="156" w:afterLines="50" w:line="276" w:lineRule="auto"/>
              <w:jc w:val="center"/>
              <w:rPr>
                <w:rFonts w:ascii="仿宋_GB2312" w:hAnsi="宋体" w:eastAsia="仿宋_GB2312"/>
                <w:b/>
                <w:bCs w:val="0"/>
                <w:color w:val="000000"/>
                <w:szCs w:val="21"/>
              </w:rPr>
            </w:pPr>
            <w:r>
              <w:rPr>
                <w:rFonts w:hint="eastAsia" w:ascii="仿宋_GB2312" w:hAnsi="宋体" w:eastAsia="仿宋_GB2312"/>
                <w:b/>
                <w:bCs w:val="0"/>
                <w:color w:val="000000"/>
                <w:szCs w:val="21"/>
              </w:rPr>
              <w:t>1.2.2</w:t>
            </w:r>
          </w:p>
        </w:tc>
        <w:tc>
          <w:tcPr>
            <w:tcW w:w="3304" w:type="pct"/>
            <w:vAlign w:val="center"/>
          </w:tcPr>
          <w:p>
            <w:pPr>
              <w:rPr>
                <w:rFonts w:ascii="仿宋" w:hAnsi="仿宋" w:eastAsia="仿宋"/>
                <w:b/>
                <w:bCs w:val="0"/>
              </w:rPr>
            </w:pPr>
            <w:r>
              <w:rPr>
                <w:rFonts w:hint="eastAsia" w:ascii="仿宋" w:hAnsi="仿宋" w:eastAsia="仿宋"/>
                <w:b/>
                <w:bCs w:val="0"/>
              </w:rPr>
              <w:t>根据项目团队中成员是否有综合体育赛事服务经验情况评分。团队中每提供一名具有综合体育赛事服务经验的人员，得0.2分。本项满分2分。</w:t>
            </w:r>
          </w:p>
          <w:p>
            <w:pPr>
              <w:rPr>
                <w:rFonts w:ascii="仿宋" w:hAnsi="仿宋" w:eastAsia="仿宋"/>
                <w:b/>
                <w:bCs w:val="0"/>
              </w:rPr>
            </w:pPr>
            <w:r>
              <w:rPr>
                <w:rFonts w:hint="eastAsia" w:ascii="仿宋" w:hAnsi="仿宋" w:eastAsia="仿宋"/>
                <w:b/>
                <w:bCs w:val="0"/>
              </w:rPr>
              <w:t>须提供须提供团队人员参与综合体育赛事服务证明或荣誉证书或工作证以及团队</w:t>
            </w:r>
            <w:r>
              <w:rPr>
                <w:rFonts w:hint="eastAsia" w:ascii="仿宋_GB2312" w:hAnsi="宋体" w:eastAsia="仿宋_GB2312"/>
                <w:b/>
                <w:bCs w:val="0"/>
                <w:color w:val="000000"/>
                <w:szCs w:val="21"/>
              </w:rPr>
              <w:t>人员在投标企业近六个月内任意一个月的社保证明的</w:t>
            </w:r>
            <w:r>
              <w:rPr>
                <w:rFonts w:hint="eastAsia" w:ascii="仿宋" w:hAnsi="仿宋" w:eastAsia="仿宋"/>
                <w:b/>
                <w:bCs w:val="0"/>
              </w:rPr>
              <w:t>复印件并加盖公章，否则不得分。</w:t>
            </w:r>
          </w:p>
        </w:tc>
        <w:tc>
          <w:tcPr>
            <w:tcW w:w="529" w:type="pct"/>
          </w:tcPr>
          <w:p>
            <w:pPr>
              <w:spacing w:before="156" w:beforeLines="50" w:after="156" w:afterLines="50" w:line="276" w:lineRule="auto"/>
              <w:rPr>
                <w:rFonts w:ascii="仿宋_GB2312" w:hAnsi="宋体" w:eastAsia="仿宋_GB2312"/>
                <w:b/>
                <w:bCs w:val="0"/>
                <w:color w:val="000000"/>
                <w:szCs w:val="21"/>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pct"/>
            <w:vAlign w:val="center"/>
          </w:tcPr>
          <w:p>
            <w:pPr>
              <w:jc w:val="center"/>
              <w:rPr>
                <w:rFonts w:ascii="仿宋_GB2312" w:hAnsi="宋体" w:eastAsia="仿宋_GB2312"/>
                <w:b/>
                <w:bCs w:val="0"/>
                <w:color w:val="000000"/>
                <w:szCs w:val="21"/>
              </w:rPr>
            </w:pPr>
            <w:r>
              <w:rPr>
                <w:rFonts w:ascii="仿宋_GB2312" w:hAnsi="宋体" w:eastAsia="仿宋_GB2312"/>
                <w:b/>
                <w:bCs w:val="0"/>
                <w:color w:val="000000"/>
                <w:szCs w:val="21"/>
              </w:rPr>
              <w:t>技术</w:t>
            </w:r>
          </w:p>
          <w:p>
            <w:pPr>
              <w:jc w:val="left"/>
              <w:rPr>
                <w:rFonts w:ascii="仿宋_GB2312" w:hAnsi="宋体" w:eastAsia="仿宋_GB2312"/>
                <w:b/>
                <w:bCs w:val="0"/>
                <w:color w:val="000000"/>
                <w:szCs w:val="21"/>
              </w:rPr>
            </w:pPr>
            <w:r>
              <w:rPr>
                <w:rFonts w:hint="eastAsia" w:ascii="仿宋_GB2312" w:hAnsi="宋体" w:eastAsia="仿宋_GB2312"/>
                <w:b/>
                <w:bCs w:val="0"/>
                <w:color w:val="000000"/>
                <w:szCs w:val="21"/>
              </w:rPr>
              <w:t>（需求理解及综合分析1</w:t>
            </w:r>
            <w:r>
              <w:rPr>
                <w:rFonts w:ascii="仿宋_GB2312" w:hAnsi="宋体" w:eastAsia="仿宋_GB2312"/>
                <w:b/>
                <w:bCs w:val="0"/>
                <w:color w:val="000000"/>
                <w:szCs w:val="21"/>
              </w:rPr>
              <w:t>5</w:t>
            </w:r>
            <w:r>
              <w:rPr>
                <w:rFonts w:hint="eastAsia" w:ascii="仿宋_GB2312" w:hAnsi="宋体" w:eastAsia="仿宋_GB2312"/>
                <w:b/>
                <w:bCs w:val="0"/>
                <w:color w:val="000000"/>
                <w:szCs w:val="21"/>
              </w:rPr>
              <w:t>分）</w:t>
            </w:r>
          </w:p>
          <w:p>
            <w:pPr>
              <w:spacing w:before="156" w:beforeLines="50" w:after="156" w:afterLines="50" w:line="276" w:lineRule="auto"/>
              <w:jc w:val="center"/>
              <w:rPr>
                <w:rFonts w:ascii="仿宋_GB2312" w:hAnsi="宋体" w:eastAsia="仿宋_GB2312"/>
                <w:b/>
                <w:bCs w:val="0"/>
                <w:color w:val="000000"/>
                <w:szCs w:val="21"/>
              </w:rPr>
            </w:pPr>
          </w:p>
        </w:tc>
        <w:tc>
          <w:tcPr>
            <w:tcW w:w="438" w:type="pct"/>
            <w:vAlign w:val="center"/>
          </w:tcPr>
          <w:p>
            <w:pPr>
              <w:jc w:val="center"/>
              <w:rPr>
                <w:b/>
                <w:bCs w:val="0"/>
                <w:szCs w:val="21"/>
              </w:rPr>
            </w:pPr>
            <w:r>
              <w:rPr>
                <w:rFonts w:hint="eastAsia"/>
                <w:b/>
                <w:bCs w:val="0"/>
                <w:szCs w:val="21"/>
              </w:rPr>
              <w:t>2.1</w:t>
            </w:r>
          </w:p>
        </w:tc>
        <w:tc>
          <w:tcPr>
            <w:tcW w:w="3304" w:type="pct"/>
            <w:vAlign w:val="center"/>
          </w:tcPr>
          <w:p>
            <w:pPr>
              <w:rPr>
                <w:rFonts w:ascii="仿宋" w:hAnsi="仿宋" w:eastAsia="仿宋"/>
                <w:b/>
                <w:bCs w:val="0"/>
              </w:rPr>
            </w:pPr>
            <w:r>
              <w:rPr>
                <w:rFonts w:hint="eastAsia" w:ascii="仿宋" w:hAnsi="仿宋" w:eastAsia="仿宋"/>
                <w:b/>
                <w:bCs w:val="0"/>
              </w:rPr>
              <w:t>根据投标人对电视字幕系统的赛事运行保障服务需求的理解程度，提供的需求理解及综合分析方案的合理性、可行性等方面，进行综合评分。内容包括但不限于对项目的定位、意义、重要性的总体描述，以及对于系统现状、应用环境、体系结构需求、功能需求、性能要求、实施要求等的业务分析。本项满分为1</w:t>
            </w:r>
            <w:r>
              <w:rPr>
                <w:rFonts w:ascii="仿宋" w:hAnsi="仿宋" w:eastAsia="仿宋"/>
                <w:b/>
                <w:bCs w:val="0"/>
              </w:rPr>
              <w:t>5</w:t>
            </w:r>
            <w:r>
              <w:rPr>
                <w:rFonts w:hint="eastAsia" w:ascii="仿宋" w:hAnsi="仿宋" w:eastAsia="仿宋"/>
                <w:b/>
                <w:bCs w:val="0"/>
              </w:rPr>
              <w:t>分。</w:t>
            </w:r>
          </w:p>
          <w:p>
            <w:pPr>
              <w:rPr>
                <w:rFonts w:ascii="仿宋" w:hAnsi="仿宋" w:eastAsia="仿宋"/>
                <w:b/>
                <w:bCs w:val="0"/>
              </w:rPr>
            </w:pPr>
            <w:r>
              <w:rPr>
                <w:rFonts w:hint="eastAsia" w:ascii="仿宋" w:hAnsi="仿宋" w:eastAsia="仿宋"/>
                <w:b/>
                <w:bCs w:val="0"/>
              </w:rPr>
              <w:t>1）提交的方案中包括上述全部内容，且对于电视字幕系统的重要性有清醒的认识和准确的定位，对于需求分析完整、透彻、目标明确，得1</w:t>
            </w:r>
            <w:r>
              <w:rPr>
                <w:rFonts w:ascii="仿宋" w:hAnsi="仿宋" w:eastAsia="仿宋"/>
                <w:b/>
                <w:bCs w:val="0"/>
              </w:rPr>
              <w:t>5</w:t>
            </w:r>
            <w:r>
              <w:rPr>
                <w:rFonts w:hint="eastAsia" w:ascii="仿宋" w:hAnsi="仿宋" w:eastAsia="仿宋"/>
                <w:b/>
                <w:bCs w:val="0"/>
              </w:rPr>
              <w:t>分。</w:t>
            </w:r>
          </w:p>
          <w:p>
            <w:pPr>
              <w:rPr>
                <w:rFonts w:ascii="仿宋" w:hAnsi="仿宋" w:eastAsia="仿宋"/>
                <w:b/>
                <w:bCs w:val="0"/>
              </w:rPr>
            </w:pPr>
            <w:r>
              <w:rPr>
                <w:rFonts w:hint="eastAsia" w:ascii="仿宋" w:hAnsi="仿宋" w:eastAsia="仿宋"/>
                <w:b/>
                <w:bCs w:val="0"/>
              </w:rPr>
              <w:t>2）提交的方案中基本涵盖上述内容，或者提交的方案中内容虽完整，但对于需求分析不够完整透彻，与本项目实际的情况有少量偏差的，得</w:t>
            </w:r>
            <w:r>
              <w:rPr>
                <w:rFonts w:ascii="仿宋" w:hAnsi="仿宋" w:eastAsia="仿宋"/>
                <w:b/>
                <w:bCs w:val="0"/>
              </w:rPr>
              <w:t>10</w:t>
            </w:r>
            <w:r>
              <w:rPr>
                <w:rFonts w:hint="eastAsia" w:ascii="仿宋" w:hAnsi="仿宋" w:eastAsia="仿宋"/>
                <w:b/>
                <w:bCs w:val="0"/>
              </w:rPr>
              <w:t>分。</w:t>
            </w:r>
          </w:p>
          <w:p>
            <w:pPr>
              <w:rPr>
                <w:rFonts w:ascii="仿宋" w:hAnsi="仿宋" w:eastAsia="仿宋"/>
                <w:b/>
                <w:bCs w:val="0"/>
              </w:rPr>
            </w:pPr>
            <w:r>
              <w:rPr>
                <w:rFonts w:hint="eastAsia" w:ascii="仿宋" w:hAnsi="仿宋" w:eastAsia="仿宋"/>
                <w:b/>
                <w:bCs w:val="0"/>
              </w:rPr>
              <w:t>3）提交的方案中未涵盖上述全部内容，存在缺漏项或者提交的方案基本完整，但需求分析不明确，与本项目实际的情况有一定偏差，需要进行较大的修改，得</w:t>
            </w:r>
            <w:r>
              <w:rPr>
                <w:rFonts w:ascii="仿宋" w:hAnsi="仿宋" w:eastAsia="仿宋"/>
                <w:b/>
                <w:bCs w:val="0"/>
              </w:rPr>
              <w:t>5</w:t>
            </w:r>
            <w:r>
              <w:rPr>
                <w:rFonts w:hint="eastAsia" w:ascii="仿宋" w:hAnsi="仿宋" w:eastAsia="仿宋"/>
                <w:b/>
                <w:bCs w:val="0"/>
              </w:rPr>
              <w:t>分。</w:t>
            </w:r>
          </w:p>
          <w:p>
            <w:pPr>
              <w:jc w:val="left"/>
              <w:rPr>
                <w:rFonts w:ascii="仿宋_GB2312" w:hAnsi="宋体" w:eastAsia="仿宋_GB2312"/>
                <w:b/>
                <w:bCs w:val="0"/>
                <w:color w:val="000000"/>
                <w:szCs w:val="21"/>
              </w:rPr>
            </w:pPr>
            <w:r>
              <w:rPr>
                <w:rFonts w:hint="eastAsia" w:ascii="仿宋" w:hAnsi="仿宋" w:eastAsia="仿宋"/>
                <w:b/>
                <w:bCs w:val="0"/>
              </w:rPr>
              <w:t>4）未提交方案或提交的方案与本项目实际的情况有较大偏差的得0分。</w:t>
            </w:r>
          </w:p>
        </w:tc>
        <w:tc>
          <w:tcPr>
            <w:tcW w:w="529" w:type="pct"/>
          </w:tcPr>
          <w:p>
            <w:pPr>
              <w:spacing w:before="156" w:beforeLines="50" w:after="156" w:afterLines="50" w:line="276" w:lineRule="auto"/>
              <w:rPr>
                <w:rFonts w:ascii="仿宋_GB2312" w:hAnsi="宋体" w:eastAsia="仿宋_GB2312"/>
                <w:b/>
                <w:bCs w:val="0"/>
                <w:color w:val="000000"/>
                <w:szCs w:val="21"/>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1</w:t>
            </w:r>
            <w:r>
              <w:rPr>
                <w:rFonts w:ascii="仿宋_GB2312" w:hAnsi="宋体" w:eastAsia="仿宋_GB2312"/>
                <w:b/>
                <w:bCs w:val="0"/>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pct"/>
            <w:vAlign w:val="center"/>
          </w:tcPr>
          <w:p>
            <w:pPr>
              <w:spacing w:before="156" w:beforeLines="50" w:after="156" w:afterLines="50" w:line="276" w:lineRule="auto"/>
              <w:jc w:val="center"/>
              <w:rPr>
                <w:rFonts w:ascii="仿宋_GB2312" w:hAnsi="宋体" w:eastAsia="仿宋_GB2312"/>
                <w:b/>
                <w:bCs w:val="0"/>
                <w:color w:val="000000"/>
                <w:szCs w:val="21"/>
              </w:rPr>
            </w:pPr>
            <w:r>
              <w:rPr>
                <w:rFonts w:ascii="仿宋_GB2312" w:hAnsi="宋体" w:eastAsia="仿宋_GB2312"/>
                <w:b/>
                <w:bCs w:val="0"/>
                <w:color w:val="000000"/>
                <w:szCs w:val="21"/>
              </w:rPr>
              <w:t>技术</w:t>
            </w:r>
          </w:p>
          <w:p>
            <w:pPr>
              <w:jc w:val="left"/>
              <w:rPr>
                <w:rFonts w:ascii="仿宋_GB2312" w:hAnsi="宋体" w:eastAsia="仿宋_GB2312"/>
                <w:b/>
                <w:bCs w:val="0"/>
                <w:color w:val="000000"/>
                <w:szCs w:val="21"/>
              </w:rPr>
            </w:pPr>
            <w:r>
              <w:rPr>
                <w:rFonts w:hint="eastAsia" w:ascii="仿宋_GB2312" w:hAnsi="宋体" w:eastAsia="仿宋_GB2312"/>
                <w:b/>
                <w:bCs w:val="0"/>
                <w:color w:val="000000"/>
                <w:szCs w:val="21"/>
              </w:rPr>
              <w:t>（建设方案</w:t>
            </w:r>
            <w:r>
              <w:rPr>
                <w:rFonts w:ascii="仿宋_GB2312" w:hAnsi="宋体" w:eastAsia="仿宋_GB2312"/>
                <w:b/>
                <w:bCs w:val="0"/>
                <w:color w:val="000000"/>
                <w:szCs w:val="21"/>
              </w:rPr>
              <w:t>20</w:t>
            </w:r>
            <w:r>
              <w:rPr>
                <w:rFonts w:hint="eastAsia" w:ascii="仿宋_GB2312" w:hAnsi="宋体" w:eastAsia="仿宋_GB2312"/>
                <w:b/>
                <w:bCs w:val="0"/>
                <w:color w:val="000000"/>
                <w:szCs w:val="21"/>
              </w:rPr>
              <w:t>分）</w:t>
            </w:r>
          </w:p>
          <w:p>
            <w:pPr>
              <w:spacing w:before="156" w:beforeLines="50" w:after="156" w:afterLines="50" w:line="276" w:lineRule="auto"/>
              <w:jc w:val="center"/>
              <w:rPr>
                <w:rFonts w:ascii="仿宋_GB2312" w:hAnsi="宋体" w:eastAsia="仿宋_GB2312"/>
                <w:b/>
                <w:bCs w:val="0"/>
                <w:color w:val="000000"/>
                <w:szCs w:val="21"/>
              </w:rPr>
            </w:pPr>
          </w:p>
        </w:tc>
        <w:tc>
          <w:tcPr>
            <w:tcW w:w="438" w:type="pct"/>
            <w:vAlign w:val="center"/>
          </w:tcPr>
          <w:p>
            <w:pPr>
              <w:jc w:val="center"/>
              <w:rPr>
                <w:b/>
                <w:bCs w:val="0"/>
                <w:szCs w:val="21"/>
              </w:rPr>
            </w:pPr>
            <w:r>
              <w:rPr>
                <w:rFonts w:hint="eastAsia"/>
                <w:b/>
                <w:bCs w:val="0"/>
                <w:szCs w:val="21"/>
              </w:rPr>
              <w:t>2.2</w:t>
            </w:r>
          </w:p>
        </w:tc>
        <w:tc>
          <w:tcPr>
            <w:tcW w:w="3304" w:type="pct"/>
            <w:vAlign w:val="center"/>
          </w:tcPr>
          <w:p>
            <w:pPr>
              <w:rPr>
                <w:rFonts w:ascii="仿宋" w:hAnsi="仿宋" w:eastAsia="仿宋"/>
                <w:b/>
                <w:bCs w:val="0"/>
              </w:rPr>
            </w:pPr>
            <w:r>
              <w:rPr>
                <w:rFonts w:ascii="仿宋" w:hAnsi="仿宋" w:eastAsia="仿宋"/>
                <w:b/>
                <w:bCs w:val="0"/>
              </w:rPr>
              <w:t>根据投标人对</w:t>
            </w:r>
            <w:r>
              <w:rPr>
                <w:rFonts w:hint="eastAsia" w:ascii="仿宋" w:hAnsi="仿宋" w:eastAsia="仿宋"/>
                <w:b/>
                <w:bCs w:val="0"/>
              </w:rPr>
              <w:t>电视字幕系统设计开发</w:t>
            </w:r>
            <w:r>
              <w:rPr>
                <w:rFonts w:ascii="仿宋" w:hAnsi="仿宋" w:eastAsia="仿宋"/>
                <w:b/>
                <w:bCs w:val="0"/>
              </w:rPr>
              <w:t>服务需求的理解程度，技术架构的先进性、技术指标的合理性、技术指标测算的科学性，设计方案的亮点与特色等方面，进行综合评分，</w:t>
            </w:r>
            <w:r>
              <w:rPr>
                <w:rFonts w:hint="eastAsia" w:ascii="仿宋" w:hAnsi="仿宋" w:eastAsia="仿宋"/>
                <w:b/>
                <w:bCs w:val="0"/>
              </w:rPr>
              <w:t>本项满分为</w:t>
            </w:r>
            <w:r>
              <w:rPr>
                <w:rFonts w:ascii="仿宋" w:hAnsi="仿宋" w:eastAsia="仿宋"/>
                <w:b/>
                <w:bCs w:val="0"/>
              </w:rPr>
              <w:t>20分</w:t>
            </w:r>
            <w:r>
              <w:rPr>
                <w:rFonts w:hint="eastAsia" w:ascii="仿宋" w:hAnsi="仿宋" w:eastAsia="仿宋"/>
                <w:b/>
                <w:bCs w:val="0"/>
              </w:rPr>
              <w:t>。</w:t>
            </w:r>
          </w:p>
          <w:p>
            <w:pPr>
              <w:snapToGrid w:val="0"/>
              <w:rPr>
                <w:rFonts w:ascii="仿宋" w:hAnsi="仿宋" w:eastAsia="仿宋"/>
                <w:b/>
                <w:bCs w:val="0"/>
              </w:rPr>
            </w:pPr>
            <w:r>
              <w:rPr>
                <w:rFonts w:ascii="仿宋" w:hAnsi="仿宋" w:eastAsia="仿宋"/>
                <w:b/>
                <w:bCs w:val="0"/>
              </w:rPr>
              <w:t>1）方案完整，功能完善，能够全盘考虑用户需求，得20分。</w:t>
            </w:r>
          </w:p>
          <w:p>
            <w:pPr>
              <w:snapToGrid w:val="0"/>
              <w:rPr>
                <w:rFonts w:ascii="仿宋" w:hAnsi="仿宋" w:eastAsia="仿宋"/>
                <w:b/>
                <w:bCs w:val="0"/>
              </w:rPr>
            </w:pPr>
            <w:r>
              <w:rPr>
                <w:rFonts w:ascii="仿宋" w:hAnsi="仿宋" w:eastAsia="仿宋"/>
                <w:b/>
                <w:bCs w:val="0"/>
              </w:rPr>
              <w:t>2）方案较完整，功能较完善，基本全盘考虑考虑用户需求，得15分。</w:t>
            </w:r>
          </w:p>
          <w:p>
            <w:pPr>
              <w:snapToGrid w:val="0"/>
              <w:rPr>
                <w:rFonts w:ascii="仿宋" w:hAnsi="仿宋" w:eastAsia="仿宋"/>
                <w:b/>
                <w:bCs w:val="0"/>
              </w:rPr>
            </w:pPr>
            <w:r>
              <w:rPr>
                <w:rFonts w:ascii="仿宋" w:hAnsi="仿宋" w:eastAsia="仿宋"/>
                <w:b/>
                <w:bCs w:val="0"/>
              </w:rPr>
              <w:t>3）方案不够完整，功能不够完善，不</w:t>
            </w:r>
            <w:r>
              <w:rPr>
                <w:rFonts w:hint="eastAsia" w:ascii="仿宋" w:hAnsi="仿宋" w:eastAsia="仿宋"/>
                <w:b/>
                <w:bCs w:val="0"/>
              </w:rPr>
              <w:t>够</w:t>
            </w:r>
            <w:r>
              <w:rPr>
                <w:rFonts w:ascii="仿宋" w:hAnsi="仿宋" w:eastAsia="仿宋"/>
                <w:b/>
                <w:bCs w:val="0"/>
              </w:rPr>
              <w:t>全盘考虑考虑用户需求，得7分。</w:t>
            </w:r>
          </w:p>
          <w:p>
            <w:pPr>
              <w:snapToGrid w:val="0"/>
              <w:jc w:val="left"/>
              <w:rPr>
                <w:rFonts w:ascii="仿宋_GB2312" w:hAnsi="宋体" w:eastAsia="仿宋_GB2312"/>
                <w:b/>
                <w:bCs w:val="0"/>
                <w:color w:val="000000"/>
                <w:szCs w:val="21"/>
              </w:rPr>
            </w:pPr>
            <w:r>
              <w:rPr>
                <w:rFonts w:ascii="仿宋" w:hAnsi="仿宋" w:eastAsia="仿宋"/>
                <w:b/>
                <w:bCs w:val="0"/>
              </w:rPr>
              <w:t>4）</w:t>
            </w:r>
            <w:r>
              <w:rPr>
                <w:rFonts w:hint="eastAsia" w:ascii="仿宋" w:hAnsi="仿宋" w:eastAsia="仿宋"/>
                <w:b/>
                <w:bCs w:val="0"/>
              </w:rPr>
              <w:t>未提交</w:t>
            </w:r>
            <w:r>
              <w:rPr>
                <w:rFonts w:ascii="仿宋" w:hAnsi="仿宋" w:eastAsia="仿宋"/>
                <w:b/>
                <w:bCs w:val="0"/>
              </w:rPr>
              <w:t>方案</w:t>
            </w:r>
            <w:r>
              <w:rPr>
                <w:rFonts w:hint="eastAsia" w:ascii="仿宋" w:hAnsi="仿宋" w:eastAsia="仿宋"/>
                <w:b/>
                <w:bCs w:val="0"/>
              </w:rPr>
              <w:t>或方案</w:t>
            </w:r>
            <w:r>
              <w:rPr>
                <w:rFonts w:ascii="仿宋" w:hAnsi="仿宋" w:eastAsia="仿宋"/>
                <w:b/>
                <w:bCs w:val="0"/>
              </w:rPr>
              <w:t>不完整，功能不完善，不能全盘考虑考虑用户需求，得0分。</w:t>
            </w:r>
          </w:p>
        </w:tc>
        <w:tc>
          <w:tcPr>
            <w:tcW w:w="529" w:type="pct"/>
          </w:tcPr>
          <w:p>
            <w:pPr>
              <w:spacing w:before="156" w:beforeLines="50" w:after="156" w:afterLines="50" w:line="276" w:lineRule="auto"/>
              <w:rPr>
                <w:rFonts w:ascii="仿宋_GB2312" w:hAnsi="宋体" w:eastAsia="仿宋_GB2312"/>
                <w:b/>
                <w:bCs w:val="0"/>
                <w:color w:val="000000"/>
                <w:szCs w:val="21"/>
              </w:rPr>
            </w:pPr>
            <w:r>
              <w:rPr>
                <w:rFonts w:ascii="仿宋_GB2312" w:hAnsi="宋体" w:eastAsia="仿宋_GB2312"/>
                <w:b/>
                <w:bCs w:val="0"/>
                <w:color w:val="000000"/>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pct"/>
            <w:vAlign w:val="center"/>
          </w:tcPr>
          <w:p>
            <w:pPr>
              <w:spacing w:before="156" w:beforeLines="50" w:after="156" w:afterLines="50" w:line="276" w:lineRule="auto"/>
              <w:jc w:val="center"/>
              <w:rPr>
                <w:rFonts w:ascii="仿宋_GB2312" w:hAnsi="宋体" w:eastAsia="仿宋_GB2312"/>
                <w:b/>
                <w:bCs w:val="0"/>
                <w:color w:val="000000"/>
                <w:szCs w:val="21"/>
              </w:rPr>
            </w:pPr>
            <w:r>
              <w:rPr>
                <w:rFonts w:ascii="仿宋_GB2312" w:hAnsi="宋体" w:eastAsia="仿宋_GB2312"/>
                <w:b/>
                <w:bCs w:val="0"/>
                <w:color w:val="000000"/>
                <w:szCs w:val="21"/>
              </w:rPr>
              <w:t>技术</w:t>
            </w:r>
          </w:p>
          <w:p>
            <w:pPr>
              <w:spacing w:before="156" w:beforeLines="50" w:after="156" w:afterLines="50" w:line="276" w:lineRule="auto"/>
              <w:jc w:val="center"/>
              <w:rPr>
                <w:rFonts w:ascii="仿宋_GB2312" w:hAnsi="宋体" w:eastAsia="仿宋_GB2312"/>
                <w:b/>
                <w:bCs w:val="0"/>
                <w:color w:val="000000"/>
                <w:szCs w:val="21"/>
              </w:rPr>
            </w:pPr>
            <w:r>
              <w:rPr>
                <w:rFonts w:hint="eastAsia" w:ascii="仿宋" w:hAnsi="仿宋" w:eastAsia="仿宋"/>
                <w:b/>
                <w:bCs w:val="0"/>
              </w:rPr>
              <w:t>（针对不同第三方系统对接服务的解决方案10分）</w:t>
            </w:r>
          </w:p>
        </w:tc>
        <w:tc>
          <w:tcPr>
            <w:tcW w:w="438" w:type="pct"/>
            <w:vAlign w:val="center"/>
          </w:tcPr>
          <w:p>
            <w:pPr>
              <w:jc w:val="center"/>
              <w:rPr>
                <w:b/>
                <w:bCs w:val="0"/>
                <w:szCs w:val="21"/>
              </w:rPr>
            </w:pPr>
            <w:r>
              <w:rPr>
                <w:rFonts w:hint="eastAsia"/>
                <w:b/>
                <w:bCs w:val="0"/>
                <w:szCs w:val="21"/>
              </w:rPr>
              <w:t>2.3</w:t>
            </w:r>
          </w:p>
        </w:tc>
        <w:tc>
          <w:tcPr>
            <w:tcW w:w="3304" w:type="pct"/>
            <w:vAlign w:val="center"/>
          </w:tcPr>
          <w:p>
            <w:pPr>
              <w:pStyle w:val="157"/>
              <w:snapToGrid w:val="0"/>
              <w:ind w:firstLine="0" w:firstLineChars="0"/>
              <w:rPr>
                <w:rFonts w:ascii="仿宋" w:hAnsi="仿宋" w:eastAsia="仿宋"/>
                <w:b/>
                <w:bCs w:val="0"/>
              </w:rPr>
            </w:pPr>
            <w:r>
              <w:rPr>
                <w:rFonts w:ascii="仿宋" w:hAnsi="仿宋" w:eastAsia="仿宋"/>
                <w:b/>
                <w:bCs w:val="0"/>
              </w:rPr>
              <w:t>根据投标人对</w:t>
            </w:r>
            <w:r>
              <w:rPr>
                <w:rFonts w:hint="eastAsia" w:ascii="仿宋" w:hAnsi="仿宋" w:eastAsia="仿宋"/>
                <w:b/>
                <w:bCs w:val="0"/>
              </w:rPr>
              <w:t>不同第三方系统对接服务的解决方案</w:t>
            </w:r>
            <w:r>
              <w:rPr>
                <w:rFonts w:ascii="仿宋" w:hAnsi="仿宋" w:eastAsia="仿宋"/>
                <w:b/>
                <w:bCs w:val="0"/>
              </w:rPr>
              <w:t>需求的理解程度，技术架构的先进性、技术指标的合理性、技术指标测算的科学性，设计方案的亮点与特色等方面，进行综合评分，</w:t>
            </w:r>
            <w:r>
              <w:rPr>
                <w:rFonts w:hint="eastAsia" w:ascii="仿宋" w:hAnsi="仿宋" w:eastAsia="仿宋"/>
                <w:b/>
                <w:bCs w:val="0"/>
              </w:rPr>
              <w:t>本项满分为</w:t>
            </w:r>
            <w:r>
              <w:rPr>
                <w:rFonts w:ascii="仿宋" w:hAnsi="仿宋" w:eastAsia="仿宋"/>
                <w:b/>
                <w:bCs w:val="0"/>
              </w:rPr>
              <w:t>10分。</w:t>
            </w:r>
          </w:p>
          <w:p>
            <w:pPr>
              <w:snapToGrid w:val="0"/>
              <w:rPr>
                <w:rFonts w:ascii="仿宋" w:hAnsi="仿宋" w:eastAsia="仿宋"/>
                <w:b/>
                <w:bCs w:val="0"/>
              </w:rPr>
            </w:pPr>
            <w:r>
              <w:rPr>
                <w:rFonts w:ascii="仿宋" w:hAnsi="仿宋" w:eastAsia="仿宋"/>
                <w:b/>
                <w:bCs w:val="0"/>
              </w:rPr>
              <w:t>1）充分考虑项目特点和采购人需求，针对对接需求描述清晰、可行，系统兼容性强，得10分。</w:t>
            </w:r>
          </w:p>
          <w:p>
            <w:pPr>
              <w:snapToGrid w:val="0"/>
              <w:rPr>
                <w:rFonts w:ascii="仿宋" w:hAnsi="仿宋" w:eastAsia="仿宋"/>
                <w:b/>
                <w:bCs w:val="0"/>
              </w:rPr>
            </w:pPr>
            <w:r>
              <w:rPr>
                <w:rFonts w:ascii="仿宋" w:hAnsi="仿宋" w:eastAsia="仿宋"/>
                <w:b/>
                <w:bCs w:val="0"/>
              </w:rPr>
              <w:t>2）较充分考虑项目特点和采购人需求，针对对接需求描述较清晰、可行，系统兼容性较强，得7分。</w:t>
            </w:r>
          </w:p>
          <w:p>
            <w:pPr>
              <w:snapToGrid w:val="0"/>
              <w:rPr>
                <w:rFonts w:ascii="仿宋" w:hAnsi="仿宋" w:eastAsia="仿宋"/>
                <w:b/>
                <w:bCs w:val="0"/>
              </w:rPr>
            </w:pPr>
            <w:r>
              <w:rPr>
                <w:rFonts w:ascii="仿宋" w:hAnsi="仿宋" w:eastAsia="仿宋"/>
                <w:b/>
                <w:bCs w:val="0"/>
              </w:rPr>
              <w:t>3）对项目特点和采购人需求考虑不够充分，针对对接需求描述不够清晰、可行，系统兼容性一般：3分。</w:t>
            </w:r>
          </w:p>
          <w:p>
            <w:pPr>
              <w:jc w:val="left"/>
              <w:rPr>
                <w:rFonts w:ascii="仿宋" w:hAnsi="仿宋" w:eastAsia="仿宋"/>
                <w:b/>
                <w:bCs w:val="0"/>
              </w:rPr>
            </w:pPr>
            <w:r>
              <w:rPr>
                <w:rFonts w:ascii="仿宋" w:hAnsi="仿宋" w:eastAsia="仿宋"/>
                <w:b/>
                <w:bCs w:val="0"/>
              </w:rPr>
              <w:t>4）未提供解决方案</w:t>
            </w:r>
            <w:r>
              <w:rPr>
                <w:rFonts w:hint="eastAsia" w:ascii="仿宋" w:hAnsi="仿宋" w:eastAsia="仿宋"/>
                <w:b/>
                <w:bCs w:val="0"/>
              </w:rPr>
              <w:t>或</w:t>
            </w:r>
            <w:r>
              <w:rPr>
                <w:rFonts w:ascii="仿宋" w:hAnsi="仿宋" w:eastAsia="仿宋"/>
                <w:b/>
                <w:bCs w:val="0"/>
              </w:rPr>
              <w:t>对项目特点和采购人需求考虑</w:t>
            </w:r>
            <w:r>
              <w:rPr>
                <w:rFonts w:hint="eastAsia" w:ascii="仿宋" w:hAnsi="仿宋" w:eastAsia="仿宋"/>
                <w:b/>
                <w:bCs w:val="0"/>
              </w:rPr>
              <w:t>完全不</w:t>
            </w:r>
            <w:r>
              <w:rPr>
                <w:rFonts w:ascii="仿宋" w:hAnsi="仿宋" w:eastAsia="仿宋"/>
                <w:b/>
                <w:bCs w:val="0"/>
              </w:rPr>
              <w:t>充分，针对对接需求描述</w:t>
            </w:r>
            <w:r>
              <w:rPr>
                <w:rFonts w:hint="eastAsia" w:ascii="仿宋" w:hAnsi="仿宋" w:eastAsia="仿宋"/>
                <w:b/>
                <w:bCs w:val="0"/>
              </w:rPr>
              <w:t>完全不</w:t>
            </w:r>
            <w:r>
              <w:rPr>
                <w:rFonts w:ascii="仿宋" w:hAnsi="仿宋" w:eastAsia="仿宋"/>
                <w:b/>
                <w:bCs w:val="0"/>
              </w:rPr>
              <w:t>清晰、可行，</w:t>
            </w:r>
            <w:r>
              <w:rPr>
                <w:rFonts w:hint="eastAsia" w:ascii="仿宋" w:hAnsi="仿宋" w:eastAsia="仿宋"/>
                <w:b/>
                <w:bCs w:val="0"/>
              </w:rPr>
              <w:t>无</w:t>
            </w:r>
            <w:r>
              <w:rPr>
                <w:rFonts w:ascii="仿宋" w:hAnsi="仿宋" w:eastAsia="仿宋"/>
                <w:b/>
                <w:bCs w:val="0"/>
              </w:rPr>
              <w:t>系统兼容性</w:t>
            </w:r>
            <w:r>
              <w:rPr>
                <w:rFonts w:hint="eastAsia" w:ascii="仿宋" w:hAnsi="仿宋" w:eastAsia="仿宋"/>
                <w:b/>
                <w:bCs w:val="0"/>
              </w:rPr>
              <w:t>，得</w:t>
            </w:r>
            <w:r>
              <w:rPr>
                <w:rFonts w:ascii="仿宋" w:hAnsi="仿宋" w:eastAsia="仿宋"/>
                <w:b/>
                <w:bCs w:val="0"/>
              </w:rPr>
              <w:t>0分</w:t>
            </w:r>
          </w:p>
        </w:tc>
        <w:tc>
          <w:tcPr>
            <w:tcW w:w="529" w:type="pct"/>
          </w:tcPr>
          <w:p>
            <w:pPr>
              <w:spacing w:before="156" w:beforeLines="50" w:after="156" w:afterLines="50" w:line="276" w:lineRule="auto"/>
              <w:rPr>
                <w:rFonts w:ascii="仿宋_GB2312" w:hAnsi="宋体" w:eastAsia="仿宋_GB2312"/>
                <w:b/>
                <w:bCs w:val="0"/>
                <w:color w:val="000000"/>
                <w:szCs w:val="21"/>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pct"/>
            <w:vMerge w:val="restart"/>
            <w:vAlign w:val="center"/>
          </w:tcPr>
          <w:p>
            <w:pPr>
              <w:jc w:val="center"/>
              <w:rPr>
                <w:rFonts w:ascii="仿宋_GB2312" w:hAnsi="宋体" w:eastAsia="仿宋_GB2312"/>
                <w:b/>
                <w:bCs w:val="0"/>
                <w:color w:val="000000"/>
                <w:szCs w:val="21"/>
              </w:rPr>
            </w:pPr>
            <w:r>
              <w:rPr>
                <w:rFonts w:ascii="仿宋_GB2312" w:hAnsi="宋体" w:eastAsia="仿宋_GB2312"/>
                <w:b/>
                <w:bCs w:val="0"/>
                <w:color w:val="000000"/>
                <w:szCs w:val="21"/>
              </w:rPr>
              <w:t>技术</w:t>
            </w:r>
          </w:p>
          <w:p>
            <w:pPr>
              <w:jc w:val="left"/>
              <w:rPr>
                <w:rFonts w:ascii="仿宋_GB2312" w:hAnsi="宋体" w:eastAsia="仿宋_GB2312"/>
                <w:b/>
                <w:bCs w:val="0"/>
                <w:color w:val="000000"/>
                <w:szCs w:val="21"/>
              </w:rPr>
            </w:pPr>
            <w:r>
              <w:rPr>
                <w:rFonts w:hint="eastAsia" w:ascii="仿宋" w:hAnsi="仿宋" w:eastAsia="仿宋"/>
                <w:b/>
                <w:bCs w:val="0"/>
              </w:rPr>
              <w:t>（阶段服务方案1</w:t>
            </w:r>
            <w:r>
              <w:rPr>
                <w:rFonts w:ascii="仿宋" w:hAnsi="仿宋" w:eastAsia="仿宋"/>
                <w:b/>
                <w:bCs w:val="0"/>
              </w:rPr>
              <w:t>5</w:t>
            </w:r>
            <w:r>
              <w:rPr>
                <w:rFonts w:hint="eastAsia" w:ascii="仿宋" w:hAnsi="仿宋" w:eastAsia="仿宋"/>
                <w:b/>
                <w:bCs w:val="0"/>
              </w:rPr>
              <w:t>分）</w:t>
            </w:r>
          </w:p>
        </w:tc>
        <w:tc>
          <w:tcPr>
            <w:tcW w:w="438" w:type="pct"/>
            <w:vAlign w:val="center"/>
          </w:tcPr>
          <w:p>
            <w:pPr>
              <w:jc w:val="center"/>
              <w:rPr>
                <w:b/>
                <w:bCs w:val="0"/>
                <w:szCs w:val="21"/>
              </w:rPr>
            </w:pPr>
            <w:r>
              <w:rPr>
                <w:rFonts w:hint="eastAsia"/>
                <w:b/>
                <w:bCs w:val="0"/>
                <w:szCs w:val="21"/>
              </w:rPr>
              <w:t>2.4.1</w:t>
            </w:r>
          </w:p>
        </w:tc>
        <w:tc>
          <w:tcPr>
            <w:tcW w:w="3304" w:type="pct"/>
            <w:vAlign w:val="center"/>
          </w:tcPr>
          <w:p>
            <w:pPr>
              <w:rPr>
                <w:rFonts w:ascii="仿宋" w:hAnsi="仿宋" w:eastAsia="仿宋"/>
                <w:b/>
                <w:bCs w:val="0"/>
              </w:rPr>
            </w:pPr>
            <w:r>
              <w:rPr>
                <w:rFonts w:ascii="仿宋" w:hAnsi="仿宋" w:eastAsia="仿宋"/>
                <w:b/>
                <w:bCs w:val="0"/>
              </w:rPr>
              <w:t>1、建设阶段服务方案（5分）</w:t>
            </w:r>
          </w:p>
          <w:p>
            <w:pPr>
              <w:jc w:val="left"/>
              <w:rPr>
                <w:rFonts w:ascii="仿宋" w:hAnsi="仿宋" w:eastAsia="仿宋"/>
                <w:b/>
                <w:bCs w:val="0"/>
              </w:rPr>
            </w:pPr>
            <w:r>
              <w:rPr>
                <w:rFonts w:hint="eastAsia" w:ascii="仿宋" w:hAnsi="仿宋" w:eastAsia="仿宋"/>
                <w:b/>
                <w:bCs w:val="0"/>
              </w:rPr>
              <w:t>提供了项目建设阶段管理方案，技术方案须结构完整，描述细致，符合组委会的总体工作进度计划，完全满足赛事运行服务的各项要求，得</w:t>
            </w:r>
            <w:r>
              <w:rPr>
                <w:rFonts w:ascii="仿宋" w:hAnsi="仿宋" w:eastAsia="仿宋"/>
                <w:b/>
                <w:bCs w:val="0"/>
              </w:rPr>
              <w:t>5分，基本满足得3分，</w:t>
            </w:r>
            <w:r>
              <w:rPr>
                <w:rFonts w:hint="eastAsia" w:ascii="仿宋" w:hAnsi="仿宋" w:eastAsia="仿宋"/>
                <w:b/>
                <w:bCs w:val="0"/>
              </w:rPr>
              <w:t>存在偏差得1分，</w:t>
            </w:r>
            <w:r>
              <w:rPr>
                <w:rFonts w:ascii="仿宋" w:hAnsi="仿宋" w:eastAsia="仿宋"/>
                <w:b/>
                <w:bCs w:val="0"/>
              </w:rPr>
              <w:t>否则得0分。</w:t>
            </w:r>
          </w:p>
        </w:tc>
        <w:tc>
          <w:tcPr>
            <w:tcW w:w="529" w:type="pct"/>
          </w:tcPr>
          <w:p>
            <w:pPr>
              <w:spacing w:before="156" w:beforeLines="50" w:after="156" w:afterLines="50" w:line="276" w:lineRule="auto"/>
              <w:rPr>
                <w:rFonts w:ascii="仿宋_GB2312" w:hAnsi="宋体" w:eastAsia="仿宋_GB2312"/>
                <w:b/>
                <w:bCs w:val="0"/>
                <w:color w:val="000000"/>
                <w:szCs w:val="21"/>
              </w:rPr>
            </w:pPr>
            <w:r>
              <w:rPr>
                <w:rFonts w:ascii="仿宋_GB2312" w:hAnsi="宋体" w:eastAsia="仿宋_GB2312"/>
                <w:b/>
                <w:bCs w:val="0"/>
                <w:color w:val="00000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pct"/>
            <w:vMerge w:val="continue"/>
            <w:vAlign w:val="center"/>
          </w:tcPr>
          <w:p>
            <w:pPr>
              <w:spacing w:before="156" w:beforeLines="50" w:after="156" w:afterLines="50" w:line="276" w:lineRule="auto"/>
              <w:jc w:val="center"/>
              <w:rPr>
                <w:rFonts w:ascii="仿宋_GB2312" w:hAnsi="宋体" w:eastAsia="仿宋_GB2312"/>
                <w:b/>
                <w:bCs w:val="0"/>
                <w:color w:val="000000"/>
                <w:szCs w:val="21"/>
              </w:rPr>
            </w:pPr>
          </w:p>
        </w:tc>
        <w:tc>
          <w:tcPr>
            <w:tcW w:w="438" w:type="pct"/>
            <w:vAlign w:val="center"/>
          </w:tcPr>
          <w:p>
            <w:pPr>
              <w:jc w:val="center"/>
              <w:rPr>
                <w:b/>
                <w:bCs w:val="0"/>
                <w:szCs w:val="21"/>
              </w:rPr>
            </w:pPr>
            <w:r>
              <w:rPr>
                <w:rFonts w:hint="eastAsia"/>
                <w:b/>
                <w:bCs w:val="0"/>
                <w:szCs w:val="21"/>
              </w:rPr>
              <w:t>2.4.2</w:t>
            </w:r>
          </w:p>
        </w:tc>
        <w:tc>
          <w:tcPr>
            <w:tcW w:w="3304" w:type="pct"/>
            <w:vAlign w:val="center"/>
          </w:tcPr>
          <w:p>
            <w:pPr>
              <w:rPr>
                <w:rFonts w:ascii="仿宋" w:hAnsi="仿宋" w:eastAsia="仿宋"/>
                <w:b/>
                <w:bCs w:val="0"/>
              </w:rPr>
            </w:pPr>
            <w:r>
              <w:rPr>
                <w:rFonts w:ascii="仿宋" w:hAnsi="仿宋" w:eastAsia="仿宋"/>
                <w:b/>
                <w:bCs w:val="0"/>
              </w:rPr>
              <w:t>2、测试阶段服务方案（5分）</w:t>
            </w:r>
          </w:p>
          <w:p>
            <w:pPr>
              <w:jc w:val="left"/>
              <w:rPr>
                <w:rFonts w:ascii="仿宋" w:hAnsi="仿宋" w:eastAsia="仿宋"/>
                <w:b/>
                <w:bCs w:val="0"/>
              </w:rPr>
            </w:pPr>
            <w:r>
              <w:rPr>
                <w:rFonts w:hint="eastAsia" w:ascii="仿宋" w:hAnsi="仿宋" w:eastAsia="仿宋"/>
                <w:b/>
                <w:bCs w:val="0"/>
              </w:rPr>
              <w:t>提供了集成测试、测试赛阶段、联试联调阶段管理方案，技术方案须结构完整，描述细致，符合组委会的总体工作进度计划，完全满足赛事运行服务的各项要求，得</w:t>
            </w:r>
            <w:r>
              <w:rPr>
                <w:rFonts w:ascii="仿宋" w:hAnsi="仿宋" w:eastAsia="仿宋"/>
                <w:b/>
                <w:bCs w:val="0"/>
              </w:rPr>
              <w:t>5分，基本满足得3分，</w:t>
            </w:r>
            <w:r>
              <w:rPr>
                <w:rFonts w:hint="eastAsia" w:ascii="仿宋" w:hAnsi="仿宋" w:eastAsia="仿宋"/>
                <w:b/>
                <w:bCs w:val="0"/>
              </w:rPr>
              <w:t>存在偏差得1分，</w:t>
            </w:r>
            <w:r>
              <w:rPr>
                <w:rFonts w:ascii="仿宋" w:hAnsi="仿宋" w:eastAsia="仿宋"/>
                <w:b/>
                <w:bCs w:val="0"/>
              </w:rPr>
              <w:t>否则得0分。</w:t>
            </w:r>
          </w:p>
        </w:tc>
        <w:tc>
          <w:tcPr>
            <w:tcW w:w="529" w:type="pct"/>
          </w:tcPr>
          <w:p>
            <w:pPr>
              <w:spacing w:before="156" w:beforeLines="50" w:after="156" w:afterLines="50" w:line="276" w:lineRule="auto"/>
              <w:rPr>
                <w:rFonts w:ascii="仿宋_GB2312" w:hAnsi="宋体" w:eastAsia="仿宋_GB2312"/>
                <w:b/>
                <w:bCs w:val="0"/>
                <w:color w:val="000000"/>
                <w:szCs w:val="21"/>
              </w:rPr>
            </w:pPr>
            <w:r>
              <w:rPr>
                <w:rFonts w:ascii="仿宋_GB2312" w:hAnsi="宋体" w:eastAsia="仿宋_GB2312"/>
                <w:b/>
                <w:bCs w:val="0"/>
                <w:color w:val="00000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pct"/>
            <w:vMerge w:val="continue"/>
            <w:vAlign w:val="center"/>
          </w:tcPr>
          <w:p>
            <w:pPr>
              <w:spacing w:before="156" w:beforeLines="50" w:after="156" w:afterLines="50" w:line="276" w:lineRule="auto"/>
              <w:jc w:val="center"/>
              <w:rPr>
                <w:rFonts w:ascii="仿宋_GB2312" w:hAnsi="宋体" w:eastAsia="仿宋_GB2312"/>
                <w:b/>
                <w:bCs w:val="0"/>
                <w:color w:val="000000"/>
                <w:szCs w:val="21"/>
              </w:rPr>
            </w:pPr>
          </w:p>
        </w:tc>
        <w:tc>
          <w:tcPr>
            <w:tcW w:w="438" w:type="pct"/>
            <w:vAlign w:val="center"/>
          </w:tcPr>
          <w:p>
            <w:pPr>
              <w:jc w:val="center"/>
              <w:rPr>
                <w:b/>
                <w:bCs w:val="0"/>
                <w:szCs w:val="21"/>
              </w:rPr>
            </w:pPr>
            <w:r>
              <w:rPr>
                <w:rFonts w:hint="eastAsia"/>
                <w:b/>
                <w:bCs w:val="0"/>
                <w:szCs w:val="21"/>
              </w:rPr>
              <w:t>2.4.3</w:t>
            </w:r>
          </w:p>
        </w:tc>
        <w:tc>
          <w:tcPr>
            <w:tcW w:w="3304" w:type="pct"/>
            <w:vAlign w:val="center"/>
          </w:tcPr>
          <w:p>
            <w:pPr>
              <w:rPr>
                <w:rFonts w:ascii="仿宋" w:hAnsi="仿宋" w:eastAsia="仿宋"/>
                <w:b/>
                <w:bCs w:val="0"/>
              </w:rPr>
            </w:pPr>
            <w:r>
              <w:rPr>
                <w:rFonts w:ascii="仿宋" w:hAnsi="仿宋" w:eastAsia="仿宋"/>
                <w:b/>
                <w:bCs w:val="0"/>
              </w:rPr>
              <w:t>3、运行服务阶段服务方案（5分）</w:t>
            </w:r>
          </w:p>
          <w:p>
            <w:pPr>
              <w:jc w:val="left"/>
              <w:rPr>
                <w:rFonts w:ascii="仿宋" w:hAnsi="仿宋" w:eastAsia="仿宋"/>
                <w:b/>
                <w:bCs w:val="0"/>
              </w:rPr>
            </w:pPr>
            <w:r>
              <w:rPr>
                <w:rFonts w:hint="eastAsia" w:ascii="仿宋" w:hAnsi="仿宋" w:eastAsia="仿宋"/>
                <w:b/>
                <w:bCs w:val="0"/>
              </w:rPr>
              <w:t>提供了赛事服务和赛后收尾阶段管理方案，技术方案须结构完整，描述细致，符合组委会的总体工作进度计划，完全满足赛事运行服务的各项要求，得</w:t>
            </w:r>
            <w:r>
              <w:rPr>
                <w:rFonts w:ascii="仿宋" w:hAnsi="仿宋" w:eastAsia="仿宋"/>
                <w:b/>
                <w:bCs w:val="0"/>
              </w:rPr>
              <w:t>5分，基本满足得3分，</w:t>
            </w:r>
            <w:r>
              <w:rPr>
                <w:rFonts w:hint="eastAsia" w:ascii="仿宋" w:hAnsi="仿宋" w:eastAsia="仿宋"/>
                <w:b/>
                <w:bCs w:val="0"/>
              </w:rPr>
              <w:t>存在偏差得1分，</w:t>
            </w:r>
            <w:r>
              <w:rPr>
                <w:rFonts w:ascii="仿宋" w:hAnsi="仿宋" w:eastAsia="仿宋"/>
                <w:b/>
                <w:bCs w:val="0"/>
              </w:rPr>
              <w:t>否则得0分。</w:t>
            </w:r>
          </w:p>
        </w:tc>
        <w:tc>
          <w:tcPr>
            <w:tcW w:w="529" w:type="pct"/>
          </w:tcPr>
          <w:p>
            <w:pPr>
              <w:spacing w:before="156" w:beforeLines="50" w:after="156" w:afterLines="50" w:line="276" w:lineRule="auto"/>
              <w:rPr>
                <w:rFonts w:ascii="仿宋_GB2312" w:hAnsi="宋体" w:eastAsia="仿宋_GB2312"/>
                <w:b/>
                <w:bCs w:val="0"/>
                <w:color w:val="000000"/>
                <w:szCs w:val="21"/>
              </w:rPr>
            </w:pPr>
            <w:r>
              <w:rPr>
                <w:rFonts w:ascii="仿宋_GB2312" w:hAnsi="宋体" w:eastAsia="仿宋_GB2312"/>
                <w:b/>
                <w:bCs w:val="0"/>
                <w:color w:val="00000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pct"/>
            <w:vAlign w:val="center"/>
          </w:tcPr>
          <w:p>
            <w:pPr>
              <w:jc w:val="center"/>
              <w:rPr>
                <w:rFonts w:ascii="仿宋" w:hAnsi="仿宋" w:eastAsia="仿宋"/>
                <w:b/>
                <w:bCs w:val="0"/>
              </w:rPr>
            </w:pPr>
            <w:r>
              <w:rPr>
                <w:rFonts w:hint="eastAsia" w:ascii="仿宋" w:hAnsi="仿宋" w:eastAsia="仿宋"/>
                <w:b/>
                <w:bCs w:val="0"/>
              </w:rPr>
              <w:t>技术</w:t>
            </w:r>
          </w:p>
          <w:p>
            <w:pPr>
              <w:jc w:val="left"/>
              <w:rPr>
                <w:rFonts w:ascii="仿宋_GB2312" w:hAnsi="宋体" w:eastAsia="仿宋_GB2312"/>
                <w:b/>
                <w:bCs w:val="0"/>
                <w:color w:val="000000"/>
                <w:szCs w:val="21"/>
              </w:rPr>
            </w:pPr>
            <w:r>
              <w:rPr>
                <w:rFonts w:hint="eastAsia" w:ascii="仿宋" w:hAnsi="仿宋" w:eastAsia="仿宋"/>
                <w:b/>
                <w:bCs w:val="0"/>
              </w:rPr>
              <w:t>（</w:t>
            </w:r>
            <w:r>
              <w:rPr>
                <w:rFonts w:ascii="仿宋" w:hAnsi="仿宋" w:eastAsia="仿宋"/>
                <w:b/>
                <w:bCs w:val="0"/>
              </w:rPr>
              <w:t>应急预案5</w:t>
            </w:r>
            <w:r>
              <w:rPr>
                <w:rFonts w:hint="eastAsia" w:ascii="仿宋" w:hAnsi="仿宋" w:eastAsia="仿宋"/>
                <w:b/>
                <w:bCs w:val="0"/>
              </w:rPr>
              <w:t>分）</w:t>
            </w:r>
          </w:p>
        </w:tc>
        <w:tc>
          <w:tcPr>
            <w:tcW w:w="438" w:type="pct"/>
            <w:vAlign w:val="center"/>
          </w:tcPr>
          <w:p>
            <w:pPr>
              <w:jc w:val="center"/>
              <w:rPr>
                <w:b/>
                <w:bCs w:val="0"/>
                <w:szCs w:val="21"/>
              </w:rPr>
            </w:pPr>
            <w:r>
              <w:rPr>
                <w:rFonts w:hint="eastAsia"/>
                <w:b/>
                <w:bCs w:val="0"/>
                <w:szCs w:val="21"/>
              </w:rPr>
              <w:t>2.5</w:t>
            </w:r>
          </w:p>
        </w:tc>
        <w:tc>
          <w:tcPr>
            <w:tcW w:w="3304" w:type="pct"/>
            <w:vAlign w:val="center"/>
          </w:tcPr>
          <w:p>
            <w:pPr>
              <w:rPr>
                <w:rFonts w:ascii="仿宋" w:hAnsi="仿宋" w:eastAsia="仿宋"/>
                <w:b/>
                <w:bCs w:val="0"/>
              </w:rPr>
            </w:pPr>
            <w:r>
              <w:rPr>
                <w:rFonts w:ascii="仿宋" w:hAnsi="仿宋" w:eastAsia="仿宋"/>
                <w:b/>
                <w:bCs w:val="0"/>
              </w:rPr>
              <w:t>根据投标人所提供的应急预案完整性、合理性、可行性等方面，进行综合评分，本</w:t>
            </w:r>
            <w:r>
              <w:rPr>
                <w:rFonts w:hint="eastAsia" w:ascii="仿宋" w:hAnsi="仿宋" w:eastAsia="仿宋"/>
                <w:b/>
                <w:bCs w:val="0"/>
              </w:rPr>
              <w:t>项满分5分。</w:t>
            </w:r>
          </w:p>
          <w:p>
            <w:pPr>
              <w:rPr>
                <w:rFonts w:ascii="仿宋" w:hAnsi="仿宋" w:eastAsia="仿宋"/>
                <w:b/>
                <w:bCs w:val="0"/>
              </w:rPr>
            </w:pPr>
            <w:r>
              <w:rPr>
                <w:rFonts w:hint="eastAsia" w:ascii="仿宋" w:hAnsi="仿宋" w:eastAsia="仿宋"/>
                <w:b/>
                <w:bCs w:val="0"/>
              </w:rPr>
              <w:t>1）提交的应急预案内容完整、合理、可行，得5分；</w:t>
            </w:r>
          </w:p>
          <w:p>
            <w:pPr>
              <w:rPr>
                <w:rFonts w:ascii="仿宋" w:hAnsi="仿宋" w:eastAsia="仿宋"/>
                <w:b/>
                <w:bCs w:val="0"/>
              </w:rPr>
            </w:pPr>
            <w:r>
              <w:rPr>
                <w:rFonts w:hint="eastAsia" w:ascii="仿宋" w:hAnsi="仿宋" w:eastAsia="仿宋"/>
                <w:b/>
                <w:bCs w:val="0"/>
              </w:rPr>
              <w:t>2）提交的应急预案内容较完整、较合理、较为可行，得3分；</w:t>
            </w:r>
          </w:p>
          <w:p>
            <w:pPr>
              <w:rPr>
                <w:rFonts w:ascii="仿宋" w:hAnsi="仿宋" w:eastAsia="仿宋"/>
                <w:b/>
                <w:bCs w:val="0"/>
              </w:rPr>
            </w:pPr>
            <w:r>
              <w:rPr>
                <w:rFonts w:hint="eastAsia" w:ascii="仿宋" w:hAnsi="仿宋" w:eastAsia="仿宋"/>
                <w:b/>
                <w:bCs w:val="0"/>
              </w:rPr>
              <w:t>3）提交的应急预案内容不够完整，功能欠完善，需要进行调整才能满足采购人使用需求，得1分；</w:t>
            </w:r>
          </w:p>
          <w:p>
            <w:pPr>
              <w:rPr>
                <w:rFonts w:ascii="仿宋" w:hAnsi="仿宋" w:eastAsia="仿宋"/>
                <w:b/>
                <w:bCs w:val="0"/>
              </w:rPr>
            </w:pPr>
            <w:r>
              <w:rPr>
                <w:rFonts w:hint="eastAsia" w:ascii="仿宋" w:hAnsi="仿宋" w:eastAsia="仿宋"/>
                <w:b/>
                <w:bCs w:val="0"/>
              </w:rPr>
              <w:t>4）提交的应急预案内容不完整、不合理、可行性差，得0分。</w:t>
            </w:r>
          </w:p>
        </w:tc>
        <w:tc>
          <w:tcPr>
            <w:tcW w:w="529" w:type="pct"/>
          </w:tcPr>
          <w:p>
            <w:pPr>
              <w:spacing w:before="156" w:beforeLines="50" w:after="156" w:afterLines="50" w:line="276" w:lineRule="auto"/>
              <w:rPr>
                <w:rFonts w:ascii="仿宋_GB2312" w:hAnsi="宋体" w:eastAsia="仿宋_GB2312"/>
                <w:b/>
                <w:bCs w:val="0"/>
                <w:color w:val="000000"/>
                <w:szCs w:val="21"/>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pct"/>
            <w:vAlign w:val="center"/>
          </w:tcPr>
          <w:p>
            <w:pPr>
              <w:jc w:val="center"/>
              <w:rPr>
                <w:rFonts w:ascii="仿宋" w:hAnsi="仿宋" w:eastAsia="仿宋"/>
                <w:b/>
                <w:bCs w:val="0"/>
              </w:rPr>
            </w:pPr>
            <w:r>
              <w:rPr>
                <w:rFonts w:hint="eastAsia" w:ascii="仿宋" w:hAnsi="仿宋" w:eastAsia="仿宋"/>
                <w:b/>
                <w:bCs w:val="0"/>
              </w:rPr>
              <w:t>技术</w:t>
            </w:r>
          </w:p>
          <w:p>
            <w:pPr>
              <w:jc w:val="left"/>
              <w:rPr>
                <w:rFonts w:ascii="仿宋_GB2312" w:hAnsi="宋体" w:eastAsia="仿宋_GB2312"/>
                <w:b/>
                <w:bCs w:val="0"/>
                <w:color w:val="000000"/>
                <w:szCs w:val="21"/>
              </w:rPr>
            </w:pPr>
            <w:r>
              <w:rPr>
                <w:rFonts w:hint="eastAsia" w:ascii="仿宋" w:hAnsi="仿宋" w:eastAsia="仿宋"/>
                <w:b/>
                <w:bCs w:val="0"/>
              </w:rPr>
              <w:t>（</w:t>
            </w:r>
            <w:r>
              <w:rPr>
                <w:rFonts w:ascii="仿宋" w:hAnsi="仿宋" w:eastAsia="仿宋"/>
                <w:b/>
                <w:bCs w:val="0"/>
              </w:rPr>
              <w:t>人员管理计划5</w:t>
            </w:r>
            <w:r>
              <w:rPr>
                <w:rFonts w:hint="eastAsia" w:ascii="仿宋" w:hAnsi="仿宋" w:eastAsia="仿宋"/>
                <w:b/>
                <w:bCs w:val="0"/>
              </w:rPr>
              <w:t>分）</w:t>
            </w:r>
          </w:p>
        </w:tc>
        <w:tc>
          <w:tcPr>
            <w:tcW w:w="438" w:type="pct"/>
            <w:vAlign w:val="center"/>
          </w:tcPr>
          <w:p>
            <w:pPr>
              <w:jc w:val="center"/>
              <w:rPr>
                <w:b/>
                <w:bCs w:val="0"/>
                <w:szCs w:val="21"/>
              </w:rPr>
            </w:pPr>
            <w:r>
              <w:rPr>
                <w:rFonts w:hint="eastAsia"/>
                <w:b/>
                <w:bCs w:val="0"/>
                <w:szCs w:val="21"/>
              </w:rPr>
              <w:t>2.6</w:t>
            </w:r>
          </w:p>
        </w:tc>
        <w:tc>
          <w:tcPr>
            <w:tcW w:w="3304" w:type="pct"/>
            <w:vAlign w:val="center"/>
          </w:tcPr>
          <w:p>
            <w:pPr>
              <w:jc w:val="left"/>
              <w:rPr>
                <w:rFonts w:ascii="仿宋" w:hAnsi="仿宋" w:eastAsia="仿宋"/>
                <w:b/>
                <w:bCs w:val="0"/>
              </w:rPr>
            </w:pPr>
            <w:r>
              <w:rPr>
                <w:rFonts w:hint="eastAsia" w:ascii="仿宋" w:hAnsi="仿宋" w:eastAsia="仿宋"/>
                <w:b/>
                <w:bCs w:val="0"/>
              </w:rPr>
              <w:t>根据投标人提供的项目人员管理计划、项目总体人员配置计划以及主要人员的到岗时间计划，从人员配备是否合理、职责是否清晰、数量是否能够满足采购人使用需要、管理制度是否健全等方面，进行综合评分，本项满分5分。</w:t>
            </w:r>
          </w:p>
          <w:p>
            <w:pPr>
              <w:numPr>
                <w:ilvl w:val="0"/>
                <w:numId w:val="31"/>
              </w:numPr>
              <w:jc w:val="left"/>
              <w:rPr>
                <w:rFonts w:ascii="仿宋" w:hAnsi="仿宋" w:eastAsia="仿宋"/>
                <w:b/>
                <w:bCs w:val="0"/>
              </w:rPr>
            </w:pPr>
            <w:r>
              <w:rPr>
                <w:rFonts w:hint="eastAsia" w:ascii="仿宋" w:hAnsi="仿宋" w:eastAsia="仿宋"/>
                <w:b/>
                <w:bCs w:val="0"/>
              </w:rPr>
              <w:t>所配备的人员岗位明确、数量合理，能够很好的满足采购人使用需要，得5分；</w:t>
            </w:r>
          </w:p>
          <w:p>
            <w:pPr>
              <w:numPr>
                <w:ilvl w:val="0"/>
                <w:numId w:val="31"/>
              </w:numPr>
              <w:jc w:val="left"/>
              <w:rPr>
                <w:rFonts w:ascii="仿宋" w:hAnsi="仿宋" w:eastAsia="仿宋"/>
                <w:b/>
                <w:bCs w:val="0"/>
              </w:rPr>
            </w:pPr>
            <w:r>
              <w:rPr>
                <w:rFonts w:hint="eastAsia" w:ascii="仿宋" w:hAnsi="仿宋" w:eastAsia="仿宋"/>
                <w:b/>
                <w:bCs w:val="0"/>
              </w:rPr>
              <w:t>所配备的人员岗位基本明确、数量基本合理，能较好满足采购人使用需要，得3分；</w:t>
            </w:r>
          </w:p>
          <w:p>
            <w:pPr>
              <w:jc w:val="left"/>
              <w:rPr>
                <w:rFonts w:ascii="仿宋" w:hAnsi="仿宋" w:eastAsia="仿宋"/>
                <w:b/>
                <w:bCs w:val="0"/>
              </w:rPr>
            </w:pPr>
            <w:r>
              <w:rPr>
                <w:rFonts w:hint="eastAsia" w:ascii="仿宋" w:hAnsi="仿宋" w:eastAsia="仿宋"/>
                <w:b/>
                <w:bCs w:val="0"/>
              </w:rPr>
              <w:t>3）提供了人员计划，但所提供人员岗位设置欠合理或和数量不足，与采购人使用需要存在一定偏差，得1分；</w:t>
            </w:r>
          </w:p>
          <w:p>
            <w:pPr>
              <w:jc w:val="left"/>
              <w:rPr>
                <w:rFonts w:ascii="仿宋" w:hAnsi="仿宋" w:eastAsia="仿宋"/>
                <w:b/>
                <w:bCs w:val="0"/>
              </w:rPr>
            </w:pPr>
            <w:r>
              <w:rPr>
                <w:rFonts w:hint="eastAsia" w:ascii="仿宋" w:hAnsi="仿宋" w:eastAsia="仿宋"/>
                <w:b/>
                <w:bCs w:val="0"/>
              </w:rPr>
              <w:t>4）未提交人员计划或提交的人员计划与采购人使用需要有较大偏差的，得0分。</w:t>
            </w:r>
          </w:p>
        </w:tc>
        <w:tc>
          <w:tcPr>
            <w:tcW w:w="529" w:type="pct"/>
          </w:tcPr>
          <w:p>
            <w:pPr>
              <w:spacing w:before="156" w:beforeLines="50" w:after="156" w:afterLines="50" w:line="276" w:lineRule="auto"/>
              <w:rPr>
                <w:rFonts w:ascii="仿宋_GB2312" w:hAnsi="宋体" w:eastAsia="仿宋_GB2312"/>
                <w:b/>
                <w:bCs w:val="0"/>
                <w:color w:val="000000"/>
                <w:szCs w:val="21"/>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5</w:t>
            </w:r>
          </w:p>
        </w:tc>
      </w:tr>
    </w:tbl>
    <w:p>
      <w:pPr>
        <w:spacing w:before="156" w:beforeLines="50" w:after="156" w:afterLines="50" w:line="320" w:lineRule="exact"/>
        <w:rPr>
          <w:rFonts w:ascii="仿宋_GB2312" w:hAnsi="宋体" w:eastAsia="仿宋_GB2312"/>
          <w:b/>
          <w:color w:val="000000" w:themeColor="text1"/>
          <w:sz w:val="32"/>
          <w:szCs w:val="32"/>
          <w14:textFill>
            <w14:solidFill>
              <w14:schemeClr w14:val="tx1"/>
            </w14:solidFill>
          </w14:textFill>
        </w:rPr>
      </w:pPr>
    </w:p>
    <w:p>
      <w:pPr>
        <w:spacing w:before="156" w:beforeLines="50" w:after="156" w:afterLines="50" w:line="320" w:lineRule="exact"/>
        <w:ind w:firstLine="643" w:firstLineChars="200"/>
        <w:rPr>
          <w:rFonts w:ascii="仿宋_GB2312" w:hAnsi="宋体" w:eastAsia="仿宋_GB2312"/>
          <w:b/>
          <w:color w:val="000000" w:themeColor="text1"/>
          <w:sz w:val="32"/>
          <w:szCs w:val="32"/>
          <w14:textFill>
            <w14:solidFill>
              <w14:schemeClr w14:val="tx1"/>
            </w14:solidFill>
          </w14:textFill>
        </w:rPr>
      </w:pPr>
      <w:r>
        <w:rPr>
          <w:rFonts w:hint="eastAsia" w:ascii="仿宋_GB2312" w:hAnsi="宋体" w:eastAsia="仿宋_GB2312"/>
          <w:b/>
          <w:color w:val="000000" w:themeColor="text1"/>
          <w:sz w:val="32"/>
          <w:szCs w:val="32"/>
          <w14:textFill>
            <w14:solidFill>
              <w14:schemeClr w14:val="tx1"/>
            </w14:solidFill>
          </w14:textFill>
        </w:rPr>
        <w:t>标项2</w:t>
      </w:r>
    </w:p>
    <w:p>
      <w:pPr>
        <w:spacing w:before="156" w:beforeLines="50" w:after="156" w:afterLines="50" w:line="320" w:lineRule="exact"/>
        <w:ind w:firstLine="643" w:firstLineChars="200"/>
        <w:rPr>
          <w:rFonts w:ascii="仿宋_GB2312" w:hAnsi="宋体" w:eastAsia="仿宋_GB2312"/>
          <w:b/>
          <w:color w:val="000000" w:themeColor="text1"/>
          <w:sz w:val="32"/>
          <w:szCs w:val="32"/>
          <w14:textFill>
            <w14:solidFill>
              <w14:schemeClr w14:val="tx1"/>
            </w14:solidFill>
          </w14:textFill>
        </w:rPr>
      </w:pPr>
    </w:p>
    <w:tbl>
      <w:tblPr>
        <w:tblStyle w:val="58"/>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5"/>
        <w:gridCol w:w="744"/>
        <w:gridCol w:w="5629"/>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5" w:type="dxa"/>
          </w:tcPr>
          <w:p>
            <w:pPr>
              <w:spacing w:before="156" w:beforeLines="50" w:after="156" w:afterLines="50" w:line="276" w:lineRule="auto"/>
              <w:rPr>
                <w:rFonts w:ascii="仿宋" w:hAnsi="仿宋" w:eastAsia="仿宋"/>
                <w:b/>
                <w:bCs w:val="0"/>
              </w:rPr>
            </w:pPr>
            <w:r>
              <w:rPr>
                <w:rFonts w:hint="eastAsia" w:ascii="仿宋_GB2312" w:hAnsi="宋体" w:eastAsia="仿宋_GB2312"/>
                <w:b/>
                <w:bCs w:val="0"/>
                <w:color w:val="000000"/>
                <w:szCs w:val="21"/>
              </w:rPr>
              <w:t>评分类型</w:t>
            </w:r>
          </w:p>
        </w:tc>
        <w:tc>
          <w:tcPr>
            <w:tcW w:w="744" w:type="dxa"/>
          </w:tcPr>
          <w:p>
            <w:pPr>
              <w:spacing w:before="156" w:beforeLines="50" w:after="156" w:afterLines="50" w:line="276" w:lineRule="auto"/>
              <w:jc w:val="center"/>
              <w:rPr>
                <w:rFonts w:ascii="仿宋" w:hAnsi="仿宋" w:eastAsia="仿宋"/>
                <w:b/>
                <w:bCs w:val="0"/>
              </w:rPr>
            </w:pPr>
            <w:r>
              <w:rPr>
                <w:rFonts w:hint="eastAsia" w:ascii="仿宋_GB2312" w:hAnsi="宋体" w:eastAsia="仿宋_GB2312"/>
                <w:b/>
                <w:bCs w:val="0"/>
                <w:color w:val="000000"/>
                <w:szCs w:val="21"/>
              </w:rPr>
              <w:t>序号</w:t>
            </w:r>
          </w:p>
        </w:tc>
        <w:tc>
          <w:tcPr>
            <w:tcW w:w="5629" w:type="dxa"/>
          </w:tcPr>
          <w:p>
            <w:pPr>
              <w:spacing w:before="156" w:beforeLines="50" w:after="156" w:afterLines="50" w:line="276" w:lineRule="auto"/>
              <w:jc w:val="center"/>
              <w:rPr>
                <w:rFonts w:ascii="仿宋" w:hAnsi="仿宋" w:eastAsia="仿宋"/>
                <w:b/>
                <w:bCs w:val="0"/>
              </w:rPr>
            </w:pPr>
            <w:r>
              <w:rPr>
                <w:rFonts w:hint="eastAsia" w:ascii="仿宋_GB2312" w:hAnsi="宋体" w:eastAsia="仿宋_GB2312"/>
                <w:b/>
                <w:bCs w:val="0"/>
                <w:color w:val="000000"/>
                <w:szCs w:val="21"/>
              </w:rPr>
              <w:t>评分标准</w:t>
            </w:r>
          </w:p>
        </w:tc>
        <w:tc>
          <w:tcPr>
            <w:tcW w:w="901" w:type="dxa"/>
          </w:tcPr>
          <w:p>
            <w:pPr>
              <w:spacing w:before="156" w:beforeLines="50" w:after="156" w:afterLines="50" w:line="276" w:lineRule="auto"/>
              <w:rPr>
                <w:rFonts w:ascii="仿宋_GB2312" w:hAnsi="宋体" w:eastAsia="仿宋_GB2312"/>
                <w:b/>
                <w:bCs w:val="0"/>
                <w:color w:val="000000"/>
                <w:szCs w:val="21"/>
              </w:rPr>
            </w:pPr>
            <w:r>
              <w:rPr>
                <w:rFonts w:hint="eastAsia" w:ascii="仿宋_GB2312" w:hAnsi="宋体" w:eastAsia="仿宋_GB2312"/>
                <w:b/>
                <w:bCs w:val="0"/>
                <w:color w:val="000000"/>
                <w:szCs w:val="21"/>
              </w:rPr>
              <w:t>分值</w:t>
            </w:r>
          </w:p>
          <w:p>
            <w:pPr>
              <w:spacing w:before="156" w:beforeLines="50" w:after="156" w:afterLines="50" w:line="276" w:lineRule="auto"/>
              <w:rPr>
                <w:rFonts w:ascii="仿宋_GB2312" w:hAnsi="宋体" w:eastAsia="仿宋_GB2312"/>
                <w:b/>
                <w:bCs w:val="0"/>
                <w:color w:val="000000"/>
                <w:szCs w:val="21"/>
              </w:rPr>
            </w:pPr>
            <w:r>
              <w:rPr>
                <w:rFonts w:hint="eastAsia" w:ascii="仿宋_GB2312" w:hAnsi="宋体" w:eastAsia="仿宋_GB2312"/>
                <w:b/>
                <w:bCs w:val="0"/>
                <w:color w:val="000000"/>
                <w:szCs w:val="21"/>
              </w:rPr>
              <w:t>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5" w:type="dxa"/>
            <w:vAlign w:val="center"/>
          </w:tcPr>
          <w:p>
            <w:pPr>
              <w:rPr>
                <w:rFonts w:ascii="仿宋" w:hAnsi="仿宋" w:eastAsia="仿宋"/>
                <w:b/>
                <w:bCs w:val="0"/>
              </w:rPr>
            </w:pPr>
            <w:r>
              <w:rPr>
                <w:rFonts w:ascii="仿宋_GB2312" w:hAnsi="宋体" w:eastAsia="仿宋_GB2312"/>
                <w:b/>
                <w:bCs w:val="0"/>
                <w:color w:val="000000"/>
                <w:szCs w:val="21"/>
              </w:rPr>
              <w:t>报价</w:t>
            </w:r>
            <w:r>
              <w:rPr>
                <w:rFonts w:hint="eastAsia" w:ascii="仿宋_GB2312" w:hAnsi="宋体" w:eastAsia="仿宋_GB2312"/>
                <w:b/>
                <w:bCs w:val="0"/>
                <w:color w:val="000000"/>
                <w:szCs w:val="21"/>
              </w:rPr>
              <w:t>（价格分）</w:t>
            </w:r>
            <w:r>
              <w:rPr>
                <w:rFonts w:ascii="仿宋_GB2312" w:hAnsi="宋体" w:eastAsia="仿宋_GB2312"/>
                <w:b/>
                <w:bCs w:val="0"/>
                <w:color w:val="000000"/>
                <w:szCs w:val="21"/>
              </w:rPr>
              <w:t>10分</w:t>
            </w:r>
          </w:p>
        </w:tc>
        <w:tc>
          <w:tcPr>
            <w:tcW w:w="744" w:type="dxa"/>
            <w:vAlign w:val="center"/>
          </w:tcPr>
          <w:p>
            <w:pPr>
              <w:rPr>
                <w:rFonts w:ascii="仿宋" w:hAnsi="仿宋" w:eastAsia="仿宋"/>
                <w:b/>
                <w:bCs w:val="0"/>
              </w:rPr>
            </w:pPr>
            <w:r>
              <w:rPr>
                <w:rFonts w:hint="eastAsia" w:ascii="仿宋" w:hAnsi="仿宋" w:eastAsia="仿宋"/>
                <w:b/>
                <w:bCs w:val="0"/>
              </w:rPr>
              <w:t>1</w:t>
            </w:r>
          </w:p>
        </w:tc>
        <w:tc>
          <w:tcPr>
            <w:tcW w:w="5629" w:type="dxa"/>
            <w:vAlign w:val="center"/>
          </w:tcPr>
          <w:p>
            <w:pPr>
              <w:rPr>
                <w:rFonts w:ascii="仿宋" w:hAnsi="仿宋" w:eastAsia="仿宋"/>
                <w:b/>
                <w:bCs w:val="0"/>
              </w:rPr>
            </w:pPr>
            <w:r>
              <w:rPr>
                <w:rFonts w:hint="eastAsia" w:ascii="仿宋" w:hAnsi="仿宋" w:eastAsia="仿宋"/>
                <w:b/>
                <w:bCs w:val="0"/>
              </w:rPr>
              <w:t>价格分统一采用低价优先法计算，即满足招标文件要求且投标价格最低的投标报价为评标基准价，其价格分为满分。其他投标人的价格分统一按照下列公式计算：</w:t>
            </w:r>
          </w:p>
          <w:p>
            <w:pPr>
              <w:rPr>
                <w:rFonts w:ascii="仿宋" w:hAnsi="仿宋" w:eastAsia="仿宋"/>
                <w:b/>
                <w:bCs w:val="0"/>
              </w:rPr>
            </w:pPr>
            <w:r>
              <w:rPr>
                <w:rFonts w:hint="eastAsia" w:ascii="仿宋" w:hAnsi="仿宋" w:eastAsia="仿宋"/>
                <w:b/>
                <w:bCs w:val="0"/>
              </w:rPr>
              <w:t xml:space="preserve">投标报价得分=(评标基准价／投标报价)×价格权值×100               </w:t>
            </w:r>
          </w:p>
          <w:p>
            <w:pPr>
              <w:rPr>
                <w:rFonts w:ascii="仿宋" w:hAnsi="仿宋" w:eastAsia="仿宋"/>
                <w:b/>
                <w:bCs w:val="0"/>
              </w:rPr>
            </w:pPr>
            <w:r>
              <w:rPr>
                <w:rFonts w:hint="eastAsia" w:ascii="仿宋" w:hAnsi="仿宋" w:eastAsia="仿宋"/>
                <w:b/>
                <w:bCs w:val="0"/>
              </w:rPr>
              <w:t>计算分数时四舍五入取小数点后两位</w:t>
            </w:r>
          </w:p>
          <w:p>
            <w:pPr>
              <w:rPr>
                <w:rFonts w:ascii="仿宋" w:hAnsi="仿宋" w:eastAsia="仿宋"/>
                <w:b/>
                <w:bCs w:val="0"/>
              </w:rPr>
            </w:pPr>
            <w:r>
              <w:rPr>
                <w:rFonts w:hint="eastAsia" w:ascii="仿宋" w:hAnsi="仿宋" w:eastAsia="仿宋"/>
                <w:b/>
                <w:bCs w:val="0"/>
              </w:rPr>
              <w:t>注：（1）根据《政府采购促进中小企业发展管理办法》的相关规定，对小型和微型企业的价格给予6%的扣除，用扣除后的价格参与评审。</w:t>
            </w:r>
          </w:p>
          <w:p>
            <w:pPr>
              <w:rPr>
                <w:rFonts w:ascii="仿宋" w:hAnsi="仿宋" w:eastAsia="仿宋"/>
                <w:b/>
                <w:bCs w:val="0"/>
              </w:rPr>
            </w:pPr>
            <w:r>
              <w:rPr>
                <w:rFonts w:hint="eastAsia" w:ascii="仿宋" w:hAnsi="仿宋" w:eastAsia="仿宋"/>
                <w:b/>
                <w:bCs w:val="0"/>
              </w:rPr>
              <w:t>（2）根据《财政部民政部中国残疾人联合会关于促进残疾人就业政府采购政策的通知》（财库〔2017〕141号）的规定，对符合条件的残疾人福利性单位设备的价格给予6%的扣除，用扣除后的价格参与评审。</w:t>
            </w:r>
          </w:p>
          <w:p>
            <w:pPr>
              <w:rPr>
                <w:rFonts w:ascii="仿宋" w:hAnsi="仿宋" w:eastAsia="仿宋"/>
                <w:b/>
                <w:bCs w:val="0"/>
              </w:rPr>
            </w:pPr>
            <w:r>
              <w:rPr>
                <w:rFonts w:hint="eastAsia" w:ascii="仿宋" w:hAnsi="仿宋" w:eastAsia="仿宋"/>
                <w:b/>
                <w:bCs w:val="0"/>
              </w:rPr>
              <w:t>小型、微型企业和监狱企业级符合财政部、民政部、中国残疾人联合会关于促进残疾人就业政府采购政策的通知，以上政策同时具备的仅对其进行一次6%的价格扣除，不重复扣除。</w:t>
            </w:r>
          </w:p>
        </w:tc>
        <w:tc>
          <w:tcPr>
            <w:tcW w:w="901" w:type="dxa"/>
          </w:tcPr>
          <w:p>
            <w:pPr>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5" w:type="dxa"/>
            <w:vAlign w:val="center"/>
          </w:tcPr>
          <w:p>
            <w:pPr>
              <w:rPr>
                <w:rFonts w:ascii="仿宋" w:hAnsi="仿宋" w:eastAsia="仿宋"/>
                <w:b/>
                <w:bCs w:val="0"/>
              </w:rPr>
            </w:pPr>
            <w:r>
              <w:rPr>
                <w:rFonts w:ascii="仿宋" w:hAnsi="仿宋" w:eastAsia="仿宋"/>
                <w:b/>
                <w:bCs w:val="0"/>
              </w:rPr>
              <w:t>商务</w:t>
            </w:r>
            <w:r>
              <w:rPr>
                <w:rFonts w:hint="eastAsia" w:ascii="仿宋" w:hAnsi="仿宋" w:eastAsia="仿宋"/>
                <w:b/>
                <w:bCs w:val="0"/>
              </w:rPr>
              <w:t>资信(</w:t>
            </w:r>
            <w:r>
              <w:rPr>
                <w:rFonts w:ascii="仿宋" w:hAnsi="仿宋" w:eastAsia="仿宋"/>
                <w:b/>
                <w:bCs w:val="0"/>
              </w:rPr>
              <w:t>投标</w:t>
            </w:r>
            <w:r>
              <w:rPr>
                <w:rFonts w:hint="eastAsia" w:ascii="仿宋" w:hAnsi="仿宋" w:eastAsia="仿宋"/>
                <w:b/>
                <w:bCs w:val="0"/>
              </w:rPr>
              <w:t>人</w:t>
            </w:r>
            <w:r>
              <w:rPr>
                <w:rFonts w:ascii="仿宋" w:hAnsi="仿宋" w:eastAsia="仿宋"/>
                <w:b/>
                <w:bCs w:val="0"/>
              </w:rPr>
              <w:t>业绩1</w:t>
            </w:r>
            <w:r>
              <w:rPr>
                <w:rFonts w:hint="eastAsia" w:ascii="仿宋" w:hAnsi="仿宋" w:eastAsia="仿宋"/>
                <w:b/>
                <w:bCs w:val="0"/>
              </w:rPr>
              <w:t>0</w:t>
            </w:r>
            <w:r>
              <w:rPr>
                <w:rFonts w:ascii="仿宋" w:hAnsi="仿宋" w:eastAsia="仿宋"/>
                <w:b/>
                <w:bCs w:val="0"/>
              </w:rPr>
              <w:t>分）</w:t>
            </w:r>
          </w:p>
        </w:tc>
        <w:tc>
          <w:tcPr>
            <w:tcW w:w="744" w:type="dxa"/>
            <w:vAlign w:val="center"/>
          </w:tcPr>
          <w:p>
            <w:pPr>
              <w:rPr>
                <w:rFonts w:ascii="仿宋" w:hAnsi="仿宋" w:eastAsia="仿宋"/>
                <w:b/>
                <w:bCs w:val="0"/>
              </w:rPr>
            </w:pPr>
            <w:r>
              <w:rPr>
                <w:rFonts w:hint="eastAsia" w:ascii="仿宋" w:hAnsi="仿宋" w:eastAsia="仿宋"/>
                <w:b/>
                <w:bCs w:val="0"/>
              </w:rPr>
              <w:t>1.1</w:t>
            </w:r>
          </w:p>
        </w:tc>
        <w:tc>
          <w:tcPr>
            <w:tcW w:w="5629" w:type="dxa"/>
            <w:vAlign w:val="center"/>
          </w:tcPr>
          <w:p>
            <w:pPr>
              <w:rPr>
                <w:rFonts w:ascii="仿宋" w:hAnsi="仿宋" w:eastAsia="仿宋"/>
                <w:b/>
                <w:bCs w:val="0"/>
              </w:rPr>
            </w:pPr>
            <w:r>
              <w:rPr>
                <w:rFonts w:hint="eastAsia" w:ascii="仿宋" w:hAnsi="仿宋" w:eastAsia="仿宋"/>
                <w:b/>
                <w:bCs w:val="0"/>
              </w:rPr>
              <w:t>投标人提供2012年以来承担过全国性级别及以上综合性运动会服务案例合同，提供的服务案例合同应包含计时记分系统的有关内容。每个案例合同得</w:t>
            </w:r>
            <w:r>
              <w:rPr>
                <w:rFonts w:ascii="仿宋" w:hAnsi="仿宋" w:eastAsia="仿宋"/>
                <w:b/>
                <w:bCs w:val="0"/>
              </w:rPr>
              <w:t>1</w:t>
            </w:r>
            <w:r>
              <w:rPr>
                <w:rFonts w:hint="eastAsia" w:ascii="仿宋" w:hAnsi="仿宋" w:eastAsia="仿宋"/>
                <w:b/>
                <w:bCs w:val="0"/>
              </w:rPr>
              <w:t>分，满分1</w:t>
            </w:r>
            <w:r>
              <w:rPr>
                <w:rFonts w:ascii="仿宋" w:hAnsi="仿宋" w:eastAsia="仿宋"/>
                <w:b/>
                <w:bCs w:val="0"/>
              </w:rPr>
              <w:t>0</w:t>
            </w:r>
            <w:r>
              <w:rPr>
                <w:rFonts w:hint="eastAsia" w:ascii="仿宋" w:hAnsi="仿宋" w:eastAsia="仿宋"/>
                <w:b/>
                <w:bCs w:val="0"/>
              </w:rPr>
              <w:t>分；未提供合同或合同不符合要求，得0分。</w:t>
            </w:r>
          </w:p>
          <w:p>
            <w:pPr>
              <w:rPr>
                <w:rFonts w:ascii="仿宋" w:hAnsi="仿宋" w:eastAsia="仿宋"/>
                <w:b/>
                <w:bCs w:val="0"/>
              </w:rPr>
            </w:pPr>
            <w:r>
              <w:rPr>
                <w:rFonts w:hint="eastAsia" w:ascii="仿宋" w:hAnsi="仿宋" w:eastAsia="仿宋"/>
                <w:b/>
                <w:bCs w:val="0"/>
              </w:rPr>
              <w:t>注：</w:t>
            </w:r>
          </w:p>
          <w:p>
            <w:pPr>
              <w:rPr>
                <w:rFonts w:ascii="仿宋" w:hAnsi="仿宋" w:eastAsia="仿宋"/>
                <w:b/>
                <w:bCs w:val="0"/>
              </w:rPr>
            </w:pPr>
            <w:r>
              <w:rPr>
                <w:rFonts w:hint="eastAsia" w:ascii="仿宋" w:hAnsi="仿宋" w:eastAsia="仿宋"/>
                <w:b/>
                <w:bCs w:val="0"/>
              </w:rPr>
              <w:t>1、投标文件中的合同复印件须加盖公章；合同复印件，至少包括买卖双方名称及盖章、服务内容、服务金额；</w:t>
            </w:r>
          </w:p>
          <w:p>
            <w:pPr>
              <w:rPr>
                <w:rFonts w:ascii="仿宋" w:hAnsi="仿宋" w:eastAsia="仿宋"/>
                <w:b/>
                <w:bCs w:val="0"/>
              </w:rPr>
            </w:pPr>
            <w:r>
              <w:rPr>
                <w:rFonts w:hint="eastAsia" w:ascii="仿宋" w:hAnsi="仿宋" w:eastAsia="仿宋"/>
                <w:b/>
                <w:bCs w:val="0"/>
              </w:rPr>
              <w:t>2、服务案例合同不重复计分。</w:t>
            </w:r>
          </w:p>
        </w:tc>
        <w:tc>
          <w:tcPr>
            <w:tcW w:w="901" w:type="dxa"/>
          </w:tcPr>
          <w:p>
            <w:pPr>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1245" w:type="dxa"/>
            <w:vMerge w:val="restart"/>
            <w:vAlign w:val="center"/>
          </w:tcPr>
          <w:p>
            <w:pPr>
              <w:rPr>
                <w:rFonts w:ascii="仿宋" w:hAnsi="仿宋" w:eastAsia="仿宋"/>
                <w:b/>
                <w:bCs w:val="0"/>
              </w:rPr>
            </w:pPr>
            <w:r>
              <w:rPr>
                <w:rFonts w:ascii="仿宋" w:hAnsi="仿宋" w:eastAsia="仿宋"/>
                <w:b/>
                <w:bCs w:val="0"/>
              </w:rPr>
              <w:t>商务</w:t>
            </w:r>
            <w:r>
              <w:rPr>
                <w:rFonts w:hint="eastAsia" w:ascii="仿宋" w:hAnsi="仿宋" w:eastAsia="仿宋"/>
                <w:b/>
                <w:bCs w:val="0"/>
              </w:rPr>
              <w:t>资信</w:t>
            </w:r>
          </w:p>
          <w:p>
            <w:pPr>
              <w:rPr>
                <w:rFonts w:ascii="仿宋" w:hAnsi="仿宋" w:eastAsia="仿宋"/>
                <w:b/>
                <w:bCs w:val="0"/>
              </w:rPr>
            </w:pPr>
            <w:r>
              <w:rPr>
                <w:rFonts w:hint="eastAsia" w:ascii="仿宋" w:hAnsi="仿宋" w:eastAsia="仿宋"/>
                <w:b/>
                <w:bCs w:val="0"/>
              </w:rPr>
              <w:t>（投标人实力</w:t>
            </w:r>
            <w:r>
              <w:rPr>
                <w:rFonts w:ascii="仿宋" w:hAnsi="仿宋" w:eastAsia="仿宋"/>
                <w:b/>
                <w:bCs w:val="0"/>
              </w:rPr>
              <w:t>6</w:t>
            </w:r>
            <w:r>
              <w:rPr>
                <w:rFonts w:hint="eastAsia" w:ascii="仿宋" w:hAnsi="仿宋" w:eastAsia="仿宋"/>
                <w:b/>
                <w:bCs w:val="0"/>
              </w:rPr>
              <w:t>分）</w:t>
            </w:r>
          </w:p>
        </w:tc>
        <w:tc>
          <w:tcPr>
            <w:tcW w:w="744" w:type="dxa"/>
            <w:vAlign w:val="center"/>
          </w:tcPr>
          <w:p>
            <w:pPr>
              <w:rPr>
                <w:rFonts w:ascii="仿宋" w:hAnsi="仿宋" w:eastAsia="仿宋"/>
                <w:b/>
                <w:bCs w:val="0"/>
              </w:rPr>
            </w:pPr>
            <w:r>
              <w:rPr>
                <w:rFonts w:hint="eastAsia" w:ascii="仿宋" w:hAnsi="仿宋" w:eastAsia="仿宋"/>
                <w:b/>
                <w:bCs w:val="0"/>
              </w:rPr>
              <w:t>1.2.1</w:t>
            </w:r>
          </w:p>
        </w:tc>
        <w:tc>
          <w:tcPr>
            <w:tcW w:w="5629" w:type="dxa"/>
            <w:vAlign w:val="center"/>
          </w:tcPr>
          <w:p>
            <w:pPr>
              <w:rPr>
                <w:rFonts w:ascii="仿宋" w:hAnsi="仿宋" w:eastAsia="仿宋"/>
                <w:b/>
                <w:bCs w:val="0"/>
              </w:rPr>
            </w:pPr>
            <w:r>
              <w:rPr>
                <w:rFonts w:hint="eastAsia" w:ascii="仿宋" w:hAnsi="仿宋" w:eastAsia="仿宋"/>
                <w:b/>
                <w:bCs w:val="0"/>
              </w:rPr>
              <w:t>投标人提供</w:t>
            </w:r>
            <w:r>
              <w:rPr>
                <w:rFonts w:ascii="仿宋" w:hAnsi="仿宋" w:eastAsia="仿宋"/>
                <w:b/>
                <w:bCs w:val="0"/>
              </w:rPr>
              <w:t>ISO9001</w:t>
            </w:r>
            <w:r>
              <w:rPr>
                <w:rFonts w:hint="eastAsia" w:ascii="仿宋" w:hAnsi="仿宋" w:eastAsia="仿宋"/>
                <w:b/>
                <w:bCs w:val="0"/>
              </w:rPr>
              <w:t>、</w:t>
            </w:r>
            <w:r>
              <w:rPr>
                <w:rFonts w:ascii="仿宋" w:hAnsi="仿宋" w:eastAsia="仿宋"/>
                <w:b/>
                <w:bCs w:val="0"/>
              </w:rPr>
              <w:t>ISO14001</w:t>
            </w:r>
            <w:r>
              <w:rPr>
                <w:rFonts w:hint="eastAsia" w:ascii="仿宋" w:hAnsi="仿宋" w:eastAsia="仿宋"/>
                <w:b/>
                <w:bCs w:val="0"/>
              </w:rPr>
              <w:t>及</w:t>
            </w:r>
            <w:r>
              <w:rPr>
                <w:rFonts w:ascii="仿宋" w:hAnsi="仿宋" w:eastAsia="仿宋"/>
                <w:b/>
                <w:bCs w:val="0"/>
              </w:rPr>
              <w:t>OHSAS18001</w:t>
            </w:r>
            <w:r>
              <w:rPr>
                <w:rFonts w:hint="eastAsia" w:ascii="仿宋" w:hAnsi="仿宋" w:eastAsia="仿宋"/>
                <w:b/>
                <w:bCs w:val="0"/>
              </w:rPr>
              <w:t>认证的（有效期内），得</w:t>
            </w:r>
            <w:r>
              <w:rPr>
                <w:rFonts w:ascii="仿宋" w:hAnsi="仿宋" w:eastAsia="仿宋"/>
                <w:b/>
                <w:bCs w:val="0"/>
              </w:rPr>
              <w:t>3</w:t>
            </w:r>
            <w:r>
              <w:rPr>
                <w:rFonts w:hint="eastAsia" w:ascii="仿宋" w:hAnsi="仿宋" w:eastAsia="仿宋"/>
                <w:b/>
                <w:bCs w:val="0"/>
              </w:rPr>
              <w:t>分，缺一项不得分；须提供证明材料，否则不得分。</w:t>
            </w:r>
          </w:p>
        </w:tc>
        <w:tc>
          <w:tcPr>
            <w:tcW w:w="901" w:type="dxa"/>
            <w:tcBorders>
              <w:bottom w:val="single" w:color="000000" w:sz="4" w:space="0"/>
            </w:tcBorders>
            <w:vAlign w:val="center"/>
          </w:tcPr>
          <w:p>
            <w:pPr>
              <w:jc w:val="left"/>
              <w:rPr>
                <w:rFonts w:ascii="仿宋" w:hAnsi="仿宋" w:eastAsia="仿宋"/>
                <w:b/>
                <w:bCs w:val="0"/>
              </w:rPr>
            </w:pPr>
            <w:r>
              <w:rPr>
                <w:rFonts w:ascii="仿宋_GB2312" w:hAnsi="宋体" w:eastAsia="仿宋_GB2312"/>
                <w:b/>
                <w:bCs w:val="0"/>
                <w:color w:val="000000"/>
                <w:szCs w:val="21"/>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1245" w:type="dxa"/>
            <w:vMerge w:val="continue"/>
            <w:vAlign w:val="center"/>
          </w:tcPr>
          <w:p>
            <w:pPr>
              <w:rPr>
                <w:rFonts w:ascii="仿宋" w:hAnsi="仿宋" w:eastAsia="仿宋"/>
                <w:b/>
                <w:bCs w:val="0"/>
              </w:rPr>
            </w:pPr>
          </w:p>
        </w:tc>
        <w:tc>
          <w:tcPr>
            <w:tcW w:w="744" w:type="dxa"/>
            <w:vAlign w:val="center"/>
          </w:tcPr>
          <w:p>
            <w:pPr>
              <w:rPr>
                <w:rFonts w:ascii="仿宋" w:hAnsi="仿宋" w:eastAsia="仿宋"/>
                <w:b/>
                <w:bCs w:val="0"/>
              </w:rPr>
            </w:pPr>
            <w:r>
              <w:rPr>
                <w:rFonts w:hint="eastAsia" w:ascii="仿宋" w:hAnsi="仿宋" w:eastAsia="仿宋"/>
                <w:b/>
                <w:bCs w:val="0"/>
              </w:rPr>
              <w:t>1.2.2</w:t>
            </w:r>
          </w:p>
        </w:tc>
        <w:tc>
          <w:tcPr>
            <w:tcW w:w="5629" w:type="dxa"/>
            <w:vAlign w:val="center"/>
          </w:tcPr>
          <w:p>
            <w:pPr>
              <w:rPr>
                <w:rFonts w:ascii="仿宋" w:hAnsi="仿宋" w:eastAsia="仿宋"/>
                <w:b/>
                <w:bCs w:val="0"/>
              </w:rPr>
            </w:pPr>
            <w:r>
              <w:rPr>
                <w:rFonts w:ascii="仿宋" w:hAnsi="仿宋" w:eastAsia="仿宋"/>
                <w:b/>
                <w:bCs w:val="0"/>
              </w:rPr>
              <w:t>投标人提供售后服</w:t>
            </w:r>
            <w:r>
              <w:rPr>
                <w:rFonts w:hint="eastAsia" w:ascii="仿宋" w:hAnsi="仿宋" w:eastAsia="仿宋"/>
                <w:b/>
                <w:bCs w:val="0"/>
              </w:rPr>
              <w:t>五星</w:t>
            </w:r>
            <w:r>
              <w:rPr>
                <w:rFonts w:ascii="仿宋" w:hAnsi="仿宋" w:eastAsia="仿宋"/>
                <w:b/>
                <w:bCs w:val="0"/>
              </w:rPr>
              <w:t>认证</w:t>
            </w:r>
            <w:r>
              <w:rPr>
                <w:rFonts w:hint="eastAsia" w:ascii="仿宋" w:hAnsi="仿宋" w:eastAsia="仿宋"/>
                <w:b/>
                <w:bCs w:val="0"/>
              </w:rPr>
              <w:t>的（有效期内），</w:t>
            </w:r>
            <w:r>
              <w:rPr>
                <w:rFonts w:ascii="仿宋" w:hAnsi="仿宋" w:eastAsia="仿宋"/>
                <w:b/>
                <w:bCs w:val="0"/>
              </w:rPr>
              <w:t>得1</w:t>
            </w:r>
            <w:r>
              <w:rPr>
                <w:rFonts w:hint="eastAsia" w:ascii="仿宋" w:hAnsi="仿宋" w:eastAsia="仿宋"/>
                <w:b/>
                <w:bCs w:val="0"/>
              </w:rPr>
              <w:t>分；须提供证明材料，否则不得分。</w:t>
            </w:r>
          </w:p>
        </w:tc>
        <w:tc>
          <w:tcPr>
            <w:tcW w:w="901" w:type="dxa"/>
            <w:tcBorders>
              <w:bottom w:val="single" w:color="000000" w:sz="4" w:space="0"/>
            </w:tcBorders>
            <w:vAlign w:val="center"/>
          </w:tcPr>
          <w:p>
            <w:pPr>
              <w:jc w:val="left"/>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trPr>
        <w:tc>
          <w:tcPr>
            <w:tcW w:w="1245" w:type="dxa"/>
            <w:vMerge w:val="continue"/>
            <w:vAlign w:val="center"/>
          </w:tcPr>
          <w:p>
            <w:pPr>
              <w:rPr>
                <w:rFonts w:ascii="仿宋" w:hAnsi="仿宋" w:eastAsia="仿宋"/>
                <w:b/>
                <w:bCs w:val="0"/>
              </w:rPr>
            </w:pPr>
          </w:p>
        </w:tc>
        <w:tc>
          <w:tcPr>
            <w:tcW w:w="744" w:type="dxa"/>
            <w:vAlign w:val="center"/>
          </w:tcPr>
          <w:p>
            <w:pPr>
              <w:rPr>
                <w:rFonts w:ascii="仿宋" w:hAnsi="仿宋" w:eastAsia="仿宋"/>
                <w:b/>
                <w:bCs w:val="0"/>
              </w:rPr>
            </w:pPr>
            <w:r>
              <w:rPr>
                <w:rFonts w:hint="eastAsia" w:ascii="仿宋" w:hAnsi="仿宋" w:eastAsia="仿宋"/>
                <w:b/>
                <w:bCs w:val="0"/>
              </w:rPr>
              <w:t>1.2.3</w:t>
            </w:r>
          </w:p>
        </w:tc>
        <w:tc>
          <w:tcPr>
            <w:tcW w:w="5629" w:type="dxa"/>
            <w:vAlign w:val="center"/>
          </w:tcPr>
          <w:p>
            <w:pPr>
              <w:rPr>
                <w:rFonts w:ascii="仿宋" w:hAnsi="仿宋" w:eastAsia="仿宋"/>
                <w:b/>
                <w:bCs w:val="0"/>
              </w:rPr>
            </w:pPr>
            <w:r>
              <w:rPr>
                <w:rFonts w:hint="eastAsia" w:ascii="仿宋" w:hAnsi="仿宋" w:eastAsia="仿宋"/>
                <w:b/>
                <w:bCs w:val="0"/>
              </w:rPr>
              <w:t>投标人</w:t>
            </w:r>
            <w:r>
              <w:rPr>
                <w:rFonts w:ascii="仿宋" w:hAnsi="仿宋" w:eastAsia="仿宋"/>
                <w:b/>
                <w:bCs w:val="0"/>
              </w:rPr>
              <w:t>是</w:t>
            </w:r>
            <w:r>
              <w:rPr>
                <w:rFonts w:hint="eastAsia" w:ascii="仿宋" w:hAnsi="仿宋" w:eastAsia="仿宋"/>
                <w:b/>
                <w:bCs w:val="0"/>
              </w:rPr>
              <w:t>高新技术企业的（有效期内）</w:t>
            </w:r>
            <w:r>
              <w:rPr>
                <w:rFonts w:ascii="仿宋" w:hAnsi="仿宋" w:eastAsia="仿宋"/>
                <w:b/>
                <w:bCs w:val="0"/>
              </w:rPr>
              <w:t>，</w:t>
            </w:r>
            <w:r>
              <w:rPr>
                <w:rFonts w:hint="eastAsia" w:ascii="仿宋" w:hAnsi="仿宋" w:eastAsia="仿宋"/>
                <w:b/>
                <w:bCs w:val="0"/>
              </w:rPr>
              <w:t>得2分；须提供证明材料，否则不得分。</w:t>
            </w:r>
          </w:p>
        </w:tc>
        <w:tc>
          <w:tcPr>
            <w:tcW w:w="901" w:type="dxa"/>
            <w:tcBorders>
              <w:bottom w:val="single" w:color="000000" w:sz="4" w:space="0"/>
            </w:tcBorders>
            <w:vAlign w:val="center"/>
          </w:tcPr>
          <w:p>
            <w:pPr>
              <w:jc w:val="left"/>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0" w:hRule="atLeast"/>
        </w:trPr>
        <w:tc>
          <w:tcPr>
            <w:tcW w:w="1245" w:type="dxa"/>
            <w:vAlign w:val="center"/>
          </w:tcPr>
          <w:p>
            <w:pPr>
              <w:rPr>
                <w:rFonts w:ascii="仿宋" w:hAnsi="仿宋" w:eastAsia="仿宋"/>
                <w:b/>
                <w:bCs w:val="0"/>
              </w:rPr>
            </w:pPr>
            <w:r>
              <w:rPr>
                <w:rFonts w:ascii="仿宋" w:hAnsi="仿宋" w:eastAsia="仿宋"/>
                <w:b/>
                <w:bCs w:val="0"/>
              </w:rPr>
              <w:t>商务</w:t>
            </w:r>
            <w:r>
              <w:rPr>
                <w:rFonts w:hint="eastAsia" w:ascii="仿宋" w:hAnsi="仿宋" w:eastAsia="仿宋"/>
                <w:b/>
                <w:bCs w:val="0"/>
              </w:rPr>
              <w:t>资信(项目</w:t>
            </w:r>
            <w:r>
              <w:rPr>
                <w:rFonts w:ascii="仿宋" w:hAnsi="仿宋" w:eastAsia="仿宋"/>
                <w:b/>
                <w:bCs w:val="0"/>
              </w:rPr>
              <w:t>团队5</w:t>
            </w:r>
            <w:r>
              <w:rPr>
                <w:rFonts w:hint="eastAsia" w:ascii="仿宋" w:hAnsi="仿宋" w:eastAsia="仿宋"/>
                <w:b/>
                <w:bCs w:val="0"/>
              </w:rPr>
              <w:t>分）</w:t>
            </w:r>
          </w:p>
        </w:tc>
        <w:tc>
          <w:tcPr>
            <w:tcW w:w="744" w:type="dxa"/>
            <w:vAlign w:val="center"/>
          </w:tcPr>
          <w:p>
            <w:pPr>
              <w:rPr>
                <w:rFonts w:ascii="仿宋" w:hAnsi="仿宋" w:eastAsia="仿宋"/>
                <w:b/>
                <w:bCs w:val="0"/>
              </w:rPr>
            </w:pPr>
            <w:r>
              <w:rPr>
                <w:rFonts w:hint="eastAsia" w:ascii="仿宋" w:hAnsi="仿宋" w:eastAsia="仿宋"/>
                <w:b/>
                <w:bCs w:val="0"/>
              </w:rPr>
              <w:t>1.3</w:t>
            </w:r>
          </w:p>
        </w:tc>
        <w:tc>
          <w:tcPr>
            <w:tcW w:w="5629" w:type="dxa"/>
            <w:vAlign w:val="center"/>
          </w:tcPr>
          <w:p>
            <w:pPr>
              <w:rPr>
                <w:rFonts w:ascii="仿宋" w:hAnsi="仿宋" w:eastAsia="仿宋"/>
                <w:b/>
                <w:bCs w:val="0"/>
              </w:rPr>
            </w:pPr>
            <w:r>
              <w:rPr>
                <w:rFonts w:hint="eastAsia" w:ascii="仿宋" w:hAnsi="仿宋" w:eastAsia="仿宋"/>
                <w:b/>
                <w:bCs w:val="0"/>
              </w:rPr>
              <w:t>根据项目团队中成员是否有综合体育赛事服务经验情况评分。团队中每提供一名具有综合体育赛事服务经验的人员，得0.1分。本项满分5分，团队成员为10人以下（含10人）不得分。</w:t>
            </w:r>
          </w:p>
          <w:p>
            <w:pPr>
              <w:rPr>
                <w:rFonts w:ascii="仿宋" w:hAnsi="仿宋" w:eastAsia="仿宋"/>
                <w:b/>
                <w:bCs w:val="0"/>
              </w:rPr>
            </w:pPr>
            <w:r>
              <w:rPr>
                <w:rFonts w:hint="eastAsia" w:ascii="仿宋" w:hAnsi="仿宋" w:eastAsia="仿宋"/>
                <w:b/>
                <w:bCs w:val="0"/>
              </w:rPr>
              <w:t>注：需提供团队人员参与综合体育赛事服务证明或荣誉证书或工作证，以及该人员在投标人企业近六个月内任意一个月社保证明的复印件并加盖公章，否则不得分。</w:t>
            </w:r>
          </w:p>
        </w:tc>
        <w:tc>
          <w:tcPr>
            <w:tcW w:w="901" w:type="dxa"/>
            <w:tcBorders>
              <w:bottom w:val="single" w:color="000000" w:sz="4" w:space="0"/>
            </w:tcBorders>
          </w:tcPr>
          <w:p>
            <w:pPr>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2" w:hRule="atLeast"/>
        </w:trPr>
        <w:tc>
          <w:tcPr>
            <w:tcW w:w="1245" w:type="dxa"/>
            <w:vAlign w:val="center"/>
          </w:tcPr>
          <w:p>
            <w:pPr>
              <w:rPr>
                <w:rFonts w:ascii="仿宋" w:hAnsi="仿宋" w:eastAsia="仿宋"/>
                <w:b/>
                <w:bCs w:val="0"/>
              </w:rPr>
            </w:pPr>
            <w:r>
              <w:rPr>
                <w:rFonts w:ascii="仿宋" w:hAnsi="仿宋" w:eastAsia="仿宋"/>
                <w:b/>
                <w:bCs w:val="0"/>
              </w:rPr>
              <w:t>技术（</w:t>
            </w:r>
            <w:r>
              <w:rPr>
                <w:rFonts w:hint="eastAsia" w:ascii="仿宋" w:hAnsi="仿宋" w:eastAsia="仿宋"/>
                <w:b/>
                <w:bCs w:val="0"/>
              </w:rPr>
              <w:t>需求分析</w:t>
            </w:r>
            <w:r>
              <w:rPr>
                <w:rFonts w:ascii="仿宋" w:hAnsi="仿宋" w:eastAsia="仿宋"/>
                <w:b/>
                <w:bCs w:val="0"/>
              </w:rPr>
              <w:t>15</w:t>
            </w:r>
            <w:r>
              <w:rPr>
                <w:rFonts w:hint="eastAsia" w:ascii="仿宋" w:hAnsi="仿宋" w:eastAsia="仿宋"/>
                <w:b/>
                <w:bCs w:val="0"/>
              </w:rPr>
              <w:t>分）</w:t>
            </w:r>
          </w:p>
        </w:tc>
        <w:tc>
          <w:tcPr>
            <w:tcW w:w="744" w:type="dxa"/>
            <w:vAlign w:val="center"/>
          </w:tcPr>
          <w:p>
            <w:pPr>
              <w:rPr>
                <w:rFonts w:ascii="仿宋" w:hAnsi="仿宋" w:eastAsia="仿宋"/>
                <w:b/>
                <w:bCs w:val="0"/>
              </w:rPr>
            </w:pPr>
            <w:r>
              <w:rPr>
                <w:rFonts w:hint="eastAsia" w:ascii="仿宋" w:hAnsi="仿宋" w:eastAsia="仿宋"/>
                <w:b/>
                <w:bCs w:val="0"/>
              </w:rPr>
              <w:t>2.1</w:t>
            </w:r>
          </w:p>
        </w:tc>
        <w:tc>
          <w:tcPr>
            <w:tcW w:w="5629" w:type="dxa"/>
            <w:vAlign w:val="center"/>
          </w:tcPr>
          <w:p>
            <w:pPr>
              <w:widowControl/>
              <w:contextualSpacing w:val="0"/>
              <w:rPr>
                <w:rFonts w:ascii="仿宋" w:hAnsi="仿宋" w:eastAsia="仿宋"/>
                <w:b/>
                <w:bCs w:val="0"/>
              </w:rPr>
            </w:pPr>
            <w:r>
              <w:rPr>
                <w:rFonts w:ascii="仿宋" w:hAnsi="仿宋" w:eastAsia="仿宋"/>
                <w:b/>
                <w:bCs w:val="0"/>
              </w:rPr>
              <w:t>根据投标人对</w:t>
            </w:r>
            <w:r>
              <w:rPr>
                <w:rFonts w:hint="eastAsia" w:ascii="仿宋" w:hAnsi="仿宋" w:eastAsia="仿宋"/>
                <w:b/>
                <w:bCs w:val="0"/>
              </w:rPr>
              <w:t>大运会计时记分系统</w:t>
            </w:r>
            <w:r>
              <w:rPr>
                <w:rFonts w:ascii="仿宋" w:hAnsi="仿宋" w:eastAsia="仿宋"/>
                <w:b/>
                <w:bCs w:val="0"/>
              </w:rPr>
              <w:t>服务需求</w:t>
            </w:r>
            <w:r>
              <w:rPr>
                <w:rFonts w:hint="eastAsia" w:ascii="仿宋" w:hAnsi="仿宋" w:eastAsia="仿宋"/>
                <w:b/>
                <w:bCs w:val="0"/>
              </w:rPr>
              <w:t>分析</w:t>
            </w:r>
            <w:r>
              <w:rPr>
                <w:rFonts w:ascii="仿宋" w:hAnsi="仿宋" w:eastAsia="仿宋"/>
                <w:b/>
                <w:bCs w:val="0"/>
              </w:rPr>
              <w:t>的理解程度进行综合评分，</w:t>
            </w:r>
            <w:r>
              <w:rPr>
                <w:rFonts w:hint="eastAsia" w:ascii="仿宋" w:hAnsi="仿宋" w:eastAsia="仿宋"/>
                <w:b/>
                <w:bCs w:val="0"/>
              </w:rPr>
              <w:t>本项满分</w:t>
            </w:r>
            <w:r>
              <w:rPr>
                <w:rFonts w:ascii="仿宋" w:hAnsi="仿宋" w:eastAsia="仿宋"/>
                <w:b/>
                <w:bCs w:val="0"/>
              </w:rPr>
              <w:t>15分。</w:t>
            </w:r>
          </w:p>
          <w:p>
            <w:pPr>
              <w:widowControl/>
              <w:contextualSpacing/>
              <w:rPr>
                <w:rFonts w:ascii="仿宋" w:hAnsi="仿宋" w:eastAsia="仿宋"/>
                <w:b/>
                <w:bCs w:val="0"/>
              </w:rPr>
            </w:pPr>
            <w:r>
              <w:rPr>
                <w:rFonts w:hint="eastAsia" w:ascii="仿宋" w:hAnsi="仿宋" w:eastAsia="仿宋"/>
                <w:b/>
                <w:bCs w:val="0"/>
              </w:rPr>
              <w:t>1）提交的需求分析符合计时记分系统业务要求，能够很好的满足采购人的业务需求，得</w:t>
            </w:r>
            <w:r>
              <w:rPr>
                <w:rFonts w:ascii="仿宋" w:hAnsi="仿宋" w:eastAsia="仿宋"/>
                <w:b/>
                <w:bCs w:val="0"/>
              </w:rPr>
              <w:t>15</w:t>
            </w:r>
            <w:r>
              <w:rPr>
                <w:rFonts w:hint="eastAsia" w:ascii="仿宋" w:hAnsi="仿宋" w:eastAsia="仿宋"/>
                <w:b/>
                <w:bCs w:val="0"/>
              </w:rPr>
              <w:t>分；</w:t>
            </w:r>
          </w:p>
          <w:p>
            <w:pPr>
              <w:widowControl/>
              <w:contextualSpacing/>
              <w:rPr>
                <w:rFonts w:ascii="仿宋" w:hAnsi="仿宋" w:eastAsia="仿宋"/>
                <w:b/>
                <w:bCs w:val="0"/>
              </w:rPr>
            </w:pPr>
            <w:r>
              <w:rPr>
                <w:rFonts w:hint="eastAsia" w:ascii="仿宋" w:hAnsi="仿宋" w:eastAsia="仿宋"/>
                <w:b/>
                <w:bCs w:val="0"/>
              </w:rPr>
              <w:t>2）提交的需求分析未涵盖全部计时记分系统业务要求，有部分漏项；或者提交的需求分析不够完整，需要进行稍微调整才能满足采购人使用需求，得</w:t>
            </w:r>
            <w:r>
              <w:rPr>
                <w:rFonts w:ascii="仿宋" w:hAnsi="仿宋" w:eastAsia="仿宋"/>
                <w:b/>
                <w:bCs w:val="0"/>
              </w:rPr>
              <w:t>10</w:t>
            </w:r>
            <w:r>
              <w:rPr>
                <w:rFonts w:hint="eastAsia" w:ascii="仿宋" w:hAnsi="仿宋" w:eastAsia="仿宋"/>
                <w:b/>
                <w:bCs w:val="0"/>
              </w:rPr>
              <w:t>分；</w:t>
            </w:r>
          </w:p>
          <w:p>
            <w:pPr>
              <w:widowControl/>
              <w:contextualSpacing/>
              <w:rPr>
                <w:rFonts w:ascii="仿宋" w:hAnsi="仿宋" w:eastAsia="仿宋"/>
                <w:b/>
                <w:bCs w:val="0"/>
              </w:rPr>
            </w:pPr>
            <w:r>
              <w:rPr>
                <w:rFonts w:hint="eastAsia" w:ascii="仿宋" w:hAnsi="仿宋" w:eastAsia="仿宋"/>
                <w:b/>
                <w:bCs w:val="0"/>
              </w:rPr>
              <w:t>3）提交的需求分析涵盖内容缺陷较多，需求分析不完整，需要进行一定调整才能满足采购人业务需求，得</w:t>
            </w:r>
            <w:r>
              <w:rPr>
                <w:rFonts w:ascii="仿宋" w:hAnsi="仿宋" w:eastAsia="仿宋"/>
                <w:b/>
                <w:bCs w:val="0"/>
              </w:rPr>
              <w:t>5</w:t>
            </w:r>
            <w:r>
              <w:rPr>
                <w:rFonts w:hint="eastAsia" w:ascii="仿宋" w:hAnsi="仿宋" w:eastAsia="仿宋"/>
                <w:b/>
                <w:bCs w:val="0"/>
              </w:rPr>
              <w:t>分；</w:t>
            </w:r>
          </w:p>
          <w:p>
            <w:pPr>
              <w:rPr>
                <w:rFonts w:hint="eastAsia" w:ascii="仿宋" w:hAnsi="仿宋" w:eastAsia="仿宋"/>
                <w:b/>
                <w:bCs w:val="0"/>
              </w:rPr>
            </w:pPr>
            <w:r>
              <w:rPr>
                <w:rFonts w:hint="eastAsia" w:ascii="仿宋" w:hAnsi="仿宋" w:eastAsia="仿宋"/>
                <w:b/>
                <w:bCs w:val="0"/>
              </w:rPr>
              <w:t>4）未提交服务方案或提交的方案完全不能满足采购人使用需求，存在有较大偏差，得0分。</w:t>
            </w:r>
          </w:p>
        </w:tc>
        <w:tc>
          <w:tcPr>
            <w:tcW w:w="901" w:type="dxa"/>
          </w:tcPr>
          <w:p>
            <w:pPr>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1</w:t>
            </w:r>
            <w:r>
              <w:rPr>
                <w:rFonts w:ascii="仿宋_GB2312" w:hAnsi="宋体" w:eastAsia="仿宋_GB2312"/>
                <w:b/>
                <w:bCs w:val="0"/>
                <w:color w:val="00000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5" w:type="dxa"/>
            <w:vAlign w:val="center"/>
          </w:tcPr>
          <w:p>
            <w:pPr>
              <w:rPr>
                <w:rFonts w:ascii="仿宋" w:hAnsi="仿宋" w:eastAsia="仿宋"/>
                <w:b/>
                <w:bCs w:val="0"/>
              </w:rPr>
            </w:pPr>
            <w:r>
              <w:rPr>
                <w:rFonts w:hint="eastAsia" w:ascii="仿宋" w:hAnsi="仿宋" w:eastAsia="仿宋"/>
                <w:b/>
                <w:bCs w:val="0"/>
              </w:rPr>
              <w:t>技术（计时记分系统</w:t>
            </w:r>
            <w:r>
              <w:rPr>
                <w:rFonts w:ascii="仿宋" w:hAnsi="仿宋" w:eastAsia="仿宋"/>
                <w:b/>
                <w:bCs w:val="0"/>
              </w:rPr>
              <w:t>34</w:t>
            </w:r>
            <w:r>
              <w:rPr>
                <w:rFonts w:hint="eastAsia" w:ascii="仿宋" w:hAnsi="仿宋" w:eastAsia="仿宋"/>
                <w:b/>
                <w:bCs w:val="0"/>
              </w:rPr>
              <w:t>分）</w:t>
            </w:r>
          </w:p>
          <w:p>
            <w:pPr>
              <w:rPr>
                <w:rFonts w:ascii="仿宋" w:hAnsi="仿宋" w:eastAsia="仿宋"/>
                <w:b/>
                <w:bCs w:val="0"/>
              </w:rPr>
            </w:pPr>
          </w:p>
        </w:tc>
        <w:tc>
          <w:tcPr>
            <w:tcW w:w="744" w:type="dxa"/>
            <w:vAlign w:val="center"/>
          </w:tcPr>
          <w:p>
            <w:pPr>
              <w:rPr>
                <w:rFonts w:ascii="仿宋" w:hAnsi="仿宋" w:eastAsia="仿宋"/>
                <w:b/>
                <w:bCs w:val="0"/>
              </w:rPr>
            </w:pPr>
            <w:r>
              <w:rPr>
                <w:rFonts w:hint="eastAsia" w:ascii="仿宋" w:hAnsi="仿宋" w:eastAsia="仿宋"/>
                <w:b/>
                <w:bCs w:val="0"/>
              </w:rPr>
              <w:t>2.2</w:t>
            </w:r>
          </w:p>
        </w:tc>
        <w:tc>
          <w:tcPr>
            <w:tcW w:w="5629" w:type="dxa"/>
            <w:vAlign w:val="center"/>
          </w:tcPr>
          <w:p>
            <w:pPr>
              <w:widowControl/>
              <w:contextualSpacing/>
              <w:rPr>
                <w:rFonts w:ascii="仿宋" w:hAnsi="仿宋" w:eastAsia="仿宋"/>
                <w:b/>
                <w:bCs w:val="0"/>
              </w:rPr>
            </w:pPr>
            <w:r>
              <w:rPr>
                <w:rFonts w:ascii="仿宋" w:hAnsi="仿宋" w:eastAsia="仿宋"/>
                <w:b/>
                <w:bCs w:val="0"/>
              </w:rPr>
              <w:t>根据投标人对</w:t>
            </w:r>
            <w:r>
              <w:rPr>
                <w:rFonts w:hint="eastAsia" w:ascii="仿宋" w:hAnsi="仿宋" w:eastAsia="仿宋"/>
                <w:b/>
                <w:bCs w:val="0"/>
              </w:rPr>
              <w:t>大运会计时记分系统</w:t>
            </w:r>
            <w:r>
              <w:rPr>
                <w:rFonts w:ascii="仿宋" w:hAnsi="仿宋" w:eastAsia="仿宋"/>
                <w:b/>
                <w:bCs w:val="0"/>
              </w:rPr>
              <w:t>服务需求的理解程度，技术架构的先进性、技术指标的合理性、技术指标测算的科学性，设计方案的亮点与特色等方面，进行综合评分</w:t>
            </w:r>
            <w:r>
              <w:rPr>
                <w:rFonts w:hint="eastAsia" w:ascii="仿宋" w:hAnsi="仿宋" w:eastAsia="仿宋"/>
                <w:b/>
                <w:bCs w:val="0"/>
                <w:lang w:eastAsia="zh-CN"/>
              </w:rPr>
              <w:t>。</w:t>
            </w:r>
            <w:r>
              <w:rPr>
                <w:rFonts w:hint="eastAsia" w:ascii="仿宋" w:hAnsi="仿宋" w:eastAsia="仿宋"/>
                <w:b/>
                <w:bCs w:val="0"/>
              </w:rPr>
              <w:t>本项共体操、游泳、羽毛球、田径、击剑、乒乓球、篮球、排球、柔道、射箭、水球、跆拳道、跳水、网球、艺术体操、武术、赛艇17个单项，每个单项的计时记分系统方案满分2分，共</w:t>
            </w:r>
            <w:r>
              <w:rPr>
                <w:rFonts w:ascii="仿宋" w:hAnsi="仿宋" w:eastAsia="仿宋"/>
                <w:b/>
                <w:bCs w:val="0"/>
              </w:rPr>
              <w:t>34分。</w:t>
            </w:r>
            <w:r>
              <w:rPr>
                <w:rFonts w:hint="eastAsia" w:ascii="仿宋" w:hAnsi="仿宋" w:eastAsia="仿宋"/>
                <w:b/>
                <w:bCs w:val="0"/>
              </w:rPr>
              <w:t>每个单项的计时记分系统方案评分如下：</w:t>
            </w:r>
          </w:p>
          <w:p>
            <w:pPr>
              <w:widowControl/>
              <w:contextualSpacing/>
              <w:rPr>
                <w:rFonts w:ascii="仿宋" w:hAnsi="仿宋" w:eastAsia="仿宋"/>
                <w:b/>
                <w:bCs w:val="0"/>
              </w:rPr>
            </w:pPr>
            <w:r>
              <w:rPr>
                <w:rFonts w:hint="eastAsia" w:ascii="仿宋" w:hAnsi="仿宋" w:eastAsia="仿宋"/>
                <w:b/>
                <w:bCs w:val="0"/>
              </w:rPr>
              <w:t>1）提交的服务方案结构完整、功能完善，符合技术要求，能够很好的满足采购人使用需求，得</w:t>
            </w:r>
            <w:r>
              <w:rPr>
                <w:rFonts w:ascii="仿宋" w:hAnsi="仿宋" w:eastAsia="仿宋"/>
                <w:b/>
                <w:bCs w:val="0"/>
              </w:rPr>
              <w:t>2</w:t>
            </w:r>
            <w:r>
              <w:rPr>
                <w:rFonts w:hint="eastAsia" w:ascii="仿宋" w:hAnsi="仿宋" w:eastAsia="仿宋"/>
                <w:b/>
                <w:bCs w:val="0"/>
              </w:rPr>
              <w:t>分；</w:t>
            </w:r>
          </w:p>
          <w:p>
            <w:pPr>
              <w:widowControl/>
              <w:contextualSpacing/>
              <w:rPr>
                <w:rFonts w:ascii="仿宋" w:hAnsi="仿宋" w:eastAsia="仿宋"/>
                <w:b/>
                <w:bCs w:val="0"/>
              </w:rPr>
            </w:pPr>
            <w:r>
              <w:rPr>
                <w:rFonts w:hint="eastAsia" w:ascii="仿宋" w:hAnsi="仿宋" w:eastAsia="仿宋"/>
                <w:b/>
                <w:bCs w:val="0"/>
              </w:rPr>
              <w:t>2）提交的服务方案未涵盖全部内容和功能，有部分漏项；或者提交的方案结构不够完整，功能欠完善，需要进行稍微调整才能满足采购人使用需求，得</w:t>
            </w:r>
            <w:r>
              <w:rPr>
                <w:rFonts w:ascii="仿宋" w:hAnsi="仿宋" w:eastAsia="仿宋"/>
                <w:b/>
                <w:bCs w:val="0"/>
              </w:rPr>
              <w:t>1</w:t>
            </w:r>
            <w:r>
              <w:rPr>
                <w:rFonts w:hint="eastAsia" w:ascii="仿宋" w:hAnsi="仿宋" w:eastAsia="仿宋"/>
                <w:b/>
                <w:bCs w:val="0"/>
              </w:rPr>
              <w:t>分；</w:t>
            </w:r>
          </w:p>
          <w:p>
            <w:pPr>
              <w:widowControl/>
              <w:contextualSpacing/>
              <w:rPr>
                <w:rFonts w:ascii="仿宋" w:hAnsi="仿宋" w:eastAsia="仿宋"/>
                <w:b/>
                <w:bCs w:val="0"/>
              </w:rPr>
            </w:pPr>
            <w:r>
              <w:rPr>
                <w:rFonts w:hint="eastAsia" w:ascii="仿宋" w:hAnsi="仿宋" w:eastAsia="仿宋"/>
                <w:b/>
                <w:bCs w:val="0"/>
              </w:rPr>
              <w:t>3）提交的服务方案涵盖内容缺陷较多，方案不完整，需要进行较大调整才能满足采购人使用需求，得</w:t>
            </w:r>
            <w:r>
              <w:rPr>
                <w:rFonts w:ascii="仿宋" w:hAnsi="仿宋" w:eastAsia="仿宋"/>
                <w:b/>
                <w:bCs w:val="0"/>
              </w:rPr>
              <w:t>0.5</w:t>
            </w:r>
            <w:r>
              <w:rPr>
                <w:rFonts w:hint="eastAsia" w:ascii="仿宋" w:hAnsi="仿宋" w:eastAsia="仿宋"/>
                <w:b/>
                <w:bCs w:val="0"/>
              </w:rPr>
              <w:t>分；</w:t>
            </w:r>
          </w:p>
          <w:p>
            <w:pPr>
              <w:rPr>
                <w:rFonts w:ascii="仿宋" w:hAnsi="仿宋" w:eastAsia="仿宋"/>
                <w:b/>
                <w:bCs w:val="0"/>
              </w:rPr>
            </w:pPr>
            <w:r>
              <w:rPr>
                <w:rFonts w:hint="eastAsia" w:ascii="仿宋" w:hAnsi="仿宋" w:eastAsia="仿宋"/>
                <w:b/>
                <w:bCs w:val="0"/>
              </w:rPr>
              <w:t>4）未提交服务方案或提交的方案完全不能满足采购人使用需求，存在有较大偏差，得0分。</w:t>
            </w:r>
          </w:p>
        </w:tc>
        <w:tc>
          <w:tcPr>
            <w:tcW w:w="901" w:type="dxa"/>
            <w:tcBorders>
              <w:top w:val="nil"/>
            </w:tcBorders>
          </w:tcPr>
          <w:p>
            <w:pPr>
              <w:rPr>
                <w:rFonts w:ascii="仿宋" w:hAnsi="仿宋" w:eastAsia="仿宋"/>
                <w:b/>
                <w:bCs w:val="0"/>
              </w:rPr>
            </w:pPr>
            <w:r>
              <w:rPr>
                <w:rFonts w:ascii="仿宋_GB2312" w:hAnsi="宋体" w:eastAsia="仿宋_GB2312"/>
                <w:b/>
                <w:bCs w:val="0"/>
                <w:color w:val="000000"/>
                <w:szCs w:val="21"/>
              </w:rPr>
              <w:t>0~34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5" w:type="dxa"/>
            <w:vAlign w:val="center"/>
          </w:tcPr>
          <w:p>
            <w:pPr>
              <w:rPr>
                <w:rFonts w:ascii="仿宋" w:hAnsi="仿宋" w:eastAsia="仿宋"/>
                <w:b/>
                <w:bCs w:val="0"/>
              </w:rPr>
            </w:pPr>
            <w:r>
              <w:rPr>
                <w:rFonts w:hint="eastAsia" w:ascii="仿宋" w:hAnsi="仿宋" w:eastAsia="仿宋"/>
                <w:b/>
                <w:bCs w:val="0"/>
              </w:rPr>
              <w:t>技术（</w:t>
            </w:r>
            <w:r>
              <w:rPr>
                <w:rFonts w:ascii="仿宋" w:hAnsi="仿宋" w:eastAsia="仿宋"/>
                <w:b/>
                <w:bCs w:val="0"/>
              </w:rPr>
              <w:t>应急预案5</w:t>
            </w:r>
            <w:r>
              <w:rPr>
                <w:rFonts w:hint="eastAsia" w:ascii="仿宋" w:hAnsi="仿宋" w:eastAsia="仿宋"/>
                <w:b/>
                <w:bCs w:val="0"/>
              </w:rPr>
              <w:t>分）</w:t>
            </w:r>
          </w:p>
          <w:p>
            <w:pPr>
              <w:rPr>
                <w:rFonts w:ascii="仿宋" w:hAnsi="仿宋" w:eastAsia="仿宋"/>
                <w:b/>
                <w:bCs w:val="0"/>
              </w:rPr>
            </w:pPr>
          </w:p>
        </w:tc>
        <w:tc>
          <w:tcPr>
            <w:tcW w:w="744" w:type="dxa"/>
            <w:vAlign w:val="center"/>
          </w:tcPr>
          <w:p>
            <w:pPr>
              <w:rPr>
                <w:rFonts w:ascii="仿宋" w:hAnsi="仿宋" w:eastAsia="仿宋"/>
                <w:b/>
                <w:bCs w:val="0"/>
              </w:rPr>
            </w:pPr>
            <w:r>
              <w:rPr>
                <w:rFonts w:hint="eastAsia" w:ascii="仿宋" w:hAnsi="仿宋" w:eastAsia="仿宋"/>
                <w:b/>
                <w:bCs w:val="0"/>
              </w:rPr>
              <w:t>2.3</w:t>
            </w:r>
          </w:p>
        </w:tc>
        <w:tc>
          <w:tcPr>
            <w:tcW w:w="5629" w:type="dxa"/>
            <w:vAlign w:val="center"/>
          </w:tcPr>
          <w:p>
            <w:pPr>
              <w:rPr>
                <w:rFonts w:ascii="仿宋" w:hAnsi="仿宋" w:eastAsia="仿宋"/>
                <w:b/>
                <w:bCs w:val="0"/>
              </w:rPr>
            </w:pPr>
            <w:r>
              <w:rPr>
                <w:rFonts w:ascii="仿宋" w:hAnsi="仿宋" w:eastAsia="仿宋"/>
                <w:b/>
                <w:bCs w:val="0"/>
              </w:rPr>
              <w:t>根据投标人所提供的应急预案完整性、合理性、可行性等方面，进行综合评分，本</w:t>
            </w:r>
            <w:r>
              <w:rPr>
                <w:rFonts w:hint="eastAsia" w:ascii="仿宋" w:hAnsi="仿宋" w:eastAsia="仿宋"/>
                <w:b/>
                <w:bCs w:val="0"/>
              </w:rPr>
              <w:t>项满分5分。</w:t>
            </w:r>
          </w:p>
          <w:p>
            <w:pPr>
              <w:rPr>
                <w:rFonts w:ascii="仿宋" w:hAnsi="仿宋" w:eastAsia="仿宋"/>
                <w:b/>
                <w:bCs w:val="0"/>
              </w:rPr>
            </w:pPr>
            <w:r>
              <w:rPr>
                <w:rFonts w:hint="eastAsia" w:ascii="仿宋" w:hAnsi="仿宋" w:eastAsia="仿宋"/>
                <w:b/>
                <w:bCs w:val="0"/>
              </w:rPr>
              <w:t>1）提交的应急预案内容完整、合理、可行，得5分；</w:t>
            </w:r>
          </w:p>
          <w:p>
            <w:pPr>
              <w:rPr>
                <w:rFonts w:ascii="仿宋" w:hAnsi="仿宋" w:eastAsia="仿宋"/>
                <w:b/>
                <w:bCs w:val="0"/>
              </w:rPr>
            </w:pPr>
            <w:r>
              <w:rPr>
                <w:rFonts w:hint="eastAsia" w:ascii="仿宋" w:hAnsi="仿宋" w:eastAsia="仿宋"/>
                <w:b/>
                <w:bCs w:val="0"/>
              </w:rPr>
              <w:t>2）提交的应急预案内容较完整、较合理、较为可行，得3分；</w:t>
            </w:r>
          </w:p>
          <w:p>
            <w:pPr>
              <w:rPr>
                <w:rFonts w:ascii="仿宋" w:hAnsi="仿宋" w:eastAsia="仿宋"/>
                <w:b/>
                <w:bCs w:val="0"/>
              </w:rPr>
            </w:pPr>
            <w:r>
              <w:rPr>
                <w:rFonts w:hint="eastAsia" w:ascii="仿宋" w:hAnsi="仿宋" w:eastAsia="仿宋"/>
                <w:b/>
                <w:bCs w:val="0"/>
              </w:rPr>
              <w:t>3）提交的应急预案内容不够完整，功能欠完善，需要进行调整才能满足采购人使用需求，得1分；</w:t>
            </w:r>
          </w:p>
          <w:p>
            <w:pPr>
              <w:rPr>
                <w:rFonts w:ascii="仿宋" w:hAnsi="仿宋" w:eastAsia="仿宋"/>
                <w:b/>
                <w:bCs w:val="0"/>
              </w:rPr>
            </w:pPr>
            <w:r>
              <w:rPr>
                <w:rFonts w:hint="eastAsia" w:ascii="仿宋" w:hAnsi="仿宋" w:eastAsia="仿宋"/>
                <w:b/>
                <w:bCs w:val="0"/>
              </w:rPr>
              <w:t>4）未提交预案或提交的应急预案内容不完整、不合理、可行性差，得0分。</w:t>
            </w:r>
          </w:p>
        </w:tc>
        <w:tc>
          <w:tcPr>
            <w:tcW w:w="901" w:type="dxa"/>
          </w:tcPr>
          <w:p>
            <w:pPr>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5" w:type="dxa"/>
            <w:vAlign w:val="center"/>
          </w:tcPr>
          <w:p>
            <w:pPr>
              <w:rPr>
                <w:rFonts w:ascii="仿宋" w:hAnsi="仿宋" w:eastAsia="仿宋"/>
                <w:b/>
                <w:bCs w:val="0"/>
              </w:rPr>
            </w:pPr>
            <w:r>
              <w:rPr>
                <w:rFonts w:hint="eastAsia" w:ascii="仿宋" w:hAnsi="仿宋" w:eastAsia="仿宋"/>
                <w:b/>
                <w:bCs w:val="0"/>
              </w:rPr>
              <w:t>技术（设备管理计划</w:t>
            </w:r>
          </w:p>
          <w:p>
            <w:pPr>
              <w:rPr>
                <w:rFonts w:ascii="仿宋" w:hAnsi="仿宋" w:eastAsia="仿宋"/>
                <w:b/>
                <w:bCs w:val="0"/>
              </w:rPr>
            </w:pPr>
            <w:r>
              <w:rPr>
                <w:rFonts w:ascii="仿宋" w:hAnsi="仿宋" w:eastAsia="仿宋"/>
                <w:b/>
                <w:bCs w:val="0"/>
              </w:rPr>
              <w:t>10</w:t>
            </w:r>
            <w:r>
              <w:rPr>
                <w:rFonts w:hint="eastAsia" w:ascii="仿宋" w:hAnsi="仿宋" w:eastAsia="仿宋"/>
                <w:b/>
                <w:bCs w:val="0"/>
              </w:rPr>
              <w:t>分）</w:t>
            </w:r>
          </w:p>
          <w:p>
            <w:pPr>
              <w:rPr>
                <w:rFonts w:ascii="仿宋" w:hAnsi="仿宋" w:eastAsia="仿宋"/>
                <w:b/>
                <w:bCs w:val="0"/>
              </w:rPr>
            </w:pPr>
          </w:p>
        </w:tc>
        <w:tc>
          <w:tcPr>
            <w:tcW w:w="744" w:type="dxa"/>
            <w:vAlign w:val="center"/>
          </w:tcPr>
          <w:p>
            <w:pPr>
              <w:rPr>
                <w:rFonts w:ascii="仿宋" w:hAnsi="仿宋" w:eastAsia="仿宋"/>
                <w:b/>
                <w:bCs w:val="0"/>
              </w:rPr>
            </w:pPr>
            <w:r>
              <w:rPr>
                <w:rFonts w:hint="eastAsia" w:ascii="仿宋" w:hAnsi="仿宋" w:eastAsia="仿宋"/>
                <w:b/>
                <w:bCs w:val="0"/>
              </w:rPr>
              <w:t>2.4</w:t>
            </w:r>
          </w:p>
        </w:tc>
        <w:tc>
          <w:tcPr>
            <w:tcW w:w="5629" w:type="dxa"/>
            <w:vAlign w:val="center"/>
          </w:tcPr>
          <w:p>
            <w:pPr>
              <w:widowControl/>
              <w:contextualSpacing/>
              <w:rPr>
                <w:rFonts w:ascii="仿宋" w:hAnsi="仿宋" w:eastAsia="仿宋"/>
                <w:b/>
                <w:bCs w:val="0"/>
              </w:rPr>
            </w:pPr>
            <w:r>
              <w:rPr>
                <w:rFonts w:hint="eastAsia" w:ascii="仿宋" w:hAnsi="仿宋" w:eastAsia="仿宋"/>
                <w:b/>
                <w:bCs w:val="0"/>
              </w:rPr>
              <w:t>根据投标人提供的设备管理计划，对于设备清单、设备进场时间、设备部署等计划进行综合评分，共</w:t>
            </w:r>
            <w:r>
              <w:rPr>
                <w:rFonts w:ascii="仿宋" w:hAnsi="仿宋" w:eastAsia="仿宋"/>
                <w:b/>
                <w:bCs w:val="0"/>
              </w:rPr>
              <w:t>10分</w:t>
            </w:r>
            <w:r>
              <w:rPr>
                <w:rFonts w:hint="eastAsia" w:ascii="仿宋" w:hAnsi="仿宋" w:eastAsia="仿宋"/>
                <w:b/>
                <w:bCs w:val="0"/>
              </w:rPr>
              <w:t>。</w:t>
            </w:r>
          </w:p>
          <w:p>
            <w:pPr>
              <w:widowControl/>
              <w:numPr>
                <w:ilvl w:val="0"/>
                <w:numId w:val="32"/>
              </w:numPr>
              <w:contextualSpacing/>
              <w:rPr>
                <w:rFonts w:ascii="仿宋" w:hAnsi="仿宋" w:eastAsia="仿宋"/>
                <w:b/>
                <w:bCs w:val="0"/>
              </w:rPr>
            </w:pPr>
            <w:r>
              <w:rPr>
                <w:rFonts w:hint="eastAsia" w:ascii="仿宋" w:hAnsi="仿宋" w:eastAsia="仿宋"/>
                <w:b/>
                <w:bCs w:val="0"/>
              </w:rPr>
              <w:t>对于设备清单、设备进场时间、设备部署计划</w:t>
            </w:r>
            <w:r>
              <w:rPr>
                <w:rFonts w:ascii="仿宋" w:hAnsi="仿宋" w:eastAsia="仿宋"/>
                <w:b/>
                <w:bCs w:val="0"/>
              </w:rPr>
              <w:t>明确、数量合理，能够很好的满足采购人使用需要，得10分；</w:t>
            </w:r>
          </w:p>
          <w:p>
            <w:pPr>
              <w:widowControl/>
              <w:contextualSpacing/>
              <w:rPr>
                <w:rFonts w:ascii="仿宋" w:hAnsi="仿宋" w:eastAsia="仿宋"/>
                <w:b/>
                <w:bCs w:val="0"/>
              </w:rPr>
            </w:pPr>
            <w:r>
              <w:rPr>
                <w:rFonts w:ascii="仿宋" w:hAnsi="仿宋" w:eastAsia="仿宋"/>
                <w:b/>
                <w:bCs w:val="0"/>
              </w:rPr>
              <w:t>2）提供了</w:t>
            </w:r>
            <w:r>
              <w:rPr>
                <w:rFonts w:hint="eastAsia" w:ascii="仿宋" w:hAnsi="仿宋" w:eastAsia="仿宋"/>
                <w:b/>
                <w:bCs w:val="0"/>
              </w:rPr>
              <w:t>设备管理计划</w:t>
            </w:r>
            <w:r>
              <w:rPr>
                <w:rFonts w:ascii="仿宋" w:hAnsi="仿宋" w:eastAsia="仿宋"/>
                <w:b/>
                <w:bCs w:val="0"/>
              </w:rPr>
              <w:t>，但所提供设置</w:t>
            </w:r>
            <w:r>
              <w:rPr>
                <w:rFonts w:hint="eastAsia" w:ascii="仿宋" w:hAnsi="仿宋" w:eastAsia="仿宋"/>
                <w:b/>
                <w:bCs w:val="0"/>
              </w:rPr>
              <w:t>稍</w:t>
            </w:r>
            <w:r>
              <w:rPr>
                <w:rFonts w:ascii="仿宋" w:hAnsi="仿宋" w:eastAsia="仿宋"/>
                <w:b/>
                <w:bCs w:val="0"/>
              </w:rPr>
              <w:t>欠合理或和数量</w:t>
            </w:r>
            <w:r>
              <w:rPr>
                <w:rFonts w:hint="eastAsia" w:ascii="仿宋" w:hAnsi="仿宋" w:eastAsia="仿宋"/>
                <w:b/>
                <w:bCs w:val="0"/>
              </w:rPr>
              <w:t>略微</w:t>
            </w:r>
            <w:r>
              <w:rPr>
                <w:rFonts w:ascii="仿宋" w:hAnsi="仿宋" w:eastAsia="仿宋"/>
                <w:b/>
                <w:bCs w:val="0"/>
              </w:rPr>
              <w:t>不足，与采购人使用需要存在</w:t>
            </w:r>
            <w:r>
              <w:rPr>
                <w:rFonts w:hint="eastAsia" w:ascii="仿宋" w:hAnsi="仿宋" w:eastAsia="仿宋"/>
                <w:b/>
                <w:bCs w:val="0"/>
              </w:rPr>
              <w:t>少量</w:t>
            </w:r>
            <w:r>
              <w:rPr>
                <w:rFonts w:ascii="仿宋" w:hAnsi="仿宋" w:eastAsia="仿宋"/>
                <w:b/>
                <w:bCs w:val="0"/>
              </w:rPr>
              <w:t>偏差，得</w:t>
            </w:r>
            <w:r>
              <w:rPr>
                <w:rFonts w:hint="eastAsia" w:ascii="仿宋" w:hAnsi="仿宋" w:eastAsia="仿宋"/>
                <w:b/>
                <w:bCs w:val="0"/>
              </w:rPr>
              <w:t>6</w:t>
            </w:r>
            <w:r>
              <w:rPr>
                <w:rFonts w:ascii="仿宋" w:hAnsi="仿宋" w:eastAsia="仿宋"/>
                <w:b/>
                <w:bCs w:val="0"/>
              </w:rPr>
              <w:t>分；</w:t>
            </w:r>
          </w:p>
          <w:p>
            <w:pPr>
              <w:widowControl/>
              <w:contextualSpacing/>
              <w:rPr>
                <w:rFonts w:ascii="仿宋" w:hAnsi="仿宋" w:eastAsia="仿宋"/>
                <w:b/>
                <w:bCs w:val="0"/>
              </w:rPr>
            </w:pPr>
            <w:r>
              <w:rPr>
                <w:rFonts w:hint="eastAsia" w:ascii="仿宋" w:hAnsi="仿宋" w:eastAsia="仿宋"/>
                <w:b/>
                <w:bCs w:val="0"/>
              </w:rPr>
              <w:t>3</w:t>
            </w:r>
            <w:r>
              <w:rPr>
                <w:rFonts w:ascii="仿宋" w:hAnsi="仿宋" w:eastAsia="仿宋"/>
                <w:b/>
                <w:bCs w:val="0"/>
              </w:rPr>
              <w:t>）提供了</w:t>
            </w:r>
            <w:r>
              <w:rPr>
                <w:rFonts w:hint="eastAsia" w:ascii="仿宋" w:hAnsi="仿宋" w:eastAsia="仿宋"/>
                <w:b/>
                <w:bCs w:val="0"/>
              </w:rPr>
              <w:t>设备管理计划</w:t>
            </w:r>
            <w:r>
              <w:rPr>
                <w:rFonts w:ascii="仿宋" w:hAnsi="仿宋" w:eastAsia="仿宋"/>
                <w:b/>
                <w:bCs w:val="0"/>
              </w:rPr>
              <w:t>，但所提供设置欠合理或和数量不足，与采购人使用需要存在一定偏差，得</w:t>
            </w:r>
            <w:r>
              <w:rPr>
                <w:rFonts w:hint="eastAsia" w:ascii="仿宋" w:hAnsi="仿宋" w:eastAsia="仿宋"/>
                <w:b/>
                <w:bCs w:val="0"/>
              </w:rPr>
              <w:t>3</w:t>
            </w:r>
            <w:r>
              <w:rPr>
                <w:rFonts w:ascii="仿宋" w:hAnsi="仿宋" w:eastAsia="仿宋"/>
                <w:b/>
                <w:bCs w:val="0"/>
              </w:rPr>
              <w:t>分；</w:t>
            </w:r>
          </w:p>
          <w:p>
            <w:pPr>
              <w:widowControl/>
              <w:contextualSpacing/>
              <w:rPr>
                <w:rFonts w:ascii="仿宋" w:hAnsi="仿宋" w:eastAsia="仿宋"/>
                <w:b/>
                <w:bCs w:val="0"/>
              </w:rPr>
            </w:pPr>
            <w:r>
              <w:rPr>
                <w:rFonts w:hint="eastAsia" w:ascii="仿宋" w:hAnsi="仿宋" w:eastAsia="仿宋"/>
                <w:b/>
                <w:bCs w:val="0"/>
              </w:rPr>
              <w:t>4</w:t>
            </w:r>
            <w:r>
              <w:rPr>
                <w:rFonts w:ascii="仿宋" w:hAnsi="仿宋" w:eastAsia="仿宋"/>
                <w:b/>
                <w:bCs w:val="0"/>
              </w:rPr>
              <w:t>）未提交</w:t>
            </w:r>
            <w:r>
              <w:rPr>
                <w:rFonts w:hint="eastAsia" w:ascii="仿宋" w:hAnsi="仿宋" w:eastAsia="仿宋"/>
                <w:b/>
                <w:bCs w:val="0"/>
              </w:rPr>
              <w:t>设备管理计划</w:t>
            </w:r>
            <w:r>
              <w:rPr>
                <w:rFonts w:ascii="仿宋" w:hAnsi="仿宋" w:eastAsia="仿宋"/>
                <w:b/>
                <w:bCs w:val="0"/>
              </w:rPr>
              <w:t>计划或提交的计划与采购人使用需要有较大偏差的，得0分。</w:t>
            </w:r>
          </w:p>
        </w:tc>
        <w:tc>
          <w:tcPr>
            <w:tcW w:w="901" w:type="dxa"/>
          </w:tcPr>
          <w:p>
            <w:pPr>
              <w:rPr>
                <w:rFonts w:ascii="仿宋" w:hAnsi="仿宋" w:eastAsia="仿宋"/>
                <w:b/>
                <w:bCs w:val="0"/>
              </w:rPr>
            </w:pPr>
            <w:r>
              <w:rPr>
                <w:rFonts w:ascii="仿宋_GB2312" w:hAnsi="宋体" w:eastAsia="仿宋_GB2312"/>
                <w:b/>
                <w:bCs w:val="0"/>
                <w:color w:val="000000"/>
                <w:szCs w:val="21"/>
              </w:rPr>
              <w:t>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5" w:type="dxa"/>
            <w:vAlign w:val="center"/>
          </w:tcPr>
          <w:p>
            <w:pPr>
              <w:jc w:val="left"/>
              <w:rPr>
                <w:rFonts w:ascii="仿宋" w:hAnsi="仿宋" w:eastAsia="仿宋"/>
                <w:b/>
                <w:bCs w:val="0"/>
              </w:rPr>
            </w:pPr>
            <w:r>
              <w:rPr>
                <w:rFonts w:ascii="仿宋" w:hAnsi="仿宋" w:eastAsia="仿宋"/>
                <w:b/>
                <w:bCs w:val="0"/>
              </w:rPr>
              <w:t>人员管理计划</w:t>
            </w:r>
          </w:p>
          <w:p>
            <w:pPr>
              <w:jc w:val="left"/>
              <w:rPr>
                <w:rFonts w:ascii="仿宋" w:hAnsi="仿宋" w:eastAsia="仿宋"/>
                <w:b/>
                <w:bCs w:val="0"/>
              </w:rPr>
            </w:pPr>
            <w:r>
              <w:rPr>
                <w:rFonts w:hint="eastAsia" w:ascii="仿宋" w:hAnsi="仿宋" w:eastAsia="仿宋"/>
                <w:b/>
                <w:bCs w:val="0"/>
              </w:rPr>
              <w:t>（</w:t>
            </w:r>
            <w:r>
              <w:rPr>
                <w:rFonts w:ascii="仿宋" w:hAnsi="仿宋" w:eastAsia="仿宋"/>
                <w:b/>
                <w:bCs w:val="0"/>
              </w:rPr>
              <w:t>5</w:t>
            </w:r>
            <w:r>
              <w:rPr>
                <w:rFonts w:hint="eastAsia" w:ascii="仿宋" w:hAnsi="仿宋" w:eastAsia="仿宋"/>
                <w:b/>
                <w:bCs w:val="0"/>
              </w:rPr>
              <w:t>分）</w:t>
            </w:r>
          </w:p>
          <w:p>
            <w:pPr>
              <w:rPr>
                <w:rFonts w:ascii="仿宋" w:hAnsi="仿宋" w:eastAsia="仿宋"/>
                <w:b/>
                <w:bCs w:val="0"/>
              </w:rPr>
            </w:pPr>
          </w:p>
        </w:tc>
        <w:tc>
          <w:tcPr>
            <w:tcW w:w="744" w:type="dxa"/>
            <w:vAlign w:val="center"/>
          </w:tcPr>
          <w:p>
            <w:pPr>
              <w:jc w:val="left"/>
              <w:rPr>
                <w:rFonts w:ascii="仿宋" w:hAnsi="仿宋" w:eastAsia="仿宋"/>
                <w:b/>
                <w:bCs w:val="0"/>
              </w:rPr>
            </w:pPr>
            <w:r>
              <w:rPr>
                <w:rFonts w:hint="eastAsia" w:ascii="仿宋" w:hAnsi="仿宋" w:eastAsia="仿宋"/>
                <w:b/>
                <w:bCs w:val="0"/>
              </w:rPr>
              <w:t>2.5</w:t>
            </w:r>
          </w:p>
        </w:tc>
        <w:tc>
          <w:tcPr>
            <w:tcW w:w="5629" w:type="dxa"/>
            <w:vAlign w:val="center"/>
          </w:tcPr>
          <w:p>
            <w:pPr>
              <w:rPr>
                <w:rFonts w:ascii="仿宋" w:hAnsi="仿宋" w:eastAsia="仿宋"/>
                <w:b/>
                <w:bCs w:val="0"/>
              </w:rPr>
            </w:pPr>
            <w:r>
              <w:rPr>
                <w:rFonts w:ascii="仿宋" w:hAnsi="仿宋" w:eastAsia="仿宋"/>
                <w:b/>
                <w:bCs w:val="0"/>
              </w:rPr>
              <w:t>根据投标人提供的项目人员管理计划、项目总体人员配置计划以及主要人员的到岗时间计划，从人员配备是否合理、职责是否清晰、数量是否能够满足采购人使用需要、管理制度是否健全等方面，进行综合评分，</w:t>
            </w:r>
            <w:r>
              <w:rPr>
                <w:rFonts w:hint="eastAsia" w:ascii="仿宋" w:hAnsi="仿宋" w:eastAsia="仿宋"/>
                <w:b/>
                <w:bCs w:val="0"/>
              </w:rPr>
              <w:t>本项满分5分</w:t>
            </w:r>
            <w:r>
              <w:rPr>
                <w:rFonts w:ascii="仿宋" w:hAnsi="仿宋" w:eastAsia="仿宋"/>
                <w:b/>
                <w:bCs w:val="0"/>
              </w:rPr>
              <w:t>。</w:t>
            </w:r>
          </w:p>
          <w:p>
            <w:pPr>
              <w:numPr>
                <w:ilvl w:val="0"/>
                <w:numId w:val="33"/>
              </w:numPr>
              <w:jc w:val="left"/>
              <w:rPr>
                <w:rFonts w:ascii="仿宋" w:hAnsi="仿宋" w:eastAsia="仿宋"/>
                <w:b/>
                <w:bCs w:val="0"/>
              </w:rPr>
            </w:pPr>
            <w:r>
              <w:rPr>
                <w:rFonts w:hint="eastAsia" w:ascii="仿宋" w:hAnsi="仿宋" w:eastAsia="仿宋"/>
                <w:b/>
                <w:bCs w:val="0"/>
              </w:rPr>
              <w:t>所配备的人员岗位明确、数量合理，能够很好的满足采购人使用需要，得5分；</w:t>
            </w:r>
          </w:p>
          <w:p>
            <w:pPr>
              <w:numPr>
                <w:ilvl w:val="0"/>
                <w:numId w:val="33"/>
              </w:numPr>
              <w:jc w:val="left"/>
              <w:rPr>
                <w:b/>
                <w:bCs w:val="0"/>
              </w:rPr>
            </w:pPr>
            <w:r>
              <w:rPr>
                <w:rFonts w:hint="eastAsia" w:ascii="仿宋" w:hAnsi="仿宋" w:eastAsia="仿宋"/>
                <w:b/>
                <w:bCs w:val="0"/>
              </w:rPr>
              <w:t>所配备的人员岗位基本明确、数量基本合理，能较好满足采购人使用需要，得3分；</w:t>
            </w:r>
          </w:p>
          <w:p>
            <w:pPr>
              <w:jc w:val="left"/>
              <w:rPr>
                <w:rFonts w:ascii="仿宋" w:hAnsi="仿宋" w:eastAsia="仿宋"/>
                <w:b/>
                <w:bCs w:val="0"/>
              </w:rPr>
            </w:pPr>
            <w:r>
              <w:rPr>
                <w:rFonts w:hint="eastAsia" w:ascii="仿宋" w:hAnsi="仿宋" w:eastAsia="仿宋"/>
                <w:b/>
                <w:bCs w:val="0"/>
              </w:rPr>
              <w:t>3）提供了人员计划，但所提供人员岗位设置欠合理或和数量不足，与采购人使用需要存在一定偏差，得1分；</w:t>
            </w:r>
          </w:p>
          <w:p>
            <w:pPr>
              <w:rPr>
                <w:rFonts w:ascii="仿宋" w:hAnsi="仿宋" w:eastAsia="仿宋"/>
                <w:b/>
                <w:bCs w:val="0"/>
              </w:rPr>
            </w:pPr>
            <w:r>
              <w:rPr>
                <w:rFonts w:hint="eastAsia" w:ascii="仿宋" w:hAnsi="仿宋" w:eastAsia="仿宋"/>
                <w:b/>
                <w:bCs w:val="0"/>
              </w:rPr>
              <w:t>4）未提交人员计划或提交的人员计划与采购人使用需要有较大偏差的，得0分。</w:t>
            </w:r>
          </w:p>
        </w:tc>
        <w:tc>
          <w:tcPr>
            <w:tcW w:w="901" w:type="dxa"/>
          </w:tcPr>
          <w:p>
            <w:pPr>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5</w:t>
            </w:r>
          </w:p>
        </w:tc>
      </w:tr>
    </w:tbl>
    <w:p>
      <w:pPr>
        <w:spacing w:before="156" w:beforeLines="50" w:after="156" w:afterLines="50" w:line="320" w:lineRule="exact"/>
        <w:rPr>
          <w:rFonts w:ascii="仿宋_GB2312" w:hAnsi="宋体" w:eastAsia="仿宋_GB2312"/>
          <w:b/>
          <w:color w:val="000000" w:themeColor="text1"/>
          <w:sz w:val="32"/>
          <w:szCs w:val="32"/>
          <w14:textFill>
            <w14:solidFill>
              <w14:schemeClr w14:val="tx1"/>
            </w14:solidFill>
          </w14:textFill>
        </w:rPr>
      </w:pPr>
    </w:p>
    <w:p>
      <w:pPr>
        <w:spacing w:before="156" w:beforeLines="50" w:after="156" w:afterLines="50" w:line="320" w:lineRule="exact"/>
        <w:rPr>
          <w:rFonts w:ascii="仿宋_GB2312" w:hAnsi="宋体" w:eastAsia="仿宋_GB2312"/>
          <w:b/>
          <w:color w:val="000000" w:themeColor="text1"/>
          <w:sz w:val="32"/>
          <w:szCs w:val="32"/>
          <w14:textFill>
            <w14:solidFill>
              <w14:schemeClr w14:val="tx1"/>
            </w14:solidFill>
          </w14:textFill>
        </w:rPr>
      </w:pPr>
      <w:r>
        <w:rPr>
          <w:rFonts w:ascii="仿宋_GB2312" w:hAnsi="宋体" w:eastAsia="仿宋_GB2312"/>
          <w:b/>
          <w:color w:val="000000" w:themeColor="text1"/>
          <w:sz w:val="32"/>
          <w:szCs w:val="32"/>
          <w14:textFill>
            <w14:solidFill>
              <w14:schemeClr w14:val="tx1"/>
            </w14:solidFill>
          </w14:textFill>
        </w:rPr>
        <w:t>标项</w:t>
      </w:r>
      <w:r>
        <w:rPr>
          <w:rFonts w:hint="eastAsia" w:ascii="仿宋_GB2312" w:hAnsi="宋体" w:eastAsia="仿宋_GB2312"/>
          <w:b/>
          <w:color w:val="000000" w:themeColor="text1"/>
          <w:sz w:val="32"/>
          <w:szCs w:val="32"/>
          <w14:textFill>
            <w14:solidFill>
              <w14:schemeClr w14:val="tx1"/>
            </w14:solidFill>
          </w14:textFill>
        </w:rPr>
        <w:t>3</w:t>
      </w:r>
    </w:p>
    <w:tbl>
      <w:tblPr>
        <w:tblStyle w:val="58"/>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0"/>
        <w:gridCol w:w="768"/>
        <w:gridCol w:w="5652"/>
        <w:gridCol w:w="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5" w:hRule="atLeast"/>
        </w:trPr>
        <w:tc>
          <w:tcPr>
            <w:tcW w:w="1220" w:type="dxa"/>
          </w:tcPr>
          <w:p>
            <w:pPr>
              <w:spacing w:before="156" w:beforeLines="50" w:after="156" w:afterLines="50" w:line="276" w:lineRule="auto"/>
              <w:rPr>
                <w:rFonts w:ascii="仿宋" w:hAnsi="仿宋" w:eastAsia="仿宋"/>
                <w:b/>
                <w:bCs w:val="0"/>
              </w:rPr>
            </w:pPr>
            <w:r>
              <w:rPr>
                <w:rFonts w:hint="eastAsia" w:ascii="仿宋_GB2312" w:hAnsi="宋体" w:eastAsia="仿宋_GB2312"/>
                <w:b/>
                <w:bCs w:val="0"/>
                <w:color w:val="000000"/>
                <w:szCs w:val="21"/>
              </w:rPr>
              <w:t>评分类型</w:t>
            </w:r>
          </w:p>
        </w:tc>
        <w:tc>
          <w:tcPr>
            <w:tcW w:w="768" w:type="dxa"/>
          </w:tcPr>
          <w:p>
            <w:pPr>
              <w:spacing w:before="156" w:beforeLines="50" w:after="156" w:afterLines="50" w:line="276" w:lineRule="auto"/>
              <w:jc w:val="center"/>
              <w:rPr>
                <w:rFonts w:ascii="仿宋" w:hAnsi="仿宋" w:eastAsia="仿宋"/>
                <w:b/>
                <w:bCs w:val="0"/>
              </w:rPr>
            </w:pPr>
            <w:r>
              <w:rPr>
                <w:rFonts w:hint="eastAsia" w:ascii="仿宋_GB2312" w:hAnsi="宋体" w:eastAsia="仿宋_GB2312"/>
                <w:b/>
                <w:bCs w:val="0"/>
                <w:color w:val="000000"/>
                <w:szCs w:val="21"/>
              </w:rPr>
              <w:t>序号</w:t>
            </w:r>
          </w:p>
        </w:tc>
        <w:tc>
          <w:tcPr>
            <w:tcW w:w="5652" w:type="dxa"/>
          </w:tcPr>
          <w:p>
            <w:pPr>
              <w:spacing w:before="156" w:beforeLines="50" w:after="156" w:afterLines="50" w:line="276" w:lineRule="auto"/>
              <w:jc w:val="center"/>
              <w:rPr>
                <w:rFonts w:ascii="仿宋" w:hAnsi="仿宋" w:eastAsia="仿宋"/>
                <w:b/>
                <w:bCs w:val="0"/>
              </w:rPr>
            </w:pPr>
            <w:r>
              <w:rPr>
                <w:rFonts w:hint="eastAsia" w:ascii="仿宋_GB2312" w:hAnsi="宋体" w:eastAsia="仿宋_GB2312"/>
                <w:b/>
                <w:bCs w:val="0"/>
                <w:color w:val="000000"/>
                <w:szCs w:val="21"/>
              </w:rPr>
              <w:t>评分标准</w:t>
            </w:r>
          </w:p>
        </w:tc>
        <w:tc>
          <w:tcPr>
            <w:tcW w:w="879" w:type="dxa"/>
          </w:tcPr>
          <w:p>
            <w:pPr>
              <w:spacing w:before="156" w:beforeLines="50" w:after="156" w:afterLines="50" w:line="276" w:lineRule="auto"/>
              <w:rPr>
                <w:rFonts w:ascii="仿宋_GB2312" w:hAnsi="宋体" w:eastAsia="仿宋_GB2312"/>
                <w:b/>
                <w:bCs w:val="0"/>
                <w:color w:val="000000"/>
                <w:szCs w:val="21"/>
              </w:rPr>
            </w:pPr>
            <w:r>
              <w:rPr>
                <w:rFonts w:hint="eastAsia" w:ascii="仿宋_GB2312" w:hAnsi="宋体" w:eastAsia="仿宋_GB2312"/>
                <w:b/>
                <w:bCs w:val="0"/>
                <w:color w:val="000000"/>
                <w:szCs w:val="21"/>
              </w:rPr>
              <w:t>分值</w:t>
            </w:r>
          </w:p>
          <w:p>
            <w:pPr>
              <w:spacing w:before="156" w:beforeLines="50" w:after="156" w:afterLines="50" w:line="276" w:lineRule="auto"/>
              <w:rPr>
                <w:rFonts w:ascii="仿宋" w:hAnsi="仿宋" w:eastAsia="仿宋"/>
                <w:b/>
                <w:bCs w:val="0"/>
              </w:rPr>
            </w:pPr>
            <w:r>
              <w:rPr>
                <w:rFonts w:hint="eastAsia" w:ascii="仿宋_GB2312" w:hAnsi="宋体" w:eastAsia="仿宋_GB2312"/>
                <w:b/>
                <w:bCs w:val="0"/>
                <w:color w:val="000000"/>
                <w:szCs w:val="21"/>
              </w:rPr>
              <w:t>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0" w:type="dxa"/>
            <w:vAlign w:val="center"/>
          </w:tcPr>
          <w:p>
            <w:pPr>
              <w:rPr>
                <w:rFonts w:ascii="仿宋" w:hAnsi="仿宋" w:eastAsia="仿宋"/>
                <w:b/>
                <w:bCs w:val="0"/>
              </w:rPr>
            </w:pPr>
            <w:r>
              <w:rPr>
                <w:rFonts w:ascii="仿宋_GB2312" w:hAnsi="宋体" w:eastAsia="仿宋_GB2312"/>
                <w:b/>
                <w:bCs w:val="0"/>
                <w:color w:val="000000"/>
                <w:szCs w:val="21"/>
              </w:rPr>
              <w:t>报价</w:t>
            </w:r>
            <w:r>
              <w:rPr>
                <w:rFonts w:hint="eastAsia" w:ascii="仿宋_GB2312" w:hAnsi="宋体" w:eastAsia="仿宋_GB2312"/>
                <w:b/>
                <w:bCs w:val="0"/>
                <w:color w:val="000000"/>
                <w:szCs w:val="21"/>
              </w:rPr>
              <w:t>（价格分）10分</w:t>
            </w:r>
          </w:p>
        </w:tc>
        <w:tc>
          <w:tcPr>
            <w:tcW w:w="768" w:type="dxa"/>
            <w:vAlign w:val="center"/>
          </w:tcPr>
          <w:p>
            <w:pPr>
              <w:rPr>
                <w:rFonts w:ascii="仿宋" w:hAnsi="仿宋" w:eastAsia="仿宋"/>
                <w:b/>
                <w:bCs w:val="0"/>
              </w:rPr>
            </w:pPr>
            <w:r>
              <w:rPr>
                <w:rFonts w:hint="eastAsia" w:ascii="仿宋" w:hAnsi="仿宋" w:eastAsia="仿宋"/>
                <w:b/>
                <w:bCs w:val="0"/>
              </w:rPr>
              <w:t>1</w:t>
            </w:r>
          </w:p>
        </w:tc>
        <w:tc>
          <w:tcPr>
            <w:tcW w:w="5652" w:type="dxa"/>
            <w:vAlign w:val="center"/>
          </w:tcPr>
          <w:p>
            <w:pPr>
              <w:rPr>
                <w:rFonts w:ascii="仿宋" w:hAnsi="仿宋" w:eastAsia="仿宋"/>
                <w:b/>
                <w:bCs w:val="0"/>
              </w:rPr>
            </w:pPr>
            <w:r>
              <w:rPr>
                <w:rFonts w:hint="eastAsia" w:ascii="仿宋" w:hAnsi="仿宋" w:eastAsia="仿宋"/>
                <w:b/>
                <w:bCs w:val="0"/>
              </w:rPr>
              <w:t>价格分统一采用低价优先法计算，即满足招标文件要求且投标价格最低的投标报价为评标基准价，其价格分为满分。其他投标人的价格分统一按照下列公式计算：</w:t>
            </w:r>
          </w:p>
          <w:p>
            <w:pPr>
              <w:rPr>
                <w:rFonts w:ascii="仿宋" w:hAnsi="仿宋" w:eastAsia="仿宋"/>
                <w:b/>
                <w:bCs w:val="0"/>
              </w:rPr>
            </w:pPr>
            <w:r>
              <w:rPr>
                <w:rFonts w:hint="eastAsia" w:ascii="仿宋" w:hAnsi="仿宋" w:eastAsia="仿宋"/>
                <w:b/>
                <w:bCs w:val="0"/>
              </w:rPr>
              <w:t xml:space="preserve">投标报价得分=(评标基准价／投标报价)×价格权值×100               </w:t>
            </w:r>
          </w:p>
          <w:p>
            <w:pPr>
              <w:rPr>
                <w:rFonts w:ascii="仿宋" w:hAnsi="仿宋" w:eastAsia="仿宋"/>
                <w:b/>
                <w:bCs w:val="0"/>
              </w:rPr>
            </w:pPr>
            <w:r>
              <w:rPr>
                <w:rFonts w:hint="eastAsia" w:ascii="仿宋" w:hAnsi="仿宋" w:eastAsia="仿宋"/>
                <w:b/>
                <w:bCs w:val="0"/>
              </w:rPr>
              <w:t>计算分数时四舍五入取小数点后两位</w:t>
            </w:r>
          </w:p>
          <w:p>
            <w:pPr>
              <w:rPr>
                <w:rFonts w:ascii="仿宋" w:hAnsi="仿宋" w:eastAsia="仿宋"/>
                <w:b/>
                <w:bCs w:val="0"/>
              </w:rPr>
            </w:pPr>
            <w:r>
              <w:rPr>
                <w:rFonts w:hint="eastAsia" w:ascii="仿宋" w:hAnsi="仿宋" w:eastAsia="仿宋"/>
                <w:b/>
                <w:bCs w:val="0"/>
              </w:rPr>
              <w:t>注：（1）根据《政府采购促进中小企业发展管理办法》的相关规定，对小型和微型企业的价格给予6%的扣除，用扣除后的价格参与评审。</w:t>
            </w:r>
          </w:p>
          <w:p>
            <w:pPr>
              <w:rPr>
                <w:rFonts w:ascii="仿宋" w:hAnsi="仿宋" w:eastAsia="仿宋"/>
                <w:b/>
                <w:bCs w:val="0"/>
              </w:rPr>
            </w:pPr>
            <w:r>
              <w:rPr>
                <w:rFonts w:hint="eastAsia" w:ascii="仿宋" w:hAnsi="仿宋" w:eastAsia="仿宋"/>
                <w:b/>
                <w:bCs w:val="0"/>
              </w:rPr>
              <w:t>（2）根据《财政部民政部中国残疾人联合会关于促进残疾人就业政府采购政策的通知》（财库〔2017〕141号）的规定，对符合条件的残疾人福利性单位设备的价格给予6%的扣除，用扣除后的价格参与评审。</w:t>
            </w:r>
          </w:p>
          <w:p>
            <w:pPr>
              <w:rPr>
                <w:rFonts w:ascii="仿宋" w:hAnsi="仿宋" w:eastAsia="仿宋"/>
                <w:b/>
                <w:bCs w:val="0"/>
              </w:rPr>
            </w:pPr>
            <w:r>
              <w:rPr>
                <w:rFonts w:hint="eastAsia" w:ascii="仿宋" w:hAnsi="仿宋" w:eastAsia="仿宋"/>
                <w:b/>
                <w:bCs w:val="0"/>
              </w:rPr>
              <w:t>小型、微型企业和监狱企业级符合财政部、民政部、中国残疾人联合会关于促进残疾人就业政府采购政策的通知，以上政策同时具备的仅对其进行一次6%的价格扣除，不重复扣除。</w:t>
            </w:r>
          </w:p>
        </w:tc>
        <w:tc>
          <w:tcPr>
            <w:tcW w:w="879" w:type="dxa"/>
          </w:tcPr>
          <w:p>
            <w:pPr>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0" w:type="dxa"/>
            <w:vAlign w:val="center"/>
          </w:tcPr>
          <w:p>
            <w:pPr>
              <w:rPr>
                <w:rFonts w:ascii="仿宋_GB2312" w:hAnsi="宋体" w:eastAsia="仿宋_GB2312"/>
                <w:b/>
                <w:bCs w:val="0"/>
                <w:color w:val="000000"/>
                <w:szCs w:val="21"/>
              </w:rPr>
            </w:pPr>
            <w:r>
              <w:rPr>
                <w:rFonts w:ascii="仿宋_GB2312" w:hAnsi="宋体" w:eastAsia="仿宋_GB2312"/>
                <w:b/>
                <w:bCs w:val="0"/>
                <w:color w:val="000000"/>
                <w:szCs w:val="21"/>
              </w:rPr>
              <w:t>商务</w:t>
            </w:r>
            <w:r>
              <w:rPr>
                <w:rFonts w:hint="default" w:ascii="仿宋_GB2312" w:hAnsi="宋体" w:eastAsia="仿宋_GB2312"/>
                <w:b/>
                <w:bCs w:val="0"/>
                <w:color w:val="000000"/>
                <w:szCs w:val="21"/>
              </w:rPr>
              <w:t>资信（</w:t>
            </w:r>
            <w:r>
              <w:rPr>
                <w:rFonts w:ascii="仿宋_GB2312" w:hAnsi="宋体" w:eastAsia="仿宋_GB2312"/>
                <w:b/>
                <w:bCs w:val="0"/>
                <w:color w:val="000000"/>
                <w:szCs w:val="21"/>
              </w:rPr>
              <w:t>投标</w:t>
            </w:r>
            <w:r>
              <w:rPr>
                <w:rFonts w:hint="default" w:ascii="仿宋_GB2312" w:hAnsi="宋体" w:eastAsia="仿宋_GB2312"/>
                <w:b/>
                <w:bCs w:val="0"/>
                <w:color w:val="000000"/>
                <w:szCs w:val="21"/>
              </w:rPr>
              <w:t>人</w:t>
            </w:r>
            <w:r>
              <w:rPr>
                <w:rFonts w:ascii="仿宋_GB2312" w:hAnsi="宋体" w:eastAsia="仿宋_GB2312"/>
                <w:b/>
                <w:bCs w:val="0"/>
                <w:color w:val="000000"/>
                <w:szCs w:val="21"/>
              </w:rPr>
              <w:t>业绩1</w:t>
            </w:r>
            <w:r>
              <w:rPr>
                <w:rFonts w:hint="default" w:ascii="仿宋_GB2312" w:hAnsi="宋体" w:eastAsia="仿宋_GB2312"/>
                <w:b/>
                <w:bCs w:val="0"/>
                <w:color w:val="000000"/>
                <w:szCs w:val="21"/>
              </w:rPr>
              <w:t>2分）</w:t>
            </w:r>
          </w:p>
          <w:p>
            <w:pPr>
              <w:rPr>
                <w:rFonts w:ascii="仿宋" w:hAnsi="仿宋" w:eastAsia="仿宋"/>
                <w:b/>
                <w:bCs w:val="0"/>
              </w:rPr>
            </w:pPr>
          </w:p>
        </w:tc>
        <w:tc>
          <w:tcPr>
            <w:tcW w:w="768" w:type="dxa"/>
            <w:vAlign w:val="center"/>
          </w:tcPr>
          <w:p>
            <w:pPr>
              <w:rPr>
                <w:rFonts w:ascii="仿宋" w:hAnsi="仿宋" w:eastAsia="仿宋"/>
                <w:b/>
                <w:bCs w:val="0"/>
              </w:rPr>
            </w:pPr>
            <w:r>
              <w:rPr>
                <w:rFonts w:hint="eastAsia" w:ascii="仿宋" w:hAnsi="仿宋" w:eastAsia="仿宋"/>
                <w:b/>
                <w:bCs w:val="0"/>
              </w:rPr>
              <w:t>1.1</w:t>
            </w:r>
          </w:p>
        </w:tc>
        <w:tc>
          <w:tcPr>
            <w:tcW w:w="5652" w:type="dxa"/>
            <w:vAlign w:val="center"/>
          </w:tcPr>
          <w:p>
            <w:pPr>
              <w:rPr>
                <w:rFonts w:ascii="仿宋" w:hAnsi="仿宋" w:eastAsia="仿宋"/>
                <w:b/>
                <w:bCs w:val="0"/>
              </w:rPr>
            </w:pPr>
            <w:r>
              <w:rPr>
                <w:rFonts w:hint="eastAsia" w:ascii="仿宋" w:hAnsi="仿宋" w:eastAsia="仿宋"/>
                <w:b/>
                <w:bCs w:val="0"/>
              </w:rPr>
              <w:t>投标人提供</w:t>
            </w:r>
            <w:r>
              <w:rPr>
                <w:rFonts w:ascii="仿宋" w:hAnsi="仿宋" w:eastAsia="仿宋"/>
                <w:b/>
                <w:bCs w:val="0"/>
              </w:rPr>
              <w:t>2008 年至本次投标截止日期</w:t>
            </w:r>
            <w:r>
              <w:rPr>
                <w:rFonts w:hint="eastAsia" w:ascii="仿宋" w:hAnsi="仿宋" w:eastAsia="仿宋"/>
                <w:b/>
                <w:bCs w:val="0"/>
              </w:rPr>
              <w:t>（</w:t>
            </w:r>
            <w:r>
              <w:rPr>
                <w:rFonts w:ascii="仿宋" w:hAnsi="仿宋" w:eastAsia="仿宋"/>
                <w:b/>
                <w:bCs w:val="0"/>
              </w:rPr>
              <w:t>以合同签署日期为准</w:t>
            </w:r>
            <w:r>
              <w:rPr>
                <w:rFonts w:hint="eastAsia" w:ascii="仿宋" w:hAnsi="仿宋" w:eastAsia="仿宋"/>
                <w:b/>
                <w:bCs w:val="0"/>
              </w:rPr>
              <w:t>）</w:t>
            </w:r>
            <w:r>
              <w:rPr>
                <w:rFonts w:ascii="仿宋" w:hAnsi="仿宋" w:eastAsia="仿宋"/>
                <w:b/>
                <w:bCs w:val="0"/>
              </w:rPr>
              <w:t>，完成的全国性或国际级（多国参与）综合性运动会竞赛信息化成功案例情况进行评分，</w:t>
            </w:r>
            <w:r>
              <w:rPr>
                <w:rFonts w:hint="eastAsia" w:ascii="仿宋" w:hAnsi="仿宋" w:eastAsia="仿宋"/>
                <w:b/>
                <w:bCs w:val="0"/>
              </w:rPr>
              <w:t>案例中包含竞赛监控系统、竞赛闭路系统、视频直播系统中至少两个系统。每提供一个成功案例得6分</w:t>
            </w:r>
            <w:r>
              <w:rPr>
                <w:rFonts w:ascii="仿宋" w:hAnsi="仿宋" w:eastAsia="仿宋"/>
                <w:b/>
                <w:bCs w:val="0"/>
              </w:rPr>
              <w:t>，</w:t>
            </w:r>
            <w:r>
              <w:rPr>
                <w:rFonts w:hint="eastAsia" w:ascii="仿宋" w:hAnsi="仿宋" w:eastAsia="仿宋"/>
                <w:b/>
                <w:bCs w:val="0"/>
              </w:rPr>
              <w:t>满分12分，</w:t>
            </w:r>
            <w:r>
              <w:rPr>
                <w:rFonts w:ascii="仿宋" w:hAnsi="仿宋" w:eastAsia="仿宋"/>
                <w:b/>
                <w:bCs w:val="0"/>
              </w:rPr>
              <w:t>须同时提供以下证明文件，否则不得分。</w:t>
            </w:r>
          </w:p>
          <w:p>
            <w:pPr>
              <w:rPr>
                <w:rFonts w:ascii="仿宋" w:hAnsi="仿宋" w:eastAsia="仿宋"/>
                <w:b/>
                <w:bCs w:val="0"/>
              </w:rPr>
            </w:pPr>
            <w:r>
              <w:rPr>
                <w:rFonts w:ascii="仿宋" w:hAnsi="仿宋" w:eastAsia="仿宋"/>
                <w:b/>
                <w:bCs w:val="0"/>
              </w:rPr>
              <w:t>1）合同扫描件或复印件，至少包括买卖双方名称、服务内容</w:t>
            </w:r>
            <w:r>
              <w:rPr>
                <w:rFonts w:hint="eastAsia" w:ascii="仿宋" w:hAnsi="仿宋" w:eastAsia="仿宋"/>
                <w:b/>
                <w:bCs w:val="0"/>
              </w:rPr>
              <w:t>、</w:t>
            </w:r>
            <w:r>
              <w:rPr>
                <w:rFonts w:ascii="仿宋" w:hAnsi="仿宋" w:eastAsia="仿宋"/>
                <w:b/>
                <w:bCs w:val="0"/>
              </w:rPr>
              <w:t>签署盖章页。</w:t>
            </w:r>
          </w:p>
          <w:p>
            <w:pPr>
              <w:rPr>
                <w:rFonts w:ascii="仿宋" w:hAnsi="仿宋" w:eastAsia="仿宋"/>
                <w:b/>
                <w:bCs w:val="0"/>
              </w:rPr>
            </w:pPr>
            <w:r>
              <w:rPr>
                <w:rFonts w:ascii="仿宋" w:hAnsi="仿宋" w:eastAsia="仿宋"/>
                <w:b/>
                <w:bCs w:val="0"/>
              </w:rPr>
              <w:t>2）用户盖章或签字的成功履行合同的证明材料扫描件或扫描件。</w:t>
            </w:r>
          </w:p>
        </w:tc>
        <w:tc>
          <w:tcPr>
            <w:tcW w:w="879" w:type="dxa"/>
          </w:tcPr>
          <w:p>
            <w:pPr>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0" w:type="dxa"/>
            <w:vAlign w:val="center"/>
          </w:tcPr>
          <w:p>
            <w:pPr>
              <w:rPr>
                <w:rFonts w:ascii="仿宋" w:hAnsi="仿宋" w:eastAsia="仿宋"/>
                <w:b/>
                <w:bCs w:val="0"/>
              </w:rPr>
            </w:pPr>
            <w:r>
              <w:rPr>
                <w:rFonts w:ascii="仿宋" w:hAnsi="仿宋" w:eastAsia="仿宋"/>
                <w:b/>
                <w:bCs w:val="0"/>
              </w:rPr>
              <w:t>商务</w:t>
            </w:r>
            <w:r>
              <w:rPr>
                <w:rFonts w:hint="eastAsia" w:ascii="仿宋" w:hAnsi="仿宋" w:eastAsia="仿宋"/>
                <w:b/>
                <w:bCs w:val="0"/>
              </w:rPr>
              <w:t>资信</w:t>
            </w:r>
          </w:p>
          <w:p>
            <w:pPr>
              <w:rPr>
                <w:rFonts w:ascii="仿宋" w:hAnsi="仿宋" w:eastAsia="仿宋"/>
                <w:b/>
                <w:bCs w:val="0"/>
              </w:rPr>
            </w:pPr>
            <w:r>
              <w:rPr>
                <w:rFonts w:hint="eastAsia" w:ascii="仿宋" w:hAnsi="仿宋" w:eastAsia="仿宋"/>
                <w:b/>
                <w:bCs w:val="0"/>
              </w:rPr>
              <w:t>（</w:t>
            </w:r>
            <w:r>
              <w:rPr>
                <w:rFonts w:ascii="仿宋" w:hAnsi="仿宋" w:eastAsia="仿宋"/>
                <w:b/>
                <w:bCs w:val="0"/>
              </w:rPr>
              <w:t>项目负责人</w:t>
            </w:r>
            <w:r>
              <w:rPr>
                <w:rFonts w:hint="eastAsia" w:ascii="仿宋" w:hAnsi="仿宋" w:eastAsia="仿宋"/>
                <w:b/>
                <w:bCs w:val="0"/>
              </w:rPr>
              <w:t>4分）</w:t>
            </w:r>
          </w:p>
          <w:p>
            <w:pPr>
              <w:rPr>
                <w:rFonts w:ascii="仿宋" w:hAnsi="仿宋" w:eastAsia="仿宋"/>
                <w:b/>
                <w:bCs w:val="0"/>
              </w:rPr>
            </w:pPr>
          </w:p>
        </w:tc>
        <w:tc>
          <w:tcPr>
            <w:tcW w:w="768" w:type="dxa"/>
            <w:vAlign w:val="center"/>
          </w:tcPr>
          <w:p>
            <w:pPr>
              <w:rPr>
                <w:rFonts w:ascii="仿宋" w:hAnsi="仿宋" w:eastAsia="仿宋"/>
                <w:b/>
                <w:bCs w:val="0"/>
              </w:rPr>
            </w:pPr>
            <w:r>
              <w:rPr>
                <w:rFonts w:hint="eastAsia" w:ascii="仿宋" w:hAnsi="仿宋" w:eastAsia="仿宋"/>
                <w:b/>
                <w:bCs w:val="0"/>
              </w:rPr>
              <w:t>1.2</w:t>
            </w:r>
          </w:p>
        </w:tc>
        <w:tc>
          <w:tcPr>
            <w:tcW w:w="5652" w:type="dxa"/>
            <w:vAlign w:val="center"/>
          </w:tcPr>
          <w:p>
            <w:pPr>
              <w:rPr>
                <w:rFonts w:ascii="仿宋" w:hAnsi="仿宋" w:eastAsia="仿宋"/>
                <w:b/>
                <w:bCs w:val="0"/>
              </w:rPr>
            </w:pPr>
            <w:r>
              <w:rPr>
                <w:rFonts w:ascii="仿宋" w:hAnsi="仿宋" w:eastAsia="仿宋"/>
                <w:b/>
                <w:bCs w:val="0"/>
              </w:rPr>
              <w:t>项目负责人具有</w:t>
            </w:r>
            <w:r>
              <w:rPr>
                <w:rFonts w:hint="eastAsia" w:ascii="仿宋" w:hAnsi="仿宋" w:eastAsia="仿宋"/>
                <w:b/>
                <w:bCs w:val="0"/>
              </w:rPr>
              <w:t>负责</w:t>
            </w:r>
            <w:r>
              <w:rPr>
                <w:rFonts w:ascii="仿宋" w:hAnsi="仿宋" w:eastAsia="仿宋"/>
                <w:b/>
                <w:bCs w:val="0"/>
              </w:rPr>
              <w:t>全国性或国际级（多国参与）综合性运动会竞赛信息化</w:t>
            </w:r>
            <w:r>
              <w:rPr>
                <w:rFonts w:hint="eastAsia" w:ascii="仿宋" w:hAnsi="仿宋" w:eastAsia="仿宋"/>
                <w:b/>
                <w:bCs w:val="0"/>
              </w:rPr>
              <w:t>管理经验，</w:t>
            </w:r>
            <w:r>
              <w:rPr>
                <w:rFonts w:ascii="仿宋" w:hAnsi="仿宋" w:eastAsia="仿宋"/>
                <w:b/>
                <w:bCs w:val="0"/>
              </w:rPr>
              <w:t>每</w:t>
            </w:r>
            <w:r>
              <w:rPr>
                <w:rFonts w:hint="eastAsia" w:ascii="仿宋" w:hAnsi="仿宋" w:eastAsia="仿宋"/>
                <w:b/>
                <w:bCs w:val="0"/>
              </w:rPr>
              <w:t>参加1个得1分，满分4分。须提供相关证书或证件和该人员在本项目投标企业近六个月内任意一个月的社保证明复印件加盖公章，否则不得分。</w:t>
            </w:r>
          </w:p>
        </w:tc>
        <w:tc>
          <w:tcPr>
            <w:tcW w:w="879" w:type="dxa"/>
          </w:tcPr>
          <w:p>
            <w:pPr>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6" w:hRule="atLeast"/>
        </w:trPr>
        <w:tc>
          <w:tcPr>
            <w:tcW w:w="1220" w:type="dxa"/>
            <w:vMerge w:val="restart"/>
            <w:vAlign w:val="center"/>
          </w:tcPr>
          <w:p>
            <w:pPr>
              <w:rPr>
                <w:rFonts w:ascii="仿宋" w:hAnsi="仿宋" w:eastAsia="仿宋"/>
                <w:b/>
                <w:bCs w:val="0"/>
              </w:rPr>
            </w:pPr>
            <w:r>
              <w:rPr>
                <w:rFonts w:ascii="仿宋" w:hAnsi="仿宋" w:eastAsia="仿宋"/>
                <w:b/>
                <w:bCs w:val="0"/>
              </w:rPr>
              <w:t>商务</w:t>
            </w:r>
            <w:r>
              <w:rPr>
                <w:rFonts w:hint="eastAsia" w:ascii="仿宋" w:hAnsi="仿宋" w:eastAsia="仿宋"/>
                <w:b/>
                <w:bCs w:val="0"/>
              </w:rPr>
              <w:t>资信</w:t>
            </w:r>
          </w:p>
          <w:p>
            <w:pPr>
              <w:rPr>
                <w:rFonts w:ascii="仿宋" w:hAnsi="仿宋" w:eastAsia="仿宋"/>
                <w:b/>
                <w:bCs w:val="0"/>
              </w:rPr>
            </w:pPr>
            <w:r>
              <w:rPr>
                <w:rFonts w:hint="eastAsia" w:ascii="仿宋" w:hAnsi="仿宋" w:eastAsia="仿宋"/>
                <w:b/>
                <w:bCs w:val="0"/>
              </w:rPr>
              <w:t>（项目</w:t>
            </w:r>
            <w:r>
              <w:rPr>
                <w:rFonts w:ascii="仿宋" w:hAnsi="仿宋" w:eastAsia="仿宋"/>
                <w:b/>
                <w:bCs w:val="0"/>
              </w:rPr>
              <w:t>团队</w:t>
            </w:r>
            <w:r>
              <w:rPr>
                <w:rFonts w:hint="eastAsia" w:ascii="仿宋" w:hAnsi="仿宋" w:eastAsia="仿宋"/>
                <w:b/>
                <w:bCs w:val="0"/>
              </w:rPr>
              <w:t>4分）</w:t>
            </w:r>
          </w:p>
          <w:p>
            <w:pPr>
              <w:rPr>
                <w:rFonts w:ascii="仿宋" w:hAnsi="仿宋" w:eastAsia="仿宋"/>
                <w:b/>
                <w:bCs w:val="0"/>
              </w:rPr>
            </w:pPr>
          </w:p>
        </w:tc>
        <w:tc>
          <w:tcPr>
            <w:tcW w:w="768" w:type="dxa"/>
            <w:vAlign w:val="center"/>
          </w:tcPr>
          <w:p>
            <w:pPr>
              <w:rPr>
                <w:rFonts w:ascii="仿宋" w:hAnsi="仿宋" w:eastAsia="仿宋"/>
                <w:b/>
                <w:bCs w:val="0"/>
              </w:rPr>
            </w:pPr>
            <w:r>
              <w:rPr>
                <w:rFonts w:hint="eastAsia" w:ascii="仿宋" w:hAnsi="仿宋" w:eastAsia="仿宋"/>
                <w:b/>
                <w:bCs w:val="0"/>
              </w:rPr>
              <w:t>1.3.1</w:t>
            </w:r>
          </w:p>
        </w:tc>
        <w:tc>
          <w:tcPr>
            <w:tcW w:w="5652" w:type="dxa"/>
            <w:vAlign w:val="center"/>
          </w:tcPr>
          <w:p>
            <w:pPr>
              <w:rPr>
                <w:rFonts w:ascii="仿宋" w:hAnsi="仿宋" w:eastAsia="仿宋"/>
                <w:b/>
                <w:bCs w:val="0"/>
              </w:rPr>
            </w:pPr>
            <w:r>
              <w:rPr>
                <w:rFonts w:hint="eastAsia" w:ascii="仿宋" w:hAnsi="仿宋" w:eastAsia="仿宋"/>
                <w:b/>
                <w:bCs w:val="0"/>
              </w:rPr>
              <w:t>拟派驻场</w:t>
            </w:r>
            <w:r>
              <w:rPr>
                <w:rFonts w:ascii="仿宋" w:hAnsi="仿宋" w:eastAsia="仿宋"/>
                <w:b/>
                <w:bCs w:val="0"/>
              </w:rPr>
              <w:t>团队人数</w:t>
            </w:r>
            <w:r>
              <w:rPr>
                <w:rFonts w:hint="eastAsia" w:ascii="仿宋" w:hAnsi="仿宋" w:eastAsia="仿宋"/>
                <w:b/>
                <w:bCs w:val="0"/>
              </w:rPr>
              <w:t>（含项目负责人和工程师）</w:t>
            </w:r>
            <w:r>
              <w:rPr>
                <w:rFonts w:ascii="仿宋" w:hAnsi="仿宋" w:eastAsia="仿宋"/>
                <w:b/>
                <w:bCs w:val="0"/>
              </w:rPr>
              <w:t>1</w:t>
            </w:r>
            <w:r>
              <w:rPr>
                <w:rFonts w:hint="eastAsia" w:ascii="仿宋" w:hAnsi="仿宋" w:eastAsia="仿宋"/>
                <w:b/>
                <w:bCs w:val="0"/>
              </w:rPr>
              <w:t>2</w:t>
            </w:r>
            <w:r>
              <w:rPr>
                <w:rFonts w:ascii="仿宋" w:hAnsi="仿宋" w:eastAsia="仿宋"/>
                <w:b/>
                <w:bCs w:val="0"/>
              </w:rPr>
              <w:t>人及以上得</w:t>
            </w:r>
            <w:r>
              <w:rPr>
                <w:rFonts w:hint="eastAsia" w:ascii="仿宋" w:hAnsi="仿宋" w:eastAsia="仿宋"/>
                <w:b/>
                <w:bCs w:val="0"/>
              </w:rPr>
              <w:t>2分， 6</w:t>
            </w:r>
            <w:r>
              <w:rPr>
                <w:rFonts w:ascii="仿宋" w:hAnsi="仿宋" w:eastAsia="仿宋"/>
                <w:b/>
                <w:bCs w:val="0"/>
              </w:rPr>
              <w:t>-1</w:t>
            </w:r>
            <w:r>
              <w:rPr>
                <w:rFonts w:hint="eastAsia" w:ascii="仿宋" w:hAnsi="仿宋" w:eastAsia="仿宋"/>
                <w:b/>
                <w:bCs w:val="0"/>
              </w:rPr>
              <w:t>1</w:t>
            </w:r>
            <w:r>
              <w:rPr>
                <w:rFonts w:ascii="仿宋" w:hAnsi="仿宋" w:eastAsia="仿宋"/>
                <w:b/>
                <w:bCs w:val="0"/>
              </w:rPr>
              <w:t>人得</w:t>
            </w:r>
            <w:r>
              <w:rPr>
                <w:rFonts w:hint="eastAsia" w:ascii="仿宋" w:hAnsi="仿宋" w:eastAsia="仿宋"/>
                <w:b/>
                <w:bCs w:val="0"/>
              </w:rPr>
              <w:t>1分，6</w:t>
            </w:r>
            <w:r>
              <w:rPr>
                <w:rFonts w:ascii="仿宋" w:hAnsi="仿宋" w:eastAsia="仿宋"/>
                <w:b/>
                <w:bCs w:val="0"/>
              </w:rPr>
              <w:t>人以下</w:t>
            </w:r>
            <w:r>
              <w:rPr>
                <w:rFonts w:hint="eastAsia" w:ascii="仿宋" w:hAnsi="仿宋" w:eastAsia="仿宋"/>
                <w:b/>
                <w:bCs w:val="0"/>
              </w:rPr>
              <w:t>不得</w:t>
            </w:r>
            <w:r>
              <w:rPr>
                <w:rFonts w:ascii="仿宋" w:hAnsi="仿宋" w:eastAsia="仿宋"/>
                <w:b/>
                <w:bCs w:val="0"/>
              </w:rPr>
              <w:t>分</w:t>
            </w:r>
            <w:r>
              <w:rPr>
                <w:rFonts w:hint="eastAsia" w:ascii="仿宋" w:hAnsi="仿宋" w:eastAsia="仿宋"/>
                <w:b/>
                <w:bCs w:val="0"/>
              </w:rPr>
              <w:t>。须相应人员提供在本项目投标企业近六个月内任意一个月的社保证明复印件加盖公章，否则不得分。</w:t>
            </w:r>
          </w:p>
        </w:tc>
        <w:tc>
          <w:tcPr>
            <w:tcW w:w="879" w:type="dxa"/>
          </w:tcPr>
          <w:p>
            <w:pPr>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4" w:hRule="atLeast"/>
        </w:trPr>
        <w:tc>
          <w:tcPr>
            <w:tcW w:w="1220" w:type="dxa"/>
            <w:vMerge w:val="continue"/>
            <w:vAlign w:val="center"/>
          </w:tcPr>
          <w:p>
            <w:pPr>
              <w:rPr>
                <w:rFonts w:ascii="仿宋" w:hAnsi="仿宋" w:eastAsia="仿宋"/>
                <w:b/>
                <w:bCs w:val="0"/>
              </w:rPr>
            </w:pPr>
          </w:p>
        </w:tc>
        <w:tc>
          <w:tcPr>
            <w:tcW w:w="768" w:type="dxa"/>
            <w:vAlign w:val="center"/>
          </w:tcPr>
          <w:p>
            <w:pPr>
              <w:rPr>
                <w:rFonts w:ascii="仿宋" w:hAnsi="仿宋" w:eastAsia="仿宋"/>
                <w:b/>
                <w:bCs w:val="0"/>
              </w:rPr>
            </w:pPr>
            <w:r>
              <w:rPr>
                <w:rFonts w:hint="eastAsia" w:ascii="仿宋" w:hAnsi="仿宋" w:eastAsia="仿宋"/>
                <w:b/>
                <w:bCs w:val="0"/>
              </w:rPr>
              <w:t>1.3.2</w:t>
            </w:r>
          </w:p>
        </w:tc>
        <w:tc>
          <w:tcPr>
            <w:tcW w:w="5652" w:type="dxa"/>
            <w:vAlign w:val="center"/>
          </w:tcPr>
          <w:p>
            <w:pPr>
              <w:rPr>
                <w:rFonts w:ascii="仿宋" w:hAnsi="仿宋" w:eastAsia="仿宋"/>
                <w:b/>
                <w:bCs w:val="0"/>
              </w:rPr>
            </w:pPr>
            <w:r>
              <w:rPr>
                <w:rFonts w:ascii="仿宋" w:hAnsi="仿宋" w:eastAsia="仿宋"/>
                <w:b/>
                <w:bCs w:val="0"/>
              </w:rPr>
              <w:t>拟派驻场人员</w:t>
            </w:r>
            <w:r>
              <w:rPr>
                <w:rFonts w:hint="eastAsia" w:ascii="仿宋" w:hAnsi="仿宋" w:eastAsia="仿宋"/>
                <w:b/>
                <w:bCs w:val="0"/>
              </w:rPr>
              <w:t>（项目负责人除外）</w:t>
            </w:r>
            <w:r>
              <w:rPr>
                <w:rFonts w:ascii="仿宋" w:hAnsi="仿宋" w:eastAsia="仿宋"/>
                <w:b/>
                <w:bCs w:val="0"/>
              </w:rPr>
              <w:t>具</w:t>
            </w:r>
            <w:r>
              <w:rPr>
                <w:rFonts w:hint="eastAsia" w:ascii="仿宋" w:hAnsi="仿宋" w:eastAsia="仿宋"/>
                <w:b/>
                <w:bCs w:val="0"/>
              </w:rPr>
              <w:t>有全国性或国际级（多国参与）综合性运动会竞赛信息化工作经验，10人以上得2分，5-10人得1分，5人以下不得分。须提供相应人员的相关证书或证件和在本项目投标企业近六个月内任意一个月的社保证明复印件加盖公章，否则不得分。</w:t>
            </w:r>
          </w:p>
        </w:tc>
        <w:tc>
          <w:tcPr>
            <w:tcW w:w="879" w:type="dxa"/>
          </w:tcPr>
          <w:p>
            <w:pPr>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 w:hRule="atLeast"/>
        </w:trPr>
        <w:tc>
          <w:tcPr>
            <w:tcW w:w="1220" w:type="dxa"/>
            <w:vAlign w:val="center"/>
          </w:tcPr>
          <w:p>
            <w:pPr>
              <w:rPr>
                <w:rFonts w:ascii="仿宋" w:hAnsi="仿宋" w:eastAsia="仿宋"/>
                <w:b/>
                <w:bCs w:val="0"/>
              </w:rPr>
            </w:pPr>
            <w:r>
              <w:rPr>
                <w:rFonts w:hint="eastAsia" w:ascii="仿宋" w:hAnsi="仿宋" w:eastAsia="仿宋"/>
                <w:b/>
                <w:bCs w:val="0"/>
              </w:rPr>
              <w:t>技术</w:t>
            </w:r>
          </w:p>
          <w:p>
            <w:pPr>
              <w:rPr>
                <w:rFonts w:ascii="仿宋" w:hAnsi="仿宋" w:eastAsia="仿宋"/>
                <w:b/>
                <w:bCs w:val="0"/>
              </w:rPr>
            </w:pPr>
            <w:r>
              <w:rPr>
                <w:rFonts w:hint="eastAsia" w:ascii="仿宋" w:hAnsi="仿宋" w:eastAsia="仿宋"/>
                <w:b/>
                <w:bCs w:val="0"/>
              </w:rPr>
              <w:t>（竞赛监控子系统1</w:t>
            </w:r>
            <w:r>
              <w:rPr>
                <w:rFonts w:ascii="仿宋" w:hAnsi="仿宋" w:eastAsia="仿宋"/>
                <w:b/>
                <w:bCs w:val="0"/>
              </w:rPr>
              <w:t>0</w:t>
            </w:r>
            <w:r>
              <w:rPr>
                <w:rFonts w:hint="eastAsia" w:ascii="仿宋" w:hAnsi="仿宋" w:eastAsia="仿宋"/>
                <w:b/>
                <w:bCs w:val="0"/>
              </w:rPr>
              <w:t>分）</w:t>
            </w:r>
          </w:p>
        </w:tc>
        <w:tc>
          <w:tcPr>
            <w:tcW w:w="768" w:type="dxa"/>
            <w:vAlign w:val="center"/>
          </w:tcPr>
          <w:p>
            <w:pPr>
              <w:rPr>
                <w:rFonts w:ascii="仿宋" w:hAnsi="仿宋" w:eastAsia="仿宋"/>
                <w:b/>
                <w:bCs w:val="0"/>
              </w:rPr>
            </w:pPr>
            <w:r>
              <w:rPr>
                <w:rFonts w:hint="eastAsia" w:ascii="仿宋" w:hAnsi="仿宋" w:eastAsia="仿宋"/>
                <w:b/>
                <w:bCs w:val="0"/>
              </w:rPr>
              <w:t>2.1</w:t>
            </w:r>
          </w:p>
        </w:tc>
        <w:tc>
          <w:tcPr>
            <w:tcW w:w="5652" w:type="dxa"/>
            <w:vAlign w:val="center"/>
          </w:tcPr>
          <w:p>
            <w:pPr>
              <w:rPr>
                <w:rFonts w:ascii="仿宋" w:hAnsi="仿宋" w:eastAsia="仿宋"/>
                <w:b/>
                <w:bCs w:val="0"/>
              </w:rPr>
            </w:pPr>
            <w:r>
              <w:rPr>
                <w:rFonts w:ascii="仿宋" w:hAnsi="仿宋" w:eastAsia="仿宋"/>
                <w:b/>
                <w:bCs w:val="0"/>
              </w:rPr>
              <w:t>根据投标人对</w:t>
            </w:r>
            <w:r>
              <w:rPr>
                <w:rFonts w:hint="eastAsia" w:ascii="仿宋" w:hAnsi="仿宋" w:eastAsia="仿宋"/>
                <w:b/>
                <w:bCs w:val="0"/>
              </w:rPr>
              <w:t>竞赛监控子系统</w:t>
            </w:r>
            <w:r>
              <w:rPr>
                <w:rFonts w:ascii="仿宋" w:hAnsi="仿宋" w:eastAsia="仿宋"/>
                <w:b/>
                <w:bCs w:val="0"/>
              </w:rPr>
              <w:t>服务需求的理解程度，技术架构的先进性、技术指标的合理性、技术指标测算的科学性，设计方案的亮点与特色等方面，进行综合评分</w:t>
            </w:r>
            <w:r>
              <w:rPr>
                <w:rFonts w:hint="eastAsia" w:ascii="仿宋" w:hAnsi="仿宋" w:eastAsia="仿宋"/>
                <w:b/>
                <w:bCs w:val="0"/>
              </w:rPr>
              <w:t>。本项满分1</w:t>
            </w:r>
            <w:r>
              <w:rPr>
                <w:rFonts w:ascii="仿宋" w:hAnsi="仿宋" w:eastAsia="仿宋"/>
                <w:b/>
                <w:bCs w:val="0"/>
              </w:rPr>
              <w:t>0</w:t>
            </w:r>
            <w:r>
              <w:rPr>
                <w:rFonts w:hint="eastAsia" w:ascii="仿宋" w:hAnsi="仿宋" w:eastAsia="仿宋"/>
                <w:b/>
                <w:bCs w:val="0"/>
              </w:rPr>
              <w:t>分。</w:t>
            </w:r>
          </w:p>
          <w:p>
            <w:pPr>
              <w:rPr>
                <w:rFonts w:ascii="仿宋" w:hAnsi="仿宋" w:eastAsia="仿宋"/>
                <w:b/>
                <w:bCs w:val="0"/>
              </w:rPr>
            </w:pPr>
            <w:r>
              <w:rPr>
                <w:rFonts w:hint="eastAsia" w:ascii="仿宋" w:hAnsi="仿宋" w:eastAsia="仿宋"/>
                <w:b/>
                <w:bCs w:val="0"/>
              </w:rPr>
              <w:t>1）提交的系统方案内容完整、合理、可行，得1</w:t>
            </w:r>
            <w:r>
              <w:rPr>
                <w:rFonts w:ascii="仿宋" w:hAnsi="仿宋" w:eastAsia="仿宋"/>
                <w:b/>
                <w:bCs w:val="0"/>
              </w:rPr>
              <w:t>0</w:t>
            </w:r>
            <w:r>
              <w:rPr>
                <w:rFonts w:hint="eastAsia" w:ascii="仿宋" w:hAnsi="仿宋" w:eastAsia="仿宋"/>
                <w:b/>
                <w:bCs w:val="0"/>
              </w:rPr>
              <w:t>分；</w:t>
            </w:r>
          </w:p>
          <w:p>
            <w:pPr>
              <w:rPr>
                <w:rFonts w:ascii="仿宋" w:hAnsi="仿宋" w:eastAsia="仿宋"/>
                <w:b/>
                <w:bCs w:val="0"/>
              </w:rPr>
            </w:pPr>
            <w:r>
              <w:rPr>
                <w:rFonts w:hint="eastAsia" w:ascii="仿宋" w:hAnsi="仿宋" w:eastAsia="仿宋"/>
                <w:b/>
                <w:bCs w:val="0"/>
              </w:rPr>
              <w:t>2）提交的系统方案内容较完整、较合理、较为可行，得7分；</w:t>
            </w:r>
          </w:p>
          <w:p>
            <w:pPr>
              <w:rPr>
                <w:rFonts w:ascii="仿宋" w:hAnsi="仿宋" w:eastAsia="仿宋"/>
                <w:b/>
                <w:bCs w:val="0"/>
              </w:rPr>
            </w:pPr>
            <w:r>
              <w:rPr>
                <w:rFonts w:hint="eastAsia" w:ascii="仿宋" w:hAnsi="仿宋" w:eastAsia="仿宋"/>
                <w:b/>
                <w:bCs w:val="0"/>
              </w:rPr>
              <w:t>3）提交的系统方案内容不够完整，功能欠完善，需要进行调整才能满足采购人使用需求，得4分；</w:t>
            </w:r>
          </w:p>
          <w:p>
            <w:pPr>
              <w:rPr>
                <w:rFonts w:ascii="仿宋" w:hAnsi="仿宋" w:eastAsia="仿宋"/>
                <w:b/>
                <w:bCs w:val="0"/>
              </w:rPr>
            </w:pPr>
            <w:r>
              <w:rPr>
                <w:rFonts w:hint="eastAsia" w:ascii="仿宋" w:hAnsi="仿宋" w:eastAsia="仿宋"/>
                <w:b/>
                <w:bCs w:val="0"/>
              </w:rPr>
              <w:t>4）未提交方案或提交的系统方案内容不完整、不合理、可行性差，得0分。</w:t>
            </w:r>
          </w:p>
        </w:tc>
        <w:tc>
          <w:tcPr>
            <w:tcW w:w="879" w:type="dxa"/>
          </w:tcPr>
          <w:p>
            <w:pPr>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0" w:type="dxa"/>
            <w:vAlign w:val="center"/>
          </w:tcPr>
          <w:p>
            <w:pPr>
              <w:rPr>
                <w:rFonts w:ascii="仿宋" w:hAnsi="仿宋" w:eastAsia="仿宋"/>
                <w:b/>
                <w:bCs w:val="0"/>
              </w:rPr>
            </w:pPr>
            <w:r>
              <w:rPr>
                <w:rFonts w:hint="eastAsia" w:ascii="仿宋" w:hAnsi="仿宋" w:eastAsia="仿宋"/>
                <w:b/>
                <w:bCs w:val="0"/>
              </w:rPr>
              <w:t>技术</w:t>
            </w:r>
          </w:p>
          <w:p>
            <w:pPr>
              <w:rPr>
                <w:rFonts w:ascii="仿宋" w:hAnsi="仿宋" w:eastAsia="仿宋"/>
                <w:b/>
                <w:bCs w:val="0"/>
              </w:rPr>
            </w:pPr>
            <w:r>
              <w:rPr>
                <w:rFonts w:hint="eastAsia" w:ascii="仿宋" w:hAnsi="仿宋" w:eastAsia="仿宋"/>
                <w:b/>
                <w:bCs w:val="0"/>
              </w:rPr>
              <w:t>（竞赛闭路子系统</w:t>
            </w:r>
            <w:r>
              <w:rPr>
                <w:rFonts w:ascii="仿宋" w:hAnsi="仿宋" w:eastAsia="仿宋"/>
                <w:b/>
                <w:bCs w:val="0"/>
              </w:rPr>
              <w:t>15</w:t>
            </w:r>
            <w:r>
              <w:rPr>
                <w:rFonts w:hint="eastAsia" w:ascii="仿宋" w:hAnsi="仿宋" w:eastAsia="仿宋"/>
                <w:b/>
                <w:bCs w:val="0"/>
              </w:rPr>
              <w:t>分）</w:t>
            </w:r>
          </w:p>
        </w:tc>
        <w:tc>
          <w:tcPr>
            <w:tcW w:w="768" w:type="dxa"/>
            <w:vAlign w:val="center"/>
          </w:tcPr>
          <w:p>
            <w:pPr>
              <w:rPr>
                <w:rFonts w:ascii="仿宋" w:hAnsi="仿宋" w:eastAsia="仿宋"/>
                <w:b/>
                <w:bCs w:val="0"/>
              </w:rPr>
            </w:pPr>
            <w:r>
              <w:rPr>
                <w:rFonts w:hint="eastAsia" w:ascii="仿宋" w:hAnsi="仿宋" w:eastAsia="仿宋"/>
                <w:b/>
                <w:bCs w:val="0"/>
              </w:rPr>
              <w:t>2.2</w:t>
            </w:r>
          </w:p>
        </w:tc>
        <w:tc>
          <w:tcPr>
            <w:tcW w:w="5652" w:type="dxa"/>
            <w:vAlign w:val="center"/>
          </w:tcPr>
          <w:p>
            <w:pPr>
              <w:rPr>
                <w:rFonts w:ascii="仿宋" w:hAnsi="仿宋" w:eastAsia="仿宋"/>
                <w:b/>
                <w:bCs w:val="0"/>
              </w:rPr>
            </w:pPr>
            <w:r>
              <w:rPr>
                <w:rFonts w:ascii="仿宋" w:hAnsi="仿宋" w:eastAsia="仿宋"/>
                <w:b/>
                <w:bCs w:val="0"/>
              </w:rPr>
              <w:t>根据投标人对</w:t>
            </w:r>
            <w:r>
              <w:rPr>
                <w:rFonts w:hint="eastAsia" w:ascii="仿宋" w:hAnsi="仿宋" w:eastAsia="仿宋"/>
                <w:b/>
                <w:bCs w:val="0"/>
              </w:rPr>
              <w:t>竞赛闭路子系统</w:t>
            </w:r>
            <w:r>
              <w:rPr>
                <w:rFonts w:ascii="仿宋" w:hAnsi="仿宋" w:eastAsia="仿宋"/>
                <w:b/>
                <w:bCs w:val="0"/>
              </w:rPr>
              <w:t>服务需求的理解程度，技术架构的先进性、技术指标的合理性、技术指标测算的科学性，设计方案的亮点与特色等方面，进行综合评分</w:t>
            </w:r>
            <w:r>
              <w:rPr>
                <w:rFonts w:hint="eastAsia" w:ascii="仿宋" w:hAnsi="仿宋" w:eastAsia="仿宋"/>
                <w:b/>
                <w:bCs w:val="0"/>
              </w:rPr>
              <w:t>。本项满分</w:t>
            </w:r>
            <w:r>
              <w:rPr>
                <w:rFonts w:ascii="仿宋" w:hAnsi="仿宋" w:eastAsia="仿宋"/>
                <w:b/>
                <w:bCs w:val="0"/>
              </w:rPr>
              <w:t>15</w:t>
            </w:r>
            <w:r>
              <w:rPr>
                <w:rFonts w:hint="eastAsia" w:ascii="仿宋" w:hAnsi="仿宋" w:eastAsia="仿宋"/>
                <w:b/>
                <w:bCs w:val="0"/>
              </w:rPr>
              <w:t>分。</w:t>
            </w:r>
          </w:p>
          <w:p>
            <w:pPr>
              <w:rPr>
                <w:rFonts w:ascii="仿宋" w:hAnsi="仿宋" w:eastAsia="仿宋"/>
                <w:b/>
                <w:bCs w:val="0"/>
              </w:rPr>
            </w:pPr>
            <w:r>
              <w:rPr>
                <w:rFonts w:hint="eastAsia" w:ascii="仿宋" w:hAnsi="仿宋" w:eastAsia="仿宋"/>
                <w:b/>
                <w:bCs w:val="0"/>
              </w:rPr>
              <w:t>1）提交的系统方案内容完整、合理、可行，得</w:t>
            </w:r>
            <w:r>
              <w:rPr>
                <w:rFonts w:ascii="仿宋" w:hAnsi="仿宋" w:eastAsia="仿宋"/>
                <w:b/>
                <w:bCs w:val="0"/>
              </w:rPr>
              <w:t>15</w:t>
            </w:r>
            <w:r>
              <w:rPr>
                <w:rFonts w:hint="eastAsia" w:ascii="仿宋" w:hAnsi="仿宋" w:eastAsia="仿宋"/>
                <w:b/>
                <w:bCs w:val="0"/>
              </w:rPr>
              <w:t>分；</w:t>
            </w:r>
          </w:p>
          <w:p>
            <w:pPr>
              <w:rPr>
                <w:rFonts w:ascii="仿宋" w:hAnsi="仿宋" w:eastAsia="仿宋"/>
                <w:b/>
                <w:bCs w:val="0"/>
              </w:rPr>
            </w:pPr>
            <w:r>
              <w:rPr>
                <w:rFonts w:hint="eastAsia" w:ascii="仿宋" w:hAnsi="仿宋" w:eastAsia="仿宋"/>
                <w:b/>
                <w:bCs w:val="0"/>
              </w:rPr>
              <w:t>2）提交的系统方案内容较完整、较合理、较为可行，得12分；</w:t>
            </w:r>
          </w:p>
          <w:p>
            <w:pPr>
              <w:rPr>
                <w:rFonts w:ascii="仿宋" w:hAnsi="仿宋" w:eastAsia="仿宋"/>
                <w:b/>
                <w:bCs w:val="0"/>
              </w:rPr>
            </w:pPr>
            <w:r>
              <w:rPr>
                <w:rFonts w:hint="eastAsia" w:ascii="仿宋" w:hAnsi="仿宋" w:eastAsia="仿宋"/>
                <w:b/>
                <w:bCs w:val="0"/>
              </w:rPr>
              <w:t>3）提交的系统方案内容不够完整，功能欠完善，需要进行调整才能满足采购人使用需求，得8分；</w:t>
            </w:r>
          </w:p>
          <w:p>
            <w:pPr>
              <w:rPr>
                <w:rFonts w:ascii="仿宋" w:hAnsi="仿宋" w:eastAsia="仿宋"/>
                <w:b/>
                <w:bCs w:val="0"/>
              </w:rPr>
            </w:pPr>
            <w:r>
              <w:rPr>
                <w:rFonts w:hint="eastAsia" w:ascii="仿宋" w:hAnsi="仿宋" w:eastAsia="仿宋"/>
                <w:b/>
                <w:bCs w:val="0"/>
              </w:rPr>
              <w:t>4）未提交方案或提交的系统方案内容不完整、不合理、可行性差，得0分。</w:t>
            </w:r>
          </w:p>
        </w:tc>
        <w:tc>
          <w:tcPr>
            <w:tcW w:w="879" w:type="dxa"/>
          </w:tcPr>
          <w:p>
            <w:pPr>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0" w:type="dxa"/>
            <w:vAlign w:val="center"/>
          </w:tcPr>
          <w:p>
            <w:pPr>
              <w:rPr>
                <w:rFonts w:ascii="仿宋" w:hAnsi="仿宋" w:eastAsia="仿宋"/>
                <w:b/>
                <w:bCs w:val="0"/>
              </w:rPr>
            </w:pPr>
            <w:r>
              <w:rPr>
                <w:rFonts w:hint="eastAsia" w:ascii="仿宋" w:hAnsi="仿宋" w:eastAsia="仿宋"/>
                <w:b/>
                <w:bCs w:val="0"/>
              </w:rPr>
              <w:t>技术（视频直播子系统</w:t>
            </w:r>
            <w:r>
              <w:rPr>
                <w:rFonts w:ascii="仿宋" w:hAnsi="仿宋" w:eastAsia="仿宋"/>
                <w:b/>
                <w:bCs w:val="0"/>
              </w:rPr>
              <w:t>20</w:t>
            </w:r>
            <w:r>
              <w:rPr>
                <w:rFonts w:hint="eastAsia" w:ascii="仿宋" w:hAnsi="仿宋" w:eastAsia="仿宋"/>
                <w:b/>
                <w:bCs w:val="0"/>
              </w:rPr>
              <w:t>分）</w:t>
            </w:r>
          </w:p>
          <w:p>
            <w:pPr>
              <w:rPr>
                <w:rFonts w:ascii="仿宋" w:hAnsi="仿宋" w:eastAsia="仿宋"/>
                <w:b/>
                <w:bCs w:val="0"/>
              </w:rPr>
            </w:pPr>
          </w:p>
        </w:tc>
        <w:tc>
          <w:tcPr>
            <w:tcW w:w="768" w:type="dxa"/>
            <w:vAlign w:val="center"/>
          </w:tcPr>
          <w:p>
            <w:pPr>
              <w:rPr>
                <w:rFonts w:ascii="仿宋" w:hAnsi="仿宋" w:eastAsia="仿宋"/>
                <w:b/>
                <w:bCs w:val="0"/>
              </w:rPr>
            </w:pPr>
            <w:r>
              <w:rPr>
                <w:rFonts w:hint="eastAsia" w:ascii="仿宋" w:hAnsi="仿宋" w:eastAsia="仿宋"/>
                <w:b/>
                <w:bCs w:val="0"/>
              </w:rPr>
              <w:t>2.3</w:t>
            </w:r>
          </w:p>
        </w:tc>
        <w:tc>
          <w:tcPr>
            <w:tcW w:w="5652" w:type="dxa"/>
            <w:vAlign w:val="center"/>
          </w:tcPr>
          <w:p>
            <w:pPr>
              <w:rPr>
                <w:rFonts w:ascii="仿宋" w:hAnsi="仿宋" w:eastAsia="仿宋"/>
                <w:b/>
                <w:bCs w:val="0"/>
              </w:rPr>
            </w:pPr>
            <w:r>
              <w:rPr>
                <w:rFonts w:ascii="仿宋" w:hAnsi="仿宋" w:eastAsia="仿宋"/>
                <w:b/>
                <w:bCs w:val="0"/>
              </w:rPr>
              <w:t>根据投标人对</w:t>
            </w:r>
            <w:r>
              <w:rPr>
                <w:rFonts w:hint="eastAsia" w:ascii="仿宋" w:hAnsi="仿宋" w:eastAsia="仿宋"/>
                <w:b/>
                <w:bCs w:val="0"/>
              </w:rPr>
              <w:t>视频直播子系统</w:t>
            </w:r>
            <w:r>
              <w:rPr>
                <w:rFonts w:ascii="仿宋" w:hAnsi="仿宋" w:eastAsia="仿宋"/>
                <w:b/>
                <w:bCs w:val="0"/>
              </w:rPr>
              <w:t>服务需求的理解程度，服务内容和技术方案的创新性，技术架构的先进性，设计方案的亮点与特色等方面，进行综合评分</w:t>
            </w:r>
            <w:r>
              <w:rPr>
                <w:rFonts w:hint="eastAsia" w:ascii="仿宋" w:hAnsi="仿宋" w:eastAsia="仿宋"/>
                <w:b/>
                <w:bCs w:val="0"/>
              </w:rPr>
              <w:t>。本项满分2</w:t>
            </w:r>
            <w:r>
              <w:rPr>
                <w:rFonts w:ascii="仿宋" w:hAnsi="仿宋" w:eastAsia="仿宋"/>
                <w:b/>
                <w:bCs w:val="0"/>
              </w:rPr>
              <w:t>0</w:t>
            </w:r>
            <w:r>
              <w:rPr>
                <w:rFonts w:hint="eastAsia" w:ascii="仿宋" w:hAnsi="仿宋" w:eastAsia="仿宋"/>
                <w:b/>
                <w:bCs w:val="0"/>
              </w:rPr>
              <w:t>分。</w:t>
            </w:r>
          </w:p>
          <w:p>
            <w:pPr>
              <w:rPr>
                <w:rFonts w:ascii="仿宋" w:hAnsi="仿宋" w:eastAsia="仿宋"/>
                <w:b/>
                <w:bCs w:val="0"/>
              </w:rPr>
            </w:pPr>
            <w:r>
              <w:rPr>
                <w:rFonts w:hint="eastAsia" w:ascii="仿宋" w:hAnsi="仿宋" w:eastAsia="仿宋"/>
                <w:b/>
                <w:bCs w:val="0"/>
              </w:rPr>
              <w:t>1）提交的系统方案内容完整、合理、可行，得2</w:t>
            </w:r>
            <w:r>
              <w:rPr>
                <w:rFonts w:ascii="仿宋" w:hAnsi="仿宋" w:eastAsia="仿宋"/>
                <w:b/>
                <w:bCs w:val="0"/>
              </w:rPr>
              <w:t>0</w:t>
            </w:r>
            <w:r>
              <w:rPr>
                <w:rFonts w:hint="eastAsia" w:ascii="仿宋" w:hAnsi="仿宋" w:eastAsia="仿宋"/>
                <w:b/>
                <w:bCs w:val="0"/>
              </w:rPr>
              <w:t>分；</w:t>
            </w:r>
          </w:p>
          <w:p>
            <w:pPr>
              <w:rPr>
                <w:rFonts w:ascii="仿宋" w:hAnsi="仿宋" w:eastAsia="仿宋"/>
                <w:b/>
                <w:bCs w:val="0"/>
              </w:rPr>
            </w:pPr>
            <w:r>
              <w:rPr>
                <w:rFonts w:hint="eastAsia" w:ascii="仿宋" w:hAnsi="仿宋" w:eastAsia="仿宋"/>
                <w:b/>
                <w:bCs w:val="0"/>
              </w:rPr>
              <w:t>2）提交的系统方案内容较完整、较合理、较为可行，得1</w:t>
            </w:r>
            <w:r>
              <w:rPr>
                <w:rFonts w:ascii="仿宋" w:hAnsi="仿宋" w:eastAsia="仿宋"/>
                <w:b/>
                <w:bCs w:val="0"/>
              </w:rPr>
              <w:t>5</w:t>
            </w:r>
            <w:r>
              <w:rPr>
                <w:rFonts w:hint="eastAsia" w:ascii="仿宋" w:hAnsi="仿宋" w:eastAsia="仿宋"/>
                <w:b/>
                <w:bCs w:val="0"/>
              </w:rPr>
              <w:t>分；</w:t>
            </w:r>
          </w:p>
          <w:p>
            <w:pPr>
              <w:rPr>
                <w:rFonts w:ascii="仿宋" w:hAnsi="仿宋" w:eastAsia="仿宋"/>
                <w:b/>
                <w:bCs w:val="0"/>
              </w:rPr>
            </w:pPr>
            <w:r>
              <w:rPr>
                <w:rFonts w:hint="eastAsia" w:ascii="仿宋" w:hAnsi="仿宋" w:eastAsia="仿宋"/>
                <w:b/>
                <w:bCs w:val="0"/>
              </w:rPr>
              <w:t>3）提交的系统方案内容不够完整，功能欠完善，需要进行调整才能满足采购人使用需求，得8分；</w:t>
            </w:r>
          </w:p>
          <w:p>
            <w:pPr>
              <w:rPr>
                <w:rFonts w:ascii="仿宋" w:hAnsi="仿宋" w:eastAsia="仿宋"/>
                <w:b/>
                <w:bCs w:val="0"/>
              </w:rPr>
            </w:pPr>
            <w:r>
              <w:rPr>
                <w:rFonts w:hint="eastAsia" w:ascii="仿宋" w:hAnsi="仿宋" w:eastAsia="仿宋"/>
                <w:b/>
                <w:bCs w:val="0"/>
              </w:rPr>
              <w:t>4）未提交方案或提交的系统方案内容不完整、不合理、可行性差，得0分。</w:t>
            </w:r>
          </w:p>
        </w:tc>
        <w:tc>
          <w:tcPr>
            <w:tcW w:w="879" w:type="dxa"/>
          </w:tcPr>
          <w:p>
            <w:pPr>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0" w:type="dxa"/>
            <w:vAlign w:val="center"/>
          </w:tcPr>
          <w:p>
            <w:pPr>
              <w:rPr>
                <w:rFonts w:ascii="仿宋" w:hAnsi="仿宋" w:eastAsia="仿宋"/>
                <w:b/>
                <w:bCs w:val="0"/>
              </w:rPr>
            </w:pPr>
            <w:r>
              <w:rPr>
                <w:rFonts w:hint="eastAsia" w:ascii="仿宋" w:hAnsi="仿宋" w:eastAsia="仿宋"/>
                <w:b/>
                <w:bCs w:val="0"/>
              </w:rPr>
              <w:t>技术（整体服务方案1</w:t>
            </w:r>
            <w:r>
              <w:rPr>
                <w:rFonts w:ascii="仿宋" w:hAnsi="仿宋" w:eastAsia="仿宋"/>
                <w:b/>
                <w:bCs w:val="0"/>
              </w:rPr>
              <w:t>0</w:t>
            </w:r>
            <w:r>
              <w:rPr>
                <w:rFonts w:hint="eastAsia" w:ascii="仿宋" w:hAnsi="仿宋" w:eastAsia="仿宋"/>
                <w:b/>
                <w:bCs w:val="0"/>
              </w:rPr>
              <w:t>分）</w:t>
            </w:r>
          </w:p>
          <w:p>
            <w:pPr>
              <w:rPr>
                <w:rFonts w:ascii="仿宋" w:hAnsi="仿宋" w:eastAsia="仿宋"/>
                <w:b/>
                <w:bCs w:val="0"/>
              </w:rPr>
            </w:pPr>
          </w:p>
        </w:tc>
        <w:tc>
          <w:tcPr>
            <w:tcW w:w="768" w:type="dxa"/>
            <w:vAlign w:val="center"/>
          </w:tcPr>
          <w:p>
            <w:pPr>
              <w:rPr>
                <w:rFonts w:ascii="仿宋" w:hAnsi="仿宋" w:eastAsia="仿宋"/>
                <w:b/>
                <w:bCs w:val="0"/>
              </w:rPr>
            </w:pPr>
            <w:r>
              <w:rPr>
                <w:rFonts w:hint="eastAsia" w:ascii="仿宋" w:hAnsi="仿宋" w:eastAsia="仿宋"/>
                <w:b/>
                <w:bCs w:val="0"/>
              </w:rPr>
              <w:t>2.4</w:t>
            </w:r>
          </w:p>
        </w:tc>
        <w:tc>
          <w:tcPr>
            <w:tcW w:w="5652" w:type="dxa"/>
            <w:vAlign w:val="center"/>
          </w:tcPr>
          <w:p>
            <w:pPr>
              <w:rPr>
                <w:rFonts w:ascii="仿宋" w:hAnsi="仿宋" w:eastAsia="仿宋"/>
                <w:b/>
                <w:bCs w:val="0"/>
              </w:rPr>
            </w:pPr>
            <w:r>
              <w:rPr>
                <w:rFonts w:ascii="仿宋" w:hAnsi="仿宋" w:eastAsia="仿宋"/>
                <w:b/>
                <w:bCs w:val="0"/>
              </w:rPr>
              <w:t>根据投标人所提供的</w:t>
            </w:r>
            <w:r>
              <w:rPr>
                <w:rFonts w:hint="eastAsia" w:ascii="仿宋" w:hAnsi="仿宋" w:eastAsia="仿宋"/>
                <w:b/>
                <w:bCs w:val="0"/>
              </w:rPr>
              <w:t>整体服务方案，包括集成测试、测试赛、赛时及收尾各阶段的服务方案</w:t>
            </w:r>
            <w:r>
              <w:rPr>
                <w:rFonts w:ascii="仿宋" w:hAnsi="仿宋" w:eastAsia="仿宋"/>
                <w:b/>
                <w:bCs w:val="0"/>
              </w:rPr>
              <w:t>完整性、合理性、可行性等方面，进行综合评分，</w:t>
            </w:r>
            <w:r>
              <w:rPr>
                <w:rFonts w:hint="eastAsia" w:ascii="仿宋" w:hAnsi="仿宋" w:eastAsia="仿宋"/>
                <w:b/>
                <w:bCs w:val="0"/>
              </w:rPr>
              <w:t>本项满分1</w:t>
            </w:r>
            <w:r>
              <w:rPr>
                <w:rFonts w:ascii="仿宋" w:hAnsi="仿宋" w:eastAsia="仿宋"/>
                <w:b/>
                <w:bCs w:val="0"/>
              </w:rPr>
              <w:t>0</w:t>
            </w:r>
            <w:r>
              <w:rPr>
                <w:rFonts w:hint="eastAsia" w:ascii="仿宋" w:hAnsi="仿宋" w:eastAsia="仿宋"/>
                <w:b/>
                <w:bCs w:val="0"/>
              </w:rPr>
              <w:t>分。</w:t>
            </w:r>
          </w:p>
          <w:p>
            <w:pPr>
              <w:rPr>
                <w:rFonts w:ascii="仿宋" w:hAnsi="仿宋" w:eastAsia="仿宋"/>
                <w:b/>
                <w:bCs w:val="0"/>
              </w:rPr>
            </w:pPr>
            <w:r>
              <w:rPr>
                <w:rFonts w:hint="eastAsia" w:ascii="仿宋" w:hAnsi="仿宋" w:eastAsia="仿宋"/>
                <w:b/>
                <w:bCs w:val="0"/>
              </w:rPr>
              <w:t>1）提交的服务方案内容完整、合理、可行，得1</w:t>
            </w:r>
            <w:r>
              <w:rPr>
                <w:rFonts w:ascii="仿宋" w:hAnsi="仿宋" w:eastAsia="仿宋"/>
                <w:b/>
                <w:bCs w:val="0"/>
              </w:rPr>
              <w:t>0</w:t>
            </w:r>
            <w:r>
              <w:rPr>
                <w:rFonts w:hint="eastAsia" w:ascii="仿宋" w:hAnsi="仿宋" w:eastAsia="仿宋"/>
                <w:b/>
                <w:bCs w:val="0"/>
              </w:rPr>
              <w:t>分；</w:t>
            </w:r>
          </w:p>
          <w:p>
            <w:pPr>
              <w:rPr>
                <w:rFonts w:ascii="仿宋" w:hAnsi="仿宋" w:eastAsia="仿宋"/>
                <w:b/>
                <w:bCs w:val="0"/>
              </w:rPr>
            </w:pPr>
            <w:r>
              <w:rPr>
                <w:rFonts w:hint="eastAsia" w:ascii="仿宋" w:hAnsi="仿宋" w:eastAsia="仿宋"/>
                <w:b/>
                <w:bCs w:val="0"/>
              </w:rPr>
              <w:t>2）提交的服务方案内容较完整、较合理、较为可行，得7分；</w:t>
            </w:r>
          </w:p>
          <w:p>
            <w:pPr>
              <w:rPr>
                <w:rFonts w:ascii="仿宋" w:hAnsi="仿宋" w:eastAsia="仿宋"/>
                <w:b/>
                <w:bCs w:val="0"/>
              </w:rPr>
            </w:pPr>
            <w:r>
              <w:rPr>
                <w:rFonts w:hint="eastAsia" w:ascii="仿宋" w:hAnsi="仿宋" w:eastAsia="仿宋"/>
                <w:b/>
                <w:bCs w:val="0"/>
              </w:rPr>
              <w:t>3）提交的服务方案内容不够完整，功能欠完善，需要进行调整才能满足采购人使用需求，得4分；</w:t>
            </w:r>
          </w:p>
          <w:p>
            <w:pPr>
              <w:rPr>
                <w:rFonts w:ascii="仿宋" w:hAnsi="仿宋" w:eastAsia="仿宋"/>
                <w:b/>
                <w:bCs w:val="0"/>
              </w:rPr>
            </w:pPr>
            <w:r>
              <w:rPr>
                <w:rFonts w:hint="eastAsia" w:ascii="仿宋" w:hAnsi="仿宋" w:eastAsia="仿宋"/>
                <w:b/>
                <w:bCs w:val="0"/>
              </w:rPr>
              <w:t>4）未提交方案或提交的服务方案内容不完整、不合理、可行性差，得0分。</w:t>
            </w:r>
          </w:p>
        </w:tc>
        <w:tc>
          <w:tcPr>
            <w:tcW w:w="879" w:type="dxa"/>
          </w:tcPr>
          <w:p>
            <w:pPr>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0" w:type="dxa"/>
            <w:vAlign w:val="center"/>
          </w:tcPr>
          <w:p>
            <w:pPr>
              <w:rPr>
                <w:rFonts w:ascii="仿宋" w:hAnsi="仿宋" w:eastAsia="仿宋"/>
                <w:b/>
                <w:bCs w:val="0"/>
              </w:rPr>
            </w:pPr>
            <w:r>
              <w:rPr>
                <w:rFonts w:hint="eastAsia" w:ascii="仿宋" w:hAnsi="仿宋" w:eastAsia="仿宋"/>
                <w:b/>
                <w:bCs w:val="0"/>
              </w:rPr>
              <w:t>技术（</w:t>
            </w:r>
            <w:r>
              <w:rPr>
                <w:rFonts w:ascii="仿宋" w:hAnsi="仿宋" w:eastAsia="仿宋"/>
                <w:b/>
                <w:bCs w:val="0"/>
              </w:rPr>
              <w:t>应急预案5</w:t>
            </w:r>
            <w:r>
              <w:rPr>
                <w:rFonts w:hint="eastAsia" w:ascii="仿宋" w:hAnsi="仿宋" w:eastAsia="仿宋"/>
                <w:b/>
                <w:bCs w:val="0"/>
              </w:rPr>
              <w:t>分）</w:t>
            </w:r>
          </w:p>
          <w:p>
            <w:pPr>
              <w:rPr>
                <w:rFonts w:ascii="仿宋" w:hAnsi="仿宋" w:eastAsia="仿宋"/>
                <w:b/>
                <w:bCs w:val="0"/>
              </w:rPr>
            </w:pPr>
          </w:p>
        </w:tc>
        <w:tc>
          <w:tcPr>
            <w:tcW w:w="768" w:type="dxa"/>
            <w:vAlign w:val="center"/>
          </w:tcPr>
          <w:p>
            <w:pPr>
              <w:rPr>
                <w:rFonts w:ascii="仿宋" w:hAnsi="仿宋" w:eastAsia="仿宋"/>
                <w:b/>
                <w:bCs w:val="0"/>
              </w:rPr>
            </w:pPr>
            <w:r>
              <w:rPr>
                <w:rFonts w:hint="eastAsia" w:ascii="仿宋" w:hAnsi="仿宋" w:eastAsia="仿宋"/>
                <w:b/>
                <w:bCs w:val="0"/>
              </w:rPr>
              <w:t>2.5</w:t>
            </w:r>
          </w:p>
        </w:tc>
        <w:tc>
          <w:tcPr>
            <w:tcW w:w="5652" w:type="dxa"/>
            <w:vAlign w:val="center"/>
          </w:tcPr>
          <w:p>
            <w:pPr>
              <w:rPr>
                <w:rFonts w:ascii="仿宋" w:hAnsi="仿宋" w:eastAsia="仿宋"/>
                <w:b/>
                <w:bCs w:val="0"/>
              </w:rPr>
            </w:pPr>
            <w:r>
              <w:rPr>
                <w:rFonts w:ascii="仿宋" w:hAnsi="仿宋" w:eastAsia="仿宋"/>
                <w:b/>
                <w:bCs w:val="0"/>
              </w:rPr>
              <w:t>根据投标人所提供的应急预案完整性、合理性、可行性等方面，进行综合评分，本</w:t>
            </w:r>
            <w:r>
              <w:rPr>
                <w:rFonts w:hint="eastAsia" w:ascii="仿宋" w:hAnsi="仿宋" w:eastAsia="仿宋"/>
                <w:b/>
                <w:bCs w:val="0"/>
              </w:rPr>
              <w:t>项满分5分。</w:t>
            </w:r>
          </w:p>
          <w:p>
            <w:pPr>
              <w:rPr>
                <w:rFonts w:ascii="仿宋" w:hAnsi="仿宋" w:eastAsia="仿宋"/>
                <w:b/>
                <w:bCs w:val="0"/>
              </w:rPr>
            </w:pPr>
            <w:r>
              <w:rPr>
                <w:rFonts w:hint="eastAsia" w:ascii="仿宋" w:hAnsi="仿宋" w:eastAsia="仿宋"/>
                <w:b/>
                <w:bCs w:val="0"/>
              </w:rPr>
              <w:t>1）提交的应急预案内容完整、合理、可行，得5分；</w:t>
            </w:r>
          </w:p>
          <w:p>
            <w:pPr>
              <w:rPr>
                <w:rFonts w:ascii="仿宋" w:hAnsi="仿宋" w:eastAsia="仿宋"/>
                <w:b/>
                <w:bCs w:val="0"/>
              </w:rPr>
            </w:pPr>
            <w:r>
              <w:rPr>
                <w:rFonts w:hint="eastAsia" w:ascii="仿宋" w:hAnsi="仿宋" w:eastAsia="仿宋"/>
                <w:b/>
                <w:bCs w:val="0"/>
              </w:rPr>
              <w:t>2）提交的应急预案内容较完整、较合理、较为可行，得3分；</w:t>
            </w:r>
          </w:p>
          <w:p>
            <w:pPr>
              <w:rPr>
                <w:rFonts w:ascii="仿宋" w:hAnsi="仿宋" w:eastAsia="仿宋"/>
                <w:b/>
                <w:bCs w:val="0"/>
              </w:rPr>
            </w:pPr>
            <w:r>
              <w:rPr>
                <w:rFonts w:hint="eastAsia" w:ascii="仿宋" w:hAnsi="仿宋" w:eastAsia="仿宋"/>
                <w:b/>
                <w:bCs w:val="0"/>
              </w:rPr>
              <w:t>3）提交的应急预案内容不够完整，功能欠完善，需要进行调整才能满足采购人使用需求，得1分；</w:t>
            </w:r>
          </w:p>
          <w:p>
            <w:pPr>
              <w:rPr>
                <w:rFonts w:ascii="仿宋" w:hAnsi="仿宋" w:eastAsia="仿宋"/>
                <w:b/>
                <w:bCs w:val="0"/>
              </w:rPr>
            </w:pPr>
            <w:r>
              <w:rPr>
                <w:rFonts w:hint="eastAsia" w:ascii="仿宋" w:hAnsi="仿宋" w:eastAsia="仿宋"/>
                <w:b/>
                <w:bCs w:val="0"/>
              </w:rPr>
              <w:t>4）未提交预案或提交的应急预案内容不完整、不合理、可行性差，得0分。</w:t>
            </w:r>
          </w:p>
        </w:tc>
        <w:tc>
          <w:tcPr>
            <w:tcW w:w="879" w:type="dxa"/>
          </w:tcPr>
          <w:p>
            <w:pPr>
              <w:rPr>
                <w:rFonts w:ascii="仿宋" w:hAnsi="仿宋" w:eastAsia="仿宋_GB2312"/>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0" w:type="dxa"/>
            <w:vAlign w:val="center"/>
          </w:tcPr>
          <w:p>
            <w:pPr>
              <w:rPr>
                <w:rFonts w:ascii="仿宋" w:hAnsi="仿宋" w:eastAsia="仿宋"/>
                <w:b/>
                <w:bCs w:val="0"/>
              </w:rPr>
            </w:pPr>
            <w:r>
              <w:rPr>
                <w:rFonts w:hint="eastAsia" w:ascii="仿宋" w:hAnsi="仿宋" w:eastAsia="仿宋"/>
                <w:b/>
                <w:bCs w:val="0"/>
              </w:rPr>
              <w:t>技术（进度</w:t>
            </w:r>
            <w:r>
              <w:rPr>
                <w:rFonts w:ascii="仿宋" w:hAnsi="仿宋" w:eastAsia="仿宋"/>
                <w:b/>
                <w:bCs w:val="0"/>
              </w:rPr>
              <w:t>管理计划</w:t>
            </w:r>
          </w:p>
          <w:p>
            <w:pPr>
              <w:rPr>
                <w:rFonts w:ascii="仿宋" w:hAnsi="仿宋" w:eastAsia="仿宋"/>
                <w:b/>
                <w:bCs w:val="0"/>
              </w:rPr>
            </w:pPr>
            <w:r>
              <w:rPr>
                <w:rFonts w:ascii="仿宋" w:hAnsi="仿宋" w:eastAsia="仿宋"/>
                <w:b/>
                <w:bCs w:val="0"/>
              </w:rPr>
              <w:t>5</w:t>
            </w:r>
            <w:r>
              <w:rPr>
                <w:rFonts w:hint="eastAsia" w:ascii="仿宋" w:hAnsi="仿宋" w:eastAsia="仿宋"/>
                <w:b/>
                <w:bCs w:val="0"/>
              </w:rPr>
              <w:t>分）</w:t>
            </w:r>
          </w:p>
          <w:p>
            <w:pPr>
              <w:rPr>
                <w:rFonts w:ascii="仿宋" w:hAnsi="仿宋" w:eastAsia="仿宋"/>
                <w:b/>
                <w:bCs w:val="0"/>
              </w:rPr>
            </w:pPr>
          </w:p>
        </w:tc>
        <w:tc>
          <w:tcPr>
            <w:tcW w:w="768" w:type="dxa"/>
            <w:vAlign w:val="center"/>
          </w:tcPr>
          <w:p>
            <w:pPr>
              <w:rPr>
                <w:rFonts w:ascii="仿宋" w:hAnsi="仿宋" w:eastAsia="仿宋"/>
                <w:b/>
                <w:bCs w:val="0"/>
              </w:rPr>
            </w:pPr>
            <w:r>
              <w:rPr>
                <w:rFonts w:hint="eastAsia" w:ascii="仿宋" w:hAnsi="仿宋" w:eastAsia="仿宋"/>
                <w:b/>
                <w:bCs w:val="0"/>
              </w:rPr>
              <w:t>2.6</w:t>
            </w:r>
          </w:p>
        </w:tc>
        <w:tc>
          <w:tcPr>
            <w:tcW w:w="5652" w:type="dxa"/>
            <w:vAlign w:val="center"/>
          </w:tcPr>
          <w:p>
            <w:pPr>
              <w:rPr>
                <w:rFonts w:ascii="仿宋" w:hAnsi="仿宋" w:eastAsia="仿宋"/>
                <w:b/>
                <w:bCs w:val="0"/>
              </w:rPr>
            </w:pPr>
            <w:r>
              <w:rPr>
                <w:rFonts w:ascii="仿宋" w:hAnsi="仿宋" w:eastAsia="仿宋"/>
                <w:b/>
                <w:bCs w:val="0"/>
              </w:rPr>
              <w:t>根据投标人</w:t>
            </w:r>
            <w:r>
              <w:rPr>
                <w:rFonts w:hint="eastAsia" w:ascii="仿宋" w:hAnsi="仿宋" w:eastAsia="仿宋"/>
                <w:b/>
                <w:bCs w:val="0"/>
              </w:rPr>
              <w:t>所</w:t>
            </w:r>
            <w:r>
              <w:rPr>
                <w:rFonts w:ascii="仿宋" w:hAnsi="仿宋" w:eastAsia="仿宋"/>
                <w:b/>
                <w:bCs w:val="0"/>
              </w:rPr>
              <w:t>提供的项目</w:t>
            </w:r>
            <w:r>
              <w:rPr>
                <w:rFonts w:hint="eastAsia" w:ascii="仿宋" w:hAnsi="仿宋" w:eastAsia="仿宋"/>
                <w:b/>
                <w:bCs w:val="0"/>
              </w:rPr>
              <w:t>进度</w:t>
            </w:r>
            <w:r>
              <w:rPr>
                <w:rFonts w:ascii="仿宋" w:hAnsi="仿宋" w:eastAsia="仿宋"/>
                <w:b/>
                <w:bCs w:val="0"/>
              </w:rPr>
              <w:t>管理计划完整性</w:t>
            </w:r>
            <w:r>
              <w:rPr>
                <w:rFonts w:hint="eastAsia" w:ascii="仿宋" w:hAnsi="仿宋" w:eastAsia="仿宋"/>
                <w:b/>
                <w:bCs w:val="0"/>
              </w:rPr>
              <w:t>、</w:t>
            </w:r>
            <w:r>
              <w:rPr>
                <w:rFonts w:ascii="仿宋" w:hAnsi="仿宋" w:eastAsia="仿宋"/>
                <w:b/>
                <w:bCs w:val="0"/>
              </w:rPr>
              <w:t>合理</w:t>
            </w:r>
            <w:r>
              <w:rPr>
                <w:rFonts w:hint="eastAsia" w:ascii="仿宋" w:hAnsi="仿宋" w:eastAsia="仿宋"/>
                <w:b/>
                <w:bCs w:val="0"/>
              </w:rPr>
              <w:t>性</w:t>
            </w:r>
            <w:r>
              <w:rPr>
                <w:rFonts w:ascii="仿宋" w:hAnsi="仿宋" w:eastAsia="仿宋"/>
                <w:b/>
                <w:bCs w:val="0"/>
              </w:rPr>
              <w:t>、可行性等方面，进行综合评分，</w:t>
            </w:r>
            <w:r>
              <w:rPr>
                <w:rFonts w:hint="eastAsia" w:ascii="仿宋" w:hAnsi="仿宋" w:eastAsia="仿宋"/>
                <w:b/>
                <w:bCs w:val="0"/>
              </w:rPr>
              <w:t>本项满分5分</w:t>
            </w:r>
            <w:r>
              <w:rPr>
                <w:rFonts w:ascii="仿宋" w:hAnsi="仿宋" w:eastAsia="仿宋"/>
                <w:b/>
                <w:bCs w:val="0"/>
              </w:rPr>
              <w:t>。</w:t>
            </w:r>
          </w:p>
          <w:p>
            <w:pPr>
              <w:rPr>
                <w:rFonts w:ascii="仿宋" w:hAnsi="仿宋" w:eastAsia="仿宋"/>
                <w:b/>
                <w:bCs w:val="0"/>
              </w:rPr>
            </w:pPr>
            <w:r>
              <w:rPr>
                <w:rFonts w:hint="eastAsia" w:ascii="仿宋" w:hAnsi="仿宋" w:eastAsia="仿宋"/>
                <w:b/>
                <w:bCs w:val="0"/>
              </w:rPr>
              <w:t>1）提交的</w:t>
            </w:r>
            <w:r>
              <w:rPr>
                <w:rFonts w:ascii="仿宋" w:hAnsi="仿宋" w:eastAsia="仿宋"/>
                <w:b/>
                <w:bCs w:val="0"/>
              </w:rPr>
              <w:t>项目</w:t>
            </w:r>
            <w:r>
              <w:rPr>
                <w:rFonts w:hint="eastAsia" w:ascii="仿宋" w:hAnsi="仿宋" w:eastAsia="仿宋"/>
                <w:b/>
                <w:bCs w:val="0"/>
              </w:rPr>
              <w:t>进度</w:t>
            </w:r>
            <w:r>
              <w:rPr>
                <w:rFonts w:ascii="仿宋" w:hAnsi="仿宋" w:eastAsia="仿宋"/>
                <w:b/>
                <w:bCs w:val="0"/>
              </w:rPr>
              <w:t>管理计划</w:t>
            </w:r>
            <w:r>
              <w:rPr>
                <w:rFonts w:hint="eastAsia" w:ascii="仿宋" w:hAnsi="仿宋" w:eastAsia="仿宋"/>
                <w:b/>
                <w:bCs w:val="0"/>
              </w:rPr>
              <w:t>内容完整、合理、可行，得5分；</w:t>
            </w:r>
          </w:p>
          <w:p>
            <w:pPr>
              <w:rPr>
                <w:rFonts w:ascii="仿宋" w:hAnsi="仿宋" w:eastAsia="仿宋"/>
                <w:b/>
                <w:bCs w:val="0"/>
              </w:rPr>
            </w:pPr>
            <w:r>
              <w:rPr>
                <w:rFonts w:hint="eastAsia" w:ascii="仿宋" w:hAnsi="仿宋" w:eastAsia="仿宋"/>
                <w:b/>
                <w:bCs w:val="0"/>
              </w:rPr>
              <w:t>2）提交的</w:t>
            </w:r>
            <w:r>
              <w:rPr>
                <w:rFonts w:ascii="仿宋" w:hAnsi="仿宋" w:eastAsia="仿宋"/>
                <w:b/>
                <w:bCs w:val="0"/>
              </w:rPr>
              <w:t>项目</w:t>
            </w:r>
            <w:r>
              <w:rPr>
                <w:rFonts w:hint="eastAsia" w:ascii="仿宋" w:hAnsi="仿宋" w:eastAsia="仿宋"/>
                <w:b/>
                <w:bCs w:val="0"/>
              </w:rPr>
              <w:t>进度</w:t>
            </w:r>
            <w:r>
              <w:rPr>
                <w:rFonts w:ascii="仿宋" w:hAnsi="仿宋" w:eastAsia="仿宋"/>
                <w:b/>
                <w:bCs w:val="0"/>
              </w:rPr>
              <w:t>管理计划</w:t>
            </w:r>
            <w:r>
              <w:rPr>
                <w:rFonts w:hint="eastAsia" w:ascii="仿宋" w:hAnsi="仿宋" w:eastAsia="仿宋"/>
                <w:b/>
                <w:bCs w:val="0"/>
              </w:rPr>
              <w:t>内容较完整、较合理、较为可行，得3分；</w:t>
            </w:r>
          </w:p>
          <w:p>
            <w:pPr>
              <w:rPr>
                <w:rFonts w:ascii="仿宋" w:hAnsi="仿宋" w:eastAsia="仿宋"/>
                <w:b/>
                <w:bCs w:val="0"/>
              </w:rPr>
            </w:pPr>
            <w:r>
              <w:rPr>
                <w:rFonts w:hint="eastAsia" w:ascii="仿宋" w:hAnsi="仿宋" w:eastAsia="仿宋"/>
                <w:b/>
                <w:bCs w:val="0"/>
              </w:rPr>
              <w:t>3）提交的</w:t>
            </w:r>
            <w:r>
              <w:rPr>
                <w:rFonts w:ascii="仿宋" w:hAnsi="仿宋" w:eastAsia="仿宋"/>
                <w:b/>
                <w:bCs w:val="0"/>
              </w:rPr>
              <w:t>项目</w:t>
            </w:r>
            <w:r>
              <w:rPr>
                <w:rFonts w:hint="eastAsia" w:ascii="仿宋" w:hAnsi="仿宋" w:eastAsia="仿宋"/>
                <w:b/>
                <w:bCs w:val="0"/>
              </w:rPr>
              <w:t>进度</w:t>
            </w:r>
            <w:r>
              <w:rPr>
                <w:rFonts w:ascii="仿宋" w:hAnsi="仿宋" w:eastAsia="仿宋"/>
                <w:b/>
                <w:bCs w:val="0"/>
              </w:rPr>
              <w:t>管理计划</w:t>
            </w:r>
            <w:r>
              <w:rPr>
                <w:rFonts w:hint="eastAsia" w:ascii="仿宋" w:hAnsi="仿宋" w:eastAsia="仿宋"/>
                <w:b/>
                <w:bCs w:val="0"/>
              </w:rPr>
              <w:t>内容不够完整，功能欠完善，需要进行调整才能满足采购人使用需求，得1分；</w:t>
            </w:r>
          </w:p>
          <w:p>
            <w:pPr>
              <w:rPr>
                <w:rFonts w:ascii="仿宋" w:hAnsi="仿宋" w:eastAsia="仿宋"/>
                <w:b/>
                <w:bCs w:val="0"/>
              </w:rPr>
            </w:pPr>
            <w:r>
              <w:rPr>
                <w:rFonts w:hint="eastAsia" w:ascii="仿宋" w:hAnsi="仿宋" w:eastAsia="仿宋"/>
                <w:b/>
                <w:bCs w:val="0"/>
              </w:rPr>
              <w:t>4）未提交计划或提交的</w:t>
            </w:r>
            <w:r>
              <w:rPr>
                <w:rFonts w:ascii="仿宋" w:hAnsi="仿宋" w:eastAsia="仿宋"/>
                <w:b/>
                <w:bCs w:val="0"/>
              </w:rPr>
              <w:t>项目</w:t>
            </w:r>
            <w:r>
              <w:rPr>
                <w:rFonts w:hint="eastAsia" w:ascii="仿宋" w:hAnsi="仿宋" w:eastAsia="仿宋"/>
                <w:b/>
                <w:bCs w:val="0"/>
              </w:rPr>
              <w:t>进度</w:t>
            </w:r>
            <w:r>
              <w:rPr>
                <w:rFonts w:ascii="仿宋" w:hAnsi="仿宋" w:eastAsia="仿宋"/>
                <w:b/>
                <w:bCs w:val="0"/>
              </w:rPr>
              <w:t>管理计划</w:t>
            </w:r>
            <w:r>
              <w:rPr>
                <w:rFonts w:hint="eastAsia" w:ascii="仿宋" w:hAnsi="仿宋" w:eastAsia="仿宋"/>
                <w:b/>
                <w:bCs w:val="0"/>
              </w:rPr>
              <w:t>内容不完整、不合理、可行性差，得0分。</w:t>
            </w:r>
          </w:p>
        </w:tc>
        <w:tc>
          <w:tcPr>
            <w:tcW w:w="879" w:type="dxa"/>
          </w:tcPr>
          <w:p>
            <w:pPr>
              <w:rPr>
                <w:rFonts w:ascii="仿宋" w:hAnsi="仿宋" w:eastAsia="仿宋_GB2312"/>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0" w:type="dxa"/>
            <w:vAlign w:val="center"/>
          </w:tcPr>
          <w:p>
            <w:pPr>
              <w:rPr>
                <w:rFonts w:ascii="仿宋" w:hAnsi="仿宋" w:eastAsia="仿宋"/>
                <w:b/>
                <w:bCs w:val="0"/>
              </w:rPr>
            </w:pPr>
            <w:r>
              <w:rPr>
                <w:rFonts w:hint="eastAsia" w:ascii="仿宋" w:hAnsi="仿宋" w:eastAsia="仿宋"/>
                <w:b/>
                <w:bCs w:val="0"/>
              </w:rPr>
              <w:t>技术（</w:t>
            </w:r>
            <w:r>
              <w:rPr>
                <w:rFonts w:ascii="仿宋" w:hAnsi="仿宋" w:eastAsia="仿宋"/>
                <w:b/>
                <w:bCs w:val="0"/>
              </w:rPr>
              <w:t>人员管理计划</w:t>
            </w:r>
          </w:p>
          <w:p>
            <w:pPr>
              <w:rPr>
                <w:rFonts w:ascii="仿宋" w:hAnsi="仿宋" w:eastAsia="仿宋"/>
                <w:b/>
                <w:bCs w:val="0"/>
              </w:rPr>
            </w:pPr>
            <w:r>
              <w:rPr>
                <w:rFonts w:ascii="仿宋" w:hAnsi="仿宋" w:eastAsia="仿宋"/>
                <w:b/>
                <w:bCs w:val="0"/>
              </w:rPr>
              <w:t>5</w:t>
            </w:r>
            <w:r>
              <w:rPr>
                <w:rFonts w:hint="eastAsia" w:ascii="仿宋" w:hAnsi="仿宋" w:eastAsia="仿宋"/>
                <w:b/>
                <w:bCs w:val="0"/>
              </w:rPr>
              <w:t>分）</w:t>
            </w:r>
          </w:p>
          <w:p>
            <w:pPr>
              <w:rPr>
                <w:rFonts w:ascii="仿宋" w:hAnsi="仿宋" w:eastAsia="仿宋"/>
                <w:b/>
                <w:bCs w:val="0"/>
              </w:rPr>
            </w:pPr>
          </w:p>
        </w:tc>
        <w:tc>
          <w:tcPr>
            <w:tcW w:w="768" w:type="dxa"/>
            <w:vAlign w:val="center"/>
          </w:tcPr>
          <w:p>
            <w:pPr>
              <w:rPr>
                <w:rFonts w:ascii="仿宋" w:hAnsi="仿宋" w:eastAsia="仿宋"/>
                <w:b/>
                <w:bCs w:val="0"/>
              </w:rPr>
            </w:pPr>
            <w:r>
              <w:rPr>
                <w:rFonts w:hint="eastAsia" w:ascii="仿宋" w:hAnsi="仿宋" w:eastAsia="仿宋"/>
                <w:b/>
                <w:bCs w:val="0"/>
              </w:rPr>
              <w:t>2.7</w:t>
            </w:r>
          </w:p>
        </w:tc>
        <w:tc>
          <w:tcPr>
            <w:tcW w:w="5652" w:type="dxa"/>
            <w:vAlign w:val="center"/>
          </w:tcPr>
          <w:p>
            <w:pPr>
              <w:rPr>
                <w:rFonts w:ascii="仿宋" w:hAnsi="仿宋" w:eastAsia="仿宋"/>
                <w:b/>
                <w:bCs w:val="0"/>
              </w:rPr>
            </w:pPr>
            <w:r>
              <w:rPr>
                <w:rFonts w:ascii="仿宋" w:hAnsi="仿宋" w:eastAsia="仿宋"/>
                <w:b/>
                <w:bCs w:val="0"/>
              </w:rPr>
              <w:t>根据投标人提供的项目人员管理计划、项目总体人员配置计划以及主要人员的到岗时间计划，从人员配备是否合理、职责是否清晰、数量是否能够满足采购人使用需要、管理制度是否健全等方面，进行综合评分，</w:t>
            </w:r>
            <w:r>
              <w:rPr>
                <w:rFonts w:hint="eastAsia" w:ascii="仿宋" w:hAnsi="仿宋" w:eastAsia="仿宋"/>
                <w:b/>
                <w:bCs w:val="0"/>
              </w:rPr>
              <w:t>本项满分5分</w:t>
            </w:r>
            <w:r>
              <w:rPr>
                <w:rFonts w:ascii="仿宋" w:hAnsi="仿宋" w:eastAsia="仿宋"/>
                <w:b/>
                <w:bCs w:val="0"/>
              </w:rPr>
              <w:t>。</w:t>
            </w:r>
          </w:p>
          <w:p>
            <w:pPr>
              <w:numPr>
                <w:ilvl w:val="255"/>
                <w:numId w:val="0"/>
              </w:numPr>
              <w:jc w:val="left"/>
              <w:rPr>
                <w:rFonts w:ascii="仿宋" w:hAnsi="仿宋" w:eastAsia="仿宋"/>
                <w:b/>
                <w:bCs w:val="0"/>
              </w:rPr>
            </w:pPr>
            <w:r>
              <w:rPr>
                <w:rFonts w:hint="eastAsia" w:ascii="仿宋" w:hAnsi="仿宋" w:eastAsia="仿宋"/>
                <w:b/>
                <w:bCs w:val="0"/>
              </w:rPr>
              <w:t>1）所配备的人员岗位明确、数量合理，能够很好的满足采购人使用需要，得5分；</w:t>
            </w:r>
          </w:p>
          <w:p>
            <w:pPr>
              <w:numPr>
                <w:ilvl w:val="255"/>
                <w:numId w:val="0"/>
              </w:numPr>
              <w:jc w:val="left"/>
              <w:rPr>
                <w:b/>
                <w:bCs w:val="0"/>
              </w:rPr>
            </w:pPr>
            <w:r>
              <w:rPr>
                <w:rFonts w:hint="eastAsia" w:ascii="仿宋" w:hAnsi="仿宋" w:eastAsia="仿宋"/>
                <w:b/>
                <w:bCs w:val="0"/>
              </w:rPr>
              <w:t>2）所配备的人员岗位基本明确、数量基本合理，能较好满足采购人使用需要，得3分；</w:t>
            </w:r>
          </w:p>
          <w:p>
            <w:pPr>
              <w:jc w:val="left"/>
              <w:rPr>
                <w:rFonts w:ascii="仿宋" w:hAnsi="仿宋" w:eastAsia="仿宋"/>
                <w:b/>
                <w:bCs w:val="0"/>
              </w:rPr>
            </w:pPr>
            <w:r>
              <w:rPr>
                <w:rFonts w:hint="eastAsia" w:ascii="仿宋" w:hAnsi="仿宋" w:eastAsia="仿宋"/>
                <w:b/>
                <w:bCs w:val="0"/>
              </w:rPr>
              <w:t>3）提供了人员计划，但所提供人员岗位设置欠合理或和数量不足，与采购人使用需要存在一定偏差，得1分；</w:t>
            </w:r>
          </w:p>
          <w:p>
            <w:pPr>
              <w:rPr>
                <w:rFonts w:ascii="仿宋" w:hAnsi="仿宋" w:eastAsia="仿宋"/>
                <w:b/>
                <w:bCs w:val="0"/>
              </w:rPr>
            </w:pPr>
            <w:r>
              <w:rPr>
                <w:rFonts w:hint="eastAsia" w:ascii="仿宋" w:hAnsi="仿宋" w:eastAsia="仿宋"/>
                <w:b/>
                <w:bCs w:val="0"/>
              </w:rPr>
              <w:t>4）未提交人员计划或提交的人员计划与采购人使用需要有较大偏差的，得0分。</w:t>
            </w:r>
          </w:p>
        </w:tc>
        <w:tc>
          <w:tcPr>
            <w:tcW w:w="879" w:type="dxa"/>
          </w:tcPr>
          <w:p>
            <w:pPr>
              <w:rPr>
                <w:rFonts w:ascii="仿宋" w:hAnsi="仿宋" w:eastAsia="仿宋_GB2312"/>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5</w:t>
            </w:r>
          </w:p>
        </w:tc>
      </w:tr>
    </w:tbl>
    <w:p>
      <w:pPr>
        <w:spacing w:before="156" w:beforeLines="50" w:after="156" w:afterLines="50" w:line="320" w:lineRule="exact"/>
        <w:rPr>
          <w:rFonts w:ascii="仿宋_GB2312" w:hAnsi="宋体" w:eastAsia="仿宋_GB2312"/>
          <w:b/>
          <w:color w:val="000000" w:themeColor="text1"/>
          <w:sz w:val="32"/>
          <w:szCs w:val="32"/>
          <w14:textFill>
            <w14:solidFill>
              <w14:schemeClr w14:val="tx1"/>
            </w14:solidFill>
          </w14:textFill>
        </w:rPr>
      </w:pPr>
    </w:p>
    <w:p>
      <w:pPr>
        <w:spacing w:before="156" w:beforeLines="50" w:after="156" w:afterLines="50" w:line="320" w:lineRule="exact"/>
        <w:rPr>
          <w:rFonts w:ascii="仿宋_GB2312" w:hAnsi="宋体" w:eastAsia="仿宋_GB2312"/>
          <w:b/>
          <w:color w:val="000000" w:themeColor="text1"/>
          <w:sz w:val="32"/>
          <w:szCs w:val="32"/>
          <w14:textFill>
            <w14:solidFill>
              <w14:schemeClr w14:val="tx1"/>
            </w14:solidFill>
          </w14:textFill>
        </w:rPr>
      </w:pPr>
    </w:p>
    <w:p>
      <w:pPr>
        <w:spacing w:before="156" w:beforeLines="50" w:after="156" w:afterLines="50" w:line="320" w:lineRule="exact"/>
        <w:rPr>
          <w:rFonts w:ascii="仿宋_GB2312" w:hAnsi="宋体" w:eastAsia="仿宋_GB2312"/>
          <w:b/>
          <w:color w:val="000000" w:themeColor="text1"/>
          <w:sz w:val="32"/>
          <w:szCs w:val="32"/>
          <w14:textFill>
            <w14:solidFill>
              <w14:schemeClr w14:val="tx1"/>
            </w14:solidFill>
          </w14:textFill>
        </w:rPr>
      </w:pPr>
      <w:r>
        <w:rPr>
          <w:rFonts w:ascii="仿宋_GB2312" w:hAnsi="宋体" w:eastAsia="仿宋_GB2312"/>
          <w:b/>
          <w:color w:val="000000" w:themeColor="text1"/>
          <w:sz w:val="32"/>
          <w:szCs w:val="32"/>
          <w14:textFill>
            <w14:solidFill>
              <w14:schemeClr w14:val="tx1"/>
            </w14:solidFill>
          </w14:textFill>
        </w:rPr>
        <w:t>标项</w:t>
      </w:r>
      <w:r>
        <w:rPr>
          <w:rFonts w:hint="eastAsia" w:ascii="仿宋_GB2312" w:hAnsi="宋体" w:eastAsia="仿宋_GB2312"/>
          <w:b/>
          <w:color w:val="000000" w:themeColor="text1"/>
          <w:sz w:val="32"/>
          <w:szCs w:val="32"/>
          <w14:textFill>
            <w14:solidFill>
              <w14:schemeClr w14:val="tx1"/>
            </w14:solidFill>
          </w14:textFill>
        </w:rPr>
        <w:t>4</w:t>
      </w:r>
    </w:p>
    <w:tbl>
      <w:tblPr>
        <w:tblStyle w:val="58"/>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2"/>
        <w:gridCol w:w="768"/>
        <w:gridCol w:w="5652"/>
        <w:gridCol w:w="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2" w:type="dxa"/>
          </w:tcPr>
          <w:p>
            <w:pPr>
              <w:spacing w:before="156" w:beforeLines="50" w:after="156" w:afterLines="50" w:line="276" w:lineRule="auto"/>
              <w:rPr>
                <w:rFonts w:ascii="仿宋_GB2312" w:hAnsi="宋体" w:eastAsia="仿宋_GB2312"/>
                <w:b/>
                <w:bCs w:val="0"/>
                <w:color w:val="000000"/>
                <w:szCs w:val="21"/>
              </w:rPr>
            </w:pPr>
            <w:r>
              <w:rPr>
                <w:rFonts w:hint="eastAsia" w:ascii="仿宋_GB2312" w:hAnsi="宋体" w:eastAsia="仿宋_GB2312"/>
                <w:b/>
                <w:bCs w:val="0"/>
                <w:color w:val="000000"/>
                <w:szCs w:val="21"/>
              </w:rPr>
              <w:t>评分</w:t>
            </w:r>
          </w:p>
          <w:p>
            <w:pPr>
              <w:spacing w:before="156" w:beforeLines="50" w:after="156" w:afterLines="50" w:line="276" w:lineRule="auto"/>
              <w:rPr>
                <w:rFonts w:ascii="仿宋" w:hAnsi="仿宋" w:eastAsia="仿宋"/>
                <w:b/>
                <w:bCs w:val="0"/>
              </w:rPr>
            </w:pPr>
            <w:r>
              <w:rPr>
                <w:rFonts w:hint="eastAsia" w:ascii="仿宋_GB2312" w:hAnsi="宋体" w:eastAsia="仿宋_GB2312"/>
                <w:b/>
                <w:bCs w:val="0"/>
                <w:color w:val="000000"/>
                <w:szCs w:val="21"/>
              </w:rPr>
              <w:t>类型</w:t>
            </w:r>
          </w:p>
        </w:tc>
        <w:tc>
          <w:tcPr>
            <w:tcW w:w="768" w:type="dxa"/>
          </w:tcPr>
          <w:p>
            <w:pPr>
              <w:spacing w:before="156" w:beforeLines="50" w:after="156" w:afterLines="50" w:line="276" w:lineRule="auto"/>
              <w:jc w:val="center"/>
              <w:rPr>
                <w:rFonts w:ascii="仿宋" w:hAnsi="仿宋" w:eastAsia="仿宋"/>
                <w:b/>
                <w:bCs w:val="0"/>
              </w:rPr>
            </w:pPr>
            <w:r>
              <w:rPr>
                <w:rFonts w:hint="eastAsia" w:ascii="仿宋_GB2312" w:hAnsi="宋体" w:eastAsia="仿宋_GB2312"/>
                <w:b/>
                <w:bCs w:val="0"/>
                <w:color w:val="000000"/>
                <w:szCs w:val="21"/>
              </w:rPr>
              <w:t>序号</w:t>
            </w:r>
          </w:p>
        </w:tc>
        <w:tc>
          <w:tcPr>
            <w:tcW w:w="5652" w:type="dxa"/>
          </w:tcPr>
          <w:p>
            <w:pPr>
              <w:spacing w:before="156" w:beforeLines="50" w:after="156" w:afterLines="50" w:line="276" w:lineRule="auto"/>
              <w:jc w:val="center"/>
              <w:rPr>
                <w:rFonts w:ascii="仿宋" w:hAnsi="仿宋" w:eastAsia="仿宋"/>
                <w:b/>
                <w:bCs w:val="0"/>
              </w:rPr>
            </w:pPr>
            <w:r>
              <w:rPr>
                <w:rFonts w:hint="eastAsia" w:ascii="仿宋_GB2312" w:hAnsi="宋体" w:eastAsia="仿宋_GB2312"/>
                <w:b/>
                <w:bCs w:val="0"/>
                <w:color w:val="000000"/>
                <w:szCs w:val="21"/>
              </w:rPr>
              <w:t>评分标准</w:t>
            </w:r>
          </w:p>
        </w:tc>
        <w:tc>
          <w:tcPr>
            <w:tcW w:w="867" w:type="dxa"/>
          </w:tcPr>
          <w:p>
            <w:pPr>
              <w:spacing w:before="156" w:beforeLines="50" w:after="156" w:afterLines="50" w:line="276" w:lineRule="auto"/>
              <w:rPr>
                <w:rFonts w:ascii="仿宋_GB2312" w:hAnsi="宋体" w:eastAsia="仿宋_GB2312"/>
                <w:b/>
                <w:bCs w:val="0"/>
                <w:color w:val="000000"/>
                <w:szCs w:val="21"/>
              </w:rPr>
            </w:pPr>
            <w:r>
              <w:rPr>
                <w:rFonts w:hint="eastAsia" w:ascii="仿宋_GB2312" w:hAnsi="宋体" w:eastAsia="仿宋_GB2312"/>
                <w:b/>
                <w:bCs w:val="0"/>
                <w:color w:val="000000"/>
                <w:szCs w:val="21"/>
              </w:rPr>
              <w:t>分值</w:t>
            </w:r>
          </w:p>
          <w:p>
            <w:pPr>
              <w:spacing w:before="156" w:beforeLines="50" w:after="156" w:afterLines="50" w:line="276" w:lineRule="auto"/>
              <w:rPr>
                <w:rFonts w:ascii="仿宋" w:hAnsi="仿宋" w:eastAsia="仿宋"/>
                <w:b/>
                <w:bCs w:val="0"/>
              </w:rPr>
            </w:pPr>
            <w:r>
              <w:rPr>
                <w:rFonts w:hint="eastAsia" w:ascii="仿宋_GB2312" w:hAnsi="宋体" w:eastAsia="仿宋_GB2312"/>
                <w:b/>
                <w:bCs w:val="0"/>
                <w:color w:val="000000"/>
                <w:szCs w:val="21"/>
              </w:rPr>
              <w:t>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2" w:type="dxa"/>
            <w:vAlign w:val="center"/>
          </w:tcPr>
          <w:p>
            <w:pPr>
              <w:rPr>
                <w:rFonts w:ascii="仿宋" w:hAnsi="仿宋" w:eastAsia="仿宋"/>
                <w:b/>
                <w:bCs w:val="0"/>
              </w:rPr>
            </w:pPr>
            <w:r>
              <w:rPr>
                <w:rFonts w:hint="eastAsia" w:ascii="仿宋" w:hAnsi="仿宋" w:eastAsia="仿宋"/>
                <w:b/>
                <w:bCs w:val="0"/>
              </w:rPr>
              <w:t>投标</w:t>
            </w:r>
          </w:p>
          <w:p>
            <w:pPr>
              <w:rPr>
                <w:rFonts w:ascii="仿宋" w:hAnsi="仿宋" w:eastAsia="仿宋"/>
                <w:b/>
                <w:bCs w:val="0"/>
              </w:rPr>
            </w:pPr>
            <w:r>
              <w:rPr>
                <w:rFonts w:hint="eastAsia" w:ascii="仿宋" w:hAnsi="仿宋" w:eastAsia="仿宋"/>
                <w:b/>
                <w:bCs w:val="0"/>
              </w:rPr>
              <w:t>报价</w:t>
            </w:r>
          </w:p>
          <w:p>
            <w:pPr>
              <w:rPr>
                <w:rFonts w:ascii="仿宋" w:hAnsi="仿宋" w:eastAsia="仿宋"/>
                <w:b/>
                <w:bCs w:val="0"/>
              </w:rPr>
            </w:pPr>
            <w:r>
              <w:rPr>
                <w:rFonts w:hint="eastAsia" w:ascii="仿宋" w:hAnsi="仿宋" w:eastAsia="仿宋"/>
                <w:b/>
                <w:bCs w:val="0"/>
              </w:rPr>
              <w:t>（</w:t>
            </w:r>
            <w:r>
              <w:rPr>
                <w:rFonts w:ascii="仿宋" w:hAnsi="仿宋" w:eastAsia="仿宋"/>
                <w:b/>
                <w:bCs w:val="0"/>
              </w:rPr>
              <w:t>1</w:t>
            </w:r>
            <w:r>
              <w:rPr>
                <w:rFonts w:hint="eastAsia" w:ascii="仿宋" w:hAnsi="仿宋" w:eastAsia="仿宋"/>
                <w:b/>
                <w:bCs w:val="0"/>
              </w:rPr>
              <w:t>0分）</w:t>
            </w:r>
          </w:p>
        </w:tc>
        <w:tc>
          <w:tcPr>
            <w:tcW w:w="768" w:type="dxa"/>
            <w:vAlign w:val="center"/>
          </w:tcPr>
          <w:p>
            <w:pPr>
              <w:rPr>
                <w:rFonts w:ascii="仿宋" w:hAnsi="仿宋" w:eastAsia="仿宋"/>
                <w:b/>
                <w:bCs w:val="0"/>
              </w:rPr>
            </w:pPr>
            <w:r>
              <w:rPr>
                <w:rFonts w:hint="eastAsia" w:ascii="仿宋" w:hAnsi="仿宋" w:eastAsia="仿宋"/>
                <w:b/>
                <w:bCs w:val="0"/>
              </w:rPr>
              <w:t>1</w:t>
            </w:r>
          </w:p>
        </w:tc>
        <w:tc>
          <w:tcPr>
            <w:tcW w:w="5652" w:type="dxa"/>
            <w:vAlign w:val="center"/>
          </w:tcPr>
          <w:p>
            <w:pPr>
              <w:rPr>
                <w:rFonts w:ascii="仿宋" w:hAnsi="仿宋" w:eastAsia="仿宋"/>
                <w:b/>
                <w:bCs w:val="0"/>
              </w:rPr>
            </w:pPr>
            <w:r>
              <w:rPr>
                <w:rFonts w:hint="eastAsia" w:ascii="仿宋" w:hAnsi="仿宋" w:eastAsia="仿宋"/>
                <w:b/>
                <w:bCs w:val="0"/>
              </w:rPr>
              <w:t>价格分统一采用低价优先法计算，即满足招标文件要求且投标价格最低的投标报价为评标基准价，其价格分为满分。其他投标人的价格分统一按照下列公式计算：</w:t>
            </w:r>
          </w:p>
          <w:p>
            <w:pPr>
              <w:rPr>
                <w:rFonts w:ascii="仿宋" w:hAnsi="仿宋" w:eastAsia="仿宋"/>
                <w:b/>
                <w:bCs w:val="0"/>
              </w:rPr>
            </w:pPr>
            <w:r>
              <w:rPr>
                <w:rFonts w:hint="eastAsia" w:ascii="仿宋" w:hAnsi="仿宋" w:eastAsia="仿宋"/>
                <w:b/>
                <w:bCs w:val="0"/>
              </w:rPr>
              <w:t xml:space="preserve">投标报价得分=(评标基准价／投标报价)×价格权值×100               </w:t>
            </w:r>
          </w:p>
          <w:p>
            <w:pPr>
              <w:rPr>
                <w:rFonts w:ascii="仿宋" w:hAnsi="仿宋" w:eastAsia="仿宋"/>
                <w:b/>
                <w:bCs w:val="0"/>
              </w:rPr>
            </w:pPr>
            <w:r>
              <w:rPr>
                <w:rFonts w:hint="eastAsia" w:ascii="仿宋" w:hAnsi="仿宋" w:eastAsia="仿宋"/>
                <w:b/>
                <w:bCs w:val="0"/>
              </w:rPr>
              <w:t>计算分数时四舍五入取小数点后两位</w:t>
            </w:r>
          </w:p>
          <w:p>
            <w:pPr>
              <w:rPr>
                <w:rFonts w:ascii="仿宋" w:hAnsi="仿宋" w:eastAsia="仿宋"/>
                <w:b/>
                <w:bCs w:val="0"/>
              </w:rPr>
            </w:pPr>
            <w:r>
              <w:rPr>
                <w:rFonts w:hint="eastAsia" w:ascii="仿宋" w:hAnsi="仿宋" w:eastAsia="仿宋"/>
                <w:b/>
                <w:bCs w:val="0"/>
              </w:rPr>
              <w:t>注：（1）根据《政府采购促进中小企业发展管理办法》的相关规定，对小型和微型企业的价格给予6%的扣除，用扣除后的价格参与评审。</w:t>
            </w:r>
          </w:p>
          <w:p>
            <w:pPr>
              <w:rPr>
                <w:rFonts w:ascii="仿宋" w:hAnsi="仿宋" w:eastAsia="仿宋"/>
                <w:b/>
                <w:bCs w:val="0"/>
              </w:rPr>
            </w:pPr>
            <w:r>
              <w:rPr>
                <w:rFonts w:hint="eastAsia" w:ascii="仿宋" w:hAnsi="仿宋" w:eastAsia="仿宋"/>
                <w:b/>
                <w:bCs w:val="0"/>
              </w:rPr>
              <w:t>（2）根据《财政部民政部中国残疾人联合会关于促进残疾人就业政府采购政策的通知》（财库〔2017〕141号）的规定，对符合条件的残疾人福利性单位设备的价格给予6%的扣除，用扣除后的价格参与评审。</w:t>
            </w:r>
          </w:p>
          <w:p>
            <w:pPr>
              <w:rPr>
                <w:rFonts w:ascii="仿宋" w:hAnsi="仿宋" w:eastAsia="仿宋"/>
                <w:b/>
                <w:bCs w:val="0"/>
              </w:rPr>
            </w:pPr>
            <w:r>
              <w:rPr>
                <w:rFonts w:hint="eastAsia" w:ascii="仿宋" w:hAnsi="仿宋" w:eastAsia="仿宋"/>
                <w:b/>
                <w:bCs w:val="0"/>
              </w:rPr>
              <w:t>小型、微型企业和监狱企业级符合财政部、民政部、中国残疾人联合会关于促进残疾人就业政府采购政策的通知，以上政策同时具备的仅对其进行一次6%的价格扣除，不重复扣除。</w:t>
            </w:r>
          </w:p>
        </w:tc>
        <w:tc>
          <w:tcPr>
            <w:tcW w:w="867" w:type="dxa"/>
          </w:tcPr>
          <w:p>
            <w:pPr>
              <w:rPr>
                <w:rFonts w:ascii="仿宋" w:hAnsi="仿宋" w:eastAsia="仿宋_GB2312"/>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2" w:type="dxa"/>
            <w:vAlign w:val="center"/>
          </w:tcPr>
          <w:p>
            <w:pPr>
              <w:rPr>
                <w:rFonts w:ascii="仿宋" w:hAnsi="仿宋" w:eastAsia="仿宋"/>
                <w:b/>
                <w:bCs w:val="0"/>
              </w:rPr>
            </w:pPr>
            <w:r>
              <w:rPr>
                <w:rFonts w:ascii="仿宋" w:hAnsi="仿宋" w:eastAsia="仿宋"/>
                <w:b/>
                <w:bCs w:val="0"/>
              </w:rPr>
              <w:t>商务</w:t>
            </w:r>
            <w:r>
              <w:rPr>
                <w:rFonts w:hint="eastAsia" w:ascii="仿宋" w:hAnsi="仿宋" w:eastAsia="仿宋"/>
                <w:b/>
                <w:bCs w:val="0"/>
              </w:rPr>
              <w:t>资信</w:t>
            </w:r>
          </w:p>
          <w:p>
            <w:pPr>
              <w:rPr>
                <w:rFonts w:ascii="仿宋" w:hAnsi="仿宋" w:eastAsia="仿宋"/>
                <w:b/>
                <w:bCs w:val="0"/>
              </w:rPr>
            </w:pPr>
            <w:r>
              <w:rPr>
                <w:rFonts w:ascii="仿宋" w:hAnsi="仿宋" w:eastAsia="仿宋"/>
                <w:b/>
                <w:bCs w:val="0"/>
              </w:rPr>
              <w:t>（投标</w:t>
            </w:r>
            <w:r>
              <w:rPr>
                <w:rFonts w:hint="eastAsia" w:ascii="仿宋" w:hAnsi="仿宋" w:eastAsia="仿宋"/>
                <w:b/>
                <w:bCs w:val="0"/>
              </w:rPr>
              <w:t>人</w:t>
            </w:r>
            <w:r>
              <w:rPr>
                <w:rFonts w:ascii="仿宋" w:hAnsi="仿宋" w:eastAsia="仿宋"/>
                <w:b/>
                <w:bCs w:val="0"/>
              </w:rPr>
              <w:t>业绩10</w:t>
            </w:r>
            <w:r>
              <w:rPr>
                <w:rFonts w:hint="eastAsia" w:ascii="仿宋" w:hAnsi="仿宋" w:eastAsia="仿宋"/>
                <w:b/>
                <w:bCs w:val="0"/>
              </w:rPr>
              <w:t>分）</w:t>
            </w:r>
          </w:p>
          <w:p>
            <w:pPr>
              <w:rPr>
                <w:rFonts w:ascii="仿宋" w:hAnsi="仿宋" w:eastAsia="仿宋"/>
                <w:b/>
                <w:bCs w:val="0"/>
              </w:rPr>
            </w:pPr>
          </w:p>
        </w:tc>
        <w:tc>
          <w:tcPr>
            <w:tcW w:w="768" w:type="dxa"/>
            <w:vAlign w:val="center"/>
          </w:tcPr>
          <w:p>
            <w:pPr>
              <w:rPr>
                <w:rFonts w:ascii="仿宋" w:hAnsi="仿宋" w:eastAsia="仿宋"/>
                <w:b/>
                <w:bCs w:val="0"/>
              </w:rPr>
            </w:pPr>
            <w:r>
              <w:rPr>
                <w:rFonts w:hint="eastAsia" w:ascii="仿宋" w:hAnsi="仿宋" w:eastAsia="仿宋"/>
                <w:b/>
                <w:bCs w:val="0"/>
              </w:rPr>
              <w:t>1.1</w:t>
            </w:r>
          </w:p>
        </w:tc>
        <w:tc>
          <w:tcPr>
            <w:tcW w:w="5652" w:type="dxa"/>
            <w:vAlign w:val="center"/>
          </w:tcPr>
          <w:p>
            <w:pPr>
              <w:rPr>
                <w:rFonts w:ascii="仿宋" w:hAnsi="仿宋" w:eastAsia="仿宋"/>
                <w:b/>
                <w:bCs w:val="0"/>
              </w:rPr>
            </w:pPr>
            <w:r>
              <w:rPr>
                <w:rFonts w:hint="eastAsia" w:ascii="仿宋" w:hAnsi="仿宋" w:eastAsia="仿宋"/>
                <w:b/>
                <w:bCs w:val="0"/>
              </w:rPr>
              <w:t>投标人提供2</w:t>
            </w:r>
            <w:r>
              <w:rPr>
                <w:rFonts w:ascii="仿宋" w:hAnsi="仿宋" w:eastAsia="仿宋"/>
                <w:b/>
                <w:bCs w:val="0"/>
              </w:rPr>
              <w:t>016</w:t>
            </w:r>
            <w:r>
              <w:rPr>
                <w:rFonts w:hint="eastAsia" w:ascii="仿宋" w:hAnsi="仿宋" w:eastAsia="仿宋"/>
                <w:b/>
                <w:bCs w:val="0"/>
              </w:rPr>
              <w:t>年以来承担过全国性级别及以上综合性运动会中央成绩系统、信息发布系统、成绩处理系统、公共大屏显示控制系统、技术统计系统、评论员系统建设案例，每提供一个分项业务成功案例得0</w:t>
            </w:r>
            <w:r>
              <w:rPr>
                <w:rFonts w:ascii="仿宋" w:hAnsi="仿宋" w:eastAsia="仿宋"/>
                <w:b/>
                <w:bCs w:val="0"/>
              </w:rPr>
              <w:t>.5</w:t>
            </w:r>
            <w:r>
              <w:rPr>
                <w:rFonts w:hint="eastAsia" w:ascii="仿宋" w:hAnsi="仿宋" w:eastAsia="仿宋"/>
                <w:b/>
                <w:bCs w:val="0"/>
              </w:rPr>
              <w:t>分，满分1</w:t>
            </w:r>
            <w:r>
              <w:rPr>
                <w:rFonts w:ascii="仿宋" w:hAnsi="仿宋" w:eastAsia="仿宋"/>
                <w:b/>
                <w:bCs w:val="0"/>
              </w:rPr>
              <w:t>0</w:t>
            </w:r>
            <w:r>
              <w:rPr>
                <w:rFonts w:hint="eastAsia" w:ascii="仿宋" w:hAnsi="仿宋" w:eastAsia="仿宋"/>
                <w:b/>
                <w:bCs w:val="0"/>
              </w:rPr>
              <w:t>分；未提供合同或合同不符合要求，得0分。</w:t>
            </w:r>
          </w:p>
          <w:p>
            <w:pPr>
              <w:rPr>
                <w:rFonts w:ascii="仿宋" w:hAnsi="仿宋" w:eastAsia="仿宋"/>
                <w:b/>
                <w:bCs w:val="0"/>
              </w:rPr>
            </w:pPr>
            <w:r>
              <w:rPr>
                <w:rFonts w:hint="eastAsia" w:ascii="仿宋" w:hAnsi="仿宋" w:eastAsia="仿宋"/>
                <w:b/>
                <w:bCs w:val="0"/>
              </w:rPr>
              <w:t>注：案例以下列投标文件中的合同复印件及成功履行合同的证明材料为计分依据。投标文件中的合同复印件须加盖公章，未提供复印件的证明文件在计分时不予认可。</w:t>
            </w:r>
          </w:p>
          <w:p>
            <w:pPr>
              <w:rPr>
                <w:rFonts w:ascii="仿宋" w:hAnsi="仿宋" w:eastAsia="仿宋"/>
                <w:b/>
                <w:bCs w:val="0"/>
              </w:rPr>
            </w:pPr>
            <w:r>
              <w:rPr>
                <w:rFonts w:hint="eastAsia" w:ascii="仿宋" w:hAnsi="仿宋" w:eastAsia="仿宋"/>
                <w:b/>
                <w:bCs w:val="0"/>
              </w:rPr>
              <w:t>① 合同扫描件</w:t>
            </w:r>
            <w:r>
              <w:rPr>
                <w:rFonts w:hint="eastAsia" w:ascii="仿宋" w:hAnsi="仿宋" w:eastAsia="仿宋"/>
                <w:b/>
                <w:bCs w:val="0"/>
                <w:lang w:val="en-US" w:eastAsia="zh-CN"/>
              </w:rPr>
              <w:t>或复印件</w:t>
            </w:r>
            <w:r>
              <w:rPr>
                <w:rFonts w:hint="eastAsia" w:ascii="仿宋" w:hAnsi="仿宋" w:eastAsia="仿宋"/>
                <w:b/>
                <w:bCs w:val="0"/>
              </w:rPr>
              <w:t>，至少包括买卖双方名称及签字盖章页、服务内容；</w:t>
            </w:r>
          </w:p>
          <w:p>
            <w:pPr>
              <w:rPr>
                <w:rFonts w:ascii="仿宋" w:hAnsi="仿宋" w:eastAsia="仿宋"/>
                <w:b/>
                <w:bCs w:val="0"/>
              </w:rPr>
            </w:pPr>
            <w:r>
              <w:rPr>
                <w:rFonts w:hint="eastAsia" w:ascii="仿宋" w:hAnsi="仿宋" w:eastAsia="仿宋"/>
                <w:b/>
                <w:bCs w:val="0"/>
              </w:rPr>
              <w:t>② 用户盖章或签字的成功履行合同的证明材料</w:t>
            </w:r>
            <w:r>
              <w:rPr>
                <w:rFonts w:hint="eastAsia" w:ascii="仿宋" w:hAnsi="仿宋" w:eastAsia="仿宋"/>
                <w:b/>
                <w:bCs w:val="0"/>
                <w:lang w:val="en-US" w:eastAsia="zh-CN"/>
              </w:rPr>
              <w:t>扫描件或复印件</w:t>
            </w:r>
            <w:r>
              <w:rPr>
                <w:rFonts w:hint="eastAsia" w:ascii="仿宋" w:hAnsi="仿宋" w:eastAsia="仿宋"/>
                <w:b/>
                <w:bCs w:val="0"/>
              </w:rPr>
              <w:t>（验收证明或用户意见）。</w:t>
            </w:r>
          </w:p>
        </w:tc>
        <w:tc>
          <w:tcPr>
            <w:tcW w:w="867" w:type="dxa"/>
          </w:tcPr>
          <w:p>
            <w:pPr>
              <w:rPr>
                <w:rFonts w:ascii="仿宋" w:hAnsi="仿宋" w:eastAsia="仿宋_GB2312"/>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2" w:type="dxa"/>
            <w:vAlign w:val="center"/>
          </w:tcPr>
          <w:p>
            <w:pPr>
              <w:rPr>
                <w:rFonts w:ascii="仿宋" w:hAnsi="仿宋" w:eastAsia="仿宋"/>
                <w:b/>
                <w:bCs w:val="0"/>
              </w:rPr>
            </w:pPr>
            <w:r>
              <w:rPr>
                <w:rFonts w:ascii="仿宋" w:hAnsi="仿宋" w:eastAsia="仿宋"/>
                <w:b/>
                <w:bCs w:val="0"/>
              </w:rPr>
              <w:t>商务</w:t>
            </w:r>
            <w:r>
              <w:rPr>
                <w:rFonts w:hint="eastAsia" w:ascii="仿宋" w:hAnsi="仿宋" w:eastAsia="仿宋"/>
                <w:b/>
                <w:bCs w:val="0"/>
              </w:rPr>
              <w:t>资信</w:t>
            </w:r>
          </w:p>
          <w:p>
            <w:pPr>
              <w:rPr>
                <w:rFonts w:ascii="仿宋" w:hAnsi="仿宋" w:eastAsia="仿宋"/>
                <w:b/>
                <w:bCs w:val="0"/>
              </w:rPr>
            </w:pPr>
            <w:r>
              <w:rPr>
                <w:rFonts w:hint="eastAsia" w:ascii="仿宋" w:hAnsi="仿宋" w:eastAsia="仿宋"/>
                <w:b/>
                <w:bCs w:val="0"/>
              </w:rPr>
              <w:t>（</w:t>
            </w:r>
            <w:r>
              <w:rPr>
                <w:rFonts w:ascii="仿宋" w:hAnsi="仿宋" w:eastAsia="仿宋"/>
                <w:b/>
                <w:bCs w:val="0"/>
              </w:rPr>
              <w:t>项目负责人资质</w:t>
            </w:r>
          </w:p>
          <w:p>
            <w:pPr>
              <w:rPr>
                <w:rFonts w:ascii="仿宋" w:hAnsi="仿宋" w:eastAsia="仿宋"/>
                <w:b/>
                <w:bCs w:val="0"/>
              </w:rPr>
            </w:pPr>
            <w:r>
              <w:rPr>
                <w:rFonts w:ascii="仿宋" w:hAnsi="仿宋" w:eastAsia="仿宋"/>
                <w:b/>
                <w:bCs w:val="0"/>
              </w:rPr>
              <w:t>4</w:t>
            </w:r>
            <w:r>
              <w:rPr>
                <w:rFonts w:hint="eastAsia" w:ascii="仿宋" w:hAnsi="仿宋" w:eastAsia="仿宋"/>
                <w:b/>
                <w:bCs w:val="0"/>
              </w:rPr>
              <w:t>分）</w:t>
            </w:r>
          </w:p>
          <w:p>
            <w:pPr>
              <w:rPr>
                <w:rFonts w:ascii="仿宋" w:hAnsi="仿宋" w:eastAsia="仿宋"/>
                <w:b/>
                <w:bCs w:val="0"/>
              </w:rPr>
            </w:pPr>
          </w:p>
        </w:tc>
        <w:tc>
          <w:tcPr>
            <w:tcW w:w="768" w:type="dxa"/>
            <w:vAlign w:val="center"/>
          </w:tcPr>
          <w:p>
            <w:pPr>
              <w:rPr>
                <w:rFonts w:ascii="仿宋" w:hAnsi="仿宋" w:eastAsia="仿宋"/>
                <w:b/>
                <w:bCs w:val="0"/>
              </w:rPr>
            </w:pPr>
            <w:r>
              <w:rPr>
                <w:rFonts w:hint="eastAsia" w:ascii="仿宋" w:hAnsi="仿宋" w:eastAsia="仿宋"/>
                <w:b/>
                <w:bCs w:val="0"/>
              </w:rPr>
              <w:t>1.2</w:t>
            </w:r>
          </w:p>
        </w:tc>
        <w:tc>
          <w:tcPr>
            <w:tcW w:w="5652" w:type="dxa"/>
            <w:vAlign w:val="center"/>
          </w:tcPr>
          <w:p>
            <w:pPr>
              <w:rPr>
                <w:rFonts w:ascii="仿宋" w:hAnsi="仿宋" w:eastAsia="仿宋"/>
                <w:b/>
                <w:bCs w:val="0"/>
              </w:rPr>
            </w:pPr>
            <w:r>
              <w:rPr>
                <w:rFonts w:ascii="仿宋" w:hAnsi="仿宋" w:eastAsia="仿宋"/>
                <w:b/>
                <w:bCs w:val="0"/>
              </w:rPr>
              <w:t>项目负责人具有信息化系统管理师</w:t>
            </w:r>
            <w:r>
              <w:rPr>
                <w:rFonts w:hint="eastAsia" w:ascii="仿宋" w:hAnsi="仿宋" w:eastAsia="仿宋"/>
                <w:b/>
                <w:bCs w:val="0"/>
              </w:rPr>
              <w:t>（高级）或P</w:t>
            </w:r>
            <w:r>
              <w:rPr>
                <w:rFonts w:ascii="仿宋" w:hAnsi="仿宋" w:eastAsia="仿宋"/>
                <w:b/>
                <w:bCs w:val="0"/>
              </w:rPr>
              <w:t>MP</w:t>
            </w:r>
            <w:r>
              <w:rPr>
                <w:rFonts w:hint="eastAsia" w:ascii="仿宋" w:hAnsi="仿宋" w:eastAsia="仿宋"/>
                <w:b/>
                <w:bCs w:val="0"/>
              </w:rPr>
              <w:t>项目管理师</w:t>
            </w:r>
            <w:r>
              <w:rPr>
                <w:rFonts w:ascii="仿宋" w:hAnsi="仿宋" w:eastAsia="仿宋"/>
                <w:b/>
                <w:bCs w:val="0"/>
              </w:rPr>
              <w:t>证书</w:t>
            </w:r>
            <w:r>
              <w:rPr>
                <w:rFonts w:hint="eastAsia" w:ascii="仿宋" w:hAnsi="仿宋" w:eastAsia="仿宋"/>
                <w:b/>
                <w:bCs w:val="0"/>
              </w:rPr>
              <w:t>得</w:t>
            </w:r>
            <w:r>
              <w:rPr>
                <w:rFonts w:ascii="仿宋" w:hAnsi="仿宋" w:eastAsia="仿宋"/>
                <w:b/>
                <w:bCs w:val="0"/>
              </w:rPr>
              <w:t>4</w:t>
            </w:r>
            <w:r>
              <w:rPr>
                <w:rFonts w:hint="eastAsia" w:ascii="仿宋" w:hAnsi="仿宋" w:eastAsia="仿宋"/>
                <w:b/>
                <w:bCs w:val="0"/>
              </w:rPr>
              <w:t>分。</w:t>
            </w:r>
          </w:p>
          <w:p>
            <w:pPr>
              <w:rPr>
                <w:rFonts w:ascii="仿宋" w:hAnsi="仿宋" w:eastAsia="仿宋"/>
                <w:b/>
                <w:bCs w:val="0"/>
              </w:rPr>
            </w:pPr>
            <w:r>
              <w:rPr>
                <w:rFonts w:ascii="仿宋" w:hAnsi="仿宋" w:eastAsia="仿宋"/>
                <w:b/>
                <w:bCs w:val="0"/>
              </w:rPr>
              <w:t>注</w:t>
            </w:r>
            <w:r>
              <w:rPr>
                <w:rFonts w:hint="eastAsia" w:ascii="仿宋" w:hAnsi="仿宋" w:eastAsia="仿宋"/>
                <w:b/>
                <w:bCs w:val="0"/>
              </w:rPr>
              <w:t>：</w:t>
            </w:r>
            <w:r>
              <w:rPr>
                <w:rFonts w:ascii="仿宋" w:hAnsi="仿宋" w:eastAsia="仿宋"/>
                <w:b/>
                <w:bCs w:val="0"/>
              </w:rPr>
              <w:t>须</w:t>
            </w:r>
            <w:r>
              <w:rPr>
                <w:rFonts w:hint="eastAsia" w:ascii="仿宋" w:hAnsi="仿宋" w:eastAsia="仿宋"/>
                <w:b/>
                <w:bCs w:val="0"/>
              </w:rPr>
              <w:t>提供相应证书和该人员在投标企业近六个月内任意一个月的社保证明复印件加盖公章，否则不得分。</w:t>
            </w:r>
          </w:p>
        </w:tc>
        <w:tc>
          <w:tcPr>
            <w:tcW w:w="867" w:type="dxa"/>
          </w:tcPr>
          <w:p>
            <w:pPr>
              <w:rPr>
                <w:rFonts w:ascii="仿宋" w:hAnsi="仿宋" w:eastAsia="仿宋_GB2312"/>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2" w:type="dxa"/>
            <w:vAlign w:val="center"/>
          </w:tcPr>
          <w:p>
            <w:pPr>
              <w:rPr>
                <w:rFonts w:ascii="仿宋" w:hAnsi="仿宋" w:eastAsia="仿宋"/>
                <w:b/>
                <w:bCs w:val="0"/>
              </w:rPr>
            </w:pPr>
            <w:r>
              <w:rPr>
                <w:rFonts w:ascii="仿宋" w:hAnsi="仿宋" w:eastAsia="仿宋"/>
                <w:b/>
                <w:bCs w:val="0"/>
              </w:rPr>
              <w:t>商务</w:t>
            </w:r>
            <w:r>
              <w:rPr>
                <w:rFonts w:hint="eastAsia" w:ascii="仿宋" w:hAnsi="仿宋" w:eastAsia="仿宋"/>
                <w:b/>
                <w:bCs w:val="0"/>
              </w:rPr>
              <w:t>资信</w:t>
            </w:r>
          </w:p>
          <w:p>
            <w:pPr>
              <w:rPr>
                <w:rFonts w:ascii="仿宋" w:hAnsi="仿宋" w:eastAsia="仿宋"/>
                <w:b/>
                <w:bCs w:val="0"/>
              </w:rPr>
            </w:pPr>
            <w:r>
              <w:rPr>
                <w:rFonts w:hint="eastAsia" w:ascii="仿宋" w:hAnsi="仿宋" w:eastAsia="仿宋"/>
                <w:b/>
                <w:bCs w:val="0"/>
              </w:rPr>
              <w:t>（</w:t>
            </w:r>
            <w:r>
              <w:rPr>
                <w:rFonts w:ascii="仿宋" w:hAnsi="仿宋" w:eastAsia="仿宋"/>
                <w:b/>
                <w:bCs w:val="0"/>
              </w:rPr>
              <w:t>团队成员6</w:t>
            </w:r>
            <w:r>
              <w:rPr>
                <w:rFonts w:hint="eastAsia" w:ascii="仿宋" w:hAnsi="仿宋" w:eastAsia="仿宋"/>
                <w:b/>
                <w:bCs w:val="0"/>
              </w:rPr>
              <w:t>分）</w:t>
            </w:r>
          </w:p>
          <w:p>
            <w:pPr>
              <w:rPr>
                <w:rFonts w:ascii="仿宋" w:hAnsi="仿宋" w:eastAsia="仿宋"/>
                <w:b/>
                <w:bCs w:val="0"/>
              </w:rPr>
            </w:pPr>
          </w:p>
        </w:tc>
        <w:tc>
          <w:tcPr>
            <w:tcW w:w="768" w:type="dxa"/>
            <w:vAlign w:val="center"/>
          </w:tcPr>
          <w:p>
            <w:pPr>
              <w:rPr>
                <w:rFonts w:ascii="仿宋" w:hAnsi="仿宋" w:eastAsia="仿宋"/>
                <w:b/>
                <w:bCs w:val="0"/>
              </w:rPr>
            </w:pPr>
            <w:r>
              <w:rPr>
                <w:rFonts w:hint="eastAsia" w:ascii="仿宋" w:hAnsi="仿宋" w:eastAsia="仿宋"/>
                <w:b/>
                <w:bCs w:val="0"/>
              </w:rPr>
              <w:t>1.3</w:t>
            </w:r>
          </w:p>
        </w:tc>
        <w:tc>
          <w:tcPr>
            <w:tcW w:w="5652" w:type="dxa"/>
            <w:vAlign w:val="center"/>
          </w:tcPr>
          <w:p>
            <w:pPr>
              <w:rPr>
                <w:rFonts w:ascii="仿宋" w:hAnsi="仿宋" w:eastAsia="仿宋"/>
                <w:b/>
                <w:bCs w:val="0"/>
              </w:rPr>
            </w:pPr>
            <w:r>
              <w:rPr>
                <w:rFonts w:hint="eastAsia" w:ascii="仿宋" w:hAnsi="仿宋" w:eastAsia="仿宋"/>
                <w:b/>
                <w:bCs w:val="0"/>
              </w:rPr>
              <w:t>根据项目团队中成员是否有综合体育赛事服务经验情况评分。团队中每提供一名具有具有综合体育赛事服务经验的人员，得0.</w:t>
            </w:r>
            <w:r>
              <w:rPr>
                <w:rFonts w:ascii="仿宋" w:hAnsi="仿宋" w:eastAsia="仿宋"/>
                <w:b/>
                <w:bCs w:val="0"/>
              </w:rPr>
              <w:t>2</w:t>
            </w:r>
            <w:r>
              <w:rPr>
                <w:rFonts w:hint="eastAsia" w:ascii="仿宋" w:hAnsi="仿宋" w:eastAsia="仿宋"/>
                <w:b/>
                <w:bCs w:val="0"/>
              </w:rPr>
              <w:t>分。本项满分</w:t>
            </w:r>
            <w:r>
              <w:rPr>
                <w:rFonts w:ascii="仿宋" w:hAnsi="仿宋" w:eastAsia="仿宋"/>
                <w:b/>
                <w:bCs w:val="0"/>
              </w:rPr>
              <w:t>6</w:t>
            </w:r>
            <w:r>
              <w:rPr>
                <w:rFonts w:hint="eastAsia" w:ascii="仿宋" w:hAnsi="仿宋" w:eastAsia="仿宋"/>
                <w:b/>
                <w:bCs w:val="0"/>
              </w:rPr>
              <w:t>分，团队成员为10人以下（含10人）不得分。</w:t>
            </w:r>
          </w:p>
          <w:p>
            <w:pPr>
              <w:rPr>
                <w:rFonts w:ascii="仿宋" w:hAnsi="仿宋" w:eastAsia="仿宋"/>
                <w:b/>
                <w:bCs w:val="0"/>
              </w:rPr>
            </w:pPr>
            <w:r>
              <w:rPr>
                <w:rFonts w:hint="eastAsia" w:ascii="仿宋" w:hAnsi="仿宋" w:eastAsia="仿宋"/>
                <w:b/>
                <w:bCs w:val="0"/>
              </w:rPr>
              <w:t>注：须提供团队人员参与综合体育赛事服务证明或荣誉证书或工作证，以及团队人员在报价人企业近六个月内任意一个月社保证明的复印件并加盖公章，否则不得分。</w:t>
            </w:r>
          </w:p>
        </w:tc>
        <w:tc>
          <w:tcPr>
            <w:tcW w:w="867" w:type="dxa"/>
          </w:tcPr>
          <w:p>
            <w:pPr>
              <w:rPr>
                <w:rFonts w:ascii="仿宋" w:hAnsi="仿宋" w:eastAsia="仿宋_GB2312"/>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 w:hRule="atLeast"/>
        </w:trPr>
        <w:tc>
          <w:tcPr>
            <w:tcW w:w="1232" w:type="dxa"/>
            <w:vMerge w:val="restart"/>
            <w:vAlign w:val="center"/>
          </w:tcPr>
          <w:p>
            <w:pPr>
              <w:rPr>
                <w:rFonts w:ascii="仿宋" w:hAnsi="仿宋" w:eastAsia="仿宋"/>
                <w:b/>
                <w:bCs w:val="0"/>
              </w:rPr>
            </w:pPr>
            <w:r>
              <w:rPr>
                <w:rFonts w:ascii="仿宋" w:hAnsi="仿宋" w:eastAsia="仿宋"/>
                <w:b/>
                <w:bCs w:val="0"/>
              </w:rPr>
              <w:t>技术</w:t>
            </w:r>
          </w:p>
          <w:p>
            <w:pPr>
              <w:rPr>
                <w:rFonts w:ascii="仿宋" w:hAnsi="仿宋" w:eastAsia="仿宋"/>
                <w:b/>
                <w:bCs w:val="0"/>
              </w:rPr>
            </w:pPr>
            <w:r>
              <w:rPr>
                <w:rFonts w:ascii="仿宋" w:hAnsi="仿宋" w:eastAsia="仿宋"/>
                <w:b/>
                <w:bCs w:val="0"/>
              </w:rPr>
              <w:t>（</w:t>
            </w:r>
            <w:r>
              <w:rPr>
                <w:rFonts w:hint="eastAsia" w:ascii="仿宋" w:hAnsi="仿宋" w:eastAsia="仿宋"/>
                <w:b/>
                <w:bCs w:val="0"/>
              </w:rPr>
              <w:t>阶段服务方案</w:t>
            </w:r>
            <w:r>
              <w:rPr>
                <w:rFonts w:ascii="仿宋" w:hAnsi="仿宋" w:eastAsia="仿宋"/>
                <w:b/>
                <w:bCs w:val="0"/>
              </w:rPr>
              <w:t>15</w:t>
            </w:r>
            <w:r>
              <w:rPr>
                <w:rFonts w:hint="eastAsia" w:ascii="仿宋" w:hAnsi="仿宋" w:eastAsia="仿宋"/>
                <w:b/>
                <w:bCs w:val="0"/>
              </w:rPr>
              <w:t>分）</w:t>
            </w:r>
          </w:p>
        </w:tc>
        <w:tc>
          <w:tcPr>
            <w:tcW w:w="768" w:type="dxa"/>
            <w:vAlign w:val="center"/>
          </w:tcPr>
          <w:p>
            <w:pPr>
              <w:rPr>
                <w:rFonts w:ascii="仿宋" w:hAnsi="仿宋" w:eastAsia="仿宋"/>
                <w:b/>
                <w:bCs w:val="0"/>
              </w:rPr>
            </w:pPr>
            <w:r>
              <w:rPr>
                <w:rFonts w:hint="eastAsia" w:ascii="仿宋" w:hAnsi="仿宋" w:eastAsia="仿宋"/>
                <w:b/>
                <w:bCs w:val="0"/>
              </w:rPr>
              <w:t>2.1.1</w:t>
            </w:r>
          </w:p>
        </w:tc>
        <w:tc>
          <w:tcPr>
            <w:tcW w:w="5652" w:type="dxa"/>
            <w:vAlign w:val="center"/>
          </w:tcPr>
          <w:p>
            <w:pPr>
              <w:rPr>
                <w:rFonts w:ascii="仿宋" w:hAnsi="仿宋" w:eastAsia="仿宋"/>
                <w:b/>
                <w:bCs w:val="0"/>
              </w:rPr>
            </w:pPr>
            <w:r>
              <w:rPr>
                <w:rFonts w:hint="eastAsia" w:ascii="仿宋" w:hAnsi="仿宋" w:eastAsia="仿宋"/>
                <w:b/>
                <w:bCs w:val="0"/>
              </w:rPr>
              <w:t>建设阶段服务方案（</w:t>
            </w:r>
            <w:r>
              <w:rPr>
                <w:rFonts w:ascii="仿宋" w:hAnsi="仿宋" w:eastAsia="仿宋"/>
                <w:b/>
                <w:bCs w:val="0"/>
              </w:rPr>
              <w:t>5</w:t>
            </w:r>
            <w:r>
              <w:rPr>
                <w:rFonts w:hint="eastAsia" w:ascii="仿宋" w:hAnsi="仿宋" w:eastAsia="仿宋"/>
                <w:b/>
                <w:bCs w:val="0"/>
              </w:rPr>
              <w:t>分）</w:t>
            </w:r>
          </w:p>
          <w:p>
            <w:pPr>
              <w:rPr>
                <w:rFonts w:ascii="仿宋" w:hAnsi="仿宋" w:eastAsia="仿宋"/>
                <w:b/>
                <w:bCs w:val="0"/>
              </w:rPr>
            </w:pPr>
            <w:r>
              <w:rPr>
                <w:rFonts w:hint="eastAsia" w:ascii="仿宋" w:hAnsi="仿宋" w:eastAsia="仿宋"/>
                <w:b/>
                <w:bCs w:val="0"/>
              </w:rPr>
              <w:t>从服务方案的完整性、服务内容的完备性，是否符合工期要求，是否满足建设阶段的各项服务要求与验收要求，服务保障、成本、质量、风险控制措施，过程控制措施是否完善，人力资源和设备调配是否合理等方面，进行综合评分，完全满足建设阶段服务的各项要求得</w:t>
            </w:r>
            <w:r>
              <w:rPr>
                <w:rFonts w:ascii="仿宋" w:hAnsi="仿宋" w:eastAsia="仿宋"/>
                <w:b/>
                <w:bCs w:val="0"/>
              </w:rPr>
              <w:t>5</w:t>
            </w:r>
            <w:r>
              <w:rPr>
                <w:rFonts w:hint="eastAsia" w:ascii="仿宋" w:hAnsi="仿宋" w:eastAsia="仿宋"/>
                <w:b/>
                <w:bCs w:val="0"/>
              </w:rPr>
              <w:t>分，基本满足得3分，否则得0分。</w:t>
            </w:r>
          </w:p>
        </w:tc>
        <w:tc>
          <w:tcPr>
            <w:tcW w:w="867" w:type="dxa"/>
          </w:tcPr>
          <w:p>
            <w:pPr>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7" w:hRule="atLeast"/>
        </w:trPr>
        <w:tc>
          <w:tcPr>
            <w:tcW w:w="1232" w:type="dxa"/>
            <w:vMerge w:val="continue"/>
            <w:vAlign w:val="center"/>
          </w:tcPr>
          <w:p>
            <w:pPr>
              <w:rPr>
                <w:rFonts w:ascii="仿宋" w:hAnsi="仿宋" w:eastAsia="仿宋"/>
                <w:b/>
                <w:bCs w:val="0"/>
              </w:rPr>
            </w:pPr>
          </w:p>
        </w:tc>
        <w:tc>
          <w:tcPr>
            <w:tcW w:w="768" w:type="dxa"/>
            <w:vAlign w:val="center"/>
          </w:tcPr>
          <w:p>
            <w:pPr>
              <w:rPr>
                <w:rFonts w:ascii="仿宋" w:hAnsi="仿宋" w:eastAsia="仿宋"/>
                <w:b/>
                <w:bCs w:val="0"/>
              </w:rPr>
            </w:pPr>
            <w:r>
              <w:rPr>
                <w:rFonts w:hint="eastAsia" w:ascii="仿宋" w:hAnsi="仿宋" w:eastAsia="仿宋"/>
                <w:b/>
                <w:bCs w:val="0"/>
              </w:rPr>
              <w:t>2.1.2</w:t>
            </w:r>
          </w:p>
        </w:tc>
        <w:tc>
          <w:tcPr>
            <w:tcW w:w="5652" w:type="dxa"/>
            <w:vAlign w:val="center"/>
          </w:tcPr>
          <w:p>
            <w:pPr>
              <w:rPr>
                <w:rFonts w:ascii="仿宋" w:hAnsi="仿宋" w:eastAsia="仿宋"/>
                <w:b/>
                <w:bCs w:val="0"/>
              </w:rPr>
            </w:pPr>
            <w:r>
              <w:rPr>
                <w:rFonts w:ascii="仿宋" w:hAnsi="仿宋" w:eastAsia="仿宋"/>
                <w:b/>
                <w:bCs w:val="0"/>
              </w:rPr>
              <w:t>测试阶段服务方案（5分）</w:t>
            </w:r>
          </w:p>
          <w:p>
            <w:pPr>
              <w:rPr>
                <w:rFonts w:ascii="仿宋" w:hAnsi="仿宋" w:eastAsia="仿宋"/>
                <w:b/>
                <w:bCs w:val="0"/>
              </w:rPr>
            </w:pPr>
            <w:r>
              <w:rPr>
                <w:rFonts w:ascii="仿宋" w:hAnsi="仿宋" w:eastAsia="仿宋"/>
                <w:b/>
                <w:bCs w:val="0"/>
              </w:rPr>
              <w:t>从服务方案的完整性、服务内容的完备性，是否符合工期要求，是否满足测试阶段的各项服务要求与验收要求，服务保障、成本、质量、风险控制措施是否完善，人力资源和设备调配是否合理，对于重叠子阶段是否有响应措施等方面，进行综合评分，</w:t>
            </w:r>
            <w:r>
              <w:rPr>
                <w:rFonts w:hint="eastAsia" w:ascii="仿宋" w:hAnsi="仿宋" w:eastAsia="仿宋"/>
                <w:b/>
                <w:bCs w:val="0"/>
              </w:rPr>
              <w:t>完全满足建设阶段服务的各项要求得</w:t>
            </w:r>
            <w:r>
              <w:rPr>
                <w:rFonts w:ascii="仿宋" w:hAnsi="仿宋" w:eastAsia="仿宋"/>
                <w:b/>
                <w:bCs w:val="0"/>
              </w:rPr>
              <w:t>5</w:t>
            </w:r>
            <w:r>
              <w:rPr>
                <w:rFonts w:hint="eastAsia" w:ascii="仿宋" w:hAnsi="仿宋" w:eastAsia="仿宋"/>
                <w:b/>
                <w:bCs w:val="0"/>
              </w:rPr>
              <w:t>分，基本满足得</w:t>
            </w:r>
            <w:r>
              <w:rPr>
                <w:rFonts w:hint="eastAsia" w:ascii="仿宋" w:hAnsi="仿宋" w:eastAsia="仿宋"/>
                <w:b/>
                <w:bCs w:val="0"/>
                <w:lang w:val="en-US" w:eastAsia="zh-CN"/>
              </w:rPr>
              <w:t>3</w:t>
            </w:r>
            <w:r>
              <w:rPr>
                <w:rFonts w:hint="eastAsia" w:ascii="仿宋" w:hAnsi="仿宋" w:eastAsia="仿宋"/>
                <w:b/>
                <w:bCs w:val="0"/>
              </w:rPr>
              <w:t>分，否则得0分。</w:t>
            </w:r>
          </w:p>
        </w:tc>
        <w:tc>
          <w:tcPr>
            <w:tcW w:w="867" w:type="dxa"/>
          </w:tcPr>
          <w:p>
            <w:pPr>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1" w:hRule="atLeast"/>
        </w:trPr>
        <w:tc>
          <w:tcPr>
            <w:tcW w:w="1232" w:type="dxa"/>
            <w:vMerge w:val="continue"/>
            <w:vAlign w:val="center"/>
          </w:tcPr>
          <w:p>
            <w:pPr>
              <w:rPr>
                <w:rFonts w:ascii="仿宋" w:hAnsi="仿宋" w:eastAsia="仿宋"/>
                <w:b/>
                <w:bCs w:val="0"/>
              </w:rPr>
            </w:pPr>
          </w:p>
        </w:tc>
        <w:tc>
          <w:tcPr>
            <w:tcW w:w="768" w:type="dxa"/>
            <w:vAlign w:val="center"/>
          </w:tcPr>
          <w:p>
            <w:pPr>
              <w:rPr>
                <w:rFonts w:ascii="仿宋" w:hAnsi="仿宋" w:eastAsia="仿宋"/>
                <w:b/>
                <w:bCs w:val="0"/>
              </w:rPr>
            </w:pPr>
            <w:r>
              <w:rPr>
                <w:rFonts w:hint="eastAsia" w:ascii="仿宋" w:hAnsi="仿宋" w:eastAsia="仿宋"/>
                <w:b/>
                <w:bCs w:val="0"/>
              </w:rPr>
              <w:t>2.1.3</w:t>
            </w:r>
          </w:p>
        </w:tc>
        <w:tc>
          <w:tcPr>
            <w:tcW w:w="5652" w:type="dxa"/>
            <w:vAlign w:val="center"/>
          </w:tcPr>
          <w:p>
            <w:pPr>
              <w:rPr>
                <w:rFonts w:ascii="仿宋" w:hAnsi="仿宋" w:eastAsia="仿宋"/>
                <w:b/>
                <w:bCs w:val="0"/>
              </w:rPr>
            </w:pPr>
            <w:r>
              <w:rPr>
                <w:rFonts w:ascii="仿宋" w:hAnsi="仿宋" w:eastAsia="仿宋"/>
                <w:b/>
                <w:bCs w:val="0"/>
              </w:rPr>
              <w:t>运行服务阶段服务方案（5分）</w:t>
            </w:r>
          </w:p>
          <w:p>
            <w:pPr>
              <w:rPr>
                <w:rFonts w:ascii="仿宋" w:hAnsi="仿宋" w:eastAsia="仿宋"/>
                <w:b/>
                <w:bCs w:val="0"/>
              </w:rPr>
            </w:pPr>
            <w:r>
              <w:rPr>
                <w:rFonts w:ascii="仿宋" w:hAnsi="仿宋" w:eastAsia="仿宋"/>
                <w:b/>
                <w:bCs w:val="0"/>
              </w:rPr>
              <w:t>从服务方案的完整性、服务内容的完备性，是否符合工期要求，是否满足运行服务阶段的各项服务要求与验收要求，服务保障、成本、质量、风险控制措施是否完善，人力资源和设备调配是否合理等方面，进行综合评分，</w:t>
            </w:r>
            <w:r>
              <w:rPr>
                <w:rFonts w:hint="eastAsia" w:ascii="仿宋" w:hAnsi="仿宋" w:eastAsia="仿宋"/>
                <w:b/>
                <w:bCs w:val="0"/>
              </w:rPr>
              <w:t>完全满足建设阶段服务的各项要求得</w:t>
            </w:r>
            <w:r>
              <w:rPr>
                <w:rFonts w:ascii="仿宋" w:hAnsi="仿宋" w:eastAsia="仿宋"/>
                <w:b/>
                <w:bCs w:val="0"/>
              </w:rPr>
              <w:t>5</w:t>
            </w:r>
            <w:r>
              <w:rPr>
                <w:rFonts w:hint="eastAsia" w:ascii="仿宋" w:hAnsi="仿宋" w:eastAsia="仿宋"/>
                <w:b/>
                <w:bCs w:val="0"/>
              </w:rPr>
              <w:t>分，基本满足得</w:t>
            </w:r>
            <w:r>
              <w:rPr>
                <w:rFonts w:hint="eastAsia" w:ascii="仿宋" w:hAnsi="仿宋" w:eastAsia="仿宋"/>
                <w:b/>
                <w:bCs w:val="0"/>
                <w:lang w:val="en-US" w:eastAsia="zh-CN"/>
              </w:rPr>
              <w:t>3</w:t>
            </w:r>
            <w:r>
              <w:rPr>
                <w:rFonts w:hint="eastAsia" w:ascii="仿宋" w:hAnsi="仿宋" w:eastAsia="仿宋"/>
                <w:b/>
                <w:bCs w:val="0"/>
              </w:rPr>
              <w:t>分，否则得0分。</w:t>
            </w:r>
          </w:p>
        </w:tc>
        <w:tc>
          <w:tcPr>
            <w:tcW w:w="867" w:type="dxa"/>
          </w:tcPr>
          <w:p>
            <w:pPr>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4" w:hRule="atLeast"/>
        </w:trPr>
        <w:tc>
          <w:tcPr>
            <w:tcW w:w="1232" w:type="dxa"/>
            <w:vAlign w:val="center"/>
          </w:tcPr>
          <w:p>
            <w:pPr>
              <w:rPr>
                <w:rFonts w:ascii="仿宋" w:hAnsi="仿宋" w:eastAsia="仿宋"/>
                <w:b/>
                <w:bCs w:val="0"/>
              </w:rPr>
            </w:pPr>
            <w:r>
              <w:rPr>
                <w:rFonts w:ascii="仿宋" w:hAnsi="仿宋" w:eastAsia="仿宋"/>
                <w:b/>
                <w:bCs w:val="0"/>
              </w:rPr>
              <w:t>技术</w:t>
            </w:r>
          </w:p>
          <w:p>
            <w:pPr>
              <w:rPr>
                <w:rFonts w:ascii="仿宋" w:hAnsi="仿宋" w:eastAsia="仿宋"/>
                <w:b/>
                <w:bCs w:val="0"/>
              </w:rPr>
            </w:pPr>
            <w:r>
              <w:rPr>
                <w:rFonts w:hint="eastAsia" w:ascii="仿宋" w:hAnsi="仿宋" w:eastAsia="仿宋"/>
                <w:b/>
                <w:bCs w:val="0"/>
              </w:rPr>
              <w:t>（中央成绩系统</w:t>
            </w:r>
            <w:r>
              <w:rPr>
                <w:rFonts w:ascii="仿宋" w:hAnsi="仿宋" w:eastAsia="仿宋"/>
                <w:b/>
                <w:bCs w:val="0"/>
              </w:rPr>
              <w:t>10</w:t>
            </w:r>
            <w:r>
              <w:rPr>
                <w:rFonts w:hint="eastAsia" w:ascii="仿宋" w:hAnsi="仿宋" w:eastAsia="仿宋"/>
                <w:b/>
                <w:bCs w:val="0"/>
              </w:rPr>
              <w:t>分）</w:t>
            </w:r>
          </w:p>
          <w:p>
            <w:pPr>
              <w:rPr>
                <w:rFonts w:ascii="仿宋" w:hAnsi="仿宋" w:eastAsia="仿宋"/>
                <w:b/>
                <w:bCs w:val="0"/>
              </w:rPr>
            </w:pPr>
          </w:p>
        </w:tc>
        <w:tc>
          <w:tcPr>
            <w:tcW w:w="768" w:type="dxa"/>
            <w:vAlign w:val="center"/>
          </w:tcPr>
          <w:p>
            <w:pPr>
              <w:rPr>
                <w:rFonts w:ascii="仿宋" w:hAnsi="仿宋" w:eastAsia="仿宋"/>
                <w:b/>
                <w:bCs w:val="0"/>
              </w:rPr>
            </w:pPr>
            <w:r>
              <w:rPr>
                <w:rFonts w:hint="eastAsia" w:ascii="仿宋" w:hAnsi="仿宋" w:eastAsia="仿宋"/>
                <w:b/>
                <w:bCs w:val="0"/>
              </w:rPr>
              <w:t>2.2</w:t>
            </w:r>
          </w:p>
        </w:tc>
        <w:tc>
          <w:tcPr>
            <w:tcW w:w="5652" w:type="dxa"/>
            <w:vAlign w:val="center"/>
          </w:tcPr>
          <w:p>
            <w:pPr>
              <w:rPr>
                <w:rFonts w:ascii="仿宋" w:hAnsi="仿宋" w:eastAsia="仿宋"/>
                <w:b/>
                <w:bCs w:val="0"/>
              </w:rPr>
            </w:pPr>
            <w:r>
              <w:rPr>
                <w:rFonts w:ascii="仿宋" w:hAnsi="仿宋" w:eastAsia="仿宋"/>
                <w:b/>
                <w:bCs w:val="0"/>
              </w:rPr>
              <w:t>根据投标人对</w:t>
            </w:r>
            <w:r>
              <w:rPr>
                <w:rFonts w:hint="eastAsia" w:ascii="仿宋" w:hAnsi="仿宋" w:eastAsia="仿宋"/>
                <w:b/>
                <w:bCs w:val="0"/>
              </w:rPr>
              <w:t>中央成绩系统服务</w:t>
            </w:r>
            <w:r>
              <w:rPr>
                <w:rFonts w:ascii="仿宋" w:hAnsi="仿宋" w:eastAsia="仿宋"/>
                <w:b/>
                <w:bCs w:val="0"/>
              </w:rPr>
              <w:t>需求的理解程度，提供的</w:t>
            </w:r>
            <w:r>
              <w:rPr>
                <w:rFonts w:hint="eastAsia" w:ascii="仿宋" w:hAnsi="仿宋" w:eastAsia="仿宋"/>
                <w:b/>
                <w:bCs w:val="0"/>
              </w:rPr>
              <w:t>运行服务方案</w:t>
            </w:r>
            <w:r>
              <w:rPr>
                <w:rFonts w:ascii="仿宋" w:hAnsi="仿宋" w:eastAsia="仿宋"/>
                <w:b/>
                <w:bCs w:val="0"/>
              </w:rPr>
              <w:t>的合理性、可行性等方面，进行综合评分。</w:t>
            </w:r>
            <w:r>
              <w:rPr>
                <w:rFonts w:hint="eastAsia" w:ascii="仿宋" w:hAnsi="仿宋" w:eastAsia="仿宋"/>
                <w:b/>
                <w:bCs w:val="0"/>
              </w:rPr>
              <w:t>本项满分</w:t>
            </w:r>
            <w:r>
              <w:rPr>
                <w:rFonts w:ascii="仿宋" w:hAnsi="仿宋" w:eastAsia="仿宋"/>
                <w:b/>
                <w:bCs w:val="0"/>
              </w:rPr>
              <w:t>10</w:t>
            </w:r>
            <w:r>
              <w:rPr>
                <w:rFonts w:hint="eastAsia" w:ascii="仿宋" w:hAnsi="仿宋" w:eastAsia="仿宋"/>
                <w:b/>
                <w:bCs w:val="0"/>
              </w:rPr>
              <w:t>分。</w:t>
            </w:r>
          </w:p>
          <w:p>
            <w:pPr>
              <w:widowControl/>
              <w:contextualSpacing/>
              <w:rPr>
                <w:rFonts w:ascii="仿宋" w:hAnsi="仿宋" w:eastAsia="仿宋"/>
                <w:b/>
                <w:bCs w:val="0"/>
                <w:szCs w:val="21"/>
                <w:lang w:bidi="en-US"/>
              </w:rPr>
            </w:pPr>
            <w:r>
              <w:rPr>
                <w:rFonts w:hint="eastAsia" w:ascii="仿宋" w:hAnsi="仿宋" w:eastAsia="仿宋"/>
                <w:b/>
                <w:bCs w:val="0"/>
                <w:szCs w:val="21"/>
                <w:lang w:bidi="en-US"/>
              </w:rPr>
              <w:t>1）提交的服务方案内容完整、合理、可行，得</w:t>
            </w:r>
            <w:r>
              <w:rPr>
                <w:rFonts w:ascii="仿宋" w:hAnsi="仿宋" w:eastAsia="仿宋"/>
                <w:b/>
                <w:bCs w:val="0"/>
                <w:szCs w:val="21"/>
                <w:lang w:bidi="en-US"/>
              </w:rPr>
              <w:t>10</w:t>
            </w:r>
            <w:r>
              <w:rPr>
                <w:rFonts w:hint="eastAsia" w:ascii="仿宋" w:hAnsi="仿宋" w:eastAsia="仿宋"/>
                <w:b/>
                <w:bCs w:val="0"/>
                <w:szCs w:val="21"/>
                <w:lang w:bidi="en-US"/>
              </w:rPr>
              <w:t>分；</w:t>
            </w:r>
          </w:p>
          <w:p>
            <w:pPr>
              <w:widowControl/>
              <w:contextualSpacing/>
              <w:rPr>
                <w:rFonts w:ascii="仿宋" w:hAnsi="仿宋" w:eastAsia="仿宋"/>
                <w:b/>
                <w:bCs w:val="0"/>
                <w:szCs w:val="21"/>
                <w:lang w:bidi="en-US"/>
              </w:rPr>
            </w:pPr>
            <w:r>
              <w:rPr>
                <w:rFonts w:hint="eastAsia" w:ascii="仿宋" w:hAnsi="仿宋" w:eastAsia="仿宋"/>
                <w:b/>
                <w:bCs w:val="0"/>
                <w:szCs w:val="21"/>
                <w:lang w:bidi="en-US"/>
              </w:rPr>
              <w:t>2）提交的服务方案内容较完整、较合理、较为可行，得7分；</w:t>
            </w:r>
          </w:p>
          <w:p>
            <w:pPr>
              <w:widowControl/>
              <w:contextualSpacing/>
              <w:rPr>
                <w:rFonts w:ascii="仿宋" w:hAnsi="仿宋" w:eastAsia="仿宋"/>
                <w:b/>
                <w:bCs w:val="0"/>
                <w:szCs w:val="21"/>
                <w:lang w:bidi="en-US"/>
              </w:rPr>
            </w:pPr>
            <w:r>
              <w:rPr>
                <w:rFonts w:hint="eastAsia" w:ascii="仿宋" w:hAnsi="仿宋" w:eastAsia="仿宋"/>
                <w:b/>
                <w:bCs w:val="0"/>
                <w:szCs w:val="21"/>
                <w:lang w:bidi="en-US"/>
              </w:rPr>
              <w:t>3）提交的服务方案内容不够完整，功能欠完善，需要进行一定调整才能满足采购人使用需求，得4分；</w:t>
            </w:r>
          </w:p>
          <w:p>
            <w:pPr>
              <w:rPr>
                <w:rFonts w:ascii="仿宋" w:hAnsi="仿宋" w:eastAsia="仿宋"/>
                <w:b/>
                <w:bCs w:val="0"/>
              </w:rPr>
            </w:pPr>
            <w:r>
              <w:rPr>
                <w:rFonts w:hint="eastAsia" w:ascii="仿宋" w:hAnsi="仿宋" w:eastAsia="仿宋"/>
                <w:b/>
                <w:bCs w:val="0"/>
                <w:szCs w:val="21"/>
                <w:lang w:bidi="en-US"/>
              </w:rPr>
              <w:t>4）未提交方案或提交的服务方案内容不完整、不合理、可行性差，得0分。</w:t>
            </w:r>
          </w:p>
        </w:tc>
        <w:tc>
          <w:tcPr>
            <w:tcW w:w="867" w:type="dxa"/>
          </w:tcPr>
          <w:p>
            <w:pPr>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2" w:type="dxa"/>
            <w:vAlign w:val="center"/>
          </w:tcPr>
          <w:p>
            <w:pPr>
              <w:rPr>
                <w:rFonts w:ascii="仿宋" w:hAnsi="仿宋" w:eastAsia="仿宋"/>
                <w:b/>
                <w:bCs w:val="0"/>
              </w:rPr>
            </w:pPr>
            <w:r>
              <w:rPr>
                <w:rFonts w:ascii="仿宋" w:hAnsi="仿宋" w:eastAsia="仿宋"/>
                <w:b/>
                <w:bCs w:val="0"/>
              </w:rPr>
              <w:t>技术</w:t>
            </w:r>
          </w:p>
          <w:p>
            <w:pPr>
              <w:rPr>
                <w:rFonts w:ascii="仿宋" w:hAnsi="仿宋" w:eastAsia="仿宋"/>
                <w:b/>
                <w:bCs w:val="0"/>
              </w:rPr>
            </w:pPr>
            <w:r>
              <w:rPr>
                <w:rFonts w:hint="eastAsia" w:ascii="仿宋" w:hAnsi="仿宋" w:eastAsia="仿宋"/>
                <w:b/>
                <w:bCs w:val="0"/>
              </w:rPr>
              <w:t>（信息发布系统</w:t>
            </w:r>
            <w:r>
              <w:rPr>
                <w:rFonts w:ascii="仿宋" w:hAnsi="仿宋" w:eastAsia="仿宋"/>
                <w:b/>
                <w:bCs w:val="0"/>
              </w:rPr>
              <w:t>8</w:t>
            </w:r>
            <w:r>
              <w:rPr>
                <w:rFonts w:hint="eastAsia" w:ascii="仿宋" w:hAnsi="仿宋" w:eastAsia="仿宋"/>
                <w:b/>
                <w:bCs w:val="0"/>
              </w:rPr>
              <w:t>分）</w:t>
            </w:r>
          </w:p>
          <w:p>
            <w:pPr>
              <w:rPr>
                <w:rFonts w:ascii="仿宋" w:hAnsi="仿宋" w:eastAsia="仿宋"/>
                <w:b/>
                <w:bCs w:val="0"/>
              </w:rPr>
            </w:pPr>
          </w:p>
        </w:tc>
        <w:tc>
          <w:tcPr>
            <w:tcW w:w="768" w:type="dxa"/>
            <w:vAlign w:val="center"/>
          </w:tcPr>
          <w:p>
            <w:pPr>
              <w:rPr>
                <w:rFonts w:ascii="仿宋" w:hAnsi="仿宋" w:eastAsia="仿宋"/>
                <w:b/>
                <w:bCs w:val="0"/>
              </w:rPr>
            </w:pPr>
            <w:r>
              <w:rPr>
                <w:rFonts w:hint="eastAsia" w:ascii="仿宋" w:hAnsi="仿宋" w:eastAsia="仿宋"/>
                <w:b/>
                <w:bCs w:val="0"/>
              </w:rPr>
              <w:t>2.3</w:t>
            </w:r>
          </w:p>
        </w:tc>
        <w:tc>
          <w:tcPr>
            <w:tcW w:w="5652" w:type="dxa"/>
            <w:vAlign w:val="center"/>
          </w:tcPr>
          <w:p>
            <w:pPr>
              <w:rPr>
                <w:rFonts w:ascii="仿宋" w:hAnsi="仿宋" w:eastAsia="仿宋"/>
                <w:b/>
                <w:bCs w:val="0"/>
              </w:rPr>
            </w:pPr>
            <w:r>
              <w:rPr>
                <w:rFonts w:ascii="仿宋" w:hAnsi="仿宋" w:eastAsia="仿宋"/>
                <w:b/>
                <w:bCs w:val="0"/>
              </w:rPr>
              <w:t>根据投标人对</w:t>
            </w:r>
            <w:r>
              <w:rPr>
                <w:rFonts w:hint="eastAsia" w:ascii="仿宋" w:hAnsi="仿宋" w:eastAsia="仿宋"/>
                <w:b/>
                <w:bCs w:val="0"/>
              </w:rPr>
              <w:t>信息发布系统服务</w:t>
            </w:r>
            <w:r>
              <w:rPr>
                <w:rFonts w:ascii="仿宋" w:hAnsi="仿宋" w:eastAsia="仿宋"/>
                <w:b/>
                <w:bCs w:val="0"/>
              </w:rPr>
              <w:t>需求的理解程度，技术架构的先进性、技术指标的合理性、技术指标测算的科学性，设计方案的亮点与特色等方面，进行综合评分</w:t>
            </w:r>
            <w:r>
              <w:rPr>
                <w:rFonts w:hint="eastAsia" w:ascii="仿宋" w:hAnsi="仿宋" w:eastAsia="仿宋"/>
                <w:b/>
                <w:bCs w:val="0"/>
              </w:rPr>
              <w:t>。本项满分</w:t>
            </w:r>
            <w:r>
              <w:rPr>
                <w:rFonts w:ascii="仿宋" w:hAnsi="仿宋" w:eastAsia="仿宋"/>
                <w:b/>
                <w:bCs w:val="0"/>
              </w:rPr>
              <w:t>8</w:t>
            </w:r>
            <w:r>
              <w:rPr>
                <w:rFonts w:hint="eastAsia" w:ascii="仿宋" w:hAnsi="仿宋" w:eastAsia="仿宋"/>
                <w:b/>
                <w:bCs w:val="0"/>
              </w:rPr>
              <w:t>分。</w:t>
            </w:r>
          </w:p>
          <w:p>
            <w:pPr>
              <w:rPr>
                <w:rFonts w:ascii="仿宋" w:hAnsi="仿宋" w:eastAsia="仿宋"/>
                <w:b/>
                <w:bCs w:val="0"/>
              </w:rPr>
            </w:pPr>
            <w:r>
              <w:rPr>
                <w:rFonts w:hint="eastAsia" w:ascii="仿宋" w:hAnsi="仿宋" w:eastAsia="仿宋"/>
                <w:b/>
                <w:bCs w:val="0"/>
              </w:rPr>
              <w:t>1）提交的服务方案内容完整、合理、可行，得</w:t>
            </w:r>
            <w:r>
              <w:rPr>
                <w:rFonts w:ascii="仿宋" w:hAnsi="仿宋" w:eastAsia="仿宋"/>
                <w:b/>
                <w:bCs w:val="0"/>
              </w:rPr>
              <w:t>8</w:t>
            </w:r>
            <w:r>
              <w:rPr>
                <w:rFonts w:hint="eastAsia" w:ascii="仿宋" w:hAnsi="仿宋" w:eastAsia="仿宋"/>
                <w:b/>
                <w:bCs w:val="0"/>
              </w:rPr>
              <w:t>分；</w:t>
            </w:r>
          </w:p>
          <w:p>
            <w:pPr>
              <w:rPr>
                <w:rFonts w:ascii="仿宋" w:hAnsi="仿宋" w:eastAsia="仿宋"/>
                <w:b/>
                <w:bCs w:val="0"/>
              </w:rPr>
            </w:pPr>
            <w:r>
              <w:rPr>
                <w:rFonts w:hint="eastAsia" w:ascii="仿宋" w:hAnsi="仿宋" w:eastAsia="仿宋"/>
                <w:b/>
                <w:bCs w:val="0"/>
              </w:rPr>
              <w:t>2）提交的服务方案内容较完整、较合理、较为可行，得6分；</w:t>
            </w:r>
          </w:p>
          <w:p>
            <w:pPr>
              <w:rPr>
                <w:rFonts w:ascii="仿宋" w:hAnsi="仿宋" w:eastAsia="仿宋"/>
                <w:b/>
                <w:bCs w:val="0"/>
              </w:rPr>
            </w:pPr>
            <w:r>
              <w:rPr>
                <w:rFonts w:hint="eastAsia" w:ascii="仿宋" w:hAnsi="仿宋" w:eastAsia="仿宋"/>
                <w:b/>
                <w:bCs w:val="0"/>
              </w:rPr>
              <w:t>3）提交的服务方案内容不够完整，功能欠完善，需要进行调整才能满足采购人使用需求，得4分；</w:t>
            </w:r>
          </w:p>
          <w:p>
            <w:pPr>
              <w:rPr>
                <w:rFonts w:ascii="仿宋" w:hAnsi="仿宋" w:eastAsia="仿宋"/>
                <w:b/>
                <w:bCs w:val="0"/>
              </w:rPr>
            </w:pPr>
            <w:r>
              <w:rPr>
                <w:rFonts w:hint="eastAsia" w:ascii="仿宋" w:hAnsi="仿宋" w:eastAsia="仿宋"/>
                <w:b/>
                <w:bCs w:val="0"/>
              </w:rPr>
              <w:t>4）</w:t>
            </w:r>
            <w:r>
              <w:rPr>
                <w:rFonts w:hint="eastAsia" w:ascii="仿宋" w:hAnsi="仿宋" w:eastAsia="仿宋"/>
                <w:b/>
                <w:bCs w:val="0"/>
                <w:szCs w:val="21"/>
                <w:lang w:bidi="en-US"/>
              </w:rPr>
              <w:t>未提交方案或</w:t>
            </w:r>
            <w:r>
              <w:rPr>
                <w:rFonts w:hint="eastAsia" w:ascii="仿宋" w:hAnsi="仿宋" w:eastAsia="仿宋"/>
                <w:b/>
                <w:bCs w:val="0"/>
              </w:rPr>
              <w:t>提交的服务方案内容不完整、不合理、可行性差，得0分。</w:t>
            </w:r>
          </w:p>
        </w:tc>
        <w:tc>
          <w:tcPr>
            <w:tcW w:w="867" w:type="dxa"/>
          </w:tcPr>
          <w:p>
            <w:pPr>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2" w:type="dxa"/>
            <w:vAlign w:val="center"/>
          </w:tcPr>
          <w:p>
            <w:pPr>
              <w:rPr>
                <w:rFonts w:ascii="仿宋" w:hAnsi="仿宋" w:eastAsia="仿宋"/>
                <w:b/>
                <w:bCs w:val="0"/>
              </w:rPr>
            </w:pPr>
            <w:r>
              <w:rPr>
                <w:rFonts w:ascii="仿宋" w:hAnsi="仿宋" w:eastAsia="仿宋"/>
                <w:b/>
                <w:bCs w:val="0"/>
              </w:rPr>
              <w:t>技术</w:t>
            </w:r>
          </w:p>
          <w:p>
            <w:pPr>
              <w:rPr>
                <w:rFonts w:ascii="仿宋" w:hAnsi="仿宋" w:eastAsia="仿宋"/>
                <w:b/>
                <w:bCs w:val="0"/>
              </w:rPr>
            </w:pPr>
            <w:r>
              <w:rPr>
                <w:rFonts w:hint="eastAsia" w:ascii="仿宋" w:hAnsi="仿宋" w:eastAsia="仿宋"/>
                <w:b/>
                <w:bCs w:val="0"/>
              </w:rPr>
              <w:t>（成绩处理系统</w:t>
            </w:r>
            <w:r>
              <w:rPr>
                <w:rFonts w:ascii="仿宋" w:hAnsi="仿宋" w:eastAsia="仿宋"/>
                <w:b/>
                <w:bCs w:val="0"/>
              </w:rPr>
              <w:t>10</w:t>
            </w:r>
            <w:r>
              <w:rPr>
                <w:rFonts w:hint="eastAsia" w:ascii="仿宋" w:hAnsi="仿宋" w:eastAsia="仿宋"/>
                <w:b/>
                <w:bCs w:val="0"/>
              </w:rPr>
              <w:t>分）</w:t>
            </w:r>
          </w:p>
          <w:p>
            <w:pPr>
              <w:rPr>
                <w:rFonts w:ascii="仿宋" w:hAnsi="仿宋" w:eastAsia="仿宋"/>
                <w:b/>
                <w:bCs w:val="0"/>
              </w:rPr>
            </w:pPr>
          </w:p>
        </w:tc>
        <w:tc>
          <w:tcPr>
            <w:tcW w:w="768" w:type="dxa"/>
            <w:vAlign w:val="center"/>
          </w:tcPr>
          <w:p>
            <w:pPr>
              <w:rPr>
                <w:rFonts w:ascii="仿宋" w:hAnsi="仿宋" w:eastAsia="仿宋"/>
                <w:b/>
                <w:bCs w:val="0"/>
              </w:rPr>
            </w:pPr>
            <w:r>
              <w:rPr>
                <w:rFonts w:hint="eastAsia" w:ascii="仿宋" w:hAnsi="仿宋" w:eastAsia="仿宋"/>
                <w:b/>
                <w:bCs w:val="0"/>
              </w:rPr>
              <w:t>2.4</w:t>
            </w:r>
          </w:p>
        </w:tc>
        <w:tc>
          <w:tcPr>
            <w:tcW w:w="5652" w:type="dxa"/>
            <w:vAlign w:val="center"/>
          </w:tcPr>
          <w:p>
            <w:pPr>
              <w:rPr>
                <w:rFonts w:ascii="仿宋" w:hAnsi="仿宋" w:eastAsia="仿宋"/>
                <w:b/>
                <w:bCs w:val="0"/>
              </w:rPr>
            </w:pPr>
            <w:r>
              <w:rPr>
                <w:rFonts w:ascii="仿宋" w:hAnsi="仿宋" w:eastAsia="仿宋"/>
                <w:b/>
                <w:bCs w:val="0"/>
              </w:rPr>
              <w:t>根据投标人对</w:t>
            </w:r>
            <w:r>
              <w:rPr>
                <w:rFonts w:hint="eastAsia" w:ascii="仿宋" w:hAnsi="仿宋" w:eastAsia="仿宋"/>
                <w:b/>
                <w:bCs w:val="0"/>
              </w:rPr>
              <w:t>成绩处理系统</w:t>
            </w:r>
            <w:r>
              <w:rPr>
                <w:rFonts w:ascii="仿宋" w:hAnsi="仿宋" w:eastAsia="仿宋"/>
                <w:b/>
                <w:bCs w:val="0"/>
              </w:rPr>
              <w:t>服务需求的理解程度，技术架构的先进性、技术指标的合理性、技术指标测算的科学性，设计方案的亮点与特色等方面，进行综合评分</w:t>
            </w:r>
            <w:r>
              <w:rPr>
                <w:rFonts w:hint="eastAsia" w:ascii="仿宋" w:hAnsi="仿宋" w:eastAsia="仿宋"/>
                <w:b/>
                <w:bCs w:val="0"/>
              </w:rPr>
              <w:t>。本项满分</w:t>
            </w:r>
            <w:r>
              <w:rPr>
                <w:rFonts w:ascii="仿宋" w:hAnsi="仿宋" w:eastAsia="仿宋"/>
                <w:b/>
                <w:bCs w:val="0"/>
              </w:rPr>
              <w:t>10</w:t>
            </w:r>
            <w:r>
              <w:rPr>
                <w:rFonts w:hint="eastAsia" w:ascii="仿宋" w:hAnsi="仿宋" w:eastAsia="仿宋"/>
                <w:b/>
                <w:bCs w:val="0"/>
              </w:rPr>
              <w:t>分。</w:t>
            </w:r>
          </w:p>
          <w:p>
            <w:pPr>
              <w:rPr>
                <w:rFonts w:ascii="仿宋" w:hAnsi="仿宋" w:eastAsia="仿宋"/>
                <w:b/>
                <w:bCs w:val="0"/>
              </w:rPr>
            </w:pPr>
            <w:r>
              <w:rPr>
                <w:rFonts w:hint="eastAsia" w:ascii="仿宋" w:hAnsi="仿宋" w:eastAsia="仿宋"/>
                <w:b/>
                <w:bCs w:val="0"/>
              </w:rPr>
              <w:t>1）提交的服务方案内容完整、合理、可行，得</w:t>
            </w:r>
            <w:r>
              <w:rPr>
                <w:rFonts w:ascii="仿宋" w:hAnsi="仿宋" w:eastAsia="仿宋"/>
                <w:b/>
                <w:bCs w:val="0"/>
              </w:rPr>
              <w:t>10</w:t>
            </w:r>
            <w:r>
              <w:rPr>
                <w:rFonts w:hint="eastAsia" w:ascii="仿宋" w:hAnsi="仿宋" w:eastAsia="仿宋"/>
                <w:b/>
                <w:bCs w:val="0"/>
              </w:rPr>
              <w:t>分；</w:t>
            </w:r>
          </w:p>
          <w:p>
            <w:pPr>
              <w:rPr>
                <w:rFonts w:ascii="仿宋" w:hAnsi="仿宋" w:eastAsia="仿宋"/>
                <w:b/>
                <w:bCs w:val="0"/>
              </w:rPr>
            </w:pPr>
            <w:r>
              <w:rPr>
                <w:rFonts w:hint="eastAsia" w:ascii="仿宋" w:hAnsi="仿宋" w:eastAsia="仿宋"/>
                <w:b/>
                <w:bCs w:val="0"/>
              </w:rPr>
              <w:t>2）提交的服务方案内容较完整、较合理、较为可行，得7分；</w:t>
            </w:r>
          </w:p>
          <w:p>
            <w:pPr>
              <w:rPr>
                <w:rFonts w:ascii="仿宋" w:hAnsi="仿宋" w:eastAsia="仿宋"/>
                <w:b/>
                <w:bCs w:val="0"/>
              </w:rPr>
            </w:pPr>
            <w:r>
              <w:rPr>
                <w:rFonts w:hint="eastAsia" w:ascii="仿宋" w:hAnsi="仿宋" w:eastAsia="仿宋"/>
                <w:b/>
                <w:bCs w:val="0"/>
              </w:rPr>
              <w:t>3）提交的服务方案内容不够完整，功能欠完善，需要进行调整才能满足采购人使用需求，得4分；</w:t>
            </w:r>
          </w:p>
          <w:p>
            <w:pPr>
              <w:rPr>
                <w:rFonts w:ascii="仿宋" w:hAnsi="仿宋" w:eastAsia="仿宋"/>
                <w:b/>
                <w:bCs w:val="0"/>
              </w:rPr>
            </w:pPr>
            <w:r>
              <w:rPr>
                <w:rFonts w:hint="eastAsia" w:ascii="仿宋" w:hAnsi="仿宋" w:eastAsia="仿宋"/>
                <w:b/>
                <w:bCs w:val="0"/>
              </w:rPr>
              <w:t>4）未提交方案或提交的服务方案内容不完整、不合理、可行性差，得0分。</w:t>
            </w:r>
          </w:p>
        </w:tc>
        <w:tc>
          <w:tcPr>
            <w:tcW w:w="867" w:type="dxa"/>
          </w:tcPr>
          <w:p>
            <w:pPr>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2" w:type="dxa"/>
            <w:vAlign w:val="center"/>
          </w:tcPr>
          <w:p>
            <w:pPr>
              <w:rPr>
                <w:rFonts w:ascii="仿宋" w:hAnsi="仿宋" w:eastAsia="仿宋"/>
                <w:b/>
                <w:bCs w:val="0"/>
              </w:rPr>
            </w:pPr>
            <w:r>
              <w:rPr>
                <w:rFonts w:ascii="仿宋" w:hAnsi="仿宋" w:eastAsia="仿宋"/>
                <w:b/>
                <w:bCs w:val="0"/>
              </w:rPr>
              <w:t>技术</w:t>
            </w:r>
          </w:p>
          <w:p>
            <w:pPr>
              <w:rPr>
                <w:rFonts w:ascii="仿宋" w:hAnsi="仿宋" w:eastAsia="仿宋"/>
                <w:b/>
                <w:bCs w:val="0"/>
              </w:rPr>
            </w:pPr>
            <w:r>
              <w:rPr>
                <w:rFonts w:hint="eastAsia" w:ascii="仿宋" w:hAnsi="仿宋" w:eastAsia="仿宋"/>
                <w:b/>
                <w:bCs w:val="0"/>
              </w:rPr>
              <w:t>（公共大屏显示控制系统</w:t>
            </w:r>
            <w:r>
              <w:rPr>
                <w:rFonts w:ascii="仿宋" w:hAnsi="仿宋" w:eastAsia="仿宋"/>
                <w:b/>
                <w:bCs w:val="0"/>
              </w:rPr>
              <w:t>6</w:t>
            </w:r>
            <w:r>
              <w:rPr>
                <w:rFonts w:hint="eastAsia" w:ascii="仿宋" w:hAnsi="仿宋" w:eastAsia="仿宋"/>
                <w:b/>
                <w:bCs w:val="0"/>
              </w:rPr>
              <w:t>分）</w:t>
            </w:r>
          </w:p>
          <w:p>
            <w:pPr>
              <w:rPr>
                <w:rFonts w:ascii="仿宋" w:hAnsi="仿宋" w:eastAsia="仿宋"/>
                <w:b/>
                <w:bCs w:val="0"/>
              </w:rPr>
            </w:pPr>
          </w:p>
        </w:tc>
        <w:tc>
          <w:tcPr>
            <w:tcW w:w="768" w:type="dxa"/>
            <w:vAlign w:val="center"/>
          </w:tcPr>
          <w:p>
            <w:pPr>
              <w:rPr>
                <w:rFonts w:ascii="仿宋" w:hAnsi="仿宋" w:eastAsia="仿宋"/>
                <w:b/>
                <w:bCs w:val="0"/>
              </w:rPr>
            </w:pPr>
            <w:r>
              <w:rPr>
                <w:rFonts w:hint="eastAsia" w:ascii="仿宋" w:hAnsi="仿宋" w:eastAsia="仿宋"/>
                <w:b/>
                <w:bCs w:val="0"/>
              </w:rPr>
              <w:t>2.5</w:t>
            </w:r>
          </w:p>
        </w:tc>
        <w:tc>
          <w:tcPr>
            <w:tcW w:w="5652" w:type="dxa"/>
            <w:vAlign w:val="center"/>
          </w:tcPr>
          <w:p>
            <w:pPr>
              <w:rPr>
                <w:rFonts w:ascii="仿宋" w:hAnsi="仿宋" w:eastAsia="仿宋"/>
                <w:b/>
                <w:bCs w:val="0"/>
              </w:rPr>
            </w:pPr>
            <w:r>
              <w:rPr>
                <w:rFonts w:ascii="仿宋" w:hAnsi="仿宋" w:eastAsia="仿宋"/>
                <w:b/>
                <w:bCs w:val="0"/>
              </w:rPr>
              <w:t>根据投标人对</w:t>
            </w:r>
            <w:r>
              <w:rPr>
                <w:rFonts w:hint="eastAsia" w:ascii="仿宋" w:hAnsi="仿宋" w:eastAsia="仿宋"/>
                <w:b/>
                <w:bCs w:val="0"/>
              </w:rPr>
              <w:t>公共大屏显示控制系统</w:t>
            </w:r>
            <w:r>
              <w:rPr>
                <w:rFonts w:ascii="仿宋" w:hAnsi="仿宋" w:eastAsia="仿宋"/>
                <w:b/>
                <w:bCs w:val="0"/>
              </w:rPr>
              <w:t>服务需求的理解程度，技术架构的先进性、技术指标的合理性、技术指标测算的科学性，设计方案的亮点与特色等方面，进行综合评分</w:t>
            </w:r>
            <w:r>
              <w:rPr>
                <w:rFonts w:hint="eastAsia" w:ascii="仿宋" w:hAnsi="仿宋" w:eastAsia="仿宋"/>
                <w:b/>
                <w:bCs w:val="0"/>
              </w:rPr>
              <w:t>。本项满分6分。</w:t>
            </w:r>
          </w:p>
          <w:p>
            <w:pPr>
              <w:rPr>
                <w:rFonts w:ascii="仿宋" w:hAnsi="仿宋" w:eastAsia="仿宋"/>
                <w:b/>
                <w:bCs w:val="0"/>
              </w:rPr>
            </w:pPr>
            <w:r>
              <w:rPr>
                <w:rFonts w:hint="eastAsia" w:ascii="仿宋" w:hAnsi="仿宋" w:eastAsia="仿宋"/>
                <w:b/>
                <w:bCs w:val="0"/>
              </w:rPr>
              <w:t>1）提交的服务方案内容完整、合理、可行，得</w:t>
            </w:r>
            <w:r>
              <w:rPr>
                <w:rFonts w:ascii="仿宋" w:hAnsi="仿宋" w:eastAsia="仿宋"/>
                <w:b/>
                <w:bCs w:val="0"/>
              </w:rPr>
              <w:t>6</w:t>
            </w:r>
            <w:r>
              <w:rPr>
                <w:rFonts w:hint="eastAsia" w:ascii="仿宋" w:hAnsi="仿宋" w:eastAsia="仿宋"/>
                <w:b/>
                <w:bCs w:val="0"/>
              </w:rPr>
              <w:t>分；</w:t>
            </w:r>
          </w:p>
          <w:p>
            <w:pPr>
              <w:rPr>
                <w:rFonts w:ascii="仿宋" w:hAnsi="仿宋" w:eastAsia="仿宋"/>
                <w:b/>
                <w:bCs w:val="0"/>
              </w:rPr>
            </w:pPr>
            <w:r>
              <w:rPr>
                <w:rFonts w:hint="eastAsia" w:ascii="仿宋" w:hAnsi="仿宋" w:eastAsia="仿宋"/>
                <w:b/>
                <w:bCs w:val="0"/>
              </w:rPr>
              <w:t>2）提交的服务方案内容较完整、较合理、较为可行，得4分；</w:t>
            </w:r>
          </w:p>
          <w:p>
            <w:pPr>
              <w:rPr>
                <w:rFonts w:ascii="仿宋" w:hAnsi="仿宋" w:eastAsia="仿宋"/>
                <w:b/>
                <w:bCs w:val="0"/>
              </w:rPr>
            </w:pPr>
            <w:r>
              <w:rPr>
                <w:rFonts w:hint="eastAsia" w:ascii="仿宋" w:hAnsi="仿宋" w:eastAsia="仿宋"/>
                <w:b/>
                <w:bCs w:val="0"/>
              </w:rPr>
              <w:t>3）提交的服务方案内容不够完整，功能欠完善，需要进行调整才能满足采购人使用需求，得2分；</w:t>
            </w:r>
          </w:p>
          <w:p>
            <w:pPr>
              <w:rPr>
                <w:rFonts w:ascii="仿宋" w:hAnsi="仿宋" w:eastAsia="仿宋"/>
                <w:b/>
                <w:bCs w:val="0"/>
              </w:rPr>
            </w:pPr>
            <w:r>
              <w:rPr>
                <w:rFonts w:hint="eastAsia" w:ascii="仿宋" w:hAnsi="仿宋" w:eastAsia="仿宋"/>
                <w:b/>
                <w:bCs w:val="0"/>
              </w:rPr>
              <w:t>4）未提交方案或提交的服务方案内容不完整、不合理、可行性差，得0分。</w:t>
            </w:r>
          </w:p>
        </w:tc>
        <w:tc>
          <w:tcPr>
            <w:tcW w:w="867" w:type="dxa"/>
          </w:tcPr>
          <w:p>
            <w:pPr>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2" w:type="dxa"/>
            <w:vAlign w:val="center"/>
          </w:tcPr>
          <w:p>
            <w:pPr>
              <w:rPr>
                <w:rFonts w:ascii="仿宋" w:hAnsi="仿宋" w:eastAsia="仿宋"/>
                <w:b/>
                <w:bCs w:val="0"/>
              </w:rPr>
            </w:pPr>
            <w:r>
              <w:rPr>
                <w:rFonts w:ascii="仿宋" w:hAnsi="仿宋" w:eastAsia="仿宋"/>
                <w:b/>
                <w:bCs w:val="0"/>
              </w:rPr>
              <w:t>技术</w:t>
            </w:r>
          </w:p>
          <w:p>
            <w:pPr>
              <w:rPr>
                <w:rFonts w:ascii="仿宋" w:hAnsi="仿宋" w:eastAsia="仿宋"/>
                <w:b/>
                <w:bCs w:val="0"/>
              </w:rPr>
            </w:pPr>
            <w:r>
              <w:rPr>
                <w:rFonts w:hint="eastAsia" w:ascii="仿宋" w:hAnsi="仿宋" w:eastAsia="仿宋"/>
                <w:b/>
                <w:bCs w:val="0"/>
              </w:rPr>
              <w:t>（技术统计系统</w:t>
            </w:r>
            <w:r>
              <w:rPr>
                <w:rFonts w:ascii="仿宋" w:hAnsi="仿宋" w:eastAsia="仿宋"/>
                <w:b/>
                <w:bCs w:val="0"/>
              </w:rPr>
              <w:t>6</w:t>
            </w:r>
            <w:r>
              <w:rPr>
                <w:rFonts w:hint="eastAsia" w:ascii="仿宋" w:hAnsi="仿宋" w:eastAsia="仿宋"/>
                <w:b/>
                <w:bCs w:val="0"/>
              </w:rPr>
              <w:t>分）</w:t>
            </w:r>
          </w:p>
          <w:p>
            <w:pPr>
              <w:rPr>
                <w:rFonts w:ascii="仿宋" w:hAnsi="仿宋" w:eastAsia="仿宋"/>
                <w:b/>
                <w:bCs w:val="0"/>
              </w:rPr>
            </w:pPr>
          </w:p>
        </w:tc>
        <w:tc>
          <w:tcPr>
            <w:tcW w:w="768" w:type="dxa"/>
            <w:vAlign w:val="center"/>
          </w:tcPr>
          <w:p>
            <w:pPr>
              <w:rPr>
                <w:rFonts w:ascii="仿宋" w:hAnsi="仿宋" w:eastAsia="仿宋"/>
                <w:b/>
                <w:bCs w:val="0"/>
              </w:rPr>
            </w:pPr>
            <w:r>
              <w:rPr>
                <w:rFonts w:hint="eastAsia" w:ascii="仿宋" w:hAnsi="仿宋" w:eastAsia="仿宋"/>
                <w:b/>
                <w:bCs w:val="0"/>
              </w:rPr>
              <w:t>2.6</w:t>
            </w:r>
          </w:p>
        </w:tc>
        <w:tc>
          <w:tcPr>
            <w:tcW w:w="5652" w:type="dxa"/>
            <w:vAlign w:val="center"/>
          </w:tcPr>
          <w:p>
            <w:pPr>
              <w:rPr>
                <w:rFonts w:ascii="仿宋" w:hAnsi="仿宋" w:eastAsia="仿宋"/>
                <w:b/>
                <w:bCs w:val="0"/>
              </w:rPr>
            </w:pPr>
            <w:r>
              <w:rPr>
                <w:rFonts w:ascii="仿宋" w:hAnsi="仿宋" w:eastAsia="仿宋"/>
                <w:b/>
                <w:bCs w:val="0"/>
              </w:rPr>
              <w:t>根据投标人对</w:t>
            </w:r>
            <w:r>
              <w:rPr>
                <w:rFonts w:hint="eastAsia" w:ascii="仿宋" w:hAnsi="仿宋" w:eastAsia="仿宋"/>
                <w:b/>
                <w:bCs w:val="0"/>
              </w:rPr>
              <w:t>技术统计系统</w:t>
            </w:r>
            <w:r>
              <w:rPr>
                <w:rFonts w:ascii="仿宋" w:hAnsi="仿宋" w:eastAsia="仿宋"/>
                <w:b/>
                <w:bCs w:val="0"/>
              </w:rPr>
              <w:t>服务需求的理解程度，服务内容和技术方案的创新性、对智慧体验的支持程度，技术架构的先进性，设计方案的亮点与特色等方面，进行综合评分</w:t>
            </w:r>
            <w:r>
              <w:rPr>
                <w:rFonts w:hint="eastAsia" w:ascii="仿宋" w:hAnsi="仿宋" w:eastAsia="仿宋"/>
                <w:b/>
                <w:bCs w:val="0"/>
              </w:rPr>
              <w:t>。本项满分6分。</w:t>
            </w:r>
          </w:p>
          <w:p>
            <w:pPr>
              <w:rPr>
                <w:rFonts w:ascii="仿宋" w:hAnsi="仿宋" w:eastAsia="仿宋"/>
                <w:b/>
                <w:bCs w:val="0"/>
              </w:rPr>
            </w:pPr>
            <w:r>
              <w:rPr>
                <w:rFonts w:hint="eastAsia" w:ascii="仿宋" w:hAnsi="仿宋" w:eastAsia="仿宋"/>
                <w:b/>
                <w:bCs w:val="0"/>
              </w:rPr>
              <w:t>1）提交的服务方案内容完整、合理、可行，得</w:t>
            </w:r>
            <w:r>
              <w:rPr>
                <w:rFonts w:ascii="仿宋" w:hAnsi="仿宋" w:eastAsia="仿宋"/>
                <w:b/>
                <w:bCs w:val="0"/>
              </w:rPr>
              <w:t>6</w:t>
            </w:r>
            <w:r>
              <w:rPr>
                <w:rFonts w:hint="eastAsia" w:ascii="仿宋" w:hAnsi="仿宋" w:eastAsia="仿宋"/>
                <w:b/>
                <w:bCs w:val="0"/>
              </w:rPr>
              <w:t>分；</w:t>
            </w:r>
          </w:p>
          <w:p>
            <w:pPr>
              <w:rPr>
                <w:rFonts w:ascii="仿宋" w:hAnsi="仿宋" w:eastAsia="仿宋"/>
                <w:b/>
                <w:bCs w:val="0"/>
              </w:rPr>
            </w:pPr>
            <w:r>
              <w:rPr>
                <w:rFonts w:hint="eastAsia" w:ascii="仿宋" w:hAnsi="仿宋" w:eastAsia="仿宋"/>
                <w:b/>
                <w:bCs w:val="0"/>
              </w:rPr>
              <w:t>2）提交的服务方案内容较完整、较合理、较为可行，得4分；</w:t>
            </w:r>
          </w:p>
          <w:p>
            <w:pPr>
              <w:rPr>
                <w:rFonts w:ascii="仿宋" w:hAnsi="仿宋" w:eastAsia="仿宋"/>
                <w:b/>
                <w:bCs w:val="0"/>
              </w:rPr>
            </w:pPr>
            <w:r>
              <w:rPr>
                <w:rFonts w:hint="eastAsia" w:ascii="仿宋" w:hAnsi="仿宋" w:eastAsia="仿宋"/>
                <w:b/>
                <w:bCs w:val="0"/>
              </w:rPr>
              <w:t>3）提交的服务方案内容不够完整，功能欠完善，需要进行调整才能满足采购人使用需求，得2分；</w:t>
            </w:r>
          </w:p>
          <w:p>
            <w:pPr>
              <w:rPr>
                <w:rFonts w:ascii="仿宋" w:hAnsi="仿宋" w:eastAsia="仿宋"/>
                <w:b/>
                <w:bCs w:val="0"/>
              </w:rPr>
            </w:pPr>
            <w:r>
              <w:rPr>
                <w:rFonts w:hint="eastAsia" w:ascii="仿宋" w:hAnsi="仿宋" w:eastAsia="仿宋"/>
                <w:b/>
                <w:bCs w:val="0"/>
              </w:rPr>
              <w:t>4）未提交方案或提交的服务方案内容不完整、不合理、可行性差，得0分。</w:t>
            </w:r>
          </w:p>
        </w:tc>
        <w:tc>
          <w:tcPr>
            <w:tcW w:w="867" w:type="dxa"/>
          </w:tcPr>
          <w:p>
            <w:pPr>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2" w:type="dxa"/>
            <w:vAlign w:val="center"/>
          </w:tcPr>
          <w:p>
            <w:pPr>
              <w:rPr>
                <w:rFonts w:ascii="仿宋" w:hAnsi="仿宋" w:eastAsia="仿宋"/>
                <w:b/>
                <w:bCs w:val="0"/>
              </w:rPr>
            </w:pPr>
            <w:r>
              <w:rPr>
                <w:rFonts w:ascii="仿宋" w:hAnsi="仿宋" w:eastAsia="仿宋"/>
                <w:b/>
                <w:bCs w:val="0"/>
              </w:rPr>
              <w:t>技术</w:t>
            </w:r>
          </w:p>
          <w:p>
            <w:pPr>
              <w:rPr>
                <w:rFonts w:ascii="仿宋" w:hAnsi="仿宋" w:eastAsia="仿宋"/>
                <w:b/>
                <w:bCs w:val="0"/>
              </w:rPr>
            </w:pPr>
            <w:r>
              <w:rPr>
                <w:rFonts w:hint="eastAsia" w:ascii="仿宋" w:hAnsi="仿宋" w:eastAsia="仿宋"/>
                <w:b/>
                <w:bCs w:val="0"/>
              </w:rPr>
              <w:t>（评论员系统</w:t>
            </w:r>
            <w:r>
              <w:rPr>
                <w:rFonts w:ascii="仿宋" w:hAnsi="仿宋" w:eastAsia="仿宋"/>
                <w:b/>
                <w:bCs w:val="0"/>
              </w:rPr>
              <w:t>5</w:t>
            </w:r>
            <w:r>
              <w:rPr>
                <w:rFonts w:hint="eastAsia" w:ascii="仿宋" w:hAnsi="仿宋" w:eastAsia="仿宋"/>
                <w:b/>
                <w:bCs w:val="0"/>
              </w:rPr>
              <w:t>分）</w:t>
            </w:r>
          </w:p>
          <w:p>
            <w:pPr>
              <w:rPr>
                <w:rFonts w:ascii="仿宋" w:hAnsi="仿宋" w:eastAsia="仿宋"/>
                <w:b/>
                <w:bCs w:val="0"/>
              </w:rPr>
            </w:pPr>
          </w:p>
        </w:tc>
        <w:tc>
          <w:tcPr>
            <w:tcW w:w="768" w:type="dxa"/>
            <w:vAlign w:val="center"/>
          </w:tcPr>
          <w:p>
            <w:pPr>
              <w:rPr>
                <w:rFonts w:ascii="仿宋" w:hAnsi="仿宋" w:eastAsia="仿宋"/>
                <w:b/>
                <w:bCs w:val="0"/>
              </w:rPr>
            </w:pPr>
            <w:r>
              <w:rPr>
                <w:rFonts w:hint="eastAsia" w:ascii="仿宋" w:hAnsi="仿宋" w:eastAsia="仿宋"/>
                <w:b/>
                <w:bCs w:val="0"/>
              </w:rPr>
              <w:t>2.7</w:t>
            </w:r>
          </w:p>
        </w:tc>
        <w:tc>
          <w:tcPr>
            <w:tcW w:w="5652" w:type="dxa"/>
            <w:vAlign w:val="center"/>
          </w:tcPr>
          <w:p>
            <w:pPr>
              <w:rPr>
                <w:rFonts w:ascii="仿宋" w:hAnsi="仿宋" w:eastAsia="仿宋"/>
                <w:b/>
                <w:bCs w:val="0"/>
              </w:rPr>
            </w:pPr>
            <w:r>
              <w:rPr>
                <w:rFonts w:ascii="仿宋" w:hAnsi="仿宋" w:eastAsia="仿宋"/>
                <w:b/>
                <w:bCs w:val="0"/>
              </w:rPr>
              <w:t>根据投标人对</w:t>
            </w:r>
            <w:r>
              <w:rPr>
                <w:rFonts w:hint="eastAsia" w:ascii="仿宋" w:hAnsi="仿宋" w:eastAsia="仿宋"/>
                <w:b/>
                <w:bCs w:val="0"/>
              </w:rPr>
              <w:t>评论员系统</w:t>
            </w:r>
            <w:r>
              <w:rPr>
                <w:rFonts w:ascii="仿宋" w:hAnsi="仿宋" w:eastAsia="仿宋"/>
                <w:b/>
                <w:bCs w:val="0"/>
              </w:rPr>
              <w:t>服务需求的理解程度，服务内容和技术方案的创新性、对智慧体验的支持程度，技术架构的先进性，设计方案的亮点与特色等方面，进行综合评分</w:t>
            </w:r>
            <w:r>
              <w:rPr>
                <w:rFonts w:hint="eastAsia" w:ascii="仿宋" w:hAnsi="仿宋" w:eastAsia="仿宋"/>
                <w:b/>
                <w:bCs w:val="0"/>
              </w:rPr>
              <w:t>。本项满分</w:t>
            </w:r>
            <w:r>
              <w:rPr>
                <w:rFonts w:ascii="仿宋" w:hAnsi="仿宋" w:eastAsia="仿宋"/>
                <w:b/>
                <w:bCs w:val="0"/>
              </w:rPr>
              <w:t>5</w:t>
            </w:r>
            <w:r>
              <w:rPr>
                <w:rFonts w:hint="eastAsia" w:ascii="仿宋" w:hAnsi="仿宋" w:eastAsia="仿宋"/>
                <w:b/>
                <w:bCs w:val="0"/>
              </w:rPr>
              <w:t>分。</w:t>
            </w:r>
          </w:p>
          <w:p>
            <w:pPr>
              <w:rPr>
                <w:rFonts w:ascii="仿宋" w:hAnsi="仿宋" w:eastAsia="仿宋"/>
                <w:b/>
                <w:bCs w:val="0"/>
              </w:rPr>
            </w:pPr>
            <w:r>
              <w:rPr>
                <w:rFonts w:hint="eastAsia" w:ascii="仿宋" w:hAnsi="仿宋" w:eastAsia="仿宋"/>
                <w:b/>
                <w:bCs w:val="0"/>
              </w:rPr>
              <w:t>1）提交的服务方案内容完整、合理、可行，得</w:t>
            </w:r>
            <w:r>
              <w:rPr>
                <w:rFonts w:ascii="仿宋" w:hAnsi="仿宋" w:eastAsia="仿宋"/>
                <w:b/>
                <w:bCs w:val="0"/>
              </w:rPr>
              <w:t>5</w:t>
            </w:r>
            <w:r>
              <w:rPr>
                <w:rFonts w:hint="eastAsia" w:ascii="仿宋" w:hAnsi="仿宋" w:eastAsia="仿宋"/>
                <w:b/>
                <w:bCs w:val="0"/>
              </w:rPr>
              <w:t>分；</w:t>
            </w:r>
          </w:p>
          <w:p>
            <w:pPr>
              <w:rPr>
                <w:rFonts w:ascii="仿宋" w:hAnsi="仿宋" w:eastAsia="仿宋"/>
                <w:b/>
                <w:bCs w:val="0"/>
              </w:rPr>
            </w:pPr>
            <w:r>
              <w:rPr>
                <w:rFonts w:hint="eastAsia" w:ascii="仿宋" w:hAnsi="仿宋" w:eastAsia="仿宋"/>
                <w:b/>
                <w:bCs w:val="0"/>
              </w:rPr>
              <w:t>2）提交的服务方案内容较完整、较合理、较为可行，得</w:t>
            </w:r>
            <w:r>
              <w:rPr>
                <w:rFonts w:ascii="仿宋" w:hAnsi="仿宋" w:eastAsia="仿宋"/>
                <w:b/>
                <w:bCs w:val="0"/>
              </w:rPr>
              <w:t>3</w:t>
            </w:r>
            <w:r>
              <w:rPr>
                <w:rFonts w:hint="eastAsia" w:ascii="仿宋" w:hAnsi="仿宋" w:eastAsia="仿宋"/>
                <w:b/>
                <w:bCs w:val="0"/>
              </w:rPr>
              <w:t>分；</w:t>
            </w:r>
          </w:p>
          <w:p>
            <w:pPr>
              <w:rPr>
                <w:rFonts w:ascii="仿宋" w:hAnsi="仿宋" w:eastAsia="仿宋"/>
                <w:b/>
                <w:bCs w:val="0"/>
              </w:rPr>
            </w:pPr>
            <w:r>
              <w:rPr>
                <w:rFonts w:hint="eastAsia" w:ascii="仿宋" w:hAnsi="仿宋" w:eastAsia="仿宋"/>
                <w:b/>
                <w:bCs w:val="0"/>
              </w:rPr>
              <w:t>3）提交的服务方案内容不够完整，功能欠完善，需要进行调整才能满足采购人使用需求，得1分；</w:t>
            </w:r>
          </w:p>
          <w:p>
            <w:pPr>
              <w:rPr>
                <w:rFonts w:ascii="仿宋" w:hAnsi="仿宋" w:eastAsia="仿宋"/>
                <w:b/>
                <w:bCs w:val="0"/>
              </w:rPr>
            </w:pPr>
            <w:r>
              <w:rPr>
                <w:rFonts w:hint="eastAsia" w:ascii="仿宋" w:hAnsi="仿宋" w:eastAsia="仿宋"/>
                <w:b/>
                <w:bCs w:val="0"/>
              </w:rPr>
              <w:t>4）未提交方案或提交的服务方案内容不完整、不合理、可行性差，得0分。</w:t>
            </w:r>
          </w:p>
        </w:tc>
        <w:tc>
          <w:tcPr>
            <w:tcW w:w="867" w:type="dxa"/>
          </w:tcPr>
          <w:p>
            <w:pPr>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2" w:type="dxa"/>
            <w:vAlign w:val="center"/>
          </w:tcPr>
          <w:p>
            <w:pPr>
              <w:rPr>
                <w:rFonts w:ascii="仿宋" w:hAnsi="仿宋" w:eastAsia="仿宋"/>
                <w:b/>
                <w:bCs w:val="0"/>
              </w:rPr>
            </w:pPr>
            <w:r>
              <w:rPr>
                <w:rFonts w:ascii="仿宋" w:hAnsi="仿宋" w:eastAsia="仿宋"/>
                <w:b/>
                <w:bCs w:val="0"/>
              </w:rPr>
              <w:t>技术</w:t>
            </w:r>
          </w:p>
          <w:p>
            <w:pPr>
              <w:rPr>
                <w:rFonts w:ascii="仿宋" w:hAnsi="仿宋" w:eastAsia="仿宋"/>
                <w:b/>
                <w:bCs w:val="0"/>
              </w:rPr>
            </w:pPr>
            <w:r>
              <w:rPr>
                <w:rFonts w:hint="eastAsia" w:ascii="仿宋" w:hAnsi="仿宋" w:eastAsia="仿宋"/>
                <w:b/>
                <w:bCs w:val="0"/>
              </w:rPr>
              <w:t>（</w:t>
            </w:r>
            <w:r>
              <w:rPr>
                <w:rFonts w:ascii="仿宋" w:hAnsi="仿宋" w:eastAsia="仿宋"/>
                <w:b/>
                <w:bCs w:val="0"/>
              </w:rPr>
              <w:t>应急预案5</w:t>
            </w:r>
            <w:r>
              <w:rPr>
                <w:rFonts w:hint="eastAsia" w:ascii="仿宋" w:hAnsi="仿宋" w:eastAsia="仿宋"/>
                <w:b/>
                <w:bCs w:val="0"/>
              </w:rPr>
              <w:t>分）</w:t>
            </w:r>
          </w:p>
          <w:p>
            <w:pPr>
              <w:rPr>
                <w:rFonts w:ascii="仿宋" w:hAnsi="仿宋" w:eastAsia="仿宋"/>
                <w:b/>
                <w:bCs w:val="0"/>
              </w:rPr>
            </w:pPr>
          </w:p>
        </w:tc>
        <w:tc>
          <w:tcPr>
            <w:tcW w:w="768" w:type="dxa"/>
            <w:vAlign w:val="center"/>
          </w:tcPr>
          <w:p>
            <w:pPr>
              <w:rPr>
                <w:rFonts w:ascii="仿宋" w:hAnsi="仿宋" w:eastAsia="仿宋"/>
                <w:b/>
                <w:bCs w:val="0"/>
              </w:rPr>
            </w:pPr>
            <w:r>
              <w:rPr>
                <w:rFonts w:hint="eastAsia" w:ascii="仿宋" w:hAnsi="仿宋" w:eastAsia="仿宋"/>
                <w:b/>
                <w:bCs w:val="0"/>
              </w:rPr>
              <w:t>2.8</w:t>
            </w:r>
          </w:p>
        </w:tc>
        <w:tc>
          <w:tcPr>
            <w:tcW w:w="5652" w:type="dxa"/>
            <w:vAlign w:val="center"/>
          </w:tcPr>
          <w:p>
            <w:pPr>
              <w:rPr>
                <w:rFonts w:ascii="仿宋" w:hAnsi="仿宋" w:eastAsia="仿宋"/>
                <w:b/>
                <w:bCs w:val="0"/>
              </w:rPr>
            </w:pPr>
            <w:r>
              <w:rPr>
                <w:rFonts w:ascii="仿宋" w:hAnsi="仿宋" w:eastAsia="仿宋"/>
                <w:b/>
                <w:bCs w:val="0"/>
              </w:rPr>
              <w:t>根据投标人所提供的应急预案完整性、合理性、可行性等方面，进行综合评分，本</w:t>
            </w:r>
            <w:r>
              <w:rPr>
                <w:rFonts w:hint="eastAsia" w:ascii="仿宋" w:hAnsi="仿宋" w:eastAsia="仿宋"/>
                <w:b/>
                <w:bCs w:val="0"/>
              </w:rPr>
              <w:t>项满分5分。</w:t>
            </w:r>
          </w:p>
          <w:p>
            <w:pPr>
              <w:rPr>
                <w:rFonts w:ascii="仿宋" w:hAnsi="仿宋" w:eastAsia="仿宋"/>
                <w:b/>
                <w:bCs w:val="0"/>
              </w:rPr>
            </w:pPr>
            <w:r>
              <w:rPr>
                <w:rFonts w:hint="eastAsia" w:ascii="仿宋" w:hAnsi="仿宋" w:eastAsia="仿宋"/>
                <w:b/>
                <w:bCs w:val="0"/>
              </w:rPr>
              <w:t>1）提交的应急预案内容完整、合理、可行，得5分；</w:t>
            </w:r>
          </w:p>
          <w:p>
            <w:pPr>
              <w:rPr>
                <w:rFonts w:ascii="仿宋" w:hAnsi="仿宋" w:eastAsia="仿宋"/>
                <w:b/>
                <w:bCs w:val="0"/>
              </w:rPr>
            </w:pPr>
            <w:r>
              <w:rPr>
                <w:rFonts w:hint="eastAsia" w:ascii="仿宋" w:hAnsi="仿宋" w:eastAsia="仿宋"/>
                <w:b/>
                <w:bCs w:val="0"/>
              </w:rPr>
              <w:t>2）提交的应急预案内容较完整、较合理、较为可行，得3分；</w:t>
            </w:r>
          </w:p>
          <w:p>
            <w:pPr>
              <w:rPr>
                <w:rFonts w:ascii="仿宋" w:hAnsi="仿宋" w:eastAsia="仿宋"/>
                <w:b/>
                <w:bCs w:val="0"/>
              </w:rPr>
            </w:pPr>
            <w:r>
              <w:rPr>
                <w:rFonts w:hint="eastAsia" w:ascii="仿宋" w:hAnsi="仿宋" w:eastAsia="仿宋"/>
                <w:b/>
                <w:bCs w:val="0"/>
              </w:rPr>
              <w:t>3）提交的应急预案内容不够完整，功能欠完善，需要进行调整才能满足采购人使用需求，得1分；</w:t>
            </w:r>
          </w:p>
          <w:p>
            <w:pPr>
              <w:rPr>
                <w:rFonts w:ascii="仿宋" w:hAnsi="仿宋" w:eastAsia="仿宋"/>
                <w:b/>
                <w:bCs w:val="0"/>
              </w:rPr>
            </w:pPr>
            <w:r>
              <w:rPr>
                <w:rFonts w:hint="eastAsia" w:ascii="仿宋" w:hAnsi="仿宋" w:eastAsia="仿宋"/>
                <w:b/>
                <w:bCs w:val="0"/>
              </w:rPr>
              <w:t>4）未提交预案或提交的应急预案内容不完整、不合理、可行性差，得0分。</w:t>
            </w:r>
          </w:p>
        </w:tc>
        <w:tc>
          <w:tcPr>
            <w:tcW w:w="867" w:type="dxa"/>
          </w:tcPr>
          <w:p>
            <w:pPr>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2" w:type="dxa"/>
            <w:vAlign w:val="center"/>
          </w:tcPr>
          <w:p>
            <w:pPr>
              <w:rPr>
                <w:rFonts w:ascii="仿宋" w:hAnsi="仿宋" w:eastAsia="仿宋"/>
                <w:b/>
                <w:bCs w:val="0"/>
              </w:rPr>
            </w:pPr>
            <w:r>
              <w:rPr>
                <w:rFonts w:ascii="仿宋" w:hAnsi="仿宋" w:eastAsia="仿宋"/>
                <w:b/>
                <w:bCs w:val="0"/>
              </w:rPr>
              <w:t>技术</w:t>
            </w:r>
            <w:r>
              <w:rPr>
                <w:rFonts w:hint="eastAsia" w:ascii="仿宋" w:hAnsi="仿宋" w:eastAsia="仿宋"/>
                <w:b/>
                <w:bCs w:val="0"/>
              </w:rPr>
              <w:t>（</w:t>
            </w:r>
            <w:r>
              <w:rPr>
                <w:rFonts w:ascii="仿宋" w:hAnsi="仿宋" w:eastAsia="仿宋"/>
                <w:b/>
                <w:bCs w:val="0"/>
              </w:rPr>
              <w:t>人员管理计划</w:t>
            </w:r>
          </w:p>
          <w:p>
            <w:pPr>
              <w:rPr>
                <w:rFonts w:ascii="仿宋" w:hAnsi="仿宋" w:eastAsia="仿宋"/>
                <w:b/>
                <w:bCs w:val="0"/>
              </w:rPr>
            </w:pPr>
            <w:r>
              <w:rPr>
                <w:rFonts w:ascii="仿宋" w:hAnsi="仿宋" w:eastAsia="仿宋"/>
                <w:b/>
                <w:bCs w:val="0"/>
              </w:rPr>
              <w:t>5</w:t>
            </w:r>
            <w:r>
              <w:rPr>
                <w:rFonts w:hint="eastAsia" w:ascii="仿宋" w:hAnsi="仿宋" w:eastAsia="仿宋"/>
                <w:b/>
                <w:bCs w:val="0"/>
              </w:rPr>
              <w:t>分）</w:t>
            </w:r>
          </w:p>
          <w:p>
            <w:pPr>
              <w:rPr>
                <w:rFonts w:ascii="仿宋" w:hAnsi="仿宋" w:eastAsia="仿宋"/>
                <w:b/>
                <w:bCs w:val="0"/>
              </w:rPr>
            </w:pPr>
          </w:p>
        </w:tc>
        <w:tc>
          <w:tcPr>
            <w:tcW w:w="768" w:type="dxa"/>
            <w:vAlign w:val="center"/>
          </w:tcPr>
          <w:p>
            <w:pPr>
              <w:rPr>
                <w:rFonts w:ascii="仿宋" w:hAnsi="仿宋" w:eastAsia="仿宋"/>
                <w:b/>
                <w:bCs w:val="0"/>
              </w:rPr>
            </w:pPr>
            <w:r>
              <w:rPr>
                <w:rFonts w:hint="eastAsia" w:ascii="仿宋" w:hAnsi="仿宋" w:eastAsia="仿宋"/>
                <w:b/>
                <w:bCs w:val="0"/>
              </w:rPr>
              <w:t>2.9</w:t>
            </w:r>
          </w:p>
        </w:tc>
        <w:tc>
          <w:tcPr>
            <w:tcW w:w="5652" w:type="dxa"/>
            <w:vAlign w:val="center"/>
          </w:tcPr>
          <w:p>
            <w:pPr>
              <w:rPr>
                <w:rFonts w:ascii="仿宋" w:hAnsi="仿宋" w:eastAsia="仿宋"/>
                <w:b/>
                <w:bCs w:val="0"/>
              </w:rPr>
            </w:pPr>
            <w:r>
              <w:rPr>
                <w:rFonts w:ascii="仿宋" w:hAnsi="仿宋" w:eastAsia="仿宋"/>
                <w:b/>
                <w:bCs w:val="0"/>
              </w:rPr>
              <w:t>根据投标人提供的项目人员管理计划、项目总体人员配置计划以及主要人员的到岗时间计划，从人员配备是否合理、职责是否清晰、数量是否能够满足采购人使</w:t>
            </w:r>
            <w:bookmarkStart w:id="65" w:name="_GoBack"/>
            <w:bookmarkEnd w:id="65"/>
            <w:r>
              <w:rPr>
                <w:rFonts w:ascii="仿宋" w:hAnsi="仿宋" w:eastAsia="仿宋"/>
                <w:b/>
                <w:bCs w:val="0"/>
              </w:rPr>
              <w:t>用需要、管理制度是否健全等方面，进行综合评分，</w:t>
            </w:r>
            <w:r>
              <w:rPr>
                <w:rFonts w:hint="eastAsia" w:ascii="仿宋" w:hAnsi="仿宋" w:eastAsia="仿宋"/>
                <w:b/>
                <w:bCs w:val="0"/>
              </w:rPr>
              <w:t>本项满分5分</w:t>
            </w:r>
            <w:r>
              <w:rPr>
                <w:rFonts w:ascii="仿宋" w:hAnsi="仿宋" w:eastAsia="仿宋"/>
                <w:b/>
                <w:bCs w:val="0"/>
              </w:rPr>
              <w:t>。</w:t>
            </w:r>
          </w:p>
          <w:p>
            <w:pPr>
              <w:numPr>
                <w:ilvl w:val="255"/>
                <w:numId w:val="0"/>
              </w:numPr>
              <w:jc w:val="left"/>
              <w:rPr>
                <w:rFonts w:ascii="仿宋" w:hAnsi="仿宋" w:eastAsia="仿宋"/>
                <w:b/>
                <w:bCs w:val="0"/>
              </w:rPr>
            </w:pPr>
            <w:r>
              <w:rPr>
                <w:rFonts w:hint="eastAsia" w:ascii="仿宋" w:hAnsi="仿宋" w:eastAsia="仿宋"/>
                <w:b/>
                <w:bCs w:val="0"/>
              </w:rPr>
              <w:t>1）所配备的人员岗位明确、数量合理，能够很好的满足采购人使用需要，得5分；</w:t>
            </w:r>
          </w:p>
          <w:p>
            <w:pPr>
              <w:numPr>
                <w:ilvl w:val="255"/>
                <w:numId w:val="0"/>
              </w:numPr>
              <w:jc w:val="left"/>
              <w:rPr>
                <w:b/>
                <w:bCs w:val="0"/>
              </w:rPr>
            </w:pPr>
            <w:r>
              <w:rPr>
                <w:rFonts w:hint="eastAsia" w:ascii="仿宋" w:hAnsi="仿宋" w:eastAsia="仿宋"/>
                <w:b/>
                <w:bCs w:val="0"/>
              </w:rPr>
              <w:t>2）所配备的人员岗位基本明确、数量基本合理，能较好满足采购人使用需要，得3分；</w:t>
            </w:r>
          </w:p>
          <w:p>
            <w:pPr>
              <w:jc w:val="left"/>
              <w:rPr>
                <w:rFonts w:ascii="仿宋" w:hAnsi="仿宋" w:eastAsia="仿宋"/>
                <w:b/>
                <w:bCs w:val="0"/>
              </w:rPr>
            </w:pPr>
            <w:r>
              <w:rPr>
                <w:rFonts w:hint="eastAsia" w:ascii="仿宋" w:hAnsi="仿宋" w:eastAsia="仿宋"/>
                <w:b/>
                <w:bCs w:val="0"/>
              </w:rPr>
              <w:t>3）提供了人员计划，但所提供人员岗位设置欠合理或和数量不足，与采购人使用需要存在一定偏差，得1分；</w:t>
            </w:r>
          </w:p>
          <w:p>
            <w:pPr>
              <w:rPr>
                <w:rFonts w:ascii="仿宋" w:hAnsi="仿宋" w:eastAsia="仿宋"/>
                <w:b/>
                <w:bCs w:val="0"/>
              </w:rPr>
            </w:pPr>
            <w:r>
              <w:rPr>
                <w:rFonts w:hint="eastAsia" w:ascii="仿宋" w:hAnsi="仿宋" w:eastAsia="仿宋"/>
                <w:b/>
                <w:bCs w:val="0"/>
              </w:rPr>
              <w:t>4）未提交人员计划或提交的人员计划与采购人使用需要有较大偏差的，得0分。</w:t>
            </w:r>
          </w:p>
        </w:tc>
        <w:tc>
          <w:tcPr>
            <w:tcW w:w="867" w:type="dxa"/>
          </w:tcPr>
          <w:p>
            <w:pPr>
              <w:rPr>
                <w:rFonts w:ascii="仿宋" w:hAnsi="仿宋" w:eastAsia="仿宋"/>
                <w:b/>
                <w:bCs w:val="0"/>
              </w:rPr>
            </w:pPr>
            <w:r>
              <w:rPr>
                <w:rFonts w:ascii="仿宋_GB2312" w:hAnsi="宋体" w:eastAsia="仿宋_GB2312"/>
                <w:b/>
                <w:bCs w:val="0"/>
                <w:color w:val="000000"/>
                <w:szCs w:val="21"/>
              </w:rPr>
              <w:t>0~</w:t>
            </w:r>
            <w:r>
              <w:rPr>
                <w:rFonts w:hint="eastAsia" w:ascii="仿宋_GB2312" w:hAnsi="宋体" w:eastAsia="仿宋_GB2312"/>
                <w:b/>
                <w:bCs w:val="0"/>
                <w:color w:val="000000"/>
                <w:szCs w:val="21"/>
              </w:rPr>
              <w:t>5</w:t>
            </w:r>
          </w:p>
        </w:tc>
      </w:tr>
    </w:tbl>
    <w:p/>
    <w:p>
      <w:pPr>
        <w:spacing w:before="156" w:beforeLines="50" w:after="156" w:afterLines="50" w:line="320" w:lineRule="exact"/>
        <w:rPr>
          <w:rFonts w:ascii="仿宋_GB2312" w:hAnsi="宋体" w:eastAsia="仿宋_GB2312"/>
          <w:b/>
          <w:color w:val="000000" w:themeColor="text1"/>
          <w:sz w:val="32"/>
          <w:szCs w:val="32"/>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r>
        <w:rPr>
          <w:rFonts w:hAnsi="宋体"/>
          <w:b/>
          <w:color w:val="000000" w:themeColor="text1"/>
          <w:sz w:val="36"/>
          <w:szCs w:val="36"/>
          <w14:textFill>
            <w14:solidFill>
              <w14:schemeClr w14:val="tx1"/>
            </w14:solidFill>
          </w14:textFill>
        </w:rPr>
        <w:br w:type="page"/>
      </w:r>
      <w:bookmarkStart w:id="17" w:name="_Toc51935130"/>
      <w:r>
        <w:rPr>
          <w:rFonts w:hint="eastAsia" w:hAnsi="宋体"/>
          <w:b/>
          <w:color w:val="000000" w:themeColor="text1"/>
          <w:sz w:val="36"/>
          <w:szCs w:val="36"/>
          <w14:textFill>
            <w14:solidFill>
              <w14:schemeClr w14:val="tx1"/>
            </w14:solidFill>
          </w14:textFill>
        </w:rPr>
        <w:t>第四章  招标需求</w:t>
      </w:r>
      <w:bookmarkEnd w:id="17"/>
    </w:p>
    <w:p>
      <w:pPr>
        <w:snapToGrid w:val="0"/>
        <w:spacing w:before="156" w:beforeLines="50" w:after="156" w:afterLines="50"/>
        <w:jc w:val="center"/>
        <w:rPr>
          <w:rFonts w:ascii="宋体" w:hAnsi="宋体" w:eastAsia="仿宋_GB2312"/>
          <w:b/>
          <w:color w:val="000000" w:themeColor="text1"/>
          <w:spacing w:val="40"/>
          <w:kern w:val="0"/>
          <w:sz w:val="36"/>
          <w:szCs w:val="36"/>
          <w14:textFill>
            <w14:solidFill>
              <w14:schemeClr w14:val="tx1"/>
            </w14:solidFill>
          </w14:textFill>
        </w:rPr>
      </w:pPr>
    </w:p>
    <w:p>
      <w:pPr>
        <w:snapToGrid w:val="0"/>
        <w:spacing w:before="156" w:beforeLines="50" w:after="156" w:afterLines="50"/>
        <w:rPr>
          <w:rFonts w:ascii="仿宋" w:hAnsi="仿宋" w:eastAsia="仿宋"/>
          <w:b/>
          <w:color w:val="000000" w:themeColor="text1"/>
          <w:spacing w:val="40"/>
          <w:kern w:val="0"/>
          <w:sz w:val="28"/>
          <w:szCs w:val="28"/>
          <w14:textFill>
            <w14:solidFill>
              <w14:schemeClr w14:val="tx1"/>
            </w14:solidFill>
          </w14:textFill>
        </w:rPr>
      </w:pPr>
      <w:r>
        <w:rPr>
          <w:rFonts w:hint="eastAsia" w:ascii="仿宋" w:hAnsi="仿宋" w:eastAsia="仿宋"/>
          <w:b/>
          <w:color w:val="000000" w:themeColor="text1"/>
          <w:spacing w:val="40"/>
          <w:kern w:val="0"/>
          <w:sz w:val="28"/>
          <w:szCs w:val="28"/>
          <w14:textFill>
            <w14:solidFill>
              <w14:schemeClr w14:val="tx1"/>
            </w14:solidFill>
          </w14:textFill>
        </w:rPr>
        <w:t>特别说明：</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1、招标需求中如果涉及具体品牌或型号，仅供参考，可报同档次或更优产品。</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themeColor="text1"/>
          <w:sz w:val="30"/>
          <w:szCs w:val="30"/>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3、核心产品在各标项内容中明确，如出现同品牌情况的，评标委员会根据评审原则第4条规定执行</w:t>
      </w:r>
      <w:r>
        <w:rPr>
          <w:rFonts w:hint="eastAsia" w:ascii="仿宋" w:hAnsi="仿宋" w:eastAsia="仿宋_GB2312"/>
          <w:b/>
          <w:color w:val="000000" w:themeColor="text1"/>
          <w:sz w:val="30"/>
          <w:szCs w:val="30"/>
          <w14:textFill>
            <w14:solidFill>
              <w14:schemeClr w14:val="tx1"/>
            </w14:solidFill>
          </w14:textFill>
        </w:rPr>
        <w:t>。</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ascii="仿宋" w:hAnsi="仿宋" w:eastAsia="仿宋"/>
          <w:b/>
          <w:color w:val="000000" w:themeColor="text1"/>
          <w:sz w:val="28"/>
          <w:szCs w:val="28"/>
          <w14:textFill>
            <w14:solidFill>
              <w14:schemeClr w14:val="tx1"/>
            </w14:solidFill>
          </w14:textFill>
        </w:rPr>
        <w:t>4</w:t>
      </w:r>
      <w:r>
        <w:rPr>
          <w:rFonts w:hint="eastAsia" w:ascii="仿宋" w:hAnsi="仿宋" w:eastAsia="仿宋"/>
          <w:b/>
          <w:color w:val="000000" w:themeColor="text1"/>
          <w:sz w:val="28"/>
          <w:szCs w:val="28"/>
          <w14:textFill>
            <w14:solidFill>
              <w14:schemeClr w14:val="tx1"/>
            </w14:solidFill>
          </w14:textFill>
        </w:rPr>
        <w:t>、采购人拟采购的产品属于</w:t>
      </w:r>
      <w:r>
        <w:rPr>
          <w:rFonts w:hint="eastAsia" w:ascii="仿宋" w:hAnsi="仿宋" w:eastAsia="仿宋"/>
          <w:b/>
          <w:bCs/>
          <w:color w:val="000000" w:themeColor="text1"/>
          <w:sz w:val="28"/>
          <w:szCs w:val="28"/>
          <w14:textFill>
            <w14:solidFill>
              <w14:schemeClr w14:val="tx1"/>
            </w14:solidFill>
          </w14:textFill>
        </w:rPr>
        <w:t>政府采购节能产品、环境标志产品品目清单范围的采购产品，实施政府优先采购或强制采购。投标人应提供国家确定的认证机构出具的、处于有效期之内的节能产品、环境标志产品认证证书，采购人及采购单位对获得证书的产品实施政府优先采购或强制采购。</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sectPr>
          <w:footerReference r:id="rId3" w:type="default"/>
          <w:pgSz w:w="11906" w:h="16838"/>
          <w:pgMar w:top="1440" w:right="1800" w:bottom="1440" w:left="1800" w:header="851" w:footer="992" w:gutter="0"/>
          <w:pgNumType w:start="1"/>
          <w:cols w:space="425" w:num="1"/>
          <w:docGrid w:type="lines" w:linePitch="312" w:charSpace="0"/>
        </w:sectPr>
      </w:pPr>
    </w:p>
    <w:p>
      <w:pPr>
        <w:keepNext/>
        <w:keepLines/>
        <w:numPr>
          <w:ilvl w:val="1"/>
          <w:numId w:val="0"/>
        </w:numPr>
        <w:spacing w:line="276" w:lineRule="auto"/>
        <w:ind w:right="-29" w:rightChars="-14"/>
        <w:outlineLvl w:val="1"/>
        <w:rPr>
          <w:rFonts w:ascii="仿宋" w:hAnsi="仿宋" w:eastAsia="仿宋"/>
          <w:b/>
          <w:bCs/>
          <w:color w:val="FF0000"/>
          <w:sz w:val="36"/>
          <w:szCs w:val="24"/>
        </w:rPr>
      </w:pPr>
      <w:bookmarkStart w:id="18" w:name="_Toc55199048"/>
      <w:r>
        <w:rPr>
          <w:rFonts w:hint="eastAsia" w:ascii="仿宋" w:hAnsi="仿宋" w:eastAsia="仿宋"/>
          <w:b/>
          <w:bCs/>
          <w:color w:val="FF0000"/>
          <w:sz w:val="36"/>
          <w:szCs w:val="24"/>
        </w:rPr>
        <w:t>标项1需求文档</w:t>
      </w:r>
    </w:p>
    <w:p>
      <w:pPr>
        <w:keepNext/>
        <w:keepLines/>
        <w:numPr>
          <w:ilvl w:val="1"/>
          <w:numId w:val="0"/>
        </w:numPr>
        <w:spacing w:line="276" w:lineRule="auto"/>
        <w:ind w:right="-29" w:rightChars="-14"/>
        <w:outlineLvl w:val="1"/>
        <w:rPr>
          <w:rFonts w:ascii="仿宋" w:hAnsi="仿宋" w:eastAsia="仿宋"/>
          <w:b/>
          <w:bCs/>
          <w:sz w:val="28"/>
          <w:szCs w:val="24"/>
        </w:rPr>
      </w:pPr>
      <w:r>
        <w:rPr>
          <w:rFonts w:hint="eastAsia" w:ascii="仿宋" w:hAnsi="仿宋" w:eastAsia="仿宋"/>
          <w:b/>
          <w:bCs/>
          <w:sz w:val="28"/>
          <w:szCs w:val="24"/>
        </w:rPr>
        <w:t>1.1项目概况</w:t>
      </w:r>
      <w:bookmarkEnd w:id="18"/>
    </w:p>
    <w:p>
      <w:pPr>
        <w:spacing w:line="276" w:lineRule="auto"/>
        <w:ind w:firstLine="560"/>
        <w:rPr>
          <w:rFonts w:ascii="仿宋" w:hAnsi="仿宋" w:eastAsia="仿宋"/>
          <w:sz w:val="24"/>
          <w:szCs w:val="24"/>
        </w:rPr>
      </w:pPr>
      <w:r>
        <w:rPr>
          <w:rFonts w:hint="eastAsia" w:ascii="仿宋" w:hAnsi="仿宋" w:eastAsia="仿宋"/>
          <w:sz w:val="24"/>
          <w:szCs w:val="24"/>
        </w:rPr>
        <w:t>世界大学生夏季运动会（以下简称“大运会”）是国际大学生体育联合会主办的世界性综合性运动会，每两年举办一届。2018年12月13日，国际大学生体育联合会（以下简称“国际大体联”）与成都市、中国大学生体育协会共同签署成都2021年第31届世界大学生夏季运动会举办权意向协议，成都成功获得2021年第31届世界大学生夏季运动会举办权。</w:t>
      </w:r>
    </w:p>
    <w:p>
      <w:pPr>
        <w:spacing w:line="276" w:lineRule="auto"/>
        <w:ind w:firstLine="560"/>
        <w:rPr>
          <w:rFonts w:ascii="仿宋" w:hAnsi="仿宋" w:eastAsia="仿宋"/>
          <w:sz w:val="24"/>
          <w:szCs w:val="24"/>
        </w:rPr>
      </w:pPr>
      <w:r>
        <w:rPr>
          <w:rFonts w:hint="eastAsia" w:ascii="仿宋" w:hAnsi="仿宋" w:eastAsia="仿宋"/>
          <w:sz w:val="24"/>
          <w:szCs w:val="24"/>
        </w:rPr>
        <w:t>第31届世界大学生夏季运动会在比赛项目设置上，确定了共18个正式比赛项目，其中包括体操、游泳、羽毛球、田径、击剑、乒乓球、篮球、排球、柔道、射箭、水球、跆拳道、跳水、网球、艺术体操15个必选项目和武术、赛艇、射击3个自选项目。</w:t>
      </w:r>
    </w:p>
    <w:p>
      <w:pPr>
        <w:adjustRightInd w:val="0"/>
        <w:snapToGrid w:val="0"/>
        <w:spacing w:line="276" w:lineRule="auto"/>
        <w:ind w:firstLine="724" w:firstLineChars="302"/>
        <w:rPr>
          <w:rFonts w:ascii="仿宋" w:hAnsi="仿宋" w:eastAsia="仿宋"/>
          <w:sz w:val="24"/>
          <w:szCs w:val="24"/>
        </w:rPr>
      </w:pPr>
      <w:r>
        <w:rPr>
          <w:rFonts w:hint="eastAsia" w:ascii="仿宋" w:hAnsi="仿宋" w:eastAsia="仿宋"/>
          <w:sz w:val="24"/>
          <w:szCs w:val="24"/>
        </w:rPr>
        <w:t>根据第31届世界大学生夏季运动会场馆布局，本次大运会初步计划使用49个场馆（其中新建场馆13个，维修改造场馆36个。分布于成都市16个区（市）县，对应18个竞赛项目的比赛和训练需求），以及综合运行管理中心（MOC）、主新闻中心、国际广播中心、运动员村等十余个非竞赛场馆。</w:t>
      </w:r>
    </w:p>
    <w:p>
      <w:pPr>
        <w:spacing w:line="276" w:lineRule="auto"/>
        <w:ind w:firstLine="560"/>
        <w:rPr>
          <w:rFonts w:ascii="仿宋" w:hAnsi="仿宋" w:eastAsia="仿宋"/>
          <w:sz w:val="24"/>
          <w:szCs w:val="24"/>
        </w:rPr>
      </w:pPr>
      <w:r>
        <w:rPr>
          <w:rFonts w:hint="eastAsia" w:ascii="仿宋" w:hAnsi="仿宋" w:eastAsia="仿宋"/>
          <w:sz w:val="24"/>
          <w:szCs w:val="24"/>
        </w:rPr>
        <w:t>本项目以购买服务方式招标，合同履行期限从合同生效之日起至赛事收尾验收审计结束。</w:t>
      </w:r>
    </w:p>
    <w:p>
      <w:pPr>
        <w:spacing w:line="276" w:lineRule="auto"/>
        <w:ind w:firstLine="560"/>
        <w:rPr>
          <w:rFonts w:ascii="仿宋" w:hAnsi="仿宋" w:eastAsia="仿宋"/>
          <w:sz w:val="28"/>
          <w:szCs w:val="24"/>
        </w:rPr>
      </w:pPr>
    </w:p>
    <w:p>
      <w:pPr>
        <w:keepNext/>
        <w:keepLines/>
        <w:numPr>
          <w:ilvl w:val="1"/>
          <w:numId w:val="0"/>
        </w:numPr>
        <w:spacing w:line="276" w:lineRule="auto"/>
        <w:ind w:right="-29" w:rightChars="-14"/>
        <w:outlineLvl w:val="1"/>
        <w:rPr>
          <w:rFonts w:ascii="仿宋" w:hAnsi="仿宋" w:eastAsia="仿宋"/>
          <w:b/>
          <w:bCs/>
          <w:sz w:val="28"/>
          <w:szCs w:val="24"/>
        </w:rPr>
      </w:pPr>
      <w:bookmarkStart w:id="19" w:name="_Toc55199049"/>
      <w:r>
        <w:rPr>
          <w:rFonts w:hint="eastAsia" w:ascii="仿宋" w:hAnsi="仿宋" w:eastAsia="仿宋"/>
          <w:b/>
          <w:bCs/>
          <w:sz w:val="28"/>
          <w:szCs w:val="24"/>
        </w:rPr>
        <w:t>1.2服务范围</w:t>
      </w:r>
      <w:bookmarkEnd w:id="19"/>
      <w:r>
        <w:rPr>
          <w:rFonts w:hint="eastAsia" w:ascii="仿宋" w:hAnsi="仿宋" w:eastAsia="仿宋"/>
          <w:b/>
          <w:bCs/>
          <w:sz w:val="28"/>
          <w:szCs w:val="24"/>
        </w:rPr>
        <w:t xml:space="preserve"> </w:t>
      </w:r>
    </w:p>
    <w:p>
      <w:pPr>
        <w:spacing w:line="276" w:lineRule="auto"/>
        <w:ind w:firstLine="560"/>
        <w:rPr>
          <w:rFonts w:ascii="仿宋" w:hAnsi="仿宋" w:eastAsia="仿宋"/>
          <w:sz w:val="24"/>
          <w:szCs w:val="24"/>
        </w:rPr>
      </w:pPr>
      <w:r>
        <w:rPr>
          <w:rFonts w:hint="eastAsia" w:ascii="仿宋" w:hAnsi="仿宋" w:eastAsia="仿宋"/>
          <w:sz w:val="24"/>
          <w:szCs w:val="24"/>
        </w:rPr>
        <w:t>本项目的服务内容：电视字幕系统是一套直接服务于电视转播的信息发布系统。以电视字幕的形式为电视台提供赛事的信息，如竞赛计划、编排秩序信息、实时成绩、比赛成绩信息、颁奖信息等，是电视台获得比赛成绩信息的最主要渠道。</w:t>
      </w:r>
    </w:p>
    <w:p>
      <w:pPr>
        <w:spacing w:line="276" w:lineRule="auto"/>
        <w:ind w:firstLine="560"/>
        <w:rPr>
          <w:rFonts w:ascii="仿宋" w:hAnsi="仿宋" w:eastAsia="仿宋"/>
          <w:sz w:val="24"/>
          <w:szCs w:val="24"/>
        </w:rPr>
      </w:pPr>
    </w:p>
    <w:p>
      <w:pPr>
        <w:keepNext/>
        <w:keepLines/>
        <w:numPr>
          <w:ilvl w:val="1"/>
          <w:numId w:val="0"/>
        </w:numPr>
        <w:spacing w:line="276" w:lineRule="auto"/>
        <w:ind w:right="-29" w:rightChars="-14"/>
        <w:outlineLvl w:val="1"/>
        <w:rPr>
          <w:rFonts w:ascii="仿宋" w:hAnsi="仿宋" w:eastAsia="仿宋"/>
          <w:b/>
          <w:bCs/>
          <w:sz w:val="28"/>
          <w:szCs w:val="24"/>
        </w:rPr>
      </w:pPr>
      <w:bookmarkStart w:id="20" w:name="_Toc55199051"/>
      <w:r>
        <w:rPr>
          <w:rFonts w:hint="eastAsia" w:ascii="仿宋" w:hAnsi="仿宋" w:eastAsia="仿宋"/>
          <w:b/>
          <w:bCs/>
          <w:sz w:val="28"/>
          <w:szCs w:val="24"/>
        </w:rPr>
        <w:t>1.3系统服务要求</w:t>
      </w:r>
      <w:bookmarkEnd w:id="20"/>
    </w:p>
    <w:p>
      <w:pPr>
        <w:spacing w:line="276" w:lineRule="auto"/>
        <w:ind w:firstLine="560"/>
        <w:rPr>
          <w:rFonts w:ascii="仿宋" w:hAnsi="仿宋" w:eastAsia="仿宋"/>
          <w:b/>
          <w:sz w:val="24"/>
          <w:szCs w:val="24"/>
        </w:rPr>
      </w:pPr>
      <w:r>
        <w:rPr>
          <w:rFonts w:hint="eastAsia" w:ascii="仿宋" w:hAnsi="仿宋" w:eastAsia="仿宋"/>
          <w:b/>
          <w:sz w:val="24"/>
          <w:szCs w:val="24"/>
          <w:u w:val="single"/>
        </w:rPr>
        <w:t>▲中标人所提供的电视字幕系统服务需满足国际大体联、国际（国内）单项体育联合协会的要求</w:t>
      </w:r>
      <w:r>
        <w:rPr>
          <w:rFonts w:hint="eastAsia" w:ascii="仿宋" w:hAnsi="仿宋" w:eastAsia="仿宋" w:cs="宋体"/>
          <w:kern w:val="0"/>
          <w:sz w:val="24"/>
          <w:szCs w:val="24"/>
          <w:lang w:bidi="ar"/>
        </w:rPr>
        <w:t>▲</w:t>
      </w:r>
      <w:r>
        <w:rPr>
          <w:rFonts w:hint="eastAsia" w:ascii="仿宋" w:hAnsi="仿宋" w:eastAsia="仿宋"/>
          <w:b/>
          <w:sz w:val="24"/>
          <w:szCs w:val="24"/>
        </w:rPr>
        <w:t>。</w:t>
      </w:r>
    </w:p>
    <w:p>
      <w:pPr>
        <w:spacing w:line="276" w:lineRule="auto"/>
        <w:ind w:firstLine="560"/>
        <w:rPr>
          <w:rFonts w:ascii="仿宋" w:hAnsi="仿宋" w:eastAsia="仿宋"/>
          <w:b/>
          <w:sz w:val="24"/>
          <w:szCs w:val="24"/>
        </w:rPr>
      </w:pPr>
    </w:p>
    <w:p>
      <w:pPr>
        <w:keepNext/>
        <w:keepLines/>
        <w:numPr>
          <w:ilvl w:val="0"/>
          <w:numId w:val="34"/>
        </w:numPr>
        <w:tabs>
          <w:tab w:val="left" w:pos="480"/>
        </w:tabs>
        <w:spacing w:line="276" w:lineRule="auto"/>
        <w:outlineLvl w:val="2"/>
        <w:rPr>
          <w:rFonts w:ascii="仿宋" w:hAnsi="仿宋" w:eastAsia="仿宋"/>
          <w:b/>
          <w:kern w:val="0"/>
          <w:sz w:val="24"/>
          <w:szCs w:val="24"/>
        </w:rPr>
      </w:pPr>
      <w:r>
        <w:rPr>
          <w:rFonts w:hint="eastAsia" w:ascii="仿宋" w:hAnsi="仿宋" w:eastAsia="仿宋"/>
          <w:b/>
          <w:kern w:val="0"/>
          <w:sz w:val="24"/>
          <w:szCs w:val="24"/>
        </w:rPr>
        <w:t>电视字幕系统</w:t>
      </w:r>
    </w:p>
    <w:p>
      <w:pPr>
        <w:keepNext/>
        <w:keepLines/>
        <w:spacing w:before="120" w:after="120"/>
        <w:outlineLvl w:val="4"/>
        <w:rPr>
          <w:rFonts w:ascii="仿宋" w:hAnsi="仿宋" w:eastAsia="仿宋"/>
          <w:b/>
          <w:bCs/>
          <w:sz w:val="24"/>
          <w:szCs w:val="24"/>
        </w:rPr>
      </w:pPr>
      <w:r>
        <w:rPr>
          <w:rFonts w:hint="eastAsia" w:ascii="仿宋" w:hAnsi="仿宋" w:eastAsia="仿宋"/>
          <w:b/>
          <w:bCs/>
          <w:sz w:val="24"/>
          <w:szCs w:val="24"/>
        </w:rPr>
        <w:t>功能描述：</w:t>
      </w:r>
    </w:p>
    <w:p>
      <w:pPr>
        <w:spacing w:line="276" w:lineRule="auto"/>
        <w:ind w:firstLine="560"/>
        <w:rPr>
          <w:rFonts w:ascii="仿宋" w:hAnsi="仿宋" w:eastAsia="仿宋"/>
          <w:sz w:val="24"/>
          <w:szCs w:val="24"/>
        </w:rPr>
      </w:pPr>
      <w:r>
        <w:rPr>
          <w:rFonts w:hint="eastAsia" w:ascii="仿宋" w:hAnsi="仿宋" w:eastAsia="仿宋"/>
          <w:sz w:val="24"/>
          <w:szCs w:val="24"/>
        </w:rPr>
        <w:t>本届成都大运会包括体操、游泳、羽毛球、田径、击剑、乒乓球、篮球、排球、柔道、射箭、水球、跆拳道、跳水、网球、艺术体操、武术、赛艇、射击18个单项。电视字幕系统是一套直接服务于电视转播的信息发布系统。通过数据库接口、计时设备接口、记分数据接口、特殊设备接口来服务于电视转播，能够以电视字幕形式为电视台提供赛事信息服务，是电视台获得比赛成绩信息的最主要渠道。</w:t>
      </w:r>
    </w:p>
    <w:p>
      <w:pPr>
        <w:keepNext/>
        <w:keepLines/>
        <w:spacing w:before="120" w:after="120" w:line="377" w:lineRule="auto"/>
        <w:outlineLvl w:val="4"/>
        <w:rPr>
          <w:rFonts w:ascii="仿宋" w:hAnsi="仿宋" w:eastAsia="仿宋"/>
          <w:b/>
          <w:bCs/>
          <w:sz w:val="24"/>
          <w:szCs w:val="24"/>
        </w:rPr>
      </w:pPr>
      <w:r>
        <w:rPr>
          <w:rFonts w:hint="eastAsia" w:ascii="仿宋" w:hAnsi="仿宋" w:eastAsia="仿宋"/>
          <w:b/>
          <w:bCs/>
          <w:sz w:val="24"/>
          <w:szCs w:val="24"/>
        </w:rPr>
        <w:t>服务内容：</w:t>
      </w:r>
    </w:p>
    <w:p>
      <w:pPr>
        <w:spacing w:line="276" w:lineRule="auto"/>
        <w:ind w:firstLine="560"/>
        <w:rPr>
          <w:rFonts w:ascii="仿宋" w:hAnsi="仿宋" w:eastAsia="仿宋"/>
          <w:sz w:val="24"/>
          <w:szCs w:val="24"/>
        </w:rPr>
      </w:pPr>
      <w:r>
        <w:rPr>
          <w:rFonts w:hint="eastAsia" w:ascii="仿宋" w:hAnsi="仿宋" w:eastAsia="仿宋"/>
          <w:sz w:val="24"/>
          <w:szCs w:val="24"/>
        </w:rPr>
        <w:t>电视字幕系统是一套直接服务于电视转播的信息发布系统。以电视字幕的形式为电视台提供赛事的信息，如竞赛计划、编排秩序信息、实时成绩、比赛成绩信息、颁奖信息等，是电视台获得比赛成绩信息的最主要渠道。本系统服务不包括字幕机的提供。</w:t>
      </w:r>
    </w:p>
    <w:p>
      <w:pPr>
        <w:keepNext/>
        <w:keepLines/>
        <w:spacing w:before="120" w:after="120" w:line="377" w:lineRule="auto"/>
        <w:outlineLvl w:val="4"/>
        <w:rPr>
          <w:rFonts w:ascii="仿宋" w:hAnsi="仿宋" w:eastAsia="仿宋"/>
          <w:b/>
          <w:bCs/>
          <w:sz w:val="24"/>
          <w:szCs w:val="24"/>
        </w:rPr>
      </w:pPr>
      <w:r>
        <w:rPr>
          <w:rFonts w:hint="eastAsia" w:ascii="仿宋" w:hAnsi="仿宋" w:eastAsia="仿宋"/>
          <w:b/>
          <w:bCs/>
          <w:sz w:val="24"/>
          <w:szCs w:val="24"/>
        </w:rPr>
        <w:t>服务要求：</w:t>
      </w:r>
    </w:p>
    <w:p>
      <w:pPr>
        <w:spacing w:line="276" w:lineRule="auto"/>
        <w:ind w:firstLine="560"/>
        <w:rPr>
          <w:rFonts w:ascii="仿宋" w:hAnsi="仿宋" w:eastAsia="仿宋"/>
          <w:sz w:val="24"/>
          <w:szCs w:val="24"/>
        </w:rPr>
      </w:pPr>
      <w:r>
        <w:rPr>
          <w:rFonts w:hint="eastAsia" w:ascii="仿宋" w:hAnsi="仿宋" w:eastAsia="仿宋"/>
          <w:sz w:val="24"/>
          <w:szCs w:val="24"/>
        </w:rPr>
        <w:t>电视字幕系统使用先进的软硬件为各赛事信号的输出提供专业技术保障。</w:t>
      </w:r>
    </w:p>
    <w:p>
      <w:pPr>
        <w:spacing w:line="276" w:lineRule="auto"/>
        <w:ind w:firstLine="560"/>
        <w:rPr>
          <w:rFonts w:ascii="仿宋" w:hAnsi="仿宋" w:eastAsia="仿宋"/>
          <w:sz w:val="24"/>
          <w:szCs w:val="24"/>
        </w:rPr>
      </w:pPr>
      <w:r>
        <w:rPr>
          <w:rFonts w:hint="eastAsia" w:ascii="仿宋" w:hAnsi="仿宋" w:eastAsia="仿宋"/>
          <w:sz w:val="24"/>
          <w:szCs w:val="24"/>
        </w:rPr>
        <w:t>（1）准确性：必须从计时记分或成绩处理设备中获取正确的数据；</w:t>
      </w:r>
    </w:p>
    <w:p>
      <w:pPr>
        <w:spacing w:line="276" w:lineRule="auto"/>
        <w:ind w:firstLine="560"/>
        <w:rPr>
          <w:rFonts w:ascii="仿宋" w:hAnsi="仿宋" w:eastAsia="仿宋"/>
          <w:sz w:val="24"/>
          <w:szCs w:val="24"/>
        </w:rPr>
      </w:pPr>
      <w:r>
        <w:rPr>
          <w:rFonts w:hint="eastAsia" w:ascii="仿宋" w:hAnsi="仿宋" w:eastAsia="仿宋"/>
          <w:sz w:val="24"/>
          <w:szCs w:val="24"/>
        </w:rPr>
        <w:t>（2）适应能力：必须能够处理不同类型的计时记分设备数据并要求运行正常；</w:t>
      </w:r>
    </w:p>
    <w:p>
      <w:pPr>
        <w:spacing w:line="276" w:lineRule="auto"/>
        <w:ind w:firstLine="560"/>
        <w:rPr>
          <w:rFonts w:ascii="仿宋" w:hAnsi="仿宋" w:eastAsia="仿宋"/>
          <w:sz w:val="24"/>
          <w:szCs w:val="24"/>
        </w:rPr>
      </w:pPr>
      <w:r>
        <w:rPr>
          <w:rFonts w:hint="eastAsia" w:ascii="仿宋" w:hAnsi="仿宋" w:eastAsia="仿宋"/>
          <w:sz w:val="24"/>
          <w:szCs w:val="24"/>
        </w:rPr>
        <w:t>（3）协议：必须能够应用各种可靠的、有效的协议；</w:t>
      </w:r>
    </w:p>
    <w:p>
      <w:pPr>
        <w:spacing w:line="276" w:lineRule="auto"/>
        <w:ind w:firstLine="560"/>
        <w:rPr>
          <w:rFonts w:ascii="仿宋" w:hAnsi="仿宋" w:eastAsia="仿宋"/>
          <w:sz w:val="24"/>
          <w:szCs w:val="24"/>
        </w:rPr>
      </w:pPr>
      <w:r>
        <w:rPr>
          <w:rFonts w:hint="eastAsia" w:ascii="仿宋" w:hAnsi="仿宋" w:eastAsia="仿宋"/>
          <w:sz w:val="24"/>
          <w:szCs w:val="24"/>
        </w:rPr>
        <w:t>（4）简便：电视字幕系统与计时记分/成绩处理系统之间的连接必须简便易用。</w:t>
      </w:r>
    </w:p>
    <w:p>
      <w:pPr>
        <w:spacing w:line="276" w:lineRule="auto"/>
        <w:ind w:firstLine="560"/>
        <w:rPr>
          <w:rFonts w:ascii="仿宋" w:hAnsi="仿宋" w:eastAsia="仿宋"/>
          <w:sz w:val="24"/>
          <w:szCs w:val="24"/>
        </w:rPr>
      </w:pPr>
    </w:p>
    <w:p>
      <w:pPr>
        <w:keepNext/>
        <w:keepLines/>
        <w:numPr>
          <w:ilvl w:val="0"/>
          <w:numId w:val="34"/>
        </w:numPr>
        <w:tabs>
          <w:tab w:val="left" w:pos="480"/>
        </w:tabs>
        <w:spacing w:line="276" w:lineRule="auto"/>
        <w:outlineLvl w:val="2"/>
        <w:rPr>
          <w:rFonts w:ascii="仿宋" w:hAnsi="仿宋" w:eastAsia="仿宋"/>
          <w:b/>
          <w:kern w:val="0"/>
          <w:sz w:val="24"/>
          <w:szCs w:val="24"/>
        </w:rPr>
      </w:pPr>
      <w:bookmarkStart w:id="21" w:name="_Toc55199054"/>
      <w:r>
        <w:rPr>
          <w:rFonts w:hint="eastAsia" w:ascii="仿宋" w:hAnsi="仿宋" w:eastAsia="仿宋"/>
          <w:b/>
          <w:kern w:val="0"/>
          <w:sz w:val="24"/>
          <w:szCs w:val="24"/>
        </w:rPr>
        <w:t>系统保障</w:t>
      </w:r>
      <w:bookmarkEnd w:id="21"/>
    </w:p>
    <w:p>
      <w:pPr>
        <w:spacing w:line="276" w:lineRule="auto"/>
        <w:ind w:firstLine="560"/>
        <w:rPr>
          <w:rFonts w:ascii="仿宋" w:hAnsi="仿宋" w:eastAsia="仿宋"/>
          <w:sz w:val="24"/>
          <w:szCs w:val="24"/>
        </w:rPr>
      </w:pPr>
      <w:r>
        <w:rPr>
          <w:rFonts w:hint="eastAsia" w:ascii="仿宋" w:hAnsi="仿宋" w:eastAsia="仿宋"/>
          <w:sz w:val="24"/>
          <w:szCs w:val="24"/>
        </w:rPr>
        <w:t>系统保障包含电视字幕服务中通用设备计划、人员配置计划、人员培训计划等。</w:t>
      </w:r>
    </w:p>
    <w:p>
      <w:pPr>
        <w:spacing w:line="276" w:lineRule="auto"/>
        <w:ind w:firstLine="562"/>
        <w:rPr>
          <w:rFonts w:ascii="仿宋" w:hAnsi="仿宋" w:eastAsia="仿宋"/>
          <w:b/>
          <w:sz w:val="24"/>
          <w:szCs w:val="24"/>
        </w:rPr>
      </w:pPr>
      <w:r>
        <w:rPr>
          <w:rFonts w:hint="eastAsia" w:ascii="仿宋" w:hAnsi="仿宋" w:eastAsia="仿宋"/>
          <w:b/>
          <w:sz w:val="24"/>
          <w:szCs w:val="24"/>
        </w:rPr>
        <w:t>一、▲</w:t>
      </w:r>
      <w:r>
        <w:rPr>
          <w:rFonts w:hint="eastAsia" w:ascii="仿宋" w:hAnsi="仿宋" w:eastAsia="仿宋"/>
          <w:b/>
          <w:sz w:val="24"/>
          <w:szCs w:val="24"/>
          <w:u w:val="single"/>
        </w:rPr>
        <w:t>电视字幕系统人员配置包括不少于以下人员数量要求：电视字幕工程师30人▲</w:t>
      </w:r>
      <w:r>
        <w:rPr>
          <w:rFonts w:hint="eastAsia" w:ascii="仿宋" w:hAnsi="仿宋" w:eastAsia="仿宋"/>
          <w:b/>
          <w:sz w:val="24"/>
          <w:szCs w:val="24"/>
        </w:rPr>
        <w:t>。</w:t>
      </w:r>
    </w:p>
    <w:p>
      <w:pPr>
        <w:spacing w:line="276" w:lineRule="auto"/>
        <w:ind w:firstLine="560"/>
        <w:rPr>
          <w:rFonts w:ascii="仿宋" w:hAnsi="仿宋" w:eastAsia="仿宋"/>
          <w:sz w:val="24"/>
          <w:szCs w:val="24"/>
        </w:rPr>
      </w:pPr>
      <w:r>
        <w:rPr>
          <w:rFonts w:hint="eastAsia" w:ascii="仿宋" w:hAnsi="仿宋" w:eastAsia="仿宋"/>
          <w:sz w:val="24"/>
          <w:szCs w:val="24"/>
        </w:rPr>
        <w:t>二、成交投标人成交后需要按照国际大体联技术指南最新版本提出的建设要求进行系统建设，并且在大运会建设期间负责与国际大体联关于建设内容进行沟通确认。</w:t>
      </w:r>
    </w:p>
    <w:p>
      <w:pPr>
        <w:spacing w:after="240" w:afterLines="100" w:line="276" w:lineRule="auto"/>
        <w:ind w:firstLine="561"/>
        <w:rPr>
          <w:rFonts w:ascii="仿宋" w:hAnsi="仿宋" w:eastAsia="仿宋"/>
          <w:b/>
          <w:sz w:val="24"/>
          <w:szCs w:val="24"/>
        </w:rPr>
      </w:pPr>
      <w:r>
        <w:rPr>
          <w:rFonts w:hint="eastAsia" w:ascii="仿宋" w:hAnsi="仿宋" w:eastAsia="仿宋"/>
          <w:b/>
          <w:sz w:val="24"/>
          <w:szCs w:val="24"/>
        </w:rPr>
        <w:t>三、▲</w:t>
      </w:r>
      <w:r>
        <w:rPr>
          <w:rFonts w:hint="eastAsia" w:ascii="仿宋" w:hAnsi="仿宋" w:eastAsia="仿宋"/>
          <w:b/>
          <w:sz w:val="24"/>
          <w:szCs w:val="24"/>
          <w:u w:val="single"/>
        </w:rPr>
        <w:t>成交投标人所提供的电视字幕系统服务需满足国际大体联、国际（国内）单项体育联合协会的要求</w:t>
      </w:r>
      <w:r>
        <w:rPr>
          <w:rFonts w:hint="eastAsia" w:ascii="仿宋" w:hAnsi="仿宋" w:eastAsia="仿宋"/>
          <w:b/>
          <w:sz w:val="24"/>
          <w:szCs w:val="24"/>
        </w:rPr>
        <w:t>▲。</w:t>
      </w:r>
    </w:p>
    <w:p>
      <w:pPr>
        <w:keepNext/>
        <w:keepLines/>
        <w:numPr>
          <w:ilvl w:val="0"/>
          <w:numId w:val="34"/>
        </w:numPr>
        <w:tabs>
          <w:tab w:val="left" w:pos="480"/>
        </w:tabs>
        <w:spacing w:line="276" w:lineRule="auto"/>
        <w:outlineLvl w:val="2"/>
        <w:rPr>
          <w:rFonts w:ascii="仿宋" w:hAnsi="仿宋" w:eastAsia="仿宋"/>
          <w:b/>
          <w:kern w:val="0"/>
          <w:sz w:val="24"/>
          <w:szCs w:val="24"/>
        </w:rPr>
      </w:pPr>
      <w:bookmarkStart w:id="22" w:name="_Toc55199055"/>
      <w:r>
        <w:rPr>
          <w:rFonts w:hint="eastAsia" w:ascii="仿宋" w:hAnsi="仿宋" w:eastAsia="仿宋"/>
          <w:b/>
          <w:kern w:val="0"/>
          <w:sz w:val="24"/>
          <w:szCs w:val="24"/>
        </w:rPr>
        <w:t>赛事运行服务要求</w:t>
      </w:r>
      <w:bookmarkEnd w:id="22"/>
    </w:p>
    <w:p>
      <w:pPr>
        <w:spacing w:after="240" w:afterLines="100" w:line="276" w:lineRule="auto"/>
        <w:ind w:firstLine="561"/>
        <w:rPr>
          <w:rFonts w:ascii="仿宋" w:hAnsi="仿宋" w:eastAsia="仿宋"/>
          <w:sz w:val="24"/>
          <w:szCs w:val="24"/>
        </w:rPr>
      </w:pPr>
      <w:r>
        <w:rPr>
          <w:rFonts w:hint="eastAsia" w:ascii="仿宋" w:hAnsi="仿宋" w:eastAsia="仿宋"/>
          <w:sz w:val="24"/>
          <w:szCs w:val="24"/>
        </w:rPr>
        <w:t>赛事运行服务主要指在集成测试、测试赛、联试联调、赛时运行和赛事收尾等阶段提供相应的运行服务保障，以确保赛事的顺利进行。赛时运行服务主要工作包括在项目的各个阶段对项目的范围、时间、成本、质量、风险和采购进行相应的控制以及在各过程合理调配人力资源和设备，以实现更好的服务保障，确保本届大运会信息化建设顺畅。</w:t>
      </w:r>
    </w:p>
    <w:p>
      <w:pPr>
        <w:keepNext/>
        <w:keepLines/>
        <w:numPr>
          <w:ilvl w:val="0"/>
          <w:numId w:val="34"/>
        </w:numPr>
        <w:tabs>
          <w:tab w:val="left" w:pos="480"/>
        </w:tabs>
        <w:spacing w:line="276" w:lineRule="auto"/>
        <w:outlineLvl w:val="2"/>
        <w:rPr>
          <w:rFonts w:ascii="仿宋" w:hAnsi="仿宋" w:eastAsia="仿宋"/>
          <w:b/>
          <w:kern w:val="0"/>
          <w:sz w:val="24"/>
          <w:szCs w:val="24"/>
        </w:rPr>
      </w:pPr>
      <w:bookmarkStart w:id="23" w:name="_Toc55199056"/>
      <w:r>
        <w:rPr>
          <w:rFonts w:hint="eastAsia" w:ascii="仿宋" w:hAnsi="仿宋" w:eastAsia="仿宋"/>
          <w:kern w:val="0"/>
          <w:sz w:val="24"/>
          <w:szCs w:val="24"/>
        </w:rPr>
        <w:t>▲</w:t>
      </w:r>
      <w:r>
        <w:rPr>
          <w:rFonts w:hint="eastAsia" w:ascii="仿宋" w:hAnsi="仿宋" w:eastAsia="仿宋"/>
          <w:b/>
          <w:kern w:val="0"/>
          <w:sz w:val="24"/>
          <w:szCs w:val="24"/>
          <w:u w:val="single"/>
        </w:rPr>
        <w:t>系统专项设计</w:t>
      </w:r>
      <w:bookmarkEnd w:id="23"/>
      <w:r>
        <w:rPr>
          <w:rFonts w:hint="eastAsia" w:ascii="仿宋" w:hAnsi="仿宋" w:eastAsia="仿宋"/>
          <w:kern w:val="0"/>
          <w:sz w:val="24"/>
          <w:szCs w:val="24"/>
        </w:rPr>
        <w:t>▲</w:t>
      </w:r>
    </w:p>
    <w:p>
      <w:pPr>
        <w:spacing w:after="240" w:afterLines="100" w:line="276" w:lineRule="auto"/>
        <w:ind w:firstLine="482"/>
        <w:rPr>
          <w:rFonts w:ascii="仿宋" w:hAnsi="仿宋" w:eastAsia="仿宋"/>
          <w:b/>
          <w:sz w:val="24"/>
          <w:szCs w:val="24"/>
        </w:rPr>
      </w:pPr>
      <w:r>
        <w:rPr>
          <w:rFonts w:hint="eastAsia" w:ascii="仿宋" w:hAnsi="仿宋" w:eastAsia="仿宋"/>
          <w:b/>
          <w:sz w:val="24"/>
          <w:szCs w:val="24"/>
        </w:rPr>
        <w:t>投标人需按照甲方要求配合完成系统专项设计：包括但不限于《系统深化设计方案》、</w:t>
      </w:r>
      <w:r>
        <w:rPr>
          <w:rFonts w:ascii="仿宋" w:hAnsi="仿宋" w:eastAsia="仿宋" w:cs="Arial"/>
          <w:b/>
          <w:color w:val="000000"/>
          <w:sz w:val="24"/>
          <w:szCs w:val="24"/>
        </w:rPr>
        <w:t>《需求调研报告》、《需求规格说明书》、《数据库设计》、《概要设计》、《一馆一册》</w:t>
      </w:r>
      <w:r>
        <w:rPr>
          <w:rFonts w:hint="eastAsia" w:ascii="仿宋" w:hAnsi="仿宋" w:eastAsia="仿宋"/>
          <w:b/>
          <w:sz w:val="24"/>
          <w:szCs w:val="24"/>
        </w:rPr>
        <w:t>等文档以及各部分的子项目设计分册等内容。</w:t>
      </w:r>
    </w:p>
    <w:p>
      <w:pPr>
        <w:keepNext/>
        <w:keepLines/>
        <w:numPr>
          <w:ilvl w:val="0"/>
          <w:numId w:val="34"/>
        </w:numPr>
        <w:tabs>
          <w:tab w:val="left" w:pos="480"/>
        </w:tabs>
        <w:spacing w:line="276" w:lineRule="auto"/>
        <w:outlineLvl w:val="2"/>
        <w:rPr>
          <w:rFonts w:ascii="仿宋" w:hAnsi="仿宋" w:eastAsia="仿宋"/>
          <w:b/>
          <w:kern w:val="0"/>
          <w:sz w:val="24"/>
          <w:szCs w:val="24"/>
        </w:rPr>
      </w:pPr>
      <w:bookmarkStart w:id="24" w:name="_Toc55199057"/>
      <w:r>
        <w:rPr>
          <w:rFonts w:hint="eastAsia" w:ascii="仿宋" w:hAnsi="仿宋" w:eastAsia="仿宋"/>
          <w:b/>
          <w:kern w:val="0"/>
          <w:sz w:val="24"/>
          <w:szCs w:val="24"/>
        </w:rPr>
        <w:t>赛事运行保障</w:t>
      </w:r>
      <w:bookmarkEnd w:id="24"/>
    </w:p>
    <w:p>
      <w:pPr>
        <w:spacing w:line="276" w:lineRule="auto"/>
        <w:ind w:firstLine="560"/>
        <w:rPr>
          <w:rFonts w:ascii="仿宋" w:hAnsi="仿宋" w:eastAsia="仿宋"/>
          <w:sz w:val="24"/>
          <w:szCs w:val="24"/>
        </w:rPr>
      </w:pPr>
      <w:r>
        <w:rPr>
          <w:rFonts w:hint="eastAsia" w:ascii="仿宋" w:hAnsi="仿宋" w:eastAsia="仿宋"/>
          <w:sz w:val="24"/>
          <w:szCs w:val="24"/>
        </w:rPr>
        <w:t>赛事运行保障阶段包括以下工作内容：</w:t>
      </w:r>
    </w:p>
    <w:p>
      <w:pPr>
        <w:spacing w:line="276" w:lineRule="auto"/>
        <w:ind w:firstLine="560"/>
        <w:rPr>
          <w:rFonts w:ascii="仿宋" w:hAnsi="仿宋" w:eastAsia="仿宋"/>
          <w:sz w:val="24"/>
          <w:szCs w:val="24"/>
        </w:rPr>
      </w:pPr>
      <w:r>
        <w:rPr>
          <w:rFonts w:hint="eastAsia" w:ascii="仿宋" w:hAnsi="仿宋" w:eastAsia="仿宋"/>
          <w:sz w:val="24"/>
          <w:szCs w:val="24"/>
        </w:rPr>
        <w:t>1、集成测试：集成实验室的集成测试包括整个系统端到端功能性测试、各系统之间的接口测试、性能和压力等非功能性测试等，另外还将进行多项目模拟测试、第三方测试、一致性测试、差错回复测试和现场测试等多项测试内容，以确保系统的功能和性能能够满足本届大运会比赛的要求。</w:t>
      </w:r>
    </w:p>
    <w:p>
      <w:pPr>
        <w:spacing w:line="276" w:lineRule="auto"/>
        <w:ind w:firstLine="560"/>
        <w:rPr>
          <w:rFonts w:ascii="仿宋" w:hAnsi="仿宋" w:eastAsia="仿宋"/>
          <w:sz w:val="24"/>
          <w:szCs w:val="24"/>
        </w:rPr>
      </w:pPr>
      <w:r>
        <w:rPr>
          <w:rFonts w:hint="eastAsia" w:ascii="仿宋" w:hAnsi="仿宋" w:eastAsia="仿宋"/>
          <w:sz w:val="24"/>
          <w:szCs w:val="24"/>
        </w:rPr>
        <w:t>2、测试赛：在系统通过整体集成测试后，按照执委会要求进行相关的测试赛并提供相关的运行支持服务。</w:t>
      </w:r>
    </w:p>
    <w:p>
      <w:pPr>
        <w:spacing w:line="276" w:lineRule="auto"/>
        <w:ind w:firstLine="560"/>
        <w:rPr>
          <w:rFonts w:ascii="仿宋" w:hAnsi="仿宋" w:eastAsia="仿宋"/>
          <w:sz w:val="24"/>
          <w:szCs w:val="24"/>
        </w:rPr>
      </w:pPr>
      <w:r>
        <w:rPr>
          <w:rFonts w:hint="eastAsia" w:ascii="仿宋" w:hAnsi="仿宋" w:eastAsia="仿宋"/>
          <w:sz w:val="24"/>
          <w:szCs w:val="24"/>
        </w:rPr>
        <w:t>3、联试联调：进行全面而必要的联试联调，来保证整个系统的功能、服务水平及运行流程能够满足赛时的要求。</w:t>
      </w:r>
    </w:p>
    <w:p>
      <w:pPr>
        <w:spacing w:line="276" w:lineRule="auto"/>
        <w:ind w:firstLine="560"/>
        <w:rPr>
          <w:rFonts w:ascii="仿宋" w:hAnsi="仿宋" w:eastAsia="仿宋"/>
          <w:sz w:val="24"/>
          <w:szCs w:val="24"/>
        </w:rPr>
      </w:pPr>
      <w:r>
        <w:rPr>
          <w:rFonts w:hint="eastAsia" w:ascii="仿宋" w:hAnsi="仿宋" w:eastAsia="仿宋"/>
          <w:sz w:val="24"/>
          <w:szCs w:val="24"/>
        </w:rPr>
        <w:t>4、正式比赛：在正式比赛期间按照信息化建设的服务水平定义来进行赛时运行保障服务。</w:t>
      </w:r>
    </w:p>
    <w:p>
      <w:pPr>
        <w:spacing w:after="240" w:afterLines="100" w:line="276" w:lineRule="auto"/>
        <w:ind w:firstLine="561"/>
        <w:rPr>
          <w:rFonts w:ascii="仿宋" w:hAnsi="仿宋" w:eastAsia="仿宋"/>
          <w:sz w:val="24"/>
          <w:szCs w:val="24"/>
        </w:rPr>
      </w:pPr>
      <w:r>
        <w:rPr>
          <w:rFonts w:hint="eastAsia" w:ascii="仿宋" w:hAnsi="仿宋" w:eastAsia="仿宋"/>
          <w:sz w:val="24"/>
          <w:szCs w:val="24"/>
        </w:rPr>
        <w:t>5、赛事收尾：正式比赛结束后对整个信息化建设的相关工作进行赛事收尾工作内容。</w:t>
      </w:r>
    </w:p>
    <w:p>
      <w:pPr>
        <w:keepNext/>
        <w:keepLines/>
        <w:numPr>
          <w:ilvl w:val="0"/>
          <w:numId w:val="34"/>
        </w:numPr>
        <w:tabs>
          <w:tab w:val="left" w:pos="480"/>
        </w:tabs>
        <w:spacing w:line="276" w:lineRule="auto"/>
        <w:outlineLvl w:val="2"/>
        <w:rPr>
          <w:rFonts w:ascii="仿宋" w:hAnsi="仿宋" w:eastAsia="仿宋"/>
          <w:b/>
          <w:kern w:val="0"/>
          <w:sz w:val="24"/>
          <w:szCs w:val="24"/>
        </w:rPr>
      </w:pPr>
      <w:bookmarkStart w:id="25" w:name="_Toc55199058"/>
      <w:r>
        <w:rPr>
          <w:rFonts w:hint="eastAsia" w:ascii="仿宋" w:hAnsi="仿宋" w:eastAsia="仿宋"/>
          <w:b/>
          <w:kern w:val="0"/>
          <w:sz w:val="24"/>
          <w:szCs w:val="24"/>
        </w:rPr>
        <w:t>赛时应急响应</w:t>
      </w:r>
      <w:bookmarkEnd w:id="25"/>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总体要求 ：</w:t>
      </w:r>
    </w:p>
    <w:p>
      <w:pPr>
        <w:spacing w:line="276" w:lineRule="auto"/>
        <w:ind w:firstLine="560"/>
        <w:rPr>
          <w:rFonts w:ascii="仿宋" w:hAnsi="仿宋" w:eastAsia="仿宋"/>
          <w:sz w:val="24"/>
          <w:szCs w:val="24"/>
        </w:rPr>
      </w:pPr>
      <w:r>
        <w:rPr>
          <w:rFonts w:hint="eastAsia" w:ascii="仿宋" w:hAnsi="仿宋" w:eastAsia="仿宋"/>
          <w:sz w:val="24"/>
          <w:szCs w:val="24"/>
        </w:rPr>
        <w:t>虽然系统在赛前将经过集成测试、测试赛、联试联调等多轮测试和演练，但由于综合性运动会信息技术存在“关门时间”和“实时性”的要求，因此赛时还需指定一套完备的应急预案，投标人应成立应急保障团队，从组织架构、工作流程、职责分工、应急人员等方面提出切实可行的计划，并在赛时出现紧急情况时立即做出响应。同时，还需针对赛时可能出现的突发事件风险进行识别、评估、处理，制定应急预案。</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服务要求：</w:t>
      </w:r>
    </w:p>
    <w:p>
      <w:pPr>
        <w:spacing w:line="276" w:lineRule="auto"/>
        <w:ind w:firstLine="560"/>
        <w:rPr>
          <w:rFonts w:ascii="仿宋" w:hAnsi="仿宋" w:eastAsia="仿宋"/>
          <w:sz w:val="24"/>
          <w:szCs w:val="24"/>
        </w:rPr>
      </w:pPr>
      <w:r>
        <w:rPr>
          <w:rFonts w:hint="eastAsia" w:ascii="仿宋" w:hAnsi="仿宋" w:eastAsia="仿宋"/>
          <w:sz w:val="24"/>
          <w:szCs w:val="24"/>
        </w:rPr>
        <w:t>1、需具备完善应急服务组织机构设置和人员配置；</w:t>
      </w:r>
    </w:p>
    <w:p>
      <w:pPr>
        <w:spacing w:line="276" w:lineRule="auto"/>
        <w:ind w:firstLine="560"/>
        <w:rPr>
          <w:rFonts w:ascii="仿宋" w:hAnsi="仿宋" w:eastAsia="仿宋"/>
          <w:sz w:val="24"/>
          <w:szCs w:val="24"/>
        </w:rPr>
      </w:pPr>
      <w:r>
        <w:rPr>
          <w:rFonts w:hint="eastAsia" w:ascii="仿宋" w:hAnsi="仿宋" w:eastAsia="仿宋"/>
          <w:sz w:val="24"/>
          <w:szCs w:val="24"/>
        </w:rPr>
        <w:t>2、正式比赛期间需保障重点业务7*24小时监控值守，7*24小时备勤；</w:t>
      </w:r>
    </w:p>
    <w:p>
      <w:pPr>
        <w:spacing w:line="276" w:lineRule="auto"/>
        <w:ind w:firstLine="560"/>
        <w:rPr>
          <w:rFonts w:ascii="仿宋" w:hAnsi="仿宋" w:eastAsia="仿宋"/>
          <w:sz w:val="24"/>
          <w:szCs w:val="24"/>
        </w:rPr>
      </w:pPr>
      <w:r>
        <w:rPr>
          <w:rFonts w:hint="eastAsia" w:ascii="仿宋" w:hAnsi="仿宋" w:eastAsia="仿宋"/>
          <w:sz w:val="24"/>
          <w:szCs w:val="24"/>
        </w:rPr>
        <w:t>3、需提供完备的电视字幕系统应急机制。</w:t>
      </w:r>
    </w:p>
    <w:p>
      <w:pPr>
        <w:keepNext/>
        <w:keepLines/>
        <w:numPr>
          <w:ilvl w:val="1"/>
          <w:numId w:val="0"/>
        </w:numPr>
        <w:spacing w:line="276" w:lineRule="auto"/>
        <w:ind w:right="-29" w:rightChars="-14"/>
        <w:outlineLvl w:val="1"/>
        <w:rPr>
          <w:rFonts w:ascii="仿宋" w:hAnsi="仿宋" w:eastAsia="仿宋"/>
          <w:b/>
          <w:bCs/>
          <w:sz w:val="24"/>
          <w:szCs w:val="24"/>
        </w:rPr>
      </w:pPr>
      <w:bookmarkStart w:id="26" w:name="_Toc55199059"/>
      <w:r>
        <w:rPr>
          <w:rFonts w:hint="eastAsia" w:ascii="仿宋" w:hAnsi="仿宋" w:eastAsia="仿宋"/>
          <w:b/>
          <w:bCs/>
          <w:sz w:val="24"/>
          <w:szCs w:val="24"/>
        </w:rPr>
        <w:t>服务功能清单</w:t>
      </w:r>
      <w:bookmarkEnd w:id="26"/>
      <w:r>
        <w:rPr>
          <w:rFonts w:hint="eastAsia" w:ascii="仿宋" w:hAnsi="仿宋" w:eastAsia="仿宋"/>
          <w:b/>
          <w:bCs/>
          <w:sz w:val="24"/>
          <w:szCs w:val="24"/>
        </w:rPr>
        <w:t>：</w:t>
      </w:r>
    </w:p>
    <w:tbl>
      <w:tblPr>
        <w:tblStyle w:val="58"/>
        <w:tblW w:w="8789" w:type="dxa"/>
        <w:tblInd w:w="5" w:type="dxa"/>
        <w:tblLayout w:type="autofit"/>
        <w:tblCellMar>
          <w:top w:w="0" w:type="dxa"/>
          <w:left w:w="108" w:type="dxa"/>
          <w:bottom w:w="0" w:type="dxa"/>
          <w:right w:w="108" w:type="dxa"/>
        </w:tblCellMar>
      </w:tblPr>
      <w:tblGrid>
        <w:gridCol w:w="1389"/>
        <w:gridCol w:w="7400"/>
      </w:tblGrid>
      <w:tr>
        <w:trPr>
          <w:trHeight w:val="285" w:hRule="atLeast"/>
          <w:tblHeader/>
        </w:trPr>
        <w:tc>
          <w:tcPr>
            <w:tcW w:w="138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6" w:lineRule="auto"/>
              <w:ind w:firstLine="39" w:firstLineChars="16"/>
              <w:jc w:val="center"/>
              <w:rPr>
                <w:rFonts w:ascii="仿宋" w:hAnsi="仿宋" w:eastAsia="仿宋" w:cs="宋体"/>
                <w:b/>
                <w:color w:val="000000"/>
                <w:sz w:val="24"/>
                <w:szCs w:val="24"/>
              </w:rPr>
            </w:pPr>
            <w:r>
              <w:rPr>
                <w:rFonts w:hint="eastAsia" w:ascii="仿宋" w:hAnsi="仿宋" w:eastAsia="仿宋" w:cs="宋体"/>
                <w:b/>
                <w:color w:val="000000"/>
                <w:sz w:val="24"/>
                <w:szCs w:val="24"/>
              </w:rPr>
              <w:t>项目系统</w:t>
            </w:r>
          </w:p>
        </w:tc>
        <w:tc>
          <w:tcPr>
            <w:tcW w:w="7400" w:type="dxa"/>
            <w:tcBorders>
              <w:top w:val="single" w:color="auto" w:sz="4" w:space="0"/>
              <w:left w:val="nil"/>
              <w:bottom w:val="single" w:color="auto" w:sz="4" w:space="0"/>
              <w:right w:val="single" w:color="auto" w:sz="4" w:space="0"/>
            </w:tcBorders>
            <w:shd w:val="clear" w:color="auto" w:fill="auto"/>
            <w:noWrap/>
            <w:vAlign w:val="center"/>
          </w:tcPr>
          <w:p>
            <w:pPr>
              <w:spacing w:line="276" w:lineRule="auto"/>
              <w:ind w:firstLine="41" w:firstLineChars="17"/>
              <w:jc w:val="center"/>
              <w:rPr>
                <w:rFonts w:ascii="仿宋" w:hAnsi="仿宋" w:eastAsia="仿宋" w:cs="宋体"/>
                <w:b/>
                <w:color w:val="000000"/>
                <w:sz w:val="24"/>
                <w:szCs w:val="24"/>
              </w:rPr>
            </w:pPr>
            <w:r>
              <w:rPr>
                <w:rFonts w:hint="eastAsia" w:ascii="仿宋" w:hAnsi="仿宋" w:eastAsia="仿宋" w:cs="宋体"/>
                <w:b/>
                <w:color w:val="000000"/>
                <w:sz w:val="24"/>
                <w:szCs w:val="24"/>
              </w:rPr>
              <w:t>项目子系统</w:t>
            </w:r>
          </w:p>
        </w:tc>
      </w:tr>
      <w:tr>
        <w:tblPrEx>
          <w:tblCellMar>
            <w:top w:w="0" w:type="dxa"/>
            <w:left w:w="108" w:type="dxa"/>
            <w:bottom w:w="0" w:type="dxa"/>
            <w:right w:w="108" w:type="dxa"/>
          </w:tblCellMar>
        </w:tblPrEx>
        <w:trPr>
          <w:trHeight w:val="2440" w:hRule="atLeast"/>
        </w:trPr>
        <w:tc>
          <w:tcPr>
            <w:tcW w:w="1389"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ind w:firstLine="38" w:firstLineChars="16"/>
              <w:rPr>
                <w:rFonts w:ascii="仿宋" w:hAnsi="仿宋" w:eastAsia="仿宋" w:cs="宋体"/>
                <w:color w:val="000000"/>
                <w:sz w:val="24"/>
                <w:szCs w:val="24"/>
              </w:rPr>
            </w:pPr>
            <w:r>
              <w:rPr>
                <w:rFonts w:hint="eastAsia" w:ascii="仿宋" w:hAnsi="仿宋" w:eastAsia="仿宋" w:cs="宋体"/>
                <w:color w:val="000000"/>
                <w:sz w:val="24"/>
                <w:szCs w:val="24"/>
              </w:rPr>
              <w:t>电视字幕系统</w:t>
            </w:r>
          </w:p>
        </w:tc>
        <w:tc>
          <w:tcPr>
            <w:tcW w:w="7400" w:type="dxa"/>
            <w:tcBorders>
              <w:top w:val="single" w:color="auto" w:sz="4" w:space="0"/>
              <w:left w:val="nil"/>
              <w:bottom w:val="single" w:color="auto" w:sz="4" w:space="0"/>
              <w:right w:val="single" w:color="auto" w:sz="4" w:space="0"/>
            </w:tcBorders>
            <w:shd w:val="clear" w:color="auto" w:fill="auto"/>
            <w:vAlign w:val="center"/>
          </w:tcPr>
          <w:p>
            <w:pPr>
              <w:spacing w:line="276" w:lineRule="auto"/>
              <w:ind w:firstLine="40" w:firstLineChars="17"/>
              <w:rPr>
                <w:rFonts w:ascii="仿宋" w:hAnsi="仿宋" w:eastAsia="仿宋" w:cs="宋体"/>
                <w:color w:val="000000"/>
                <w:sz w:val="24"/>
                <w:szCs w:val="24"/>
              </w:rPr>
            </w:pPr>
            <w:r>
              <w:rPr>
                <w:rFonts w:hint="eastAsia" w:ascii="仿宋" w:hAnsi="仿宋" w:eastAsia="仿宋" w:cs="宋体"/>
                <w:color w:val="000000"/>
                <w:sz w:val="24"/>
                <w:szCs w:val="24"/>
              </w:rPr>
              <w:t>电视字幕系统-体操、游泳、羽毛球、田径、击剑、乒乓球、篮球、排球、柔道、射箭、水球、跆拳道、跳水、网球、艺术体操、武术、赛艇、射击18个单项</w:t>
            </w:r>
          </w:p>
        </w:tc>
      </w:tr>
    </w:tbl>
    <w:p>
      <w:bookmarkStart w:id="27" w:name="_Toc55199060"/>
    </w:p>
    <w:p>
      <w:pPr>
        <w:keepNext/>
        <w:keepLines/>
        <w:numPr>
          <w:ilvl w:val="1"/>
          <w:numId w:val="0"/>
        </w:numPr>
        <w:spacing w:line="276" w:lineRule="auto"/>
        <w:ind w:right="-29" w:rightChars="-14"/>
        <w:outlineLvl w:val="1"/>
        <w:rPr>
          <w:rFonts w:ascii="仿宋" w:hAnsi="仿宋" w:eastAsia="仿宋"/>
          <w:b/>
          <w:bCs/>
          <w:sz w:val="28"/>
          <w:szCs w:val="24"/>
        </w:rPr>
      </w:pPr>
      <w:r>
        <w:rPr>
          <w:rFonts w:hint="eastAsia" w:ascii="仿宋" w:hAnsi="仿宋" w:eastAsia="仿宋"/>
          <w:b/>
          <w:bCs/>
          <w:sz w:val="28"/>
          <w:szCs w:val="24"/>
        </w:rPr>
        <w:t>1.5其它要求</w:t>
      </w:r>
      <w:bookmarkEnd w:id="27"/>
    </w:p>
    <w:p>
      <w:pPr>
        <w:keepNext/>
        <w:keepLines/>
        <w:numPr>
          <w:ilvl w:val="0"/>
          <w:numId w:val="35"/>
        </w:numPr>
        <w:tabs>
          <w:tab w:val="left" w:pos="480"/>
        </w:tabs>
        <w:spacing w:line="276" w:lineRule="auto"/>
        <w:outlineLvl w:val="2"/>
        <w:rPr>
          <w:rFonts w:ascii="仿宋" w:hAnsi="仿宋" w:eastAsia="仿宋"/>
          <w:b/>
          <w:kern w:val="0"/>
          <w:sz w:val="24"/>
          <w:szCs w:val="24"/>
        </w:rPr>
      </w:pPr>
      <w:bookmarkStart w:id="28" w:name="_Toc55199061"/>
      <w:r>
        <w:rPr>
          <w:rFonts w:hint="eastAsia" w:ascii="仿宋" w:hAnsi="仿宋" w:eastAsia="仿宋"/>
          <w:b/>
          <w:kern w:val="0"/>
          <w:sz w:val="24"/>
          <w:szCs w:val="24"/>
        </w:rPr>
        <w:t>人员管理要求</w:t>
      </w:r>
      <w:bookmarkEnd w:id="28"/>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人员构成：</w:t>
      </w:r>
    </w:p>
    <w:p>
      <w:pPr>
        <w:spacing w:line="276" w:lineRule="auto"/>
        <w:ind w:firstLine="560"/>
        <w:rPr>
          <w:rFonts w:ascii="仿宋" w:hAnsi="仿宋" w:eastAsia="仿宋"/>
          <w:sz w:val="24"/>
          <w:szCs w:val="24"/>
        </w:rPr>
      </w:pPr>
      <w:r>
        <w:rPr>
          <w:rFonts w:hint="eastAsia" w:ascii="仿宋" w:hAnsi="仿宋" w:eastAsia="仿宋"/>
          <w:sz w:val="24"/>
          <w:szCs w:val="24"/>
        </w:rPr>
        <w:t>完成电视字幕系统建设，投标人需设置完善的系统运行团队的人员构成及保障。</w:t>
      </w:r>
    </w:p>
    <w:p>
      <w:pPr>
        <w:spacing w:line="276" w:lineRule="auto"/>
        <w:ind w:firstLine="560"/>
        <w:rPr>
          <w:rFonts w:ascii="仿宋" w:hAnsi="仿宋" w:eastAsia="仿宋"/>
          <w:sz w:val="24"/>
          <w:szCs w:val="24"/>
        </w:rPr>
      </w:pPr>
      <w:r>
        <w:rPr>
          <w:rFonts w:hint="eastAsia" w:ascii="仿宋" w:hAnsi="仿宋" w:eastAsia="仿宋"/>
          <w:sz w:val="24"/>
          <w:szCs w:val="24"/>
        </w:rPr>
        <w:t>各组别需根据各自业务需求建设完善的人员构成，包括但不限于：电视字幕主管、电视字幕工程师。</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人员要求：</w:t>
      </w:r>
    </w:p>
    <w:p>
      <w:pPr>
        <w:rPr>
          <w:rFonts w:ascii="仿宋" w:hAnsi="仿宋" w:eastAsia="仿宋"/>
          <w:sz w:val="24"/>
          <w:szCs w:val="24"/>
        </w:rPr>
      </w:pPr>
      <w:r>
        <w:rPr>
          <w:rFonts w:hint="eastAsia" w:ascii="仿宋" w:hAnsi="仿宋" w:eastAsia="仿宋"/>
          <w:sz w:val="24"/>
          <w:szCs w:val="24"/>
        </w:rPr>
        <w:t>各组别需根据各自业务需求建设完善的人员构成，包括但不限于：</w:t>
      </w:r>
    </w:p>
    <w:tbl>
      <w:tblPr>
        <w:tblStyle w:val="58"/>
        <w:tblW w:w="8784" w:type="dxa"/>
        <w:jc w:val="center"/>
        <w:tblLayout w:type="fixed"/>
        <w:tblCellMar>
          <w:top w:w="0" w:type="dxa"/>
          <w:left w:w="0" w:type="dxa"/>
          <w:bottom w:w="0" w:type="dxa"/>
          <w:right w:w="0" w:type="dxa"/>
        </w:tblCellMar>
      </w:tblPr>
      <w:tblGrid>
        <w:gridCol w:w="1212"/>
        <w:gridCol w:w="2047"/>
        <w:gridCol w:w="5525"/>
      </w:tblGrid>
      <w:tr>
        <w:tblPrEx>
          <w:tblCellMar>
            <w:top w:w="0" w:type="dxa"/>
            <w:left w:w="0" w:type="dxa"/>
            <w:bottom w:w="0" w:type="dxa"/>
            <w:right w:w="0" w:type="dxa"/>
          </w:tblCellMar>
        </w:tblPrEx>
        <w:trPr>
          <w:trHeight w:val="322" w:hRule="exact"/>
          <w:tblHeader/>
          <w:jc w:val="center"/>
        </w:trPr>
        <w:tc>
          <w:tcPr>
            <w:tcW w:w="1212"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cs="宋体"/>
                <w:b/>
                <w:bCs/>
                <w:sz w:val="24"/>
                <w:szCs w:val="24"/>
              </w:rPr>
              <w:t>序号</w:t>
            </w:r>
          </w:p>
        </w:tc>
        <w:tc>
          <w:tcPr>
            <w:tcW w:w="2047"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cs="宋体"/>
                <w:b/>
                <w:bCs/>
                <w:sz w:val="24"/>
                <w:szCs w:val="24"/>
              </w:rPr>
              <w:t>工作岗位</w:t>
            </w:r>
          </w:p>
        </w:tc>
        <w:tc>
          <w:tcPr>
            <w:tcW w:w="5525"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rPr>
                <w:rFonts w:ascii="仿宋" w:hAnsi="仿宋" w:eastAsia="仿宋"/>
                <w:sz w:val="24"/>
                <w:szCs w:val="24"/>
              </w:rPr>
            </w:pPr>
            <w:r>
              <w:rPr>
                <w:rFonts w:hint="eastAsia" w:ascii="仿宋" w:hAnsi="仿宋" w:eastAsia="仿宋" w:cs="宋体"/>
                <w:b/>
                <w:bCs/>
                <w:sz w:val="24"/>
                <w:szCs w:val="24"/>
              </w:rPr>
              <w:t>岗位职责</w:t>
            </w:r>
            <w:r>
              <w:rPr>
                <w:rFonts w:ascii="仿宋" w:hAnsi="仿宋" w:eastAsia="仿宋" w:cs="宋体"/>
                <w:b/>
                <w:bCs/>
                <w:w w:val="98"/>
                <w:sz w:val="24"/>
                <w:szCs w:val="24"/>
              </w:rPr>
              <w:t xml:space="preserve"> </w:t>
            </w:r>
          </w:p>
        </w:tc>
      </w:tr>
      <w:tr>
        <w:tblPrEx>
          <w:tblCellMar>
            <w:top w:w="0" w:type="dxa"/>
            <w:left w:w="0" w:type="dxa"/>
            <w:bottom w:w="0" w:type="dxa"/>
            <w:right w:w="0" w:type="dxa"/>
          </w:tblCellMar>
        </w:tblPrEx>
        <w:trPr>
          <w:trHeight w:val="322" w:hRule="exact"/>
          <w:jc w:val="center"/>
        </w:trPr>
        <w:tc>
          <w:tcPr>
            <w:tcW w:w="1212"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ascii="仿宋" w:hAnsi="仿宋" w:eastAsia="仿宋" w:cs="宋体"/>
                <w:sz w:val="24"/>
                <w:szCs w:val="24"/>
              </w:rPr>
              <w:t>1</w:t>
            </w:r>
          </w:p>
        </w:tc>
        <w:tc>
          <w:tcPr>
            <w:tcW w:w="2047"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cs="宋体"/>
                <w:sz w:val="24"/>
                <w:szCs w:val="24"/>
              </w:rPr>
              <w:t>电视字幕主管</w:t>
            </w:r>
          </w:p>
        </w:tc>
        <w:tc>
          <w:tcPr>
            <w:tcW w:w="5525"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left"/>
              <w:rPr>
                <w:rFonts w:ascii="仿宋" w:hAnsi="仿宋" w:eastAsia="仿宋"/>
                <w:sz w:val="24"/>
                <w:szCs w:val="24"/>
              </w:rPr>
            </w:pPr>
            <w:r>
              <w:rPr>
                <w:rFonts w:hint="eastAsia" w:ascii="仿宋" w:hAnsi="仿宋" w:eastAsia="仿宋" w:cs="宋体"/>
                <w:sz w:val="24"/>
                <w:szCs w:val="24"/>
              </w:rPr>
              <w:t>场馆内电视字幕总负责</w:t>
            </w:r>
            <w:r>
              <w:rPr>
                <w:rFonts w:ascii="仿宋" w:hAnsi="仿宋" w:eastAsia="仿宋" w:cs="宋体"/>
                <w:sz w:val="24"/>
                <w:szCs w:val="24"/>
              </w:rPr>
              <w:t xml:space="preserve"> </w:t>
            </w:r>
          </w:p>
        </w:tc>
      </w:tr>
      <w:tr>
        <w:tblPrEx>
          <w:tblCellMar>
            <w:top w:w="0" w:type="dxa"/>
            <w:left w:w="0" w:type="dxa"/>
            <w:bottom w:w="0" w:type="dxa"/>
            <w:right w:w="0" w:type="dxa"/>
          </w:tblCellMar>
        </w:tblPrEx>
        <w:trPr>
          <w:trHeight w:val="322" w:hRule="exact"/>
          <w:jc w:val="center"/>
        </w:trPr>
        <w:tc>
          <w:tcPr>
            <w:tcW w:w="1212"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ascii="仿宋" w:hAnsi="仿宋" w:eastAsia="仿宋" w:cs="宋体"/>
                <w:sz w:val="24"/>
                <w:szCs w:val="24"/>
              </w:rPr>
              <w:t>2</w:t>
            </w:r>
          </w:p>
        </w:tc>
        <w:tc>
          <w:tcPr>
            <w:tcW w:w="2047"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sz w:val="24"/>
                <w:szCs w:val="24"/>
              </w:rPr>
              <w:t>电视字幕工程师</w:t>
            </w:r>
          </w:p>
        </w:tc>
        <w:tc>
          <w:tcPr>
            <w:tcW w:w="5525"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left"/>
              <w:rPr>
                <w:rFonts w:ascii="仿宋" w:hAnsi="仿宋" w:eastAsia="仿宋"/>
                <w:sz w:val="24"/>
                <w:szCs w:val="24"/>
              </w:rPr>
            </w:pPr>
            <w:r>
              <w:rPr>
                <w:rFonts w:hint="eastAsia" w:ascii="仿宋" w:hAnsi="仿宋" w:eastAsia="仿宋" w:cs="宋体"/>
                <w:sz w:val="24"/>
                <w:szCs w:val="24"/>
              </w:rPr>
              <w:t>负责电视字幕系统运行维护</w:t>
            </w:r>
            <w:r>
              <w:rPr>
                <w:rFonts w:ascii="仿宋" w:hAnsi="仿宋" w:eastAsia="仿宋" w:cs="宋体"/>
                <w:sz w:val="24"/>
                <w:szCs w:val="24"/>
              </w:rPr>
              <w:t xml:space="preserve"> </w:t>
            </w:r>
          </w:p>
        </w:tc>
      </w:tr>
    </w:tbl>
    <w:p>
      <w:pPr>
        <w:spacing w:line="276" w:lineRule="auto"/>
        <w:ind w:firstLine="560"/>
        <w:rPr>
          <w:rFonts w:ascii="仿宋" w:hAnsi="仿宋" w:eastAsia="仿宋"/>
          <w:sz w:val="24"/>
          <w:szCs w:val="24"/>
        </w:rPr>
      </w:pPr>
    </w:p>
    <w:p>
      <w:pPr>
        <w:keepNext/>
        <w:keepLines/>
        <w:numPr>
          <w:ilvl w:val="3"/>
          <w:numId w:val="0"/>
        </w:numPr>
        <w:tabs>
          <w:tab w:val="left" w:pos="0"/>
        </w:tabs>
        <w:spacing w:line="276" w:lineRule="auto"/>
        <w:outlineLvl w:val="3"/>
        <w:rPr>
          <w:rFonts w:ascii="仿宋" w:hAnsi="仿宋" w:eastAsia="仿宋"/>
          <w:sz w:val="24"/>
          <w:szCs w:val="24"/>
        </w:rPr>
      </w:pPr>
      <w:r>
        <w:rPr>
          <w:rFonts w:hint="eastAsia" w:ascii="仿宋" w:hAnsi="仿宋" w:eastAsia="仿宋"/>
          <w:sz w:val="24"/>
          <w:szCs w:val="24"/>
        </w:rPr>
        <w:t>▲</w:t>
      </w:r>
      <w:r>
        <w:rPr>
          <w:rFonts w:hint="eastAsia" w:ascii="仿宋" w:hAnsi="仿宋" w:eastAsia="仿宋"/>
          <w:b/>
          <w:sz w:val="24"/>
          <w:szCs w:val="24"/>
          <w:u w:val="single"/>
        </w:rPr>
        <w:t>到岗时间</w:t>
      </w:r>
      <w:r>
        <w:rPr>
          <w:rFonts w:hint="eastAsia" w:ascii="仿宋" w:hAnsi="仿宋" w:eastAsia="仿宋"/>
          <w:b/>
          <w:sz w:val="24"/>
          <w:szCs w:val="24"/>
        </w:rPr>
        <w:t>▲：</w:t>
      </w:r>
    </w:p>
    <w:p>
      <w:pPr>
        <w:spacing w:line="276" w:lineRule="auto"/>
        <w:ind w:firstLine="560"/>
        <w:rPr>
          <w:rFonts w:ascii="仿宋" w:hAnsi="仿宋" w:eastAsia="仿宋"/>
          <w:sz w:val="24"/>
          <w:szCs w:val="24"/>
        </w:rPr>
      </w:pPr>
      <w:r>
        <w:rPr>
          <w:rFonts w:hint="eastAsia" w:ascii="仿宋" w:hAnsi="仿宋" w:eastAsia="仿宋"/>
          <w:sz w:val="24"/>
          <w:szCs w:val="24"/>
        </w:rPr>
        <w:t>前期准备和建设期为自合同签订之日起至2021年3月；赛事运行保障阶段为2021年3月至2021年10月。</w:t>
      </w:r>
    </w:p>
    <w:p>
      <w:pPr>
        <w:spacing w:line="276" w:lineRule="auto"/>
        <w:ind w:firstLine="560"/>
        <w:rPr>
          <w:rFonts w:ascii="仿宋" w:hAnsi="仿宋" w:eastAsia="仿宋"/>
          <w:sz w:val="24"/>
          <w:szCs w:val="24"/>
        </w:rPr>
      </w:pPr>
      <w:r>
        <w:rPr>
          <w:rFonts w:hint="eastAsia" w:ascii="仿宋" w:hAnsi="仿宋" w:eastAsia="仿宋"/>
          <w:sz w:val="24"/>
          <w:szCs w:val="24"/>
        </w:rPr>
        <w:t>合同签订后第二日，系统的项目实施管理人员需到位。</w:t>
      </w:r>
    </w:p>
    <w:p>
      <w:pPr>
        <w:spacing w:line="276" w:lineRule="auto"/>
        <w:ind w:firstLine="560"/>
        <w:rPr>
          <w:rFonts w:ascii="仿宋" w:hAnsi="仿宋" w:eastAsia="仿宋"/>
          <w:sz w:val="24"/>
          <w:szCs w:val="24"/>
        </w:rPr>
      </w:pPr>
      <w:r>
        <w:rPr>
          <w:rFonts w:hint="eastAsia" w:ascii="仿宋" w:hAnsi="仿宋" w:eastAsia="仿宋"/>
          <w:sz w:val="24"/>
          <w:szCs w:val="24"/>
        </w:rPr>
        <w:t>2021年3月至6月为集成测试和测试赛，场馆技术支持人员按照全部岗位编制的 1/3计算到位。</w:t>
      </w:r>
    </w:p>
    <w:p>
      <w:pPr>
        <w:spacing w:line="276" w:lineRule="auto"/>
        <w:ind w:firstLine="560"/>
        <w:rPr>
          <w:rFonts w:ascii="仿宋" w:hAnsi="仿宋" w:eastAsia="仿宋"/>
          <w:sz w:val="24"/>
          <w:szCs w:val="24"/>
        </w:rPr>
      </w:pPr>
      <w:r>
        <w:rPr>
          <w:rFonts w:hint="eastAsia" w:ascii="仿宋" w:hAnsi="仿宋" w:eastAsia="仿宋"/>
          <w:sz w:val="24"/>
          <w:szCs w:val="24"/>
        </w:rPr>
        <w:t>2021年7月，联试联调，场馆人员一半人员到位。</w:t>
      </w:r>
    </w:p>
    <w:p>
      <w:pPr>
        <w:spacing w:line="276" w:lineRule="auto"/>
        <w:ind w:firstLine="560"/>
        <w:rPr>
          <w:rFonts w:ascii="仿宋" w:hAnsi="仿宋" w:eastAsia="仿宋"/>
          <w:sz w:val="24"/>
          <w:szCs w:val="24"/>
        </w:rPr>
      </w:pPr>
      <w:r>
        <w:rPr>
          <w:rFonts w:hint="eastAsia" w:ascii="仿宋" w:hAnsi="仿宋" w:eastAsia="仿宋"/>
          <w:sz w:val="24"/>
          <w:szCs w:val="24"/>
        </w:rPr>
        <w:t>2021年8月，全部场馆技术人员到位，进行全员培训、联试联调、赛事准备等工作。</w:t>
      </w:r>
    </w:p>
    <w:p>
      <w:pPr>
        <w:spacing w:line="276" w:lineRule="auto"/>
        <w:ind w:firstLine="560"/>
        <w:rPr>
          <w:rFonts w:ascii="仿宋" w:hAnsi="仿宋" w:eastAsia="仿宋"/>
          <w:sz w:val="24"/>
          <w:szCs w:val="24"/>
        </w:rPr>
      </w:pPr>
      <w:r>
        <w:rPr>
          <w:rFonts w:hint="eastAsia" w:ascii="仿宋" w:hAnsi="仿宋" w:eastAsia="仿宋"/>
          <w:sz w:val="24"/>
          <w:szCs w:val="24"/>
        </w:rPr>
        <w:t>2021年8月为赛时保障阶段，此时为整个人员使用的高峰，各非竞赛场馆和竞赛场馆人员需全员到位。其中技术运行中心（TOC）在赛时保障期提供7×24时的服务，每天安排两班人员进行倒班。</w:t>
      </w:r>
    </w:p>
    <w:p>
      <w:pPr>
        <w:spacing w:line="276" w:lineRule="auto"/>
        <w:ind w:firstLine="560"/>
        <w:rPr>
          <w:rFonts w:ascii="仿宋" w:hAnsi="仿宋" w:eastAsia="仿宋"/>
          <w:sz w:val="24"/>
          <w:szCs w:val="24"/>
        </w:rPr>
      </w:pPr>
      <w:r>
        <w:rPr>
          <w:rFonts w:hint="eastAsia" w:ascii="仿宋" w:hAnsi="仿宋" w:eastAsia="仿宋"/>
          <w:sz w:val="24"/>
          <w:szCs w:val="24"/>
        </w:rPr>
        <w:t>2021年9月至10月为赛事收尾阶段，完成赛事信息系统服务的后续保障，完成赛事收尾及咨询知识转移，完成总结报告等收尾工作。</w:t>
      </w:r>
    </w:p>
    <w:p>
      <w:pPr>
        <w:spacing w:after="240" w:afterLines="100" w:line="276" w:lineRule="auto"/>
        <w:ind w:firstLine="561"/>
        <w:rPr>
          <w:rFonts w:ascii="仿宋" w:hAnsi="仿宋" w:eastAsia="仿宋"/>
          <w:sz w:val="24"/>
          <w:szCs w:val="24"/>
        </w:rPr>
      </w:pPr>
      <w:r>
        <w:rPr>
          <w:rFonts w:hint="eastAsia" w:ascii="仿宋" w:hAnsi="仿宋" w:eastAsia="仿宋"/>
          <w:sz w:val="24"/>
          <w:szCs w:val="24"/>
        </w:rPr>
        <w:t>服务期内招标方要求人员配置根据实际需求发生变化时，投标人应无条件响应。</w:t>
      </w:r>
    </w:p>
    <w:p>
      <w:pPr>
        <w:keepNext/>
        <w:keepLines/>
        <w:numPr>
          <w:ilvl w:val="0"/>
          <w:numId w:val="35"/>
        </w:numPr>
        <w:tabs>
          <w:tab w:val="left" w:pos="480"/>
        </w:tabs>
        <w:spacing w:line="276" w:lineRule="auto"/>
        <w:outlineLvl w:val="2"/>
        <w:rPr>
          <w:rFonts w:ascii="仿宋" w:hAnsi="仿宋" w:eastAsia="仿宋"/>
          <w:b/>
          <w:kern w:val="0"/>
          <w:sz w:val="24"/>
          <w:szCs w:val="24"/>
        </w:rPr>
      </w:pPr>
      <w:bookmarkStart w:id="29" w:name="_Toc55199062"/>
      <w:r>
        <w:rPr>
          <w:rFonts w:hint="eastAsia" w:ascii="仿宋" w:hAnsi="仿宋" w:eastAsia="仿宋"/>
          <w:b/>
          <w:kern w:val="0"/>
          <w:sz w:val="24"/>
          <w:szCs w:val="24"/>
        </w:rPr>
        <w:t>实施管理要求</w:t>
      </w:r>
      <w:bookmarkEnd w:id="29"/>
    </w:p>
    <w:p>
      <w:pPr>
        <w:spacing w:line="276" w:lineRule="auto"/>
        <w:ind w:firstLine="560"/>
        <w:rPr>
          <w:rFonts w:ascii="仿宋" w:hAnsi="仿宋" w:eastAsia="仿宋"/>
          <w:sz w:val="24"/>
          <w:szCs w:val="24"/>
        </w:rPr>
      </w:pPr>
      <w:r>
        <w:rPr>
          <w:rFonts w:hint="eastAsia" w:ascii="仿宋" w:hAnsi="仿宋" w:eastAsia="仿宋"/>
          <w:sz w:val="24"/>
          <w:szCs w:val="24"/>
        </w:rPr>
        <w:t>1、投标人必须对实施完成的系统提供日常维护服务，并根据招标方要求提供服务至运动会结束。</w:t>
      </w:r>
    </w:p>
    <w:p>
      <w:pPr>
        <w:spacing w:line="276" w:lineRule="auto"/>
        <w:ind w:firstLine="560"/>
        <w:rPr>
          <w:rFonts w:ascii="仿宋" w:hAnsi="仿宋" w:eastAsia="仿宋"/>
          <w:sz w:val="24"/>
          <w:szCs w:val="24"/>
        </w:rPr>
      </w:pPr>
      <w:r>
        <w:rPr>
          <w:rFonts w:hint="eastAsia" w:ascii="仿宋" w:hAnsi="仿宋" w:eastAsia="仿宋"/>
          <w:sz w:val="24"/>
          <w:szCs w:val="24"/>
        </w:rPr>
        <w:t>2、投标人须对建设的系统提供运行支持服务，根据合同承诺的内容对系统进行必要的修改、改进，并根据招标方要求提供服务至运动会结束。</w:t>
      </w:r>
    </w:p>
    <w:p>
      <w:pPr>
        <w:spacing w:line="276" w:lineRule="auto"/>
        <w:ind w:firstLine="560"/>
        <w:rPr>
          <w:rFonts w:ascii="仿宋" w:hAnsi="仿宋" w:eastAsia="仿宋"/>
          <w:sz w:val="24"/>
          <w:szCs w:val="24"/>
        </w:rPr>
      </w:pPr>
      <w:r>
        <w:rPr>
          <w:rFonts w:hint="eastAsia" w:ascii="仿宋" w:hAnsi="仿宋" w:eastAsia="仿宋"/>
          <w:sz w:val="24"/>
          <w:szCs w:val="24"/>
        </w:rPr>
        <w:t>3、接到招标方提出的修改建议之后，投标人需在1天内向招标方提供系统修改评估意见。</w:t>
      </w:r>
    </w:p>
    <w:p>
      <w:pPr>
        <w:spacing w:line="276" w:lineRule="auto"/>
        <w:ind w:firstLine="560"/>
        <w:rPr>
          <w:rFonts w:ascii="仿宋" w:hAnsi="仿宋" w:eastAsia="仿宋"/>
          <w:sz w:val="24"/>
          <w:szCs w:val="24"/>
        </w:rPr>
      </w:pPr>
      <w:r>
        <w:rPr>
          <w:rFonts w:hint="eastAsia" w:ascii="仿宋" w:hAnsi="仿宋" w:eastAsia="仿宋"/>
          <w:sz w:val="24"/>
          <w:szCs w:val="24"/>
        </w:rPr>
        <w:t>▲4、</w:t>
      </w:r>
      <w:r>
        <w:rPr>
          <w:rFonts w:hint="eastAsia" w:ascii="仿宋" w:hAnsi="仿宋" w:eastAsia="仿宋"/>
          <w:b/>
          <w:sz w:val="24"/>
          <w:szCs w:val="24"/>
          <w:u w:val="single"/>
        </w:rPr>
        <w:t>中标人应为招标方提供 7×24 小时的技术咨询和维修服务。中标人收到招标方服务要求后1小时内做出响应</w:t>
      </w:r>
      <w:r>
        <w:rPr>
          <w:rFonts w:hint="eastAsia" w:ascii="仿宋" w:hAnsi="仿宋" w:eastAsia="仿宋"/>
          <w:sz w:val="24"/>
          <w:szCs w:val="24"/>
        </w:rPr>
        <w:t>。</w:t>
      </w:r>
      <w:r>
        <w:rPr>
          <w:rFonts w:hint="eastAsia" w:ascii="仿宋" w:hAnsi="仿宋" w:eastAsia="仿宋"/>
          <w:b/>
          <w:sz w:val="24"/>
          <w:szCs w:val="24"/>
        </w:rPr>
        <w:t>▲</w:t>
      </w:r>
    </w:p>
    <w:p>
      <w:pPr>
        <w:spacing w:line="276" w:lineRule="auto"/>
        <w:ind w:firstLine="560"/>
        <w:rPr>
          <w:rFonts w:ascii="仿宋" w:hAnsi="仿宋" w:eastAsia="仿宋"/>
          <w:sz w:val="24"/>
          <w:szCs w:val="24"/>
        </w:rPr>
      </w:pPr>
      <w:r>
        <w:rPr>
          <w:rFonts w:hint="eastAsia" w:ascii="仿宋" w:hAnsi="仿宋" w:eastAsia="仿宋"/>
          <w:sz w:val="24"/>
          <w:szCs w:val="24"/>
        </w:rPr>
        <w:t>5、中标人建设的系统应具备备份方案，保证在运动会比赛期间，如果系统发生故障， 能够不影响比赛的正常进行。</w:t>
      </w:r>
    </w:p>
    <w:p>
      <w:pPr>
        <w:spacing w:line="276" w:lineRule="auto"/>
        <w:ind w:firstLine="560"/>
        <w:rPr>
          <w:rFonts w:ascii="仿宋" w:hAnsi="仿宋" w:eastAsia="仿宋"/>
          <w:sz w:val="24"/>
          <w:szCs w:val="24"/>
        </w:rPr>
      </w:pPr>
      <w:r>
        <w:rPr>
          <w:rFonts w:hint="eastAsia" w:ascii="仿宋" w:hAnsi="仿宋" w:eastAsia="仿宋"/>
          <w:sz w:val="24"/>
          <w:szCs w:val="24"/>
        </w:rPr>
        <w:t>6、运行维护期内，中标人负责对其提供的系统进行维护，不得单列模块维护加以收费。</w:t>
      </w:r>
    </w:p>
    <w:p>
      <w:pPr>
        <w:spacing w:line="276" w:lineRule="auto"/>
        <w:ind w:firstLine="560"/>
        <w:rPr>
          <w:rFonts w:ascii="仿宋" w:hAnsi="仿宋" w:eastAsia="仿宋"/>
          <w:sz w:val="24"/>
          <w:szCs w:val="24"/>
        </w:rPr>
      </w:pPr>
      <w:r>
        <w:rPr>
          <w:rFonts w:hint="eastAsia" w:ascii="仿宋" w:hAnsi="仿宋" w:eastAsia="仿宋"/>
          <w:sz w:val="24"/>
          <w:szCs w:val="24"/>
        </w:rPr>
        <w:t>7、投标人应本着认真负责态度，组织技术队伍，做好书面提出维护、服务以及今后技术支持的措施计划和承诺。</w:t>
      </w:r>
    </w:p>
    <w:p>
      <w:pPr>
        <w:spacing w:after="240" w:afterLines="100" w:line="276" w:lineRule="auto"/>
        <w:ind w:firstLine="561"/>
        <w:rPr>
          <w:rFonts w:ascii="仿宋" w:hAnsi="仿宋" w:eastAsia="仿宋"/>
          <w:sz w:val="24"/>
          <w:szCs w:val="24"/>
        </w:rPr>
      </w:pPr>
      <w:r>
        <w:rPr>
          <w:rFonts w:hint="eastAsia" w:ascii="仿宋" w:hAnsi="仿宋" w:eastAsia="仿宋"/>
          <w:sz w:val="24"/>
          <w:szCs w:val="24"/>
        </w:rPr>
        <w:t>8、本项目中所选用主要设备原则上要求具有大型体育赛事信息系统相关应用案例。</w:t>
      </w:r>
    </w:p>
    <w:p>
      <w:pPr>
        <w:keepNext/>
        <w:keepLines/>
        <w:numPr>
          <w:ilvl w:val="0"/>
          <w:numId w:val="35"/>
        </w:numPr>
        <w:tabs>
          <w:tab w:val="left" w:pos="480"/>
        </w:tabs>
        <w:spacing w:line="276" w:lineRule="auto"/>
        <w:outlineLvl w:val="2"/>
        <w:rPr>
          <w:rFonts w:ascii="仿宋" w:hAnsi="仿宋" w:eastAsia="仿宋"/>
          <w:kern w:val="0"/>
          <w:sz w:val="24"/>
          <w:szCs w:val="24"/>
        </w:rPr>
      </w:pPr>
      <w:bookmarkStart w:id="30" w:name="_Toc55199063"/>
      <w:r>
        <w:rPr>
          <w:rFonts w:hint="eastAsia" w:ascii="仿宋" w:hAnsi="仿宋" w:eastAsia="仿宋"/>
          <w:kern w:val="0"/>
          <w:sz w:val="24"/>
          <w:szCs w:val="24"/>
        </w:rPr>
        <w:t>▲</w:t>
      </w:r>
      <w:r>
        <w:rPr>
          <w:rFonts w:hint="eastAsia" w:ascii="仿宋" w:hAnsi="仿宋" w:eastAsia="仿宋"/>
          <w:b/>
          <w:kern w:val="0"/>
          <w:sz w:val="24"/>
          <w:szCs w:val="24"/>
          <w:u w:val="single"/>
        </w:rPr>
        <w:t>服务期限</w:t>
      </w:r>
      <w:bookmarkEnd w:id="30"/>
      <w:r>
        <w:rPr>
          <w:rFonts w:hint="eastAsia" w:ascii="仿宋" w:hAnsi="仿宋" w:eastAsia="仿宋"/>
          <w:b/>
          <w:kern w:val="0"/>
          <w:sz w:val="24"/>
          <w:szCs w:val="24"/>
        </w:rPr>
        <w:t>▲</w:t>
      </w:r>
    </w:p>
    <w:p>
      <w:pPr>
        <w:spacing w:line="276" w:lineRule="auto"/>
        <w:ind w:firstLine="560"/>
        <w:rPr>
          <w:rFonts w:ascii="仿宋" w:hAnsi="仿宋" w:eastAsia="仿宋"/>
          <w:b/>
          <w:sz w:val="24"/>
          <w:szCs w:val="24"/>
        </w:rPr>
      </w:pPr>
      <w:bookmarkStart w:id="31" w:name="_Hlk55027179"/>
      <w:r>
        <w:rPr>
          <w:rFonts w:hint="eastAsia" w:ascii="仿宋" w:hAnsi="仿宋" w:eastAsia="仿宋"/>
          <w:b/>
          <w:sz w:val="24"/>
          <w:szCs w:val="24"/>
        </w:rPr>
        <w:t>服务期限：自合同签订之日起至2021年12月结束。</w:t>
      </w:r>
    </w:p>
    <w:p>
      <w:pPr>
        <w:spacing w:line="276" w:lineRule="auto"/>
        <w:ind w:firstLine="560"/>
        <w:rPr>
          <w:rFonts w:ascii="仿宋" w:hAnsi="仿宋" w:eastAsia="仿宋"/>
          <w:b/>
          <w:sz w:val="24"/>
          <w:szCs w:val="24"/>
        </w:rPr>
      </w:pPr>
      <w:r>
        <w:rPr>
          <w:rFonts w:hint="eastAsia" w:ascii="仿宋" w:hAnsi="仿宋" w:eastAsia="仿宋"/>
          <w:b/>
          <w:sz w:val="24"/>
          <w:szCs w:val="24"/>
        </w:rPr>
        <w:t>1、自合同签订之日起-2021年3月  项目建设（含专项设计）；</w:t>
      </w:r>
    </w:p>
    <w:p>
      <w:pPr>
        <w:spacing w:line="276" w:lineRule="auto"/>
        <w:ind w:firstLine="560"/>
        <w:rPr>
          <w:rFonts w:ascii="仿宋" w:hAnsi="仿宋" w:eastAsia="仿宋"/>
          <w:b/>
          <w:sz w:val="24"/>
          <w:szCs w:val="24"/>
        </w:rPr>
      </w:pPr>
      <w:r>
        <w:rPr>
          <w:rFonts w:hint="eastAsia" w:ascii="仿宋" w:hAnsi="仿宋" w:eastAsia="仿宋"/>
          <w:b/>
          <w:sz w:val="24"/>
          <w:szCs w:val="24"/>
        </w:rPr>
        <w:t>2、2021年3-4月集成测试；</w:t>
      </w:r>
    </w:p>
    <w:p>
      <w:pPr>
        <w:spacing w:line="276" w:lineRule="auto"/>
        <w:ind w:firstLine="560"/>
        <w:rPr>
          <w:rFonts w:ascii="仿宋" w:hAnsi="仿宋" w:eastAsia="仿宋"/>
          <w:b/>
          <w:sz w:val="24"/>
          <w:szCs w:val="24"/>
        </w:rPr>
      </w:pPr>
      <w:r>
        <w:rPr>
          <w:rFonts w:hint="eastAsia" w:ascii="仿宋" w:hAnsi="仿宋" w:eastAsia="仿宋"/>
          <w:b/>
          <w:sz w:val="24"/>
          <w:szCs w:val="24"/>
        </w:rPr>
        <w:t>3、2021年4-6月提供测试赛运行服务；</w:t>
      </w:r>
    </w:p>
    <w:p>
      <w:pPr>
        <w:spacing w:line="276" w:lineRule="auto"/>
        <w:ind w:firstLine="560"/>
        <w:rPr>
          <w:rFonts w:ascii="仿宋" w:hAnsi="仿宋" w:eastAsia="仿宋"/>
          <w:b/>
          <w:sz w:val="24"/>
          <w:szCs w:val="24"/>
        </w:rPr>
      </w:pPr>
      <w:r>
        <w:rPr>
          <w:rFonts w:hint="eastAsia" w:ascii="仿宋" w:hAnsi="仿宋" w:eastAsia="仿宋"/>
          <w:b/>
          <w:sz w:val="24"/>
          <w:szCs w:val="24"/>
        </w:rPr>
        <w:t>4、2021年7月提供联调联试及联合演练服务；</w:t>
      </w:r>
    </w:p>
    <w:p>
      <w:pPr>
        <w:spacing w:line="276" w:lineRule="auto"/>
        <w:ind w:firstLine="560"/>
        <w:rPr>
          <w:rFonts w:ascii="仿宋" w:hAnsi="仿宋" w:eastAsia="仿宋"/>
          <w:b/>
          <w:sz w:val="24"/>
          <w:szCs w:val="24"/>
        </w:rPr>
      </w:pPr>
      <w:r>
        <w:rPr>
          <w:rFonts w:hint="eastAsia" w:ascii="仿宋" w:hAnsi="仿宋" w:eastAsia="仿宋"/>
          <w:b/>
          <w:sz w:val="24"/>
          <w:szCs w:val="24"/>
        </w:rPr>
        <w:t>5、2021年8月</w:t>
      </w:r>
      <w:r>
        <w:rPr>
          <w:rFonts w:hint="eastAsia" w:ascii="仿宋" w:hAnsi="仿宋" w:eastAsia="仿宋"/>
          <w:b/>
          <w:sz w:val="24"/>
          <w:szCs w:val="24"/>
        </w:rPr>
        <w:tab/>
      </w:r>
      <w:r>
        <w:rPr>
          <w:rFonts w:hint="eastAsia" w:ascii="仿宋" w:hAnsi="仿宋" w:eastAsia="仿宋"/>
          <w:b/>
          <w:sz w:val="24"/>
          <w:szCs w:val="24"/>
        </w:rPr>
        <w:t>全面提供赛时运行服务；</w:t>
      </w:r>
    </w:p>
    <w:p>
      <w:pPr>
        <w:spacing w:line="276" w:lineRule="auto"/>
        <w:ind w:firstLine="560"/>
        <w:rPr>
          <w:rFonts w:ascii="仿宋" w:hAnsi="仿宋" w:eastAsia="仿宋"/>
          <w:b/>
          <w:sz w:val="24"/>
          <w:szCs w:val="24"/>
        </w:rPr>
      </w:pPr>
      <w:r>
        <w:rPr>
          <w:rFonts w:hint="eastAsia" w:ascii="仿宋" w:hAnsi="仿宋" w:eastAsia="仿宋"/>
          <w:b/>
          <w:sz w:val="24"/>
          <w:szCs w:val="24"/>
        </w:rPr>
        <w:t>6、2021年9月-2021年12月提供赛事收尾服务。</w:t>
      </w:r>
    </w:p>
    <w:p>
      <w:pPr>
        <w:spacing w:after="240" w:afterLines="100" w:line="276" w:lineRule="auto"/>
        <w:ind w:firstLine="561"/>
        <w:rPr>
          <w:rFonts w:ascii="仿宋" w:hAnsi="仿宋" w:eastAsia="仿宋"/>
          <w:b/>
          <w:sz w:val="24"/>
          <w:szCs w:val="24"/>
        </w:rPr>
      </w:pPr>
      <w:r>
        <w:rPr>
          <w:rFonts w:hint="eastAsia" w:ascii="仿宋" w:hAnsi="仿宋" w:eastAsia="仿宋"/>
          <w:b/>
          <w:sz w:val="24"/>
          <w:szCs w:val="24"/>
        </w:rPr>
        <w:t>以上工期会根据实际情况做适当优化修正。投标人应按照上述总体工期要求制定详细的系统建设计划</w:t>
      </w:r>
      <w:bookmarkEnd w:id="31"/>
      <w:r>
        <w:rPr>
          <w:rFonts w:hint="eastAsia" w:ascii="仿宋" w:hAnsi="仿宋" w:eastAsia="仿宋"/>
          <w:b/>
          <w:sz w:val="24"/>
          <w:szCs w:val="24"/>
        </w:rPr>
        <w:t>。</w:t>
      </w:r>
    </w:p>
    <w:p>
      <w:pPr>
        <w:keepNext/>
        <w:keepLines/>
        <w:numPr>
          <w:ilvl w:val="0"/>
          <w:numId w:val="35"/>
        </w:numPr>
        <w:tabs>
          <w:tab w:val="left" w:pos="480"/>
        </w:tabs>
        <w:spacing w:line="276" w:lineRule="auto"/>
        <w:outlineLvl w:val="2"/>
        <w:rPr>
          <w:rFonts w:ascii="仿宋" w:hAnsi="仿宋" w:eastAsia="仿宋"/>
          <w:b/>
          <w:kern w:val="0"/>
          <w:sz w:val="24"/>
          <w:szCs w:val="24"/>
        </w:rPr>
      </w:pPr>
      <w:bookmarkStart w:id="32" w:name="_Toc55199064"/>
      <w:r>
        <w:rPr>
          <w:rFonts w:hint="eastAsia" w:ascii="仿宋" w:hAnsi="仿宋" w:eastAsia="仿宋"/>
          <w:b/>
          <w:kern w:val="0"/>
          <w:sz w:val="24"/>
          <w:szCs w:val="24"/>
        </w:rPr>
        <w:t>培训要求</w:t>
      </w:r>
      <w:bookmarkEnd w:id="32"/>
    </w:p>
    <w:p>
      <w:pPr>
        <w:spacing w:line="276" w:lineRule="auto"/>
        <w:ind w:firstLine="560"/>
        <w:rPr>
          <w:rFonts w:ascii="仿宋" w:hAnsi="仿宋" w:eastAsia="仿宋"/>
          <w:sz w:val="24"/>
          <w:szCs w:val="24"/>
        </w:rPr>
      </w:pPr>
      <w:r>
        <w:rPr>
          <w:rFonts w:hint="eastAsia" w:ascii="仿宋" w:hAnsi="仿宋" w:eastAsia="仿宋"/>
          <w:sz w:val="24"/>
          <w:szCs w:val="24"/>
        </w:rPr>
        <w:t>投标人应提供完整的培训方案；赛事信息系统的各分系统紧密联系，在培训时需从全局角度出发对培训进行计划。</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培训目标 ：</w:t>
      </w:r>
    </w:p>
    <w:p>
      <w:pPr>
        <w:spacing w:line="276" w:lineRule="auto"/>
        <w:ind w:firstLine="560"/>
        <w:rPr>
          <w:rFonts w:ascii="仿宋" w:hAnsi="仿宋" w:eastAsia="仿宋"/>
          <w:sz w:val="24"/>
          <w:szCs w:val="24"/>
        </w:rPr>
      </w:pPr>
      <w:r>
        <w:rPr>
          <w:rFonts w:hint="eastAsia" w:ascii="仿宋" w:hAnsi="仿宋" w:eastAsia="仿宋"/>
          <w:sz w:val="24"/>
          <w:szCs w:val="24"/>
        </w:rPr>
        <w:t>在系统实施过程中，必须加强对员工的培训工作，包括岗位培训、基础知识培训、竞赛业务培训、技术与操作技能培训等。培训人员数量按实际需求量的110 %，关键岗位人员、专业操作人员、技术支持与系统维护人员等应设立人才预备库，避免人员流失风险，提供应急突发事件处理能力。</w:t>
      </w:r>
    </w:p>
    <w:p>
      <w:pPr>
        <w:spacing w:line="276" w:lineRule="auto"/>
        <w:ind w:firstLine="560"/>
        <w:rPr>
          <w:rFonts w:ascii="仿宋" w:hAnsi="仿宋" w:eastAsia="仿宋"/>
          <w:sz w:val="24"/>
          <w:szCs w:val="24"/>
        </w:rPr>
      </w:pPr>
      <w:r>
        <w:rPr>
          <w:rFonts w:hint="eastAsia" w:ascii="仿宋" w:hAnsi="仿宋" w:eastAsia="仿宋"/>
          <w:sz w:val="24"/>
          <w:szCs w:val="24"/>
        </w:rPr>
        <w:t>基础知识和岗位培训将遵循组委会和项目管理安排进行培训，竞赛业务和操作技能培训部分由承包商提供培训资料和培训师。首批参加培训的员工，将担任各场馆主管等关键岗位，并负责场馆技术人员的培训工作。</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培训对象 ：</w:t>
      </w:r>
    </w:p>
    <w:p>
      <w:pPr>
        <w:spacing w:line="276" w:lineRule="auto"/>
        <w:ind w:firstLine="560"/>
        <w:rPr>
          <w:rFonts w:ascii="仿宋" w:hAnsi="仿宋" w:eastAsia="仿宋"/>
          <w:sz w:val="24"/>
          <w:szCs w:val="24"/>
        </w:rPr>
      </w:pPr>
      <w:r>
        <w:rPr>
          <w:rFonts w:hint="eastAsia" w:ascii="仿宋" w:hAnsi="仿宋" w:eastAsia="仿宋"/>
          <w:sz w:val="24"/>
          <w:szCs w:val="24"/>
        </w:rPr>
        <w:t>针对操作运行人员进行的专业培训，其目的在于使有关人员能够熟悉本届大运会的基本知识和相关业务流程，并通过培训，熟悉设备的安装调试和维护及操作要求和方法，以保障系统安全可靠、高效的运行质量。保障使用对象熟悉基本流程、服务规范，熟练操作各信息系统的各项功能，保证服务质量。掌握各种设备的故障的诊断、定位和排除技能。主要培训对象包括但不限于：管理团队、工作人员、开发人员、技术支持人员和志愿者辅助人员等。</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培训内容与课程要求 ：</w:t>
      </w:r>
    </w:p>
    <w:p>
      <w:pPr>
        <w:spacing w:line="276" w:lineRule="auto"/>
        <w:ind w:firstLine="560"/>
        <w:rPr>
          <w:rFonts w:ascii="仿宋" w:hAnsi="仿宋" w:eastAsia="仿宋"/>
          <w:sz w:val="24"/>
          <w:szCs w:val="24"/>
        </w:rPr>
      </w:pPr>
      <w:r>
        <w:rPr>
          <w:rFonts w:hint="eastAsia" w:ascii="仿宋" w:hAnsi="仿宋" w:eastAsia="仿宋"/>
          <w:sz w:val="24"/>
          <w:szCs w:val="24"/>
        </w:rPr>
        <w:t>投标人应对项目培训范围提供相应的培训，投标人需详细列明相应的培训课程内容和时间安排。</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培训费用 ：</w:t>
      </w:r>
    </w:p>
    <w:p>
      <w:pPr>
        <w:spacing w:line="276" w:lineRule="auto"/>
        <w:ind w:firstLine="560"/>
        <w:rPr>
          <w:rFonts w:ascii="仿宋" w:hAnsi="仿宋" w:eastAsia="仿宋"/>
          <w:sz w:val="24"/>
          <w:szCs w:val="24"/>
        </w:rPr>
      </w:pPr>
      <w:r>
        <w:rPr>
          <w:rFonts w:hint="eastAsia" w:ascii="仿宋" w:hAnsi="仿宋" w:eastAsia="仿宋"/>
          <w:sz w:val="24"/>
          <w:szCs w:val="24"/>
        </w:rPr>
        <w:t>所有培训费用及各项支出可包含在各子系统报价中，无需单列。</w:t>
      </w:r>
    </w:p>
    <w:p>
      <w:pPr>
        <w:keepNext/>
        <w:keepLines/>
        <w:numPr>
          <w:ilvl w:val="1"/>
          <w:numId w:val="0"/>
        </w:numPr>
        <w:spacing w:before="240" w:beforeLines="100" w:line="276" w:lineRule="auto"/>
        <w:ind w:right="-29" w:rightChars="-14"/>
        <w:outlineLvl w:val="1"/>
        <w:rPr>
          <w:rFonts w:ascii="仿宋" w:hAnsi="仿宋" w:eastAsia="仿宋"/>
          <w:b/>
          <w:bCs/>
          <w:sz w:val="28"/>
          <w:szCs w:val="24"/>
        </w:rPr>
      </w:pPr>
      <w:bookmarkStart w:id="33" w:name="_Toc55199066"/>
      <w:r>
        <w:rPr>
          <w:rFonts w:hint="eastAsia" w:ascii="仿宋" w:hAnsi="仿宋" w:eastAsia="仿宋"/>
          <w:b/>
          <w:bCs/>
          <w:sz w:val="28"/>
          <w:szCs w:val="24"/>
        </w:rPr>
        <w:t>1.6服务地点</w:t>
      </w:r>
      <w:bookmarkEnd w:id="33"/>
    </w:p>
    <w:p>
      <w:pPr>
        <w:adjustRightInd w:val="0"/>
        <w:snapToGrid w:val="0"/>
        <w:spacing w:line="276" w:lineRule="auto"/>
        <w:ind w:left="640"/>
        <w:rPr>
          <w:rFonts w:ascii="仿宋" w:hAnsi="仿宋" w:eastAsia="仿宋"/>
          <w:sz w:val="24"/>
          <w:szCs w:val="24"/>
        </w:rPr>
      </w:pPr>
      <w:r>
        <w:rPr>
          <w:rFonts w:hint="eastAsia" w:ascii="仿宋" w:hAnsi="仿宋" w:eastAsia="仿宋"/>
          <w:sz w:val="24"/>
          <w:szCs w:val="24"/>
        </w:rPr>
        <w:t>服务</w:t>
      </w:r>
      <w:r>
        <w:rPr>
          <w:rFonts w:ascii="仿宋" w:hAnsi="仿宋" w:eastAsia="仿宋"/>
          <w:sz w:val="24"/>
          <w:szCs w:val="24"/>
        </w:rPr>
        <w:t>地点：成都</w:t>
      </w:r>
    </w:p>
    <w:p>
      <w:pPr>
        <w:keepNext/>
        <w:keepLines/>
        <w:numPr>
          <w:ilvl w:val="1"/>
          <w:numId w:val="0"/>
        </w:numPr>
        <w:spacing w:before="240" w:beforeLines="100" w:line="276" w:lineRule="auto"/>
        <w:ind w:right="-29" w:rightChars="-14"/>
        <w:outlineLvl w:val="1"/>
        <w:rPr>
          <w:rFonts w:ascii="仿宋" w:hAnsi="仿宋" w:eastAsia="仿宋"/>
          <w:b/>
          <w:bCs/>
          <w:sz w:val="28"/>
          <w:szCs w:val="24"/>
        </w:rPr>
      </w:pPr>
      <w:bookmarkStart w:id="34" w:name="_Toc55199067"/>
      <w:r>
        <w:rPr>
          <w:rFonts w:hint="eastAsia" w:ascii="仿宋" w:hAnsi="仿宋" w:eastAsia="仿宋"/>
          <w:b/>
          <w:bCs/>
          <w:sz w:val="28"/>
          <w:szCs w:val="24"/>
        </w:rPr>
        <w:t>1.7考核标准和方法</w:t>
      </w:r>
      <w:bookmarkEnd w:id="34"/>
      <w:r>
        <w:rPr>
          <w:rFonts w:hint="eastAsia" w:ascii="仿宋" w:hAnsi="仿宋" w:eastAsia="仿宋"/>
          <w:b/>
          <w:bCs/>
          <w:sz w:val="28"/>
          <w:szCs w:val="24"/>
        </w:rPr>
        <w:t>：</w:t>
      </w:r>
    </w:p>
    <w:p>
      <w:pPr>
        <w:keepNext/>
        <w:keepLines/>
        <w:numPr>
          <w:ilvl w:val="2"/>
          <w:numId w:val="0"/>
        </w:numPr>
        <w:tabs>
          <w:tab w:val="left" w:pos="480"/>
        </w:tabs>
        <w:spacing w:line="276" w:lineRule="auto"/>
        <w:outlineLvl w:val="2"/>
        <w:rPr>
          <w:rFonts w:ascii="仿宋" w:hAnsi="仿宋" w:eastAsia="仿宋"/>
          <w:kern w:val="0"/>
          <w:sz w:val="24"/>
          <w:szCs w:val="24"/>
        </w:rPr>
      </w:pPr>
      <w:bookmarkStart w:id="35" w:name="_Toc55199069"/>
      <w:bookmarkStart w:id="36" w:name="_Hlk55027428"/>
      <w:r>
        <w:rPr>
          <w:rFonts w:hint="eastAsia" w:ascii="仿宋" w:hAnsi="仿宋" w:eastAsia="仿宋"/>
          <w:kern w:val="0"/>
          <w:sz w:val="24"/>
          <w:szCs w:val="24"/>
        </w:rPr>
        <w:t>考核标准及办法</w:t>
      </w:r>
      <w:bookmarkEnd w:id="35"/>
    </w:p>
    <w:tbl>
      <w:tblPr>
        <w:tblStyle w:val="58"/>
        <w:tblW w:w="9045" w:type="dxa"/>
        <w:tblInd w:w="0" w:type="dxa"/>
        <w:tblLayout w:type="fixed"/>
        <w:tblCellMar>
          <w:top w:w="0" w:type="dxa"/>
          <w:left w:w="108" w:type="dxa"/>
          <w:bottom w:w="0" w:type="dxa"/>
          <w:right w:w="108" w:type="dxa"/>
        </w:tblCellMar>
      </w:tblPr>
      <w:tblGrid>
        <w:gridCol w:w="561"/>
        <w:gridCol w:w="1128"/>
        <w:gridCol w:w="686"/>
        <w:gridCol w:w="3128"/>
        <w:gridCol w:w="3542"/>
      </w:tblGrid>
      <w:tr>
        <w:tblPrEx>
          <w:tblCellMar>
            <w:top w:w="0" w:type="dxa"/>
            <w:left w:w="108" w:type="dxa"/>
            <w:bottom w:w="0" w:type="dxa"/>
            <w:right w:w="108" w:type="dxa"/>
          </w:tblCellMar>
        </w:tblPrEx>
        <w:trPr>
          <w:trHeight w:val="330" w:hRule="atLeast"/>
          <w:tblHeader/>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rPr>
                <w:rFonts w:ascii="仿宋" w:hAnsi="仿宋" w:eastAsia="仿宋" w:cs="宋体"/>
                <w:b/>
                <w:sz w:val="22"/>
                <w:szCs w:val="24"/>
              </w:rPr>
            </w:pPr>
            <w:r>
              <w:rPr>
                <w:rFonts w:hint="eastAsia" w:ascii="仿宋" w:hAnsi="仿宋" w:eastAsia="仿宋" w:cs="宋体"/>
                <w:b/>
                <w:sz w:val="22"/>
                <w:szCs w:val="24"/>
                <w:lang w:bidi="ar"/>
              </w:rPr>
              <w:t>序号</w:t>
            </w:r>
          </w:p>
        </w:tc>
        <w:tc>
          <w:tcPr>
            <w:tcW w:w="112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b/>
                <w:sz w:val="22"/>
                <w:szCs w:val="24"/>
              </w:rPr>
            </w:pPr>
            <w:r>
              <w:rPr>
                <w:rFonts w:hint="eastAsia" w:ascii="仿宋" w:hAnsi="仿宋" w:eastAsia="仿宋" w:cs="宋体"/>
                <w:b/>
                <w:sz w:val="22"/>
                <w:szCs w:val="24"/>
                <w:lang w:bidi="ar"/>
              </w:rPr>
              <w:t>服务阶段</w:t>
            </w:r>
          </w:p>
        </w:tc>
        <w:tc>
          <w:tcPr>
            <w:tcW w:w="686"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b/>
                <w:sz w:val="22"/>
                <w:szCs w:val="24"/>
              </w:rPr>
            </w:pPr>
            <w:r>
              <w:rPr>
                <w:rFonts w:hint="eastAsia" w:ascii="仿宋" w:hAnsi="仿宋" w:eastAsia="仿宋" w:cs="宋体"/>
                <w:b/>
                <w:sz w:val="22"/>
                <w:szCs w:val="24"/>
                <w:lang w:bidi="ar"/>
              </w:rPr>
              <w:t>服务内容</w:t>
            </w:r>
          </w:p>
        </w:tc>
        <w:tc>
          <w:tcPr>
            <w:tcW w:w="3129"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b/>
                <w:sz w:val="22"/>
                <w:szCs w:val="24"/>
              </w:rPr>
            </w:pPr>
            <w:r>
              <w:rPr>
                <w:rFonts w:hint="eastAsia" w:ascii="仿宋" w:hAnsi="仿宋" w:eastAsia="仿宋" w:cs="宋体"/>
                <w:b/>
                <w:sz w:val="22"/>
                <w:szCs w:val="24"/>
                <w:lang w:bidi="ar"/>
              </w:rPr>
              <w:t>服务说明</w:t>
            </w:r>
          </w:p>
        </w:tc>
        <w:tc>
          <w:tcPr>
            <w:tcW w:w="3544"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b/>
                <w:sz w:val="22"/>
                <w:szCs w:val="24"/>
              </w:rPr>
            </w:pPr>
            <w:r>
              <w:rPr>
                <w:rFonts w:hint="eastAsia" w:ascii="仿宋" w:hAnsi="仿宋" w:eastAsia="仿宋" w:cs="宋体"/>
                <w:b/>
                <w:sz w:val="22"/>
                <w:szCs w:val="24"/>
                <w:lang w:bidi="ar"/>
              </w:rPr>
              <w:t>扣分说明</w:t>
            </w:r>
          </w:p>
        </w:tc>
      </w:tr>
      <w:tr>
        <w:tblPrEx>
          <w:tblCellMar>
            <w:top w:w="0" w:type="dxa"/>
            <w:left w:w="108" w:type="dxa"/>
            <w:bottom w:w="0" w:type="dxa"/>
            <w:right w:w="108" w:type="dxa"/>
          </w:tblCellMar>
        </w:tblPrEx>
        <w:trPr>
          <w:trHeight w:val="33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1</w:t>
            </w:r>
          </w:p>
        </w:tc>
        <w:tc>
          <w:tcPr>
            <w:tcW w:w="112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招标完成后</w:t>
            </w: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服务团队</w:t>
            </w:r>
          </w:p>
        </w:tc>
        <w:tc>
          <w:tcPr>
            <w:tcW w:w="3129"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按照用户要求提供相应数量、资质的人员</w:t>
            </w:r>
          </w:p>
        </w:tc>
        <w:tc>
          <w:tcPr>
            <w:tcW w:w="3544"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项目经理、主管等主要人员缺失的，每缺一人扣0.4分；资质不匹配的，每有一人/项，扣0.2分</w:t>
            </w:r>
          </w:p>
        </w:tc>
      </w:tr>
      <w:tr>
        <w:tblPrEx>
          <w:tblCellMar>
            <w:top w:w="0" w:type="dxa"/>
            <w:left w:w="108" w:type="dxa"/>
            <w:bottom w:w="0" w:type="dxa"/>
            <w:right w:w="108" w:type="dxa"/>
          </w:tblCellMar>
        </w:tblPrEx>
        <w:trPr>
          <w:trHeight w:val="33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2</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方案计划</w:t>
            </w:r>
          </w:p>
        </w:tc>
        <w:tc>
          <w:tcPr>
            <w:tcW w:w="3129"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依照要求制定、更新服务方案和服务计划</w:t>
            </w:r>
          </w:p>
        </w:tc>
        <w:tc>
          <w:tcPr>
            <w:tcW w:w="3544"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未提供服务方案服务计划，每有一次扣2分；逾期提供服务方案、服务计划，每逾期一天扣0.2分</w:t>
            </w:r>
          </w:p>
        </w:tc>
      </w:tr>
      <w:tr>
        <w:tblPrEx>
          <w:tblCellMar>
            <w:top w:w="0" w:type="dxa"/>
            <w:left w:w="108" w:type="dxa"/>
            <w:bottom w:w="0" w:type="dxa"/>
            <w:right w:w="108" w:type="dxa"/>
          </w:tblCellMar>
        </w:tblPrEx>
        <w:trPr>
          <w:trHeight w:val="6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3</w:t>
            </w:r>
          </w:p>
        </w:tc>
        <w:tc>
          <w:tcPr>
            <w:tcW w:w="112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项目建设阶段</w:t>
            </w:r>
          </w:p>
        </w:tc>
        <w:tc>
          <w:tcPr>
            <w:tcW w:w="68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方案计划的执行</w:t>
            </w:r>
          </w:p>
        </w:tc>
        <w:tc>
          <w:tcPr>
            <w:tcW w:w="3129"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根据制定的服务方案、服务计划提供完整、可靠、优质的各类服务</w:t>
            </w:r>
          </w:p>
        </w:tc>
        <w:tc>
          <w:tcPr>
            <w:tcW w:w="3544"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未按照通过审核的服务方案、服务计划提供服务，每有一项/次扣0.2分</w:t>
            </w:r>
          </w:p>
        </w:tc>
      </w:tr>
      <w:tr>
        <w:tblPrEx>
          <w:tblCellMar>
            <w:top w:w="0" w:type="dxa"/>
            <w:left w:w="108" w:type="dxa"/>
            <w:bottom w:w="0" w:type="dxa"/>
            <w:right w:w="108" w:type="dxa"/>
          </w:tblCellMar>
        </w:tblPrEx>
        <w:trPr>
          <w:trHeight w:val="6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4</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3129"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根据制定的建设方案及进度计划进行项目建设</w:t>
            </w:r>
          </w:p>
        </w:tc>
        <w:tc>
          <w:tcPr>
            <w:tcW w:w="3544"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因建设进度滞后造成恶劣影响、或造成用户单位重大损失的，每有一项/次，扣1分；因建设进度滞后造成不良影响的，每有一项/次扣0.4分；项目建设未按方案进行的，每有一项扣0.2分</w:t>
            </w:r>
          </w:p>
        </w:tc>
      </w:tr>
      <w:tr>
        <w:tblPrEx>
          <w:tblCellMar>
            <w:top w:w="0" w:type="dxa"/>
            <w:left w:w="108" w:type="dxa"/>
            <w:bottom w:w="0" w:type="dxa"/>
            <w:right w:w="108" w:type="dxa"/>
          </w:tblCellMar>
        </w:tblPrEx>
        <w:trPr>
          <w:trHeight w:val="6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5</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服务报告</w:t>
            </w:r>
          </w:p>
        </w:tc>
        <w:tc>
          <w:tcPr>
            <w:tcW w:w="3129"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定期按照用户要求提交服务报告，不定期按照用户需求提交项目建设进度报告</w:t>
            </w:r>
          </w:p>
        </w:tc>
        <w:tc>
          <w:tcPr>
            <w:tcW w:w="3544"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未提供报告，每有一次扣0.1分；逾期提交或未达到用户要求的，扣0.04分</w:t>
            </w:r>
          </w:p>
        </w:tc>
      </w:tr>
      <w:tr>
        <w:tblPrEx>
          <w:tblCellMar>
            <w:top w:w="0" w:type="dxa"/>
            <w:left w:w="108" w:type="dxa"/>
            <w:bottom w:w="0" w:type="dxa"/>
            <w:right w:w="108" w:type="dxa"/>
          </w:tblCellMar>
        </w:tblPrEx>
        <w:trPr>
          <w:trHeight w:val="33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6</w:t>
            </w:r>
          </w:p>
        </w:tc>
        <w:tc>
          <w:tcPr>
            <w:tcW w:w="112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赛事运行保障阶段</w:t>
            </w:r>
          </w:p>
        </w:tc>
        <w:tc>
          <w:tcPr>
            <w:tcW w:w="686" w:type="dxa"/>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应急演练</w:t>
            </w:r>
          </w:p>
        </w:tc>
        <w:tc>
          <w:tcPr>
            <w:tcW w:w="3129"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根据制定的应急预案进行应急演练</w:t>
            </w:r>
          </w:p>
        </w:tc>
        <w:tc>
          <w:tcPr>
            <w:tcW w:w="3544"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未进行应急演练，每有一次扣0.4分；逾期演练或未达到用户要求的扣0.2分</w:t>
            </w:r>
          </w:p>
        </w:tc>
      </w:tr>
      <w:tr>
        <w:tblPrEx>
          <w:tblCellMar>
            <w:top w:w="0" w:type="dxa"/>
            <w:left w:w="108" w:type="dxa"/>
            <w:bottom w:w="0" w:type="dxa"/>
            <w:right w:w="108" w:type="dxa"/>
          </w:tblCellMar>
        </w:tblPrEx>
        <w:trPr>
          <w:trHeight w:val="6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7</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服务团队</w:t>
            </w:r>
          </w:p>
        </w:tc>
        <w:tc>
          <w:tcPr>
            <w:tcW w:w="3129"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项目经理、主管、工程师等应按预设规定和用户要求进行日常签到或考勤</w:t>
            </w:r>
          </w:p>
        </w:tc>
        <w:tc>
          <w:tcPr>
            <w:tcW w:w="3544"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每有一人/次人员无故缺勤旷工扣0.06分；每有一人/次人员无故迟到早退扣0.04分</w:t>
            </w:r>
          </w:p>
        </w:tc>
      </w:tr>
      <w:tr>
        <w:tblPrEx>
          <w:tblCellMar>
            <w:top w:w="0" w:type="dxa"/>
            <w:left w:w="108" w:type="dxa"/>
            <w:bottom w:w="0" w:type="dxa"/>
            <w:right w:w="108" w:type="dxa"/>
          </w:tblCellMar>
        </w:tblPrEx>
        <w:trPr>
          <w:trHeight w:val="99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8</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安全管理</w:t>
            </w:r>
          </w:p>
        </w:tc>
        <w:tc>
          <w:tcPr>
            <w:tcW w:w="3129"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服务期间，应尽量避免系统出现安全问题；系统出现安全问题后应及时按照预设流程或应急方案进行处置，做好记录；事后应进行专题分析，提交专题报告，并优化系统</w:t>
            </w:r>
          </w:p>
        </w:tc>
        <w:tc>
          <w:tcPr>
            <w:tcW w:w="3544"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系统出现安全问题后，响应不及时或未按规定流程处置的，每有一次扣0.06分；问题记录、处置记录缺失或未达到用户要求，每有一次扣0.04分</w:t>
            </w:r>
          </w:p>
        </w:tc>
      </w:tr>
      <w:tr>
        <w:tblPrEx>
          <w:tblCellMar>
            <w:top w:w="0" w:type="dxa"/>
            <w:left w:w="108" w:type="dxa"/>
            <w:bottom w:w="0" w:type="dxa"/>
            <w:right w:w="108" w:type="dxa"/>
          </w:tblCellMar>
        </w:tblPrEx>
        <w:trPr>
          <w:trHeight w:val="99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9</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3129"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服务期间，应尽量避免设备设施出现安全问题；设备设施出现安全问题后应及时按照预设流程或应急方案采取补救措施，做好记录；事后应进行专题分析，提交专题报告</w:t>
            </w:r>
          </w:p>
        </w:tc>
        <w:tc>
          <w:tcPr>
            <w:tcW w:w="3544"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设备设施出现安全问题后，响应不及时、未按规定流程处置或未采取有效补救措施的，每有一次扣0.06分；问题记录、处置记录缺失或未达到用户要求，每有一次扣0.04分</w:t>
            </w:r>
          </w:p>
        </w:tc>
      </w:tr>
      <w:tr>
        <w:tblPrEx>
          <w:tblCellMar>
            <w:top w:w="0" w:type="dxa"/>
            <w:left w:w="108" w:type="dxa"/>
            <w:bottom w:w="0" w:type="dxa"/>
            <w:right w:w="108" w:type="dxa"/>
          </w:tblCellMar>
        </w:tblPrEx>
        <w:trPr>
          <w:trHeight w:val="132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10</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服务响应</w:t>
            </w:r>
          </w:p>
        </w:tc>
        <w:tc>
          <w:tcPr>
            <w:tcW w:w="3129"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服务期间，应及时响应用户需求，积极应对系统、设备故障。有特殊规定响应时间的，应在规定时间内响应；无特殊规定响应时间的，应在收到请求或发现问题之时2小时内给予明确响应。同时，应进行相应处置。</w:t>
            </w:r>
          </w:p>
        </w:tc>
        <w:tc>
          <w:tcPr>
            <w:tcW w:w="3544"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对有特殊规定响应时间的，按照相关约定扣分；对无特殊规定响应时间，且超过2小时再予以响应的，每超过1小时，扣0.04分</w:t>
            </w:r>
          </w:p>
        </w:tc>
      </w:tr>
      <w:tr>
        <w:tblPrEx>
          <w:tblCellMar>
            <w:top w:w="0" w:type="dxa"/>
            <w:left w:w="108" w:type="dxa"/>
            <w:bottom w:w="0" w:type="dxa"/>
            <w:right w:w="108" w:type="dxa"/>
          </w:tblCellMar>
        </w:tblPrEx>
        <w:trPr>
          <w:trHeight w:val="33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11</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用户投诉</w:t>
            </w:r>
          </w:p>
        </w:tc>
        <w:tc>
          <w:tcPr>
            <w:tcW w:w="3129"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受到用户单位接待对象、用户上级单位或用户投诉</w:t>
            </w:r>
          </w:p>
        </w:tc>
        <w:tc>
          <w:tcPr>
            <w:tcW w:w="3544"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受到用户接待对象或用户上级单位投诉的，每有一次扣0.2分；受到用户投诉，每有一次扣0.04分</w:t>
            </w:r>
          </w:p>
        </w:tc>
      </w:tr>
      <w:tr>
        <w:tblPrEx>
          <w:tblCellMar>
            <w:top w:w="0" w:type="dxa"/>
            <w:left w:w="108" w:type="dxa"/>
            <w:bottom w:w="0" w:type="dxa"/>
            <w:right w:w="108" w:type="dxa"/>
          </w:tblCellMar>
        </w:tblPrEx>
        <w:trPr>
          <w:trHeight w:val="6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12</w:t>
            </w:r>
          </w:p>
        </w:tc>
        <w:tc>
          <w:tcPr>
            <w:tcW w:w="1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赛事收尾阶段</w:t>
            </w: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赛事收尾</w:t>
            </w:r>
          </w:p>
        </w:tc>
        <w:tc>
          <w:tcPr>
            <w:tcW w:w="3129"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按照用户要求进行赛后资料收集整理、相关系统及数据移交、配合项目审计等相关工作</w:t>
            </w:r>
          </w:p>
        </w:tc>
        <w:tc>
          <w:tcPr>
            <w:tcW w:w="3544"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按时间要求提交相关资料，每逾期一次扣0.2分；按时间要求提交相关系统及数据移交，每逾期一次扣0.2分；按用户要求配合项目审计相关工作，每缺少一项扣0.2分</w:t>
            </w:r>
          </w:p>
        </w:tc>
      </w:tr>
    </w:tbl>
    <w:p>
      <w:pPr>
        <w:spacing w:line="276" w:lineRule="auto"/>
        <w:ind w:firstLine="560"/>
        <w:rPr>
          <w:rFonts w:ascii="仿宋" w:hAnsi="仿宋" w:eastAsia="仿宋"/>
          <w:bCs/>
          <w:sz w:val="24"/>
          <w:szCs w:val="24"/>
        </w:rPr>
      </w:pPr>
      <w:r>
        <w:rPr>
          <w:rFonts w:hint="eastAsia" w:ascii="仿宋" w:hAnsi="仿宋" w:eastAsia="仿宋"/>
          <w:bCs/>
          <w:sz w:val="24"/>
          <w:szCs w:val="24"/>
        </w:rPr>
        <w:t>本次服务招标项目的服务考核分为四个阶段，每个阶段按不同的服务内容进行服务考核，按照每阶段考核得分进行服务扣款。</w:t>
      </w:r>
    </w:p>
    <w:p>
      <w:pPr>
        <w:spacing w:line="276" w:lineRule="auto"/>
        <w:ind w:firstLine="560"/>
        <w:rPr>
          <w:rFonts w:ascii="仿宋" w:hAnsi="仿宋" w:eastAsia="仿宋"/>
          <w:bCs/>
          <w:sz w:val="24"/>
          <w:szCs w:val="24"/>
        </w:rPr>
      </w:pPr>
      <w:r>
        <w:rPr>
          <w:rFonts w:hint="eastAsia" w:ascii="仿宋" w:hAnsi="仿宋" w:eastAsia="仿宋"/>
          <w:bCs/>
          <w:sz w:val="24"/>
          <w:szCs w:val="24"/>
        </w:rPr>
        <w:t>按合同金额的5%作为考核款。其中招标完成后以项目的</w:t>
      </w:r>
      <w:r>
        <w:rPr>
          <w:rFonts w:ascii="仿宋" w:hAnsi="仿宋" w:eastAsia="仿宋"/>
          <w:bCs/>
          <w:sz w:val="24"/>
          <w:szCs w:val="24"/>
        </w:rPr>
        <w:t>1</w:t>
      </w:r>
      <w:r>
        <w:rPr>
          <w:rFonts w:hint="eastAsia" w:ascii="仿宋" w:hAnsi="仿宋" w:eastAsia="仿宋"/>
          <w:bCs/>
          <w:sz w:val="24"/>
          <w:szCs w:val="24"/>
        </w:rPr>
        <w:t>%合同金额作为考核款，项目建设阶段以项目的</w:t>
      </w:r>
      <w:r>
        <w:rPr>
          <w:rFonts w:ascii="仿宋" w:hAnsi="仿宋" w:eastAsia="仿宋"/>
          <w:bCs/>
          <w:sz w:val="24"/>
          <w:szCs w:val="24"/>
        </w:rPr>
        <w:t>1</w:t>
      </w:r>
      <w:r>
        <w:rPr>
          <w:rFonts w:hint="eastAsia" w:ascii="仿宋" w:hAnsi="仿宋" w:eastAsia="仿宋"/>
          <w:bCs/>
          <w:sz w:val="24"/>
          <w:szCs w:val="24"/>
        </w:rPr>
        <w:t>%合同金额作为考核款，赛事运行保障阶段以项目的</w:t>
      </w:r>
      <w:r>
        <w:rPr>
          <w:rFonts w:ascii="仿宋" w:hAnsi="仿宋" w:eastAsia="仿宋"/>
          <w:bCs/>
          <w:sz w:val="24"/>
          <w:szCs w:val="24"/>
        </w:rPr>
        <w:t>2</w:t>
      </w:r>
      <w:r>
        <w:rPr>
          <w:rFonts w:hint="eastAsia" w:ascii="仿宋" w:hAnsi="仿宋" w:eastAsia="仿宋"/>
          <w:bCs/>
          <w:sz w:val="24"/>
          <w:szCs w:val="24"/>
        </w:rPr>
        <w:t>%合同金额作为考核款，赛事收尾阶段以项目的</w:t>
      </w:r>
      <w:r>
        <w:rPr>
          <w:rFonts w:ascii="仿宋" w:hAnsi="仿宋" w:eastAsia="仿宋"/>
          <w:bCs/>
          <w:sz w:val="24"/>
          <w:szCs w:val="24"/>
        </w:rPr>
        <w:t>1</w:t>
      </w:r>
      <w:r>
        <w:rPr>
          <w:rFonts w:hint="eastAsia" w:ascii="仿宋" w:hAnsi="仿宋" w:eastAsia="仿宋"/>
          <w:bCs/>
          <w:sz w:val="24"/>
          <w:szCs w:val="24"/>
        </w:rPr>
        <w:t>%合同金额作为考核款。</w:t>
      </w:r>
    </w:p>
    <w:p>
      <w:pPr>
        <w:spacing w:line="276" w:lineRule="auto"/>
        <w:ind w:firstLine="560"/>
        <w:rPr>
          <w:rFonts w:ascii="仿宋" w:hAnsi="仿宋" w:eastAsia="仿宋"/>
          <w:bCs/>
          <w:sz w:val="24"/>
          <w:szCs w:val="24"/>
        </w:rPr>
      </w:pPr>
      <w:r>
        <w:rPr>
          <w:rFonts w:hint="eastAsia" w:ascii="仿宋" w:hAnsi="仿宋" w:eastAsia="仿宋"/>
          <w:bCs/>
          <w:sz w:val="24"/>
          <w:szCs w:val="24"/>
        </w:rPr>
        <w:t>第一档：考核得分在</w:t>
      </w:r>
      <w:r>
        <w:rPr>
          <w:rFonts w:ascii="仿宋" w:hAnsi="仿宋" w:eastAsia="仿宋"/>
          <w:bCs/>
          <w:sz w:val="24"/>
          <w:szCs w:val="24"/>
        </w:rPr>
        <w:t>85</w:t>
      </w:r>
      <w:r>
        <w:rPr>
          <w:rFonts w:hint="eastAsia" w:ascii="仿宋" w:hAnsi="仿宋" w:eastAsia="仿宋"/>
          <w:bCs/>
          <w:sz w:val="24"/>
          <w:szCs w:val="24"/>
        </w:rPr>
        <w:t>分及以上，则视为考核通过，按全额支付考核款；</w:t>
      </w:r>
    </w:p>
    <w:p>
      <w:pPr>
        <w:spacing w:line="276" w:lineRule="auto"/>
        <w:ind w:firstLine="560"/>
        <w:rPr>
          <w:rFonts w:ascii="仿宋" w:hAnsi="仿宋" w:eastAsia="仿宋"/>
          <w:color w:val="FF0000"/>
          <w:sz w:val="24"/>
          <w:szCs w:val="24"/>
        </w:rPr>
      </w:pPr>
      <w:r>
        <w:rPr>
          <w:rFonts w:hint="eastAsia" w:ascii="仿宋" w:hAnsi="仿宋" w:eastAsia="仿宋"/>
          <w:bCs/>
          <w:sz w:val="24"/>
          <w:szCs w:val="24"/>
        </w:rPr>
        <w:t>第二档：考核得分小于</w:t>
      </w:r>
      <w:r>
        <w:rPr>
          <w:rFonts w:ascii="仿宋" w:hAnsi="仿宋" w:eastAsia="仿宋"/>
          <w:bCs/>
          <w:sz w:val="24"/>
          <w:szCs w:val="24"/>
        </w:rPr>
        <w:t>85</w:t>
      </w:r>
      <w:r>
        <w:rPr>
          <w:rFonts w:hint="eastAsia" w:ascii="仿宋" w:hAnsi="仿宋" w:eastAsia="仿宋"/>
          <w:bCs/>
          <w:sz w:val="24"/>
          <w:szCs w:val="24"/>
        </w:rPr>
        <w:t>分，则按照考核款*(实际分数)%支付考核款</w:t>
      </w:r>
      <w:r>
        <w:rPr>
          <w:rFonts w:hint="eastAsia" w:ascii="仿宋" w:hAnsi="仿宋" w:eastAsia="仿宋"/>
          <w:color w:val="FF0000"/>
          <w:sz w:val="24"/>
          <w:szCs w:val="24"/>
        </w:rPr>
        <w:t xml:space="preserve">。 </w:t>
      </w:r>
    </w:p>
    <w:bookmarkEnd w:id="36"/>
    <w:p>
      <w:pPr>
        <w:keepNext/>
        <w:keepLines/>
        <w:numPr>
          <w:ilvl w:val="1"/>
          <w:numId w:val="0"/>
        </w:numPr>
        <w:spacing w:before="240" w:beforeLines="100" w:line="276" w:lineRule="auto"/>
        <w:ind w:right="-29" w:rightChars="-14"/>
        <w:outlineLvl w:val="1"/>
        <w:rPr>
          <w:rFonts w:ascii="仿宋" w:hAnsi="仿宋" w:eastAsia="仿宋"/>
          <w:b/>
          <w:bCs/>
          <w:sz w:val="28"/>
          <w:szCs w:val="24"/>
        </w:rPr>
      </w:pPr>
      <w:bookmarkStart w:id="37" w:name="_Toc55199070"/>
      <w:r>
        <w:rPr>
          <w:rFonts w:hint="eastAsia" w:ascii="仿宋" w:hAnsi="仿宋" w:eastAsia="仿宋"/>
          <w:b/>
          <w:bCs/>
          <w:sz w:val="28"/>
          <w:szCs w:val="24"/>
        </w:rPr>
        <w:t>1.8 付款方式</w:t>
      </w:r>
      <w:bookmarkEnd w:id="37"/>
    </w:p>
    <w:p>
      <w:pPr>
        <w:spacing w:line="276" w:lineRule="auto"/>
        <w:ind w:firstLine="560"/>
        <w:rPr>
          <w:rFonts w:ascii="仿宋" w:hAnsi="仿宋" w:eastAsia="仿宋"/>
          <w:sz w:val="24"/>
          <w:szCs w:val="24"/>
        </w:rPr>
      </w:pPr>
      <w:r>
        <w:rPr>
          <w:rFonts w:hint="eastAsia" w:ascii="仿宋" w:hAnsi="仿宋" w:eastAsia="仿宋"/>
          <w:bCs/>
          <w:sz w:val="24"/>
          <w:szCs w:val="24"/>
        </w:rPr>
        <w:t>按照合同约定执行。</w:t>
      </w:r>
    </w:p>
    <w:p>
      <w:pPr>
        <w:keepNext/>
        <w:keepLines/>
        <w:numPr>
          <w:ilvl w:val="1"/>
          <w:numId w:val="0"/>
        </w:numPr>
        <w:spacing w:before="240" w:beforeLines="100" w:line="276" w:lineRule="auto"/>
        <w:ind w:right="-29" w:rightChars="-14"/>
        <w:outlineLvl w:val="1"/>
        <w:rPr>
          <w:rFonts w:ascii="仿宋" w:hAnsi="仿宋" w:eastAsia="仿宋"/>
          <w:b/>
          <w:bCs/>
          <w:sz w:val="28"/>
          <w:szCs w:val="24"/>
        </w:rPr>
      </w:pPr>
      <w:bookmarkStart w:id="38" w:name="_Toc55199071"/>
      <w:r>
        <w:rPr>
          <w:rFonts w:hint="eastAsia" w:ascii="仿宋" w:hAnsi="仿宋" w:eastAsia="仿宋"/>
          <w:b/>
          <w:bCs/>
          <w:sz w:val="28"/>
          <w:szCs w:val="24"/>
        </w:rPr>
        <w:t>1.9违约责任</w:t>
      </w:r>
      <w:bookmarkEnd w:id="38"/>
    </w:p>
    <w:p>
      <w:pPr>
        <w:spacing w:line="276" w:lineRule="auto"/>
        <w:ind w:firstLine="560"/>
        <w:rPr>
          <w:rFonts w:ascii="仿宋" w:hAnsi="仿宋" w:eastAsia="仿宋"/>
          <w:sz w:val="24"/>
          <w:szCs w:val="24"/>
        </w:rPr>
      </w:pPr>
      <w:r>
        <w:rPr>
          <w:rFonts w:hint="eastAsia" w:ascii="仿宋" w:hAnsi="仿宋" w:eastAsia="仿宋"/>
          <w:sz w:val="24"/>
          <w:szCs w:val="24"/>
        </w:rPr>
        <w:t>一、甲乙双方应遵守并执行合同中的各项规定，保证合同的正常履行。</w:t>
      </w:r>
    </w:p>
    <w:p>
      <w:pPr>
        <w:spacing w:after="240" w:afterLines="100" w:line="276" w:lineRule="auto"/>
        <w:ind w:firstLine="561"/>
        <w:rPr>
          <w:rFonts w:ascii="仿宋" w:hAnsi="仿宋" w:eastAsia="仿宋"/>
          <w:sz w:val="24"/>
          <w:szCs w:val="24"/>
        </w:rPr>
      </w:pPr>
      <w:r>
        <w:rPr>
          <w:rFonts w:hint="eastAsia" w:ascii="仿宋" w:hAnsi="仿宋" w:eastAsia="仿宋"/>
          <w:sz w:val="24"/>
          <w:szCs w:val="24"/>
        </w:rPr>
        <w:t>二、如因乙方工作人员在履行职务过程中出现影响甲方正常交易的情况，应当按照合同考核方式执行。由此而导致的甲方对任何第三方的法律责任等，乙方对此均应承担全部的赔偿责任。</w:t>
      </w:r>
    </w:p>
    <w:p>
      <w:pPr>
        <w:spacing w:line="276" w:lineRule="auto"/>
        <w:ind w:firstLine="560"/>
        <w:rPr>
          <w:rFonts w:ascii="仿宋" w:hAnsi="仿宋" w:eastAsia="仿宋"/>
          <w:sz w:val="24"/>
          <w:szCs w:val="24"/>
        </w:rPr>
      </w:pPr>
      <w:bookmarkStart w:id="39" w:name="_Toc55199072"/>
    </w:p>
    <w:p>
      <w:pPr>
        <w:keepNext/>
        <w:keepLines/>
        <w:numPr>
          <w:ilvl w:val="1"/>
          <w:numId w:val="0"/>
        </w:numPr>
        <w:spacing w:line="276" w:lineRule="auto"/>
        <w:ind w:right="-29" w:rightChars="-14"/>
        <w:outlineLvl w:val="1"/>
        <w:rPr>
          <w:rFonts w:ascii="仿宋" w:hAnsi="仿宋" w:eastAsia="仿宋"/>
          <w:b/>
          <w:bCs/>
          <w:sz w:val="28"/>
          <w:szCs w:val="28"/>
          <w:u w:val="single"/>
        </w:rPr>
      </w:pPr>
      <w:r>
        <w:rPr>
          <w:rFonts w:ascii="仿宋" w:hAnsi="仿宋" w:eastAsia="仿宋"/>
          <w:b/>
          <w:bCs/>
          <w:sz w:val="28"/>
          <w:szCs w:val="28"/>
        </w:rPr>
        <w:t>1.10</w:t>
      </w:r>
      <w:r>
        <w:rPr>
          <w:rFonts w:ascii="仿宋" w:hAnsi="仿宋" w:eastAsia="仿宋"/>
          <w:bCs/>
          <w:sz w:val="28"/>
          <w:szCs w:val="28"/>
        </w:rPr>
        <w:t xml:space="preserve"> </w:t>
      </w:r>
      <w:r>
        <w:rPr>
          <w:rFonts w:hint="eastAsia" w:ascii="仿宋" w:hAnsi="仿宋" w:eastAsia="仿宋"/>
          <w:bCs/>
          <w:sz w:val="28"/>
          <w:szCs w:val="28"/>
        </w:rPr>
        <w:t>▲</w:t>
      </w:r>
      <w:r>
        <w:rPr>
          <w:rFonts w:hint="eastAsia" w:ascii="仿宋" w:hAnsi="仿宋" w:eastAsia="仿宋"/>
          <w:b/>
          <w:sz w:val="28"/>
          <w:szCs w:val="28"/>
          <w:u w:val="single"/>
        </w:rPr>
        <w:t>投标人须对以下要求单独做出承诺函（承诺函格式自拟）</w:t>
      </w:r>
    </w:p>
    <w:p>
      <w:pPr>
        <w:spacing w:line="276" w:lineRule="auto"/>
        <w:ind w:firstLine="560"/>
        <w:rPr>
          <w:rFonts w:ascii="仿宋" w:hAnsi="仿宋" w:eastAsia="仿宋"/>
          <w:b/>
          <w:sz w:val="24"/>
          <w:szCs w:val="24"/>
        </w:rPr>
      </w:pPr>
      <w:r>
        <w:rPr>
          <w:rFonts w:hint="eastAsia" w:ascii="仿宋" w:hAnsi="仿宋" w:eastAsia="仿宋"/>
          <w:b/>
          <w:sz w:val="24"/>
          <w:szCs w:val="24"/>
        </w:rPr>
        <w:t>一、投标人应承诺为本项目提供的所有服务符合现行的强制性国家相关标准、行业标准。</w:t>
      </w:r>
    </w:p>
    <w:p>
      <w:pPr>
        <w:spacing w:line="276" w:lineRule="auto"/>
        <w:ind w:firstLine="560"/>
        <w:rPr>
          <w:rFonts w:ascii="仿宋" w:hAnsi="仿宋" w:eastAsia="仿宋"/>
          <w:b/>
          <w:sz w:val="24"/>
          <w:szCs w:val="24"/>
        </w:rPr>
      </w:pPr>
      <w:r>
        <w:rPr>
          <w:rFonts w:hint="eastAsia" w:ascii="仿宋" w:hAnsi="仿宋" w:eastAsia="仿宋"/>
          <w:b/>
          <w:sz w:val="24"/>
          <w:szCs w:val="24"/>
        </w:rPr>
        <w:t>二、投标人对本项目所提供内容进行总负责、总兜底（对招标范围内的项目规模与数量进行总负责、总兜底）。</w:t>
      </w:r>
    </w:p>
    <w:p>
      <w:pPr>
        <w:spacing w:line="276" w:lineRule="auto"/>
        <w:ind w:firstLine="560"/>
        <w:rPr>
          <w:rFonts w:ascii="仿宋" w:hAnsi="仿宋" w:eastAsia="仿宋"/>
          <w:b/>
          <w:sz w:val="24"/>
          <w:szCs w:val="24"/>
        </w:rPr>
      </w:pPr>
      <w:r>
        <w:rPr>
          <w:rFonts w:hint="eastAsia" w:ascii="仿宋" w:hAnsi="仿宋" w:eastAsia="仿宋"/>
          <w:b/>
          <w:sz w:val="24"/>
          <w:szCs w:val="24"/>
        </w:rPr>
        <w:t>三、投标人提供服务的基础软件应合法取得软件使用权。</w:t>
      </w:r>
    </w:p>
    <w:p>
      <w:pPr>
        <w:spacing w:line="276" w:lineRule="auto"/>
        <w:ind w:firstLine="560"/>
        <w:rPr>
          <w:rFonts w:ascii="仿宋" w:hAnsi="仿宋" w:eastAsia="仿宋"/>
          <w:b/>
          <w:sz w:val="24"/>
          <w:szCs w:val="24"/>
        </w:rPr>
      </w:pPr>
      <w:r>
        <w:rPr>
          <w:rFonts w:hint="eastAsia" w:ascii="仿宋" w:hAnsi="仿宋" w:eastAsia="仿宋"/>
          <w:b/>
          <w:sz w:val="24"/>
          <w:szCs w:val="24"/>
        </w:rPr>
        <w:t>四、投标人将系统数据进行留存及移交，并负责本项目中综合运行管理（M</w:t>
      </w:r>
      <w:r>
        <w:rPr>
          <w:rFonts w:ascii="仿宋" w:hAnsi="仿宋" w:eastAsia="仿宋"/>
          <w:b/>
          <w:sz w:val="24"/>
          <w:szCs w:val="24"/>
        </w:rPr>
        <w:t>OC</w:t>
      </w:r>
      <w:r>
        <w:rPr>
          <w:rFonts w:hint="eastAsia" w:ascii="仿宋" w:hAnsi="仿宋" w:eastAsia="仿宋"/>
          <w:b/>
          <w:sz w:val="24"/>
          <w:szCs w:val="24"/>
        </w:rPr>
        <w:t>）系统的数据对接工作。</w:t>
      </w:r>
    </w:p>
    <w:p>
      <w:pPr>
        <w:spacing w:line="276" w:lineRule="auto"/>
        <w:ind w:firstLine="560"/>
        <w:rPr>
          <w:rFonts w:ascii="仿宋" w:hAnsi="仿宋" w:eastAsia="仿宋"/>
          <w:b/>
          <w:sz w:val="24"/>
          <w:szCs w:val="24"/>
        </w:rPr>
      </w:pPr>
      <w:r>
        <w:rPr>
          <w:rFonts w:hint="eastAsia" w:ascii="仿宋" w:hAnsi="仿宋" w:eastAsia="仿宋"/>
          <w:b/>
          <w:sz w:val="24"/>
          <w:szCs w:val="24"/>
        </w:rPr>
        <w:t>五、投标人应配合第三方安全厂家进行网络信息安全建设。</w:t>
      </w:r>
    </w:p>
    <w:p>
      <w:pPr>
        <w:spacing w:line="276" w:lineRule="auto"/>
        <w:ind w:firstLine="560"/>
        <w:rPr>
          <w:rFonts w:ascii="仿宋" w:hAnsi="仿宋" w:eastAsia="仿宋"/>
          <w:b/>
          <w:sz w:val="24"/>
          <w:szCs w:val="24"/>
        </w:rPr>
      </w:pPr>
      <w:r>
        <w:rPr>
          <w:rFonts w:hint="eastAsia" w:ascii="仿宋" w:hAnsi="仿宋" w:eastAsia="仿宋"/>
          <w:b/>
          <w:sz w:val="24"/>
          <w:szCs w:val="24"/>
        </w:rPr>
        <w:t>六、投标人应承诺为本项目提供服务所需的产品（属于节能产品政府采购品目清单的）应具有国家确定的认证机构出具的处于有效期之内的节能产品认证证书。</w:t>
      </w:r>
    </w:p>
    <w:p>
      <w:pPr>
        <w:spacing w:line="276" w:lineRule="auto"/>
        <w:ind w:firstLine="560"/>
        <w:rPr>
          <w:rFonts w:ascii="仿宋" w:hAnsi="仿宋" w:eastAsia="仿宋"/>
          <w:b/>
          <w:sz w:val="24"/>
          <w:szCs w:val="24"/>
        </w:rPr>
      </w:pPr>
      <w:r>
        <w:rPr>
          <w:rFonts w:hint="eastAsia" w:ascii="仿宋" w:hAnsi="仿宋" w:eastAsia="仿宋"/>
          <w:b/>
          <w:sz w:val="24"/>
          <w:szCs w:val="24"/>
        </w:rPr>
        <w:t>七、投标人应承诺为本项目提供服务的所需的所有产品、辅材中属于《国家强制性产品认证目录》范围内的，均通过国家强制性产品认证并取得认证证书。</w:t>
      </w:r>
    </w:p>
    <w:p>
      <w:pPr>
        <w:spacing w:line="276" w:lineRule="auto"/>
        <w:ind w:firstLine="560"/>
        <w:rPr>
          <w:rFonts w:ascii="仿宋" w:hAnsi="仿宋" w:eastAsia="仿宋"/>
          <w:b/>
          <w:sz w:val="24"/>
          <w:szCs w:val="24"/>
        </w:rPr>
      </w:pPr>
      <w:r>
        <w:rPr>
          <w:rFonts w:hint="eastAsia" w:ascii="仿宋" w:hAnsi="仿宋" w:eastAsia="仿宋"/>
          <w:b/>
          <w:sz w:val="24"/>
          <w:szCs w:val="24"/>
        </w:rPr>
        <w:t>八、投标人承诺如果因最终用户原因导致交付不能按时进行，将按延期时间顺延交付。</w:t>
      </w:r>
    </w:p>
    <w:bookmarkEnd w:id="39"/>
    <w:p>
      <w:pPr>
        <w:spacing w:line="276" w:lineRule="auto"/>
        <w:ind w:firstLine="560"/>
        <w:rPr>
          <w:rFonts w:ascii="仿宋" w:hAnsi="仿宋" w:eastAsia="仿宋"/>
          <w:b/>
          <w:sz w:val="24"/>
          <w:szCs w:val="24"/>
        </w:rPr>
      </w:pPr>
    </w:p>
    <w:p>
      <w:pPr>
        <w:keepNext/>
        <w:keepLines/>
        <w:numPr>
          <w:ilvl w:val="1"/>
          <w:numId w:val="0"/>
        </w:numPr>
        <w:spacing w:line="276" w:lineRule="auto"/>
        <w:ind w:right="-29" w:rightChars="-14"/>
        <w:outlineLvl w:val="1"/>
        <w:rPr>
          <w:rFonts w:ascii="仿宋" w:hAnsi="仿宋" w:eastAsia="仿宋"/>
          <w:b/>
          <w:bCs/>
          <w:color w:val="FF0000"/>
          <w:sz w:val="36"/>
          <w:szCs w:val="24"/>
        </w:rPr>
      </w:pPr>
      <w:r>
        <w:rPr>
          <w:rFonts w:hint="eastAsia" w:ascii="仿宋" w:hAnsi="仿宋" w:eastAsia="仿宋"/>
          <w:b/>
          <w:bCs/>
          <w:color w:val="FF0000"/>
          <w:sz w:val="36"/>
          <w:szCs w:val="24"/>
        </w:rPr>
        <w:t>标项2需求文档</w:t>
      </w:r>
    </w:p>
    <w:p>
      <w:pPr>
        <w:spacing w:line="276" w:lineRule="auto"/>
        <w:ind w:firstLine="560"/>
        <w:rPr>
          <w:rFonts w:ascii="仿宋" w:hAnsi="仿宋" w:eastAsia="仿宋"/>
          <w:b/>
          <w:sz w:val="24"/>
          <w:szCs w:val="24"/>
        </w:rPr>
      </w:pPr>
    </w:p>
    <w:p>
      <w:pPr>
        <w:keepNext/>
        <w:keepLines/>
        <w:numPr>
          <w:ilvl w:val="1"/>
          <w:numId w:val="0"/>
        </w:numPr>
        <w:spacing w:line="276" w:lineRule="auto"/>
        <w:ind w:right="-29" w:rightChars="-14"/>
        <w:outlineLvl w:val="1"/>
        <w:rPr>
          <w:rFonts w:ascii="仿宋" w:hAnsi="仿宋" w:eastAsia="仿宋"/>
          <w:b/>
          <w:bCs/>
          <w:sz w:val="28"/>
          <w:szCs w:val="24"/>
        </w:rPr>
      </w:pPr>
      <w:r>
        <w:rPr>
          <w:rFonts w:hint="eastAsia" w:ascii="仿宋" w:hAnsi="仿宋" w:eastAsia="仿宋"/>
          <w:b/>
          <w:bCs/>
          <w:sz w:val="28"/>
          <w:szCs w:val="24"/>
        </w:rPr>
        <w:t>1.1项目概况</w:t>
      </w:r>
    </w:p>
    <w:p>
      <w:pPr>
        <w:spacing w:line="276" w:lineRule="auto"/>
        <w:ind w:firstLine="560"/>
        <w:rPr>
          <w:rFonts w:ascii="仿宋" w:hAnsi="仿宋" w:eastAsia="仿宋"/>
          <w:sz w:val="24"/>
          <w:szCs w:val="24"/>
        </w:rPr>
      </w:pPr>
      <w:r>
        <w:rPr>
          <w:rFonts w:hint="eastAsia" w:ascii="仿宋" w:hAnsi="仿宋" w:eastAsia="仿宋"/>
          <w:sz w:val="24"/>
          <w:szCs w:val="24"/>
        </w:rPr>
        <w:t>世界大学生夏季运动会（以下简称“大运会”）是国际大学生体育联合会主办的世界性综合性运动会，每两年举办一届。2018年12月13日，国际大学生体育联合会（以下简称“国际大体联”）与成都市、中国大学生体育协会共同签署成都2021年第31届世界大学生夏季运动会举办权意向协议，成都成功获得2021年第31届世界大学生夏季运动会举办权。</w:t>
      </w:r>
    </w:p>
    <w:p>
      <w:pPr>
        <w:spacing w:line="276" w:lineRule="auto"/>
        <w:ind w:firstLine="560"/>
        <w:rPr>
          <w:rFonts w:ascii="仿宋" w:hAnsi="仿宋" w:eastAsia="仿宋"/>
          <w:sz w:val="24"/>
          <w:szCs w:val="24"/>
        </w:rPr>
      </w:pPr>
      <w:r>
        <w:rPr>
          <w:rFonts w:hint="eastAsia" w:ascii="仿宋" w:hAnsi="仿宋" w:eastAsia="仿宋"/>
          <w:sz w:val="24"/>
          <w:szCs w:val="24"/>
        </w:rPr>
        <w:t>第31届世界大学生夏季运动会在比赛项目设置上，确定了共18个正式比赛项目，其中包括体操、游泳、羽毛球、田径、击剑、乒乓球、篮球、排球、柔道、射箭、水球、跆拳道、跳水、网球、艺术体操15个必选项目和武术、赛艇、射击3个自选项目。</w:t>
      </w:r>
    </w:p>
    <w:p>
      <w:pPr>
        <w:spacing w:line="276" w:lineRule="auto"/>
        <w:ind w:firstLine="560"/>
        <w:rPr>
          <w:rFonts w:ascii="仿宋" w:hAnsi="仿宋" w:eastAsia="仿宋"/>
          <w:sz w:val="24"/>
          <w:szCs w:val="24"/>
        </w:rPr>
      </w:pPr>
      <w:r>
        <w:rPr>
          <w:rFonts w:hint="eastAsia" w:ascii="仿宋" w:hAnsi="仿宋" w:eastAsia="仿宋"/>
          <w:sz w:val="24"/>
          <w:szCs w:val="24"/>
        </w:rPr>
        <w:t>根据第31届世界大学生夏季运动会场馆布局，本次大运会初步计划使用49个场馆（其中新建场馆13个，维修改造场馆36个。分布于成都市16个区（市）县，对应18个竞赛项目的比赛和训练需求）。</w:t>
      </w:r>
    </w:p>
    <w:p>
      <w:pPr>
        <w:spacing w:after="240" w:afterLines="100" w:line="276" w:lineRule="auto"/>
        <w:ind w:firstLine="561"/>
        <w:rPr>
          <w:rFonts w:ascii="仿宋" w:hAnsi="仿宋" w:eastAsia="仿宋"/>
          <w:sz w:val="24"/>
          <w:szCs w:val="24"/>
        </w:rPr>
      </w:pPr>
      <w:r>
        <w:rPr>
          <w:rFonts w:hint="eastAsia" w:ascii="仿宋" w:hAnsi="仿宋" w:eastAsia="仿宋"/>
          <w:sz w:val="24"/>
          <w:szCs w:val="24"/>
        </w:rPr>
        <w:t>本项目以购买服务方式招标，合同履行期限从合同生效之日起至赛事收尾验收审计结束。</w:t>
      </w:r>
    </w:p>
    <w:p>
      <w:pPr>
        <w:keepNext/>
        <w:keepLines/>
        <w:numPr>
          <w:ilvl w:val="1"/>
          <w:numId w:val="0"/>
        </w:numPr>
        <w:spacing w:line="276" w:lineRule="auto"/>
        <w:ind w:right="-29" w:rightChars="-14"/>
        <w:outlineLvl w:val="1"/>
        <w:rPr>
          <w:rFonts w:ascii="仿宋" w:hAnsi="仿宋" w:eastAsia="仿宋"/>
          <w:b/>
          <w:bCs/>
          <w:sz w:val="28"/>
          <w:szCs w:val="24"/>
        </w:rPr>
      </w:pPr>
      <w:r>
        <w:rPr>
          <w:rFonts w:hint="eastAsia" w:ascii="仿宋" w:hAnsi="仿宋" w:eastAsia="仿宋"/>
          <w:b/>
          <w:bCs/>
          <w:sz w:val="28"/>
          <w:szCs w:val="24"/>
        </w:rPr>
        <w:t xml:space="preserve">1.2服务范围 </w:t>
      </w:r>
    </w:p>
    <w:p>
      <w:pPr>
        <w:spacing w:line="276" w:lineRule="auto"/>
        <w:ind w:firstLine="560"/>
        <w:rPr>
          <w:rFonts w:ascii="仿宋" w:hAnsi="仿宋" w:eastAsia="仿宋"/>
          <w:sz w:val="24"/>
          <w:szCs w:val="24"/>
        </w:rPr>
      </w:pPr>
      <w:r>
        <w:rPr>
          <w:rFonts w:hint="eastAsia" w:ascii="仿宋" w:hAnsi="仿宋" w:eastAsia="仿宋"/>
          <w:sz w:val="24"/>
          <w:szCs w:val="24"/>
        </w:rPr>
        <w:t>计时记分项目系统服务包括：计时记分系统将为大运会竞速类、评分类、记分类、对抗类共计1</w:t>
      </w:r>
      <w:r>
        <w:rPr>
          <w:rFonts w:ascii="仿宋" w:hAnsi="仿宋" w:eastAsia="仿宋"/>
          <w:sz w:val="24"/>
          <w:szCs w:val="24"/>
        </w:rPr>
        <w:t>7</w:t>
      </w:r>
      <w:r>
        <w:rPr>
          <w:rFonts w:hint="eastAsia" w:ascii="仿宋" w:hAnsi="仿宋" w:eastAsia="仿宋"/>
          <w:sz w:val="24"/>
          <w:szCs w:val="24"/>
        </w:rPr>
        <w:t>个项目提供计时记分服务，包括赛事过程中的计时记分设备部署、测试与操作、计时记分数据的采集、传输及专业显示屏显示等多项内容。赛时通过使用运行专业的计时记分设备及软件，保障赛事的成绩采集精准无误，第一时间为成绩处理系统提供相应数据。</w:t>
      </w:r>
    </w:p>
    <w:p>
      <w:pPr>
        <w:keepNext/>
        <w:keepLines/>
        <w:numPr>
          <w:ilvl w:val="1"/>
          <w:numId w:val="0"/>
        </w:numPr>
        <w:spacing w:before="240" w:beforeLines="100" w:line="276" w:lineRule="auto"/>
        <w:ind w:right="-29" w:rightChars="-14"/>
        <w:outlineLvl w:val="1"/>
        <w:rPr>
          <w:rFonts w:ascii="仿宋" w:hAnsi="仿宋" w:eastAsia="仿宋"/>
          <w:b/>
          <w:bCs/>
          <w:sz w:val="28"/>
          <w:szCs w:val="24"/>
        </w:rPr>
      </w:pPr>
      <w:r>
        <w:rPr>
          <w:rFonts w:hint="eastAsia" w:ascii="仿宋" w:hAnsi="仿宋" w:eastAsia="仿宋"/>
          <w:b/>
          <w:bCs/>
          <w:sz w:val="28"/>
          <w:szCs w:val="24"/>
        </w:rPr>
        <w:t>1.3系统服务要求</w:t>
      </w:r>
    </w:p>
    <w:p>
      <w:pPr>
        <w:spacing w:line="276" w:lineRule="auto"/>
        <w:ind w:firstLine="560"/>
        <w:rPr>
          <w:rFonts w:ascii="仿宋" w:hAnsi="仿宋" w:eastAsia="仿宋"/>
          <w:b/>
          <w:sz w:val="24"/>
          <w:szCs w:val="24"/>
        </w:rPr>
      </w:pPr>
      <w:r>
        <w:rPr>
          <w:rFonts w:hint="eastAsia" w:ascii="仿宋" w:hAnsi="仿宋" w:eastAsia="仿宋"/>
          <w:b/>
          <w:sz w:val="24"/>
          <w:szCs w:val="24"/>
          <w:u w:val="single"/>
        </w:rPr>
        <w:t>▲中标人所提供的计时记分系统服务需满足国际大体联、国际（国内）单项体育联合协会的要求</w:t>
      </w:r>
      <w:r>
        <w:rPr>
          <w:rFonts w:hint="eastAsia" w:ascii="仿宋" w:hAnsi="仿宋" w:eastAsia="仿宋" w:cs="宋体"/>
          <w:kern w:val="0"/>
          <w:sz w:val="24"/>
          <w:szCs w:val="24"/>
          <w:lang w:bidi="ar"/>
        </w:rPr>
        <w:t>▲</w:t>
      </w:r>
      <w:r>
        <w:rPr>
          <w:rFonts w:hint="eastAsia" w:ascii="仿宋" w:hAnsi="仿宋" w:eastAsia="仿宋"/>
          <w:b/>
          <w:sz w:val="24"/>
          <w:szCs w:val="24"/>
        </w:rPr>
        <w:t>。</w:t>
      </w:r>
    </w:p>
    <w:p>
      <w:pPr>
        <w:keepNext/>
        <w:keepLines/>
        <w:numPr>
          <w:ilvl w:val="0"/>
          <w:numId w:val="36"/>
        </w:numPr>
        <w:tabs>
          <w:tab w:val="left" w:pos="480"/>
        </w:tabs>
        <w:spacing w:line="276" w:lineRule="auto"/>
        <w:outlineLvl w:val="2"/>
        <w:rPr>
          <w:rFonts w:ascii="仿宋" w:hAnsi="仿宋" w:eastAsia="仿宋"/>
          <w:b/>
          <w:kern w:val="0"/>
          <w:sz w:val="24"/>
          <w:szCs w:val="24"/>
        </w:rPr>
      </w:pPr>
      <w:r>
        <w:rPr>
          <w:rFonts w:hint="eastAsia" w:ascii="仿宋" w:hAnsi="仿宋" w:eastAsia="仿宋"/>
          <w:b/>
          <w:kern w:val="0"/>
          <w:sz w:val="24"/>
          <w:szCs w:val="24"/>
        </w:rPr>
        <w:t>计时记分系统</w:t>
      </w:r>
    </w:p>
    <w:p>
      <w:pPr>
        <w:keepNext/>
        <w:keepLines/>
        <w:spacing w:before="120" w:after="120" w:line="377" w:lineRule="auto"/>
        <w:outlineLvl w:val="4"/>
        <w:rPr>
          <w:rFonts w:ascii="仿宋" w:hAnsi="仿宋" w:eastAsia="仿宋"/>
          <w:b/>
          <w:bCs/>
          <w:sz w:val="24"/>
          <w:szCs w:val="24"/>
        </w:rPr>
      </w:pPr>
      <w:r>
        <w:rPr>
          <w:rFonts w:hint="eastAsia" w:ascii="仿宋" w:hAnsi="仿宋" w:eastAsia="仿宋"/>
          <w:b/>
          <w:bCs/>
          <w:sz w:val="24"/>
          <w:szCs w:val="24"/>
        </w:rPr>
        <w:t>功能描述：</w:t>
      </w:r>
    </w:p>
    <w:p>
      <w:pPr>
        <w:spacing w:line="276" w:lineRule="auto"/>
        <w:ind w:firstLine="560"/>
        <w:rPr>
          <w:rFonts w:ascii="仿宋" w:hAnsi="仿宋" w:eastAsia="仿宋"/>
          <w:sz w:val="24"/>
          <w:szCs w:val="24"/>
        </w:rPr>
      </w:pPr>
      <w:r>
        <w:rPr>
          <w:rFonts w:hint="eastAsia" w:ascii="仿宋" w:hAnsi="仿宋" w:eastAsia="仿宋"/>
          <w:sz w:val="24"/>
          <w:szCs w:val="24"/>
        </w:rPr>
        <w:t>计时记分系统需要为成都大运会包括体操、游泳、羽毛球、田径、击剑、乒乓球、篮球、排球、柔道、射箭、水球、跆拳道、跳水、网球、艺术体操、武术、赛艇等</w:t>
      </w:r>
      <w:r>
        <w:rPr>
          <w:rFonts w:hint="eastAsia" w:ascii="仿宋" w:hAnsi="仿宋" w:eastAsia="仿宋"/>
          <w:b/>
          <w:bCs/>
          <w:sz w:val="24"/>
          <w:szCs w:val="24"/>
        </w:rPr>
        <w:t>1</w:t>
      </w:r>
      <w:r>
        <w:rPr>
          <w:rFonts w:ascii="仿宋" w:hAnsi="仿宋" w:eastAsia="仿宋"/>
          <w:b/>
          <w:bCs/>
          <w:sz w:val="24"/>
          <w:szCs w:val="24"/>
        </w:rPr>
        <w:t>7</w:t>
      </w:r>
      <w:r>
        <w:rPr>
          <w:rFonts w:hint="eastAsia" w:ascii="仿宋" w:hAnsi="仿宋" w:eastAsia="仿宋"/>
          <w:b/>
          <w:bCs/>
          <w:sz w:val="24"/>
          <w:szCs w:val="24"/>
        </w:rPr>
        <w:t>个单项</w:t>
      </w:r>
      <w:r>
        <w:rPr>
          <w:rFonts w:hint="eastAsia" w:ascii="仿宋" w:hAnsi="仿宋" w:eastAsia="仿宋"/>
          <w:sz w:val="24"/>
          <w:szCs w:val="24"/>
        </w:rPr>
        <w:t>的竞速类、评分类、记分类、对抗类项目提供计时记分服务，包括赛事过程中的计时记分设备部署、测试与操作、计时记分数据的采集、传输及专业显示屏显示等多项内容。赛时通过使用运行专业的计时记分设备及软件，保障赛事的成绩采集精准无误，第一时间为成绩处理系统提供相应数据。</w:t>
      </w:r>
    </w:p>
    <w:p>
      <w:pPr>
        <w:keepNext/>
        <w:keepLines/>
        <w:spacing w:before="120" w:after="120" w:line="377" w:lineRule="auto"/>
        <w:outlineLvl w:val="4"/>
        <w:rPr>
          <w:rFonts w:ascii="仿宋" w:hAnsi="仿宋" w:eastAsia="仿宋"/>
          <w:b/>
          <w:bCs/>
          <w:sz w:val="24"/>
          <w:szCs w:val="24"/>
        </w:rPr>
      </w:pPr>
      <w:r>
        <w:rPr>
          <w:rFonts w:hint="eastAsia" w:ascii="仿宋" w:hAnsi="仿宋" w:eastAsia="仿宋"/>
          <w:b/>
          <w:bCs/>
          <w:sz w:val="24"/>
          <w:szCs w:val="24"/>
        </w:rPr>
        <w:t>服务内容：</w:t>
      </w:r>
    </w:p>
    <w:p>
      <w:pPr>
        <w:spacing w:line="276" w:lineRule="auto"/>
        <w:ind w:firstLine="560"/>
        <w:rPr>
          <w:rFonts w:ascii="仿宋" w:hAnsi="仿宋" w:eastAsia="仿宋"/>
          <w:sz w:val="24"/>
          <w:szCs w:val="24"/>
        </w:rPr>
      </w:pPr>
      <w:r>
        <w:rPr>
          <w:rFonts w:hint="eastAsia" w:ascii="仿宋" w:hAnsi="仿宋" w:eastAsia="仿宋"/>
          <w:sz w:val="24"/>
          <w:szCs w:val="24"/>
        </w:rPr>
        <w:t>计时记分系统将根据对竞赛项目的不同特点进行分类，主要分为竞速类项目、评分类项目、记分类项目、对抗类项目。竞速类项目的计时记分主要负责采集比赛的时间成绩；评分类项目的比赛是由裁判员对运动员的比赛表现进行评价，并通过打分的形式进行体现，将所有裁判员的打分按规则进行处理；记分类项目是指直接通过采集运动实测数值，经整理之后，按规则进行统计运动员的成绩；对抗类项目的通常需要采集的是综合性数据并随即跟踪处理，通过显示的方式辅助比赛的进行，同时为现场显示系统和电视转播系统提供服务。本系统服务范围不含射击项目。</w:t>
      </w:r>
    </w:p>
    <w:p>
      <w:pPr>
        <w:keepNext/>
        <w:keepLines/>
        <w:spacing w:before="120" w:after="120" w:line="377" w:lineRule="auto"/>
        <w:outlineLvl w:val="4"/>
        <w:rPr>
          <w:rFonts w:ascii="仿宋" w:hAnsi="仿宋" w:eastAsia="仿宋"/>
          <w:b/>
          <w:bCs/>
          <w:sz w:val="24"/>
          <w:szCs w:val="24"/>
        </w:rPr>
      </w:pPr>
      <w:r>
        <w:rPr>
          <w:rFonts w:hint="eastAsia" w:ascii="仿宋" w:hAnsi="仿宋" w:eastAsia="仿宋"/>
          <w:b/>
          <w:bCs/>
          <w:sz w:val="24"/>
          <w:szCs w:val="24"/>
        </w:rPr>
        <w:t>服务要求：</w:t>
      </w:r>
    </w:p>
    <w:p>
      <w:pPr>
        <w:spacing w:line="276" w:lineRule="auto"/>
        <w:ind w:firstLine="560"/>
        <w:rPr>
          <w:rFonts w:ascii="仿宋" w:hAnsi="仿宋" w:eastAsia="仿宋"/>
          <w:sz w:val="24"/>
          <w:szCs w:val="24"/>
        </w:rPr>
      </w:pPr>
      <w:r>
        <w:rPr>
          <w:rFonts w:hint="eastAsia" w:ascii="仿宋" w:hAnsi="仿宋" w:eastAsia="仿宋"/>
          <w:sz w:val="24"/>
          <w:szCs w:val="24"/>
        </w:rPr>
        <w:t>计时记分系统利用各种先进的计时硬件，配合软件与成绩处理系统进行数据交互，并将处理后的数据以最快的方式传输到各外部系统。</w:t>
      </w:r>
    </w:p>
    <w:p>
      <w:pPr>
        <w:spacing w:line="276" w:lineRule="auto"/>
        <w:ind w:firstLine="560"/>
        <w:rPr>
          <w:rFonts w:ascii="仿宋" w:hAnsi="仿宋" w:eastAsia="仿宋"/>
          <w:sz w:val="24"/>
          <w:szCs w:val="24"/>
        </w:rPr>
      </w:pPr>
      <w:r>
        <w:rPr>
          <w:rFonts w:hint="eastAsia" w:ascii="仿宋" w:hAnsi="仿宋" w:eastAsia="仿宋"/>
          <w:sz w:val="24"/>
          <w:szCs w:val="24"/>
        </w:rPr>
        <w:t>（1）准确性：能够为外部系统提供正确的计时记分数据；</w:t>
      </w:r>
    </w:p>
    <w:p>
      <w:pPr>
        <w:spacing w:line="276" w:lineRule="auto"/>
        <w:ind w:firstLine="560"/>
        <w:rPr>
          <w:rFonts w:ascii="仿宋" w:hAnsi="仿宋" w:eastAsia="仿宋"/>
          <w:sz w:val="24"/>
          <w:szCs w:val="24"/>
        </w:rPr>
      </w:pPr>
      <w:r>
        <w:rPr>
          <w:rFonts w:hint="eastAsia" w:ascii="仿宋" w:hAnsi="仿宋" w:eastAsia="仿宋"/>
          <w:sz w:val="24"/>
          <w:szCs w:val="24"/>
        </w:rPr>
        <w:t>（2）适应能力：必须能够处理不同类型的计时记分设备数据并要求运行正常；</w:t>
      </w:r>
    </w:p>
    <w:p>
      <w:pPr>
        <w:spacing w:line="276" w:lineRule="auto"/>
        <w:ind w:firstLine="560"/>
        <w:rPr>
          <w:rFonts w:ascii="仿宋" w:hAnsi="仿宋" w:eastAsia="仿宋"/>
          <w:sz w:val="24"/>
          <w:szCs w:val="24"/>
        </w:rPr>
      </w:pPr>
      <w:r>
        <w:rPr>
          <w:rFonts w:hint="eastAsia" w:ascii="仿宋" w:hAnsi="仿宋" w:eastAsia="仿宋"/>
          <w:sz w:val="24"/>
          <w:szCs w:val="24"/>
        </w:rPr>
        <w:t>（3）协议：必须能够应用各种可靠的、有效的协议；</w:t>
      </w:r>
    </w:p>
    <w:p>
      <w:pPr>
        <w:spacing w:line="276" w:lineRule="auto"/>
        <w:ind w:firstLine="560"/>
        <w:rPr>
          <w:rFonts w:ascii="仿宋" w:hAnsi="仿宋" w:eastAsia="仿宋"/>
          <w:sz w:val="24"/>
          <w:szCs w:val="24"/>
        </w:rPr>
      </w:pPr>
      <w:r>
        <w:rPr>
          <w:rFonts w:hint="eastAsia" w:ascii="仿宋" w:hAnsi="仿宋" w:eastAsia="仿宋"/>
          <w:sz w:val="24"/>
          <w:szCs w:val="24"/>
        </w:rPr>
        <w:t>（4）简便：计时记分系统与运动会赛事系统之间的连接必须简便易用。</w:t>
      </w:r>
    </w:p>
    <w:p>
      <w:pPr>
        <w:keepNext/>
        <w:keepLines/>
        <w:numPr>
          <w:ilvl w:val="0"/>
          <w:numId w:val="36"/>
        </w:numPr>
        <w:tabs>
          <w:tab w:val="left" w:pos="480"/>
        </w:tabs>
        <w:spacing w:before="240" w:beforeLines="100" w:line="276" w:lineRule="auto"/>
        <w:ind w:left="482" w:hanging="482" w:hangingChars="200"/>
        <w:outlineLvl w:val="2"/>
        <w:rPr>
          <w:rFonts w:ascii="仿宋" w:hAnsi="仿宋" w:eastAsia="仿宋"/>
          <w:b/>
          <w:kern w:val="0"/>
          <w:sz w:val="24"/>
          <w:szCs w:val="24"/>
        </w:rPr>
      </w:pPr>
      <w:r>
        <w:rPr>
          <w:rFonts w:hint="eastAsia" w:ascii="仿宋" w:hAnsi="仿宋" w:eastAsia="仿宋"/>
          <w:b/>
          <w:kern w:val="0"/>
          <w:sz w:val="24"/>
          <w:szCs w:val="24"/>
        </w:rPr>
        <w:t>系统保障</w:t>
      </w:r>
    </w:p>
    <w:p>
      <w:pPr>
        <w:spacing w:line="276" w:lineRule="auto"/>
        <w:ind w:firstLine="560"/>
        <w:rPr>
          <w:rFonts w:ascii="仿宋" w:hAnsi="仿宋" w:eastAsia="仿宋"/>
          <w:sz w:val="24"/>
          <w:szCs w:val="24"/>
        </w:rPr>
      </w:pPr>
      <w:r>
        <w:rPr>
          <w:rFonts w:hint="eastAsia" w:ascii="仿宋" w:hAnsi="仿宋" w:eastAsia="仿宋"/>
          <w:sz w:val="24"/>
          <w:szCs w:val="24"/>
        </w:rPr>
        <w:t>系统保障包含计时记分服务中通用设备计划、人员配置计划、人员培训计划等。</w:t>
      </w:r>
    </w:p>
    <w:p>
      <w:pPr>
        <w:spacing w:line="276" w:lineRule="auto"/>
        <w:ind w:firstLine="562"/>
        <w:rPr>
          <w:rFonts w:ascii="仿宋" w:hAnsi="仿宋" w:eastAsia="仿宋"/>
          <w:b/>
          <w:sz w:val="24"/>
          <w:szCs w:val="24"/>
        </w:rPr>
      </w:pPr>
      <w:r>
        <w:rPr>
          <w:rFonts w:hint="eastAsia" w:ascii="仿宋" w:hAnsi="仿宋" w:eastAsia="仿宋"/>
          <w:b/>
          <w:sz w:val="24"/>
          <w:szCs w:val="24"/>
        </w:rPr>
        <w:t>一、▲</w:t>
      </w:r>
      <w:r>
        <w:rPr>
          <w:rFonts w:hint="eastAsia" w:ascii="仿宋" w:hAnsi="仿宋" w:eastAsia="仿宋"/>
          <w:b/>
          <w:sz w:val="24"/>
          <w:szCs w:val="24"/>
          <w:u w:val="single"/>
        </w:rPr>
        <w:t>计时记分系统人员配置包括不少于以下人员数量要求：计时记分工程师180人▲</w:t>
      </w:r>
      <w:r>
        <w:rPr>
          <w:rFonts w:hint="eastAsia" w:ascii="仿宋" w:hAnsi="仿宋" w:eastAsia="仿宋"/>
          <w:b/>
          <w:sz w:val="24"/>
          <w:szCs w:val="24"/>
        </w:rPr>
        <w:t>。</w:t>
      </w:r>
    </w:p>
    <w:p>
      <w:pPr>
        <w:spacing w:line="276" w:lineRule="auto"/>
        <w:ind w:firstLine="560"/>
        <w:rPr>
          <w:rFonts w:ascii="仿宋" w:hAnsi="仿宋" w:eastAsia="仿宋"/>
          <w:sz w:val="24"/>
          <w:szCs w:val="24"/>
        </w:rPr>
      </w:pPr>
      <w:r>
        <w:rPr>
          <w:rFonts w:hint="eastAsia" w:ascii="仿宋" w:hAnsi="仿宋" w:eastAsia="仿宋"/>
          <w:sz w:val="24"/>
          <w:szCs w:val="24"/>
        </w:rPr>
        <w:t>二、成交投标人成交后需要按照国际大体联技术指南最新版本提出的建设要求进行系统建设，并且在大运会建设期间负责与国际大体联关于建设内容进行沟通确认。</w:t>
      </w:r>
    </w:p>
    <w:p>
      <w:pPr>
        <w:spacing w:line="276" w:lineRule="auto"/>
        <w:ind w:firstLine="562"/>
        <w:rPr>
          <w:rFonts w:ascii="仿宋" w:hAnsi="仿宋" w:eastAsia="仿宋"/>
          <w:b/>
          <w:sz w:val="24"/>
          <w:szCs w:val="24"/>
        </w:rPr>
      </w:pPr>
      <w:r>
        <w:rPr>
          <w:rFonts w:hint="eastAsia" w:ascii="仿宋" w:hAnsi="仿宋" w:eastAsia="仿宋"/>
          <w:b/>
          <w:sz w:val="24"/>
          <w:szCs w:val="24"/>
        </w:rPr>
        <w:t>三、▲</w:t>
      </w:r>
      <w:r>
        <w:rPr>
          <w:rFonts w:hint="eastAsia" w:ascii="仿宋" w:hAnsi="仿宋" w:eastAsia="仿宋"/>
          <w:b/>
          <w:sz w:val="24"/>
          <w:szCs w:val="24"/>
          <w:u w:val="single"/>
        </w:rPr>
        <w:t>成交投标人所提供的计时记分系统服务需满足国际大体联、国际（国内）单项体育联合协会的要求</w:t>
      </w:r>
      <w:r>
        <w:rPr>
          <w:rFonts w:hint="eastAsia" w:ascii="仿宋" w:hAnsi="仿宋" w:eastAsia="仿宋"/>
          <w:b/>
          <w:sz w:val="24"/>
          <w:szCs w:val="24"/>
        </w:rPr>
        <w:t>▲。</w:t>
      </w:r>
    </w:p>
    <w:p>
      <w:pPr>
        <w:keepNext/>
        <w:keepLines/>
        <w:numPr>
          <w:ilvl w:val="0"/>
          <w:numId w:val="36"/>
        </w:numPr>
        <w:tabs>
          <w:tab w:val="left" w:pos="480"/>
        </w:tabs>
        <w:spacing w:before="240" w:beforeLines="100" w:line="276" w:lineRule="auto"/>
        <w:ind w:left="482" w:hanging="482" w:hangingChars="200"/>
        <w:outlineLvl w:val="2"/>
        <w:rPr>
          <w:rFonts w:ascii="仿宋" w:hAnsi="仿宋" w:eastAsia="仿宋"/>
          <w:b/>
          <w:kern w:val="0"/>
          <w:sz w:val="24"/>
          <w:szCs w:val="24"/>
        </w:rPr>
      </w:pPr>
      <w:r>
        <w:rPr>
          <w:rFonts w:hint="eastAsia" w:ascii="仿宋" w:hAnsi="仿宋" w:eastAsia="仿宋"/>
          <w:b/>
          <w:kern w:val="0"/>
          <w:sz w:val="24"/>
          <w:szCs w:val="24"/>
        </w:rPr>
        <w:t>赛事运行服务要求</w:t>
      </w:r>
    </w:p>
    <w:p>
      <w:pPr>
        <w:spacing w:line="276" w:lineRule="auto"/>
        <w:ind w:firstLine="560"/>
        <w:rPr>
          <w:rFonts w:ascii="仿宋" w:hAnsi="仿宋" w:eastAsia="仿宋"/>
          <w:sz w:val="24"/>
          <w:szCs w:val="24"/>
        </w:rPr>
      </w:pPr>
      <w:r>
        <w:rPr>
          <w:rFonts w:hint="eastAsia" w:ascii="仿宋" w:hAnsi="仿宋" w:eastAsia="仿宋"/>
          <w:sz w:val="24"/>
          <w:szCs w:val="24"/>
        </w:rPr>
        <w:t>赛事运行服务主要指在集成测试、测试赛、联试联调、赛时运行和赛事收尾等阶段提供相应的运行服务保障，以确保赛事的顺利进行。赛时运行服务主要工作包括在项目的各个阶段对项目的范围、时间、成本、质量、风险和采购进行相应的控制以及在各过程合理调配人力资源和设备，以实现更好的服务保障，确保本届大运会信息化建设顺畅。</w:t>
      </w:r>
    </w:p>
    <w:p>
      <w:pPr>
        <w:keepNext/>
        <w:keepLines/>
        <w:numPr>
          <w:ilvl w:val="0"/>
          <w:numId w:val="36"/>
        </w:numPr>
        <w:tabs>
          <w:tab w:val="left" w:pos="480"/>
        </w:tabs>
        <w:spacing w:before="240" w:beforeLines="100" w:line="276" w:lineRule="auto"/>
        <w:ind w:left="480" w:hanging="480" w:hangingChars="200"/>
        <w:outlineLvl w:val="2"/>
        <w:rPr>
          <w:rFonts w:ascii="仿宋" w:hAnsi="仿宋" w:eastAsia="仿宋"/>
          <w:b/>
          <w:kern w:val="0"/>
          <w:sz w:val="24"/>
          <w:szCs w:val="24"/>
        </w:rPr>
      </w:pPr>
      <w:r>
        <w:rPr>
          <w:rFonts w:hint="eastAsia" w:ascii="仿宋" w:hAnsi="仿宋" w:eastAsia="仿宋"/>
          <w:kern w:val="0"/>
          <w:sz w:val="24"/>
          <w:szCs w:val="24"/>
        </w:rPr>
        <w:t>▲</w:t>
      </w:r>
      <w:r>
        <w:rPr>
          <w:rFonts w:hint="eastAsia" w:ascii="仿宋" w:hAnsi="仿宋" w:eastAsia="仿宋"/>
          <w:b/>
          <w:kern w:val="0"/>
          <w:sz w:val="24"/>
          <w:szCs w:val="24"/>
          <w:u w:val="single"/>
        </w:rPr>
        <w:t>系统专项设计</w:t>
      </w:r>
      <w:r>
        <w:rPr>
          <w:rFonts w:hint="eastAsia" w:ascii="仿宋" w:hAnsi="仿宋" w:eastAsia="仿宋"/>
          <w:kern w:val="0"/>
          <w:sz w:val="24"/>
          <w:szCs w:val="24"/>
        </w:rPr>
        <w:t>▲</w:t>
      </w:r>
    </w:p>
    <w:p>
      <w:pPr>
        <w:spacing w:line="360" w:lineRule="auto"/>
        <w:ind w:firstLine="482"/>
        <w:rPr>
          <w:rFonts w:ascii="仿宋" w:hAnsi="仿宋" w:eastAsia="仿宋"/>
          <w:b/>
          <w:sz w:val="24"/>
          <w:szCs w:val="24"/>
        </w:rPr>
      </w:pPr>
      <w:r>
        <w:rPr>
          <w:rFonts w:hint="eastAsia" w:ascii="仿宋" w:hAnsi="仿宋" w:eastAsia="仿宋"/>
          <w:b/>
          <w:sz w:val="24"/>
          <w:szCs w:val="24"/>
        </w:rPr>
        <w:t>投标人需按照招标方要求配合完成系统专项设计：包括但不限于《系统深化设计方案》、</w:t>
      </w:r>
      <w:r>
        <w:rPr>
          <w:rFonts w:ascii="仿宋" w:hAnsi="仿宋" w:eastAsia="仿宋" w:cs="Arial"/>
          <w:b/>
          <w:color w:val="000000"/>
          <w:sz w:val="24"/>
          <w:szCs w:val="24"/>
        </w:rPr>
        <w:t>《需求调研报告》、《需求规格说明书》、《数据库设计》、《概要设计》、《一馆一册》</w:t>
      </w:r>
      <w:r>
        <w:rPr>
          <w:rFonts w:hint="eastAsia" w:ascii="仿宋" w:hAnsi="仿宋" w:eastAsia="仿宋"/>
          <w:b/>
          <w:sz w:val="24"/>
          <w:szCs w:val="24"/>
        </w:rPr>
        <w:t>等文档以及各部分的子项目设计分册等内容。</w:t>
      </w:r>
    </w:p>
    <w:p>
      <w:pPr>
        <w:keepNext/>
        <w:keepLines/>
        <w:numPr>
          <w:ilvl w:val="0"/>
          <w:numId w:val="36"/>
        </w:numPr>
        <w:tabs>
          <w:tab w:val="left" w:pos="480"/>
        </w:tabs>
        <w:spacing w:before="240" w:beforeLines="100" w:line="276" w:lineRule="auto"/>
        <w:ind w:left="482" w:hanging="482" w:hangingChars="200"/>
        <w:outlineLvl w:val="2"/>
        <w:rPr>
          <w:rFonts w:ascii="仿宋" w:hAnsi="仿宋" w:eastAsia="仿宋"/>
          <w:b/>
          <w:kern w:val="0"/>
          <w:sz w:val="24"/>
          <w:szCs w:val="24"/>
        </w:rPr>
      </w:pPr>
      <w:r>
        <w:rPr>
          <w:rFonts w:hint="eastAsia" w:ascii="仿宋" w:hAnsi="仿宋" w:eastAsia="仿宋"/>
          <w:b/>
          <w:kern w:val="0"/>
          <w:sz w:val="24"/>
          <w:szCs w:val="24"/>
        </w:rPr>
        <w:t>赛事运行保障</w:t>
      </w:r>
    </w:p>
    <w:p>
      <w:pPr>
        <w:spacing w:line="276" w:lineRule="auto"/>
        <w:ind w:firstLine="560"/>
        <w:rPr>
          <w:rFonts w:ascii="仿宋" w:hAnsi="仿宋" w:eastAsia="仿宋"/>
          <w:sz w:val="24"/>
          <w:szCs w:val="24"/>
        </w:rPr>
      </w:pPr>
      <w:r>
        <w:rPr>
          <w:rFonts w:hint="eastAsia" w:ascii="仿宋" w:hAnsi="仿宋" w:eastAsia="仿宋"/>
          <w:sz w:val="24"/>
          <w:szCs w:val="24"/>
        </w:rPr>
        <w:t>赛事运行保障阶段包括以下工作内容：</w:t>
      </w:r>
    </w:p>
    <w:p>
      <w:pPr>
        <w:spacing w:line="276" w:lineRule="auto"/>
        <w:ind w:firstLine="560"/>
        <w:rPr>
          <w:rFonts w:ascii="仿宋" w:hAnsi="仿宋" w:eastAsia="仿宋"/>
          <w:sz w:val="24"/>
          <w:szCs w:val="24"/>
        </w:rPr>
      </w:pPr>
      <w:r>
        <w:rPr>
          <w:rFonts w:hint="eastAsia" w:ascii="仿宋" w:hAnsi="仿宋" w:eastAsia="仿宋"/>
          <w:sz w:val="24"/>
          <w:szCs w:val="24"/>
        </w:rPr>
        <w:t>1、集成测试：集成实验室的集成测试包括整个系统端到端功能性测试、各系统之间的接口测试、性能和压力等非功能性测试等，另外还将进行多项目模拟测试、第三方测试、一致性测试、差错回复测试和现场测试等多项测试内容，以确保系统的功能和性能能够满足本届大运会比赛的要求。</w:t>
      </w:r>
    </w:p>
    <w:p>
      <w:pPr>
        <w:spacing w:line="276" w:lineRule="auto"/>
        <w:ind w:firstLine="560"/>
        <w:rPr>
          <w:rFonts w:ascii="仿宋" w:hAnsi="仿宋" w:eastAsia="仿宋"/>
          <w:sz w:val="24"/>
          <w:szCs w:val="24"/>
        </w:rPr>
      </w:pPr>
      <w:r>
        <w:rPr>
          <w:rFonts w:hint="eastAsia" w:ascii="仿宋" w:hAnsi="仿宋" w:eastAsia="仿宋"/>
          <w:sz w:val="24"/>
          <w:szCs w:val="24"/>
        </w:rPr>
        <w:t>2、测试赛：在系统通过整体集成测试后，按照执委会要求进行相关的测试赛并提供相关的运行支持服务。</w:t>
      </w:r>
    </w:p>
    <w:p>
      <w:pPr>
        <w:spacing w:line="276" w:lineRule="auto"/>
        <w:ind w:firstLine="560"/>
        <w:rPr>
          <w:rFonts w:ascii="仿宋" w:hAnsi="仿宋" w:eastAsia="仿宋"/>
          <w:sz w:val="24"/>
          <w:szCs w:val="24"/>
        </w:rPr>
      </w:pPr>
      <w:r>
        <w:rPr>
          <w:rFonts w:hint="eastAsia" w:ascii="仿宋" w:hAnsi="仿宋" w:eastAsia="仿宋"/>
          <w:sz w:val="24"/>
          <w:szCs w:val="24"/>
        </w:rPr>
        <w:t>3、联试联调：进行全面而必要的联试联调，来保证整个系统的功能、服务水平及运行流程能够满足赛时的要求。</w:t>
      </w:r>
    </w:p>
    <w:p>
      <w:pPr>
        <w:spacing w:line="276" w:lineRule="auto"/>
        <w:ind w:firstLine="560"/>
        <w:rPr>
          <w:rFonts w:ascii="仿宋" w:hAnsi="仿宋" w:eastAsia="仿宋"/>
          <w:sz w:val="24"/>
          <w:szCs w:val="24"/>
        </w:rPr>
      </w:pPr>
      <w:r>
        <w:rPr>
          <w:rFonts w:hint="eastAsia" w:ascii="仿宋" w:hAnsi="仿宋" w:eastAsia="仿宋"/>
          <w:sz w:val="24"/>
          <w:szCs w:val="24"/>
        </w:rPr>
        <w:t>4、正式比赛：在正式比赛期间按照信息化建设的服务水平定义来进行赛时运行保障服务。</w:t>
      </w:r>
    </w:p>
    <w:p>
      <w:pPr>
        <w:spacing w:line="276" w:lineRule="auto"/>
        <w:ind w:firstLine="560"/>
        <w:rPr>
          <w:rFonts w:ascii="仿宋" w:hAnsi="仿宋" w:eastAsia="仿宋"/>
          <w:sz w:val="24"/>
          <w:szCs w:val="24"/>
        </w:rPr>
      </w:pPr>
      <w:r>
        <w:rPr>
          <w:rFonts w:hint="eastAsia" w:ascii="仿宋" w:hAnsi="仿宋" w:eastAsia="仿宋"/>
          <w:sz w:val="24"/>
          <w:szCs w:val="24"/>
        </w:rPr>
        <w:t>5、赛事收尾：正式比赛结束后对整个信息化建设的相关工作进行赛事收尾工作内容。</w:t>
      </w:r>
    </w:p>
    <w:p>
      <w:pPr>
        <w:keepNext/>
        <w:keepLines/>
        <w:numPr>
          <w:ilvl w:val="0"/>
          <w:numId w:val="36"/>
        </w:numPr>
        <w:tabs>
          <w:tab w:val="left" w:pos="480"/>
        </w:tabs>
        <w:spacing w:before="240" w:beforeLines="100" w:line="276" w:lineRule="auto"/>
        <w:ind w:left="482" w:hanging="482" w:hangingChars="200"/>
        <w:outlineLvl w:val="2"/>
        <w:rPr>
          <w:rFonts w:ascii="仿宋" w:hAnsi="仿宋" w:eastAsia="仿宋"/>
          <w:b/>
          <w:kern w:val="0"/>
          <w:sz w:val="24"/>
          <w:szCs w:val="24"/>
        </w:rPr>
      </w:pPr>
      <w:r>
        <w:rPr>
          <w:rFonts w:hint="eastAsia" w:ascii="仿宋" w:hAnsi="仿宋" w:eastAsia="仿宋"/>
          <w:b/>
          <w:kern w:val="0"/>
          <w:sz w:val="24"/>
          <w:szCs w:val="24"/>
        </w:rPr>
        <w:t>赛时应急响应</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总体要求 ：</w:t>
      </w:r>
    </w:p>
    <w:p>
      <w:pPr>
        <w:spacing w:line="276" w:lineRule="auto"/>
        <w:ind w:firstLine="560"/>
        <w:rPr>
          <w:rFonts w:ascii="仿宋" w:hAnsi="仿宋" w:eastAsia="仿宋"/>
          <w:sz w:val="24"/>
          <w:szCs w:val="24"/>
        </w:rPr>
      </w:pPr>
      <w:r>
        <w:rPr>
          <w:rFonts w:hint="eastAsia" w:ascii="仿宋" w:hAnsi="仿宋" w:eastAsia="仿宋"/>
          <w:sz w:val="24"/>
          <w:szCs w:val="24"/>
        </w:rPr>
        <w:t>虽然系统在赛前将经过集成测试、测试赛、联试联调等多轮测试和演练，但由于综合性运动会信息技术存在“关门时间”和“实时性”的要求，因此赛时还需指定一套完备的应急预案，投标人应成立应急保障团队，从组织架构、工作流程、职责分工、应急人员等方面提出切实可行的计划，并在赛时出现紧急情况时立即做出响应。同时，还需针对赛时可能出现的突发事件风险进行识别、评估、处理，制定应急预案。</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服务要求 ：</w:t>
      </w:r>
    </w:p>
    <w:p>
      <w:pPr>
        <w:spacing w:line="276" w:lineRule="auto"/>
        <w:ind w:firstLine="560"/>
        <w:rPr>
          <w:rFonts w:ascii="仿宋" w:hAnsi="仿宋" w:eastAsia="仿宋"/>
          <w:sz w:val="24"/>
          <w:szCs w:val="24"/>
        </w:rPr>
      </w:pPr>
      <w:r>
        <w:rPr>
          <w:rFonts w:hint="eastAsia" w:ascii="仿宋" w:hAnsi="仿宋" w:eastAsia="仿宋"/>
          <w:sz w:val="24"/>
          <w:szCs w:val="24"/>
        </w:rPr>
        <w:t>1、需具备完善应急服务组织机构设置和人员配置；</w:t>
      </w:r>
    </w:p>
    <w:p>
      <w:pPr>
        <w:spacing w:line="276" w:lineRule="auto"/>
        <w:ind w:firstLine="560"/>
        <w:rPr>
          <w:rFonts w:ascii="仿宋" w:hAnsi="仿宋" w:eastAsia="仿宋"/>
          <w:sz w:val="24"/>
          <w:szCs w:val="24"/>
        </w:rPr>
      </w:pPr>
      <w:r>
        <w:rPr>
          <w:rFonts w:hint="eastAsia" w:ascii="仿宋" w:hAnsi="仿宋" w:eastAsia="仿宋"/>
          <w:sz w:val="24"/>
          <w:szCs w:val="24"/>
        </w:rPr>
        <w:t>2、正式比赛期间需保障重点业务7*24小时监控值守，7*24小时备勤；</w:t>
      </w:r>
    </w:p>
    <w:p>
      <w:pPr>
        <w:spacing w:line="276" w:lineRule="auto"/>
        <w:ind w:firstLine="560"/>
        <w:rPr>
          <w:rFonts w:ascii="仿宋" w:hAnsi="仿宋" w:eastAsia="仿宋"/>
          <w:sz w:val="24"/>
          <w:szCs w:val="24"/>
        </w:rPr>
      </w:pPr>
      <w:r>
        <w:rPr>
          <w:rFonts w:hint="eastAsia" w:ascii="仿宋" w:hAnsi="仿宋" w:eastAsia="仿宋"/>
          <w:sz w:val="24"/>
          <w:szCs w:val="24"/>
        </w:rPr>
        <w:t>3、需提供完备的计时记分系统应急机制。</w:t>
      </w:r>
    </w:p>
    <w:p>
      <w:pPr>
        <w:keepNext/>
        <w:keepLines/>
        <w:numPr>
          <w:ilvl w:val="1"/>
          <w:numId w:val="0"/>
        </w:numPr>
        <w:spacing w:line="276" w:lineRule="auto"/>
        <w:ind w:right="-29" w:rightChars="-14"/>
        <w:outlineLvl w:val="1"/>
        <w:rPr>
          <w:rFonts w:ascii="仿宋" w:hAnsi="仿宋" w:eastAsia="仿宋"/>
          <w:b/>
          <w:bCs/>
          <w:sz w:val="24"/>
          <w:szCs w:val="24"/>
        </w:rPr>
      </w:pPr>
      <w:r>
        <w:rPr>
          <w:rFonts w:hint="eastAsia" w:ascii="仿宋" w:hAnsi="仿宋" w:eastAsia="仿宋"/>
          <w:b/>
          <w:bCs/>
          <w:sz w:val="24"/>
          <w:szCs w:val="24"/>
        </w:rPr>
        <w:t>服务功能清单：</w:t>
      </w:r>
    </w:p>
    <w:tbl>
      <w:tblPr>
        <w:tblStyle w:val="58"/>
        <w:tblW w:w="8789" w:type="dxa"/>
        <w:tblInd w:w="5" w:type="dxa"/>
        <w:tblLayout w:type="autofit"/>
        <w:tblCellMar>
          <w:top w:w="0" w:type="dxa"/>
          <w:left w:w="108" w:type="dxa"/>
          <w:bottom w:w="0" w:type="dxa"/>
          <w:right w:w="108" w:type="dxa"/>
        </w:tblCellMar>
      </w:tblPr>
      <w:tblGrid>
        <w:gridCol w:w="1389"/>
        <w:gridCol w:w="7400"/>
      </w:tblGrid>
      <w:tr>
        <w:tblPrEx>
          <w:tblCellMar>
            <w:top w:w="0" w:type="dxa"/>
            <w:left w:w="108" w:type="dxa"/>
            <w:bottom w:w="0" w:type="dxa"/>
            <w:right w:w="108" w:type="dxa"/>
          </w:tblCellMar>
        </w:tblPrEx>
        <w:trPr>
          <w:trHeight w:val="285" w:hRule="atLeast"/>
          <w:tblHeader/>
        </w:trPr>
        <w:tc>
          <w:tcPr>
            <w:tcW w:w="138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6" w:lineRule="auto"/>
              <w:ind w:firstLine="39" w:firstLineChars="16"/>
              <w:jc w:val="center"/>
              <w:rPr>
                <w:rFonts w:ascii="仿宋" w:hAnsi="仿宋" w:eastAsia="仿宋" w:cs="宋体"/>
                <w:b/>
                <w:color w:val="000000"/>
                <w:sz w:val="24"/>
                <w:szCs w:val="24"/>
              </w:rPr>
            </w:pPr>
            <w:r>
              <w:rPr>
                <w:rFonts w:hint="eastAsia" w:ascii="仿宋" w:hAnsi="仿宋" w:eastAsia="仿宋" w:cs="宋体"/>
                <w:b/>
                <w:color w:val="000000"/>
                <w:sz w:val="24"/>
                <w:szCs w:val="24"/>
              </w:rPr>
              <w:t>项目系统</w:t>
            </w:r>
          </w:p>
        </w:tc>
        <w:tc>
          <w:tcPr>
            <w:tcW w:w="7400" w:type="dxa"/>
            <w:tcBorders>
              <w:top w:val="single" w:color="auto" w:sz="4" w:space="0"/>
              <w:left w:val="nil"/>
              <w:bottom w:val="single" w:color="auto" w:sz="4" w:space="0"/>
              <w:right w:val="single" w:color="auto" w:sz="4" w:space="0"/>
            </w:tcBorders>
            <w:shd w:val="clear" w:color="auto" w:fill="auto"/>
            <w:noWrap/>
            <w:vAlign w:val="center"/>
          </w:tcPr>
          <w:p>
            <w:pPr>
              <w:spacing w:line="276" w:lineRule="auto"/>
              <w:ind w:firstLine="41" w:firstLineChars="17"/>
              <w:jc w:val="center"/>
              <w:rPr>
                <w:rFonts w:ascii="仿宋" w:hAnsi="仿宋" w:eastAsia="仿宋" w:cs="宋体"/>
                <w:b/>
                <w:color w:val="000000"/>
                <w:sz w:val="24"/>
                <w:szCs w:val="24"/>
              </w:rPr>
            </w:pPr>
            <w:r>
              <w:rPr>
                <w:rFonts w:hint="eastAsia" w:ascii="仿宋" w:hAnsi="仿宋" w:eastAsia="仿宋" w:cs="宋体"/>
                <w:b/>
                <w:color w:val="000000"/>
                <w:sz w:val="24"/>
                <w:szCs w:val="24"/>
              </w:rPr>
              <w:t>项目子系统</w:t>
            </w:r>
          </w:p>
        </w:tc>
      </w:tr>
      <w:tr>
        <w:tblPrEx>
          <w:tblCellMar>
            <w:top w:w="0" w:type="dxa"/>
            <w:left w:w="108" w:type="dxa"/>
            <w:bottom w:w="0" w:type="dxa"/>
            <w:right w:w="108" w:type="dxa"/>
          </w:tblCellMar>
        </w:tblPrEx>
        <w:trPr>
          <w:trHeight w:val="1747" w:hRule="atLeast"/>
        </w:trPr>
        <w:tc>
          <w:tcPr>
            <w:tcW w:w="1389"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ind w:firstLine="38" w:firstLineChars="16"/>
              <w:rPr>
                <w:rFonts w:ascii="仿宋" w:hAnsi="仿宋" w:eastAsia="仿宋" w:cs="宋体"/>
                <w:color w:val="000000"/>
                <w:sz w:val="24"/>
                <w:szCs w:val="24"/>
              </w:rPr>
            </w:pPr>
            <w:r>
              <w:rPr>
                <w:rFonts w:hint="eastAsia" w:ascii="仿宋" w:hAnsi="仿宋" w:eastAsia="仿宋" w:cs="宋体"/>
                <w:color w:val="000000"/>
                <w:sz w:val="24"/>
                <w:szCs w:val="24"/>
              </w:rPr>
              <w:t>计时记分系统</w:t>
            </w:r>
          </w:p>
        </w:tc>
        <w:tc>
          <w:tcPr>
            <w:tcW w:w="7400" w:type="dxa"/>
            <w:tcBorders>
              <w:top w:val="single" w:color="auto" w:sz="4" w:space="0"/>
              <w:left w:val="nil"/>
              <w:bottom w:val="single" w:color="auto" w:sz="4" w:space="0"/>
              <w:right w:val="single" w:color="auto" w:sz="4" w:space="0"/>
            </w:tcBorders>
            <w:shd w:val="clear" w:color="auto" w:fill="auto"/>
            <w:vAlign w:val="center"/>
          </w:tcPr>
          <w:p>
            <w:pPr>
              <w:spacing w:line="276" w:lineRule="auto"/>
              <w:ind w:firstLine="40" w:firstLineChars="17"/>
              <w:rPr>
                <w:rFonts w:ascii="仿宋" w:hAnsi="仿宋" w:eastAsia="仿宋" w:cs="宋体"/>
                <w:color w:val="000000"/>
                <w:sz w:val="24"/>
                <w:szCs w:val="24"/>
              </w:rPr>
            </w:pPr>
            <w:r>
              <w:rPr>
                <w:rFonts w:hint="eastAsia" w:ascii="仿宋" w:hAnsi="仿宋" w:eastAsia="仿宋" w:cs="宋体"/>
                <w:color w:val="000000"/>
                <w:sz w:val="24"/>
                <w:szCs w:val="24"/>
              </w:rPr>
              <w:t>计时记分系统-体操、游泳、羽毛球、田径、击剑、乒乓球、篮球、排球、柔道、射箭、水球、跆拳道、跳水、网球、艺术体操、武术、赛艇1</w:t>
            </w:r>
            <w:r>
              <w:rPr>
                <w:rFonts w:ascii="仿宋" w:hAnsi="仿宋" w:eastAsia="仿宋" w:cs="宋体"/>
                <w:color w:val="000000"/>
                <w:sz w:val="24"/>
                <w:szCs w:val="24"/>
              </w:rPr>
              <w:t>7</w:t>
            </w:r>
            <w:r>
              <w:rPr>
                <w:rFonts w:hint="eastAsia" w:ascii="仿宋" w:hAnsi="仿宋" w:eastAsia="仿宋" w:cs="宋体"/>
                <w:color w:val="000000"/>
                <w:sz w:val="24"/>
                <w:szCs w:val="24"/>
              </w:rPr>
              <w:t>个单项</w:t>
            </w:r>
          </w:p>
        </w:tc>
      </w:tr>
    </w:tbl>
    <w:p>
      <w:pPr>
        <w:keepNext/>
        <w:keepLines/>
        <w:numPr>
          <w:ilvl w:val="1"/>
          <w:numId w:val="0"/>
        </w:numPr>
        <w:spacing w:before="240" w:beforeLines="100" w:after="120" w:afterLines="50" w:line="276" w:lineRule="auto"/>
        <w:ind w:right="-29" w:rightChars="-14"/>
        <w:outlineLvl w:val="1"/>
        <w:rPr>
          <w:rFonts w:ascii="仿宋" w:hAnsi="仿宋" w:eastAsia="仿宋"/>
          <w:b/>
          <w:bCs/>
          <w:sz w:val="28"/>
          <w:szCs w:val="24"/>
        </w:rPr>
      </w:pPr>
      <w:r>
        <w:rPr>
          <w:rFonts w:hint="eastAsia" w:ascii="仿宋" w:hAnsi="仿宋" w:eastAsia="仿宋"/>
          <w:b/>
          <w:bCs/>
          <w:sz w:val="28"/>
          <w:szCs w:val="24"/>
        </w:rPr>
        <w:t>1.5其它要求</w:t>
      </w:r>
    </w:p>
    <w:p>
      <w:pPr>
        <w:keepNext/>
        <w:keepLines/>
        <w:numPr>
          <w:ilvl w:val="0"/>
          <w:numId w:val="37"/>
        </w:numPr>
        <w:tabs>
          <w:tab w:val="left" w:pos="480"/>
        </w:tabs>
        <w:spacing w:line="276" w:lineRule="auto"/>
        <w:outlineLvl w:val="2"/>
        <w:rPr>
          <w:rFonts w:ascii="仿宋" w:hAnsi="仿宋" w:eastAsia="仿宋"/>
          <w:b/>
          <w:kern w:val="0"/>
          <w:sz w:val="24"/>
          <w:szCs w:val="24"/>
        </w:rPr>
      </w:pPr>
      <w:r>
        <w:rPr>
          <w:rFonts w:hint="eastAsia" w:ascii="仿宋" w:hAnsi="仿宋" w:eastAsia="仿宋"/>
          <w:b/>
          <w:kern w:val="0"/>
          <w:sz w:val="24"/>
          <w:szCs w:val="24"/>
        </w:rPr>
        <w:t>人员管理要求</w:t>
      </w:r>
    </w:p>
    <w:p>
      <w:pPr>
        <w:keepNext/>
        <w:keepLines/>
        <w:numPr>
          <w:ilvl w:val="3"/>
          <w:numId w:val="0"/>
        </w:numPr>
        <w:tabs>
          <w:tab w:val="left" w:pos="0"/>
        </w:tabs>
        <w:spacing w:before="120" w:beforeLines="50" w:line="276" w:lineRule="auto"/>
        <w:outlineLvl w:val="3"/>
        <w:rPr>
          <w:rFonts w:ascii="仿宋" w:hAnsi="仿宋" w:eastAsia="仿宋"/>
          <w:b/>
          <w:sz w:val="24"/>
          <w:szCs w:val="24"/>
        </w:rPr>
      </w:pPr>
      <w:r>
        <w:rPr>
          <w:rFonts w:hint="eastAsia" w:ascii="仿宋" w:hAnsi="仿宋" w:eastAsia="仿宋"/>
          <w:b/>
          <w:sz w:val="24"/>
          <w:szCs w:val="24"/>
        </w:rPr>
        <w:t>人员构成：</w:t>
      </w:r>
    </w:p>
    <w:p>
      <w:pPr>
        <w:spacing w:line="276" w:lineRule="auto"/>
        <w:ind w:firstLine="560"/>
        <w:rPr>
          <w:rFonts w:ascii="仿宋" w:hAnsi="仿宋" w:eastAsia="仿宋"/>
          <w:sz w:val="24"/>
          <w:szCs w:val="24"/>
        </w:rPr>
      </w:pPr>
      <w:r>
        <w:rPr>
          <w:rFonts w:hint="eastAsia" w:ascii="仿宋" w:hAnsi="仿宋" w:eastAsia="仿宋"/>
          <w:sz w:val="24"/>
          <w:szCs w:val="24"/>
        </w:rPr>
        <w:t>完成计时记分系统建设，投标人需设置完善的系统运行团队的人员以及系统运行保障机制。</w:t>
      </w:r>
    </w:p>
    <w:p>
      <w:pPr>
        <w:spacing w:line="276" w:lineRule="auto"/>
        <w:ind w:firstLine="560"/>
        <w:rPr>
          <w:rFonts w:ascii="仿宋" w:hAnsi="仿宋" w:eastAsia="仿宋"/>
          <w:sz w:val="24"/>
          <w:szCs w:val="24"/>
        </w:rPr>
      </w:pPr>
      <w:r>
        <w:rPr>
          <w:rFonts w:hint="eastAsia" w:ascii="仿宋" w:hAnsi="仿宋" w:eastAsia="仿宋"/>
          <w:sz w:val="24"/>
          <w:szCs w:val="24"/>
        </w:rPr>
        <w:t>各组别需根据各自业务需求建设完善的人员构成，包括但不限于：计时记分主管、计时记分工程师。</w:t>
      </w:r>
    </w:p>
    <w:p>
      <w:pPr>
        <w:keepNext/>
        <w:keepLines/>
        <w:numPr>
          <w:ilvl w:val="3"/>
          <w:numId w:val="0"/>
        </w:numPr>
        <w:tabs>
          <w:tab w:val="left" w:pos="0"/>
        </w:tabs>
        <w:spacing w:before="120" w:beforeLines="50" w:line="276" w:lineRule="auto"/>
        <w:outlineLvl w:val="3"/>
        <w:rPr>
          <w:rFonts w:ascii="仿宋" w:hAnsi="仿宋" w:eastAsia="仿宋"/>
          <w:b/>
          <w:sz w:val="24"/>
          <w:szCs w:val="24"/>
        </w:rPr>
      </w:pPr>
      <w:r>
        <w:rPr>
          <w:rFonts w:hint="eastAsia" w:ascii="仿宋" w:hAnsi="仿宋" w:eastAsia="仿宋"/>
          <w:b/>
          <w:sz w:val="24"/>
          <w:szCs w:val="24"/>
        </w:rPr>
        <w:t>人员要求：</w:t>
      </w:r>
    </w:p>
    <w:p>
      <w:pPr>
        <w:rPr>
          <w:rFonts w:ascii="仿宋" w:hAnsi="仿宋" w:eastAsia="仿宋"/>
          <w:sz w:val="24"/>
          <w:szCs w:val="24"/>
        </w:rPr>
      </w:pPr>
      <w:r>
        <w:rPr>
          <w:rFonts w:hint="eastAsia" w:ascii="仿宋" w:hAnsi="仿宋" w:eastAsia="仿宋"/>
          <w:sz w:val="24"/>
          <w:szCs w:val="24"/>
        </w:rPr>
        <w:t>各组别需根据各自业务需求建设完善的人员构成，包括但不限于：</w:t>
      </w:r>
    </w:p>
    <w:tbl>
      <w:tblPr>
        <w:tblStyle w:val="58"/>
        <w:tblW w:w="8784" w:type="dxa"/>
        <w:jc w:val="center"/>
        <w:tblLayout w:type="fixed"/>
        <w:tblCellMar>
          <w:top w:w="0" w:type="dxa"/>
          <w:left w:w="0" w:type="dxa"/>
          <w:bottom w:w="0" w:type="dxa"/>
          <w:right w:w="0" w:type="dxa"/>
        </w:tblCellMar>
      </w:tblPr>
      <w:tblGrid>
        <w:gridCol w:w="1212"/>
        <w:gridCol w:w="2047"/>
        <w:gridCol w:w="5525"/>
      </w:tblGrid>
      <w:tr>
        <w:tblPrEx>
          <w:tblCellMar>
            <w:top w:w="0" w:type="dxa"/>
            <w:left w:w="0" w:type="dxa"/>
            <w:bottom w:w="0" w:type="dxa"/>
            <w:right w:w="0" w:type="dxa"/>
          </w:tblCellMar>
        </w:tblPrEx>
        <w:trPr>
          <w:trHeight w:val="322" w:hRule="exact"/>
          <w:tblHeader/>
          <w:jc w:val="center"/>
        </w:trPr>
        <w:tc>
          <w:tcPr>
            <w:tcW w:w="1212"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cs="宋体"/>
                <w:b/>
                <w:bCs/>
                <w:sz w:val="24"/>
                <w:szCs w:val="24"/>
              </w:rPr>
              <w:t>序号</w:t>
            </w:r>
          </w:p>
        </w:tc>
        <w:tc>
          <w:tcPr>
            <w:tcW w:w="2047"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cs="宋体"/>
                <w:b/>
                <w:bCs/>
                <w:sz w:val="24"/>
                <w:szCs w:val="24"/>
              </w:rPr>
              <w:t>工作岗位</w:t>
            </w:r>
          </w:p>
        </w:tc>
        <w:tc>
          <w:tcPr>
            <w:tcW w:w="5525"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rPr>
                <w:rFonts w:ascii="仿宋" w:hAnsi="仿宋" w:eastAsia="仿宋"/>
                <w:sz w:val="24"/>
                <w:szCs w:val="24"/>
              </w:rPr>
            </w:pPr>
            <w:r>
              <w:rPr>
                <w:rFonts w:hint="eastAsia" w:ascii="仿宋" w:hAnsi="仿宋" w:eastAsia="仿宋" w:cs="宋体"/>
                <w:b/>
                <w:bCs/>
                <w:sz w:val="24"/>
                <w:szCs w:val="24"/>
              </w:rPr>
              <w:t>岗位职责</w:t>
            </w:r>
            <w:r>
              <w:rPr>
                <w:rFonts w:ascii="仿宋" w:hAnsi="仿宋" w:eastAsia="仿宋" w:cs="宋体"/>
                <w:b/>
                <w:bCs/>
                <w:w w:val="98"/>
                <w:sz w:val="24"/>
                <w:szCs w:val="24"/>
              </w:rPr>
              <w:t xml:space="preserve"> </w:t>
            </w:r>
          </w:p>
        </w:tc>
      </w:tr>
      <w:tr>
        <w:tblPrEx>
          <w:tblCellMar>
            <w:top w:w="0" w:type="dxa"/>
            <w:left w:w="0" w:type="dxa"/>
            <w:bottom w:w="0" w:type="dxa"/>
            <w:right w:w="0" w:type="dxa"/>
          </w:tblCellMar>
        </w:tblPrEx>
        <w:trPr>
          <w:trHeight w:val="322" w:hRule="exact"/>
          <w:jc w:val="center"/>
        </w:trPr>
        <w:tc>
          <w:tcPr>
            <w:tcW w:w="1212"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ascii="仿宋" w:hAnsi="仿宋" w:eastAsia="仿宋" w:cs="宋体"/>
                <w:sz w:val="24"/>
                <w:szCs w:val="24"/>
              </w:rPr>
              <w:t>1</w:t>
            </w:r>
          </w:p>
        </w:tc>
        <w:tc>
          <w:tcPr>
            <w:tcW w:w="2047"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cs="宋体"/>
                <w:sz w:val="24"/>
                <w:szCs w:val="24"/>
              </w:rPr>
              <w:t>计时记分主管</w:t>
            </w:r>
          </w:p>
        </w:tc>
        <w:tc>
          <w:tcPr>
            <w:tcW w:w="5525"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left"/>
              <w:rPr>
                <w:rFonts w:ascii="仿宋" w:hAnsi="仿宋" w:eastAsia="仿宋"/>
                <w:sz w:val="24"/>
                <w:szCs w:val="24"/>
              </w:rPr>
            </w:pPr>
            <w:r>
              <w:rPr>
                <w:rFonts w:hint="eastAsia" w:ascii="仿宋" w:hAnsi="仿宋" w:eastAsia="仿宋" w:cs="宋体"/>
                <w:sz w:val="24"/>
                <w:szCs w:val="24"/>
              </w:rPr>
              <w:t>计时记分系统总负责</w:t>
            </w:r>
            <w:r>
              <w:rPr>
                <w:rFonts w:ascii="仿宋" w:hAnsi="仿宋" w:eastAsia="仿宋" w:cs="宋体"/>
                <w:sz w:val="24"/>
                <w:szCs w:val="24"/>
              </w:rPr>
              <w:t xml:space="preserve"> </w:t>
            </w:r>
          </w:p>
        </w:tc>
      </w:tr>
      <w:tr>
        <w:tblPrEx>
          <w:tblCellMar>
            <w:top w:w="0" w:type="dxa"/>
            <w:left w:w="0" w:type="dxa"/>
            <w:bottom w:w="0" w:type="dxa"/>
            <w:right w:w="0" w:type="dxa"/>
          </w:tblCellMar>
        </w:tblPrEx>
        <w:trPr>
          <w:trHeight w:val="322" w:hRule="exact"/>
          <w:jc w:val="center"/>
        </w:trPr>
        <w:tc>
          <w:tcPr>
            <w:tcW w:w="1212"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ascii="仿宋" w:hAnsi="仿宋" w:eastAsia="仿宋" w:cs="宋体"/>
                <w:sz w:val="24"/>
                <w:szCs w:val="24"/>
              </w:rPr>
              <w:t>2</w:t>
            </w:r>
          </w:p>
        </w:tc>
        <w:tc>
          <w:tcPr>
            <w:tcW w:w="2047"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sz w:val="24"/>
                <w:szCs w:val="24"/>
              </w:rPr>
              <w:t>计时记分工程师</w:t>
            </w:r>
          </w:p>
        </w:tc>
        <w:tc>
          <w:tcPr>
            <w:tcW w:w="5525"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left"/>
              <w:rPr>
                <w:rFonts w:ascii="仿宋" w:hAnsi="仿宋" w:eastAsia="仿宋"/>
                <w:sz w:val="24"/>
                <w:szCs w:val="24"/>
              </w:rPr>
            </w:pPr>
            <w:r>
              <w:rPr>
                <w:rFonts w:hint="eastAsia" w:ascii="仿宋" w:hAnsi="仿宋" w:eastAsia="仿宋" w:cs="宋体"/>
                <w:sz w:val="24"/>
                <w:szCs w:val="24"/>
              </w:rPr>
              <w:t>负责计时记分系统运行维护</w:t>
            </w:r>
            <w:r>
              <w:rPr>
                <w:rFonts w:ascii="仿宋" w:hAnsi="仿宋" w:eastAsia="仿宋" w:cs="宋体"/>
                <w:sz w:val="24"/>
                <w:szCs w:val="24"/>
              </w:rPr>
              <w:t xml:space="preserve"> </w:t>
            </w:r>
          </w:p>
        </w:tc>
      </w:tr>
    </w:tbl>
    <w:p>
      <w:pPr>
        <w:spacing w:line="276" w:lineRule="auto"/>
        <w:rPr>
          <w:rFonts w:ascii="仿宋" w:hAnsi="仿宋" w:eastAsia="仿宋"/>
          <w:sz w:val="24"/>
          <w:szCs w:val="24"/>
        </w:rPr>
      </w:pPr>
    </w:p>
    <w:p>
      <w:pPr>
        <w:keepNext/>
        <w:keepLines/>
        <w:numPr>
          <w:ilvl w:val="3"/>
          <w:numId w:val="0"/>
        </w:numPr>
        <w:tabs>
          <w:tab w:val="left" w:pos="0"/>
        </w:tabs>
        <w:spacing w:line="276" w:lineRule="auto"/>
        <w:outlineLvl w:val="3"/>
        <w:rPr>
          <w:rFonts w:ascii="仿宋" w:hAnsi="仿宋" w:eastAsia="仿宋"/>
          <w:sz w:val="24"/>
          <w:szCs w:val="24"/>
        </w:rPr>
      </w:pPr>
      <w:r>
        <w:rPr>
          <w:rFonts w:hint="eastAsia" w:ascii="仿宋" w:hAnsi="仿宋" w:eastAsia="仿宋"/>
          <w:sz w:val="24"/>
          <w:szCs w:val="24"/>
        </w:rPr>
        <w:t>▲</w:t>
      </w:r>
      <w:r>
        <w:rPr>
          <w:rFonts w:hint="eastAsia" w:ascii="仿宋" w:hAnsi="仿宋" w:eastAsia="仿宋"/>
          <w:b/>
          <w:sz w:val="24"/>
          <w:szCs w:val="24"/>
          <w:u w:val="single"/>
        </w:rPr>
        <w:t>到岗时间</w:t>
      </w:r>
      <w:r>
        <w:rPr>
          <w:rFonts w:hint="eastAsia" w:ascii="仿宋" w:hAnsi="仿宋" w:eastAsia="仿宋"/>
          <w:b/>
          <w:sz w:val="24"/>
          <w:szCs w:val="24"/>
        </w:rPr>
        <w:t>▲：</w:t>
      </w:r>
    </w:p>
    <w:p>
      <w:pPr>
        <w:spacing w:line="276" w:lineRule="auto"/>
        <w:ind w:firstLine="560"/>
        <w:rPr>
          <w:rFonts w:ascii="仿宋" w:hAnsi="仿宋" w:eastAsia="仿宋"/>
          <w:sz w:val="24"/>
          <w:szCs w:val="24"/>
        </w:rPr>
      </w:pPr>
      <w:r>
        <w:rPr>
          <w:rFonts w:hint="eastAsia" w:ascii="仿宋" w:hAnsi="仿宋" w:eastAsia="仿宋"/>
          <w:sz w:val="24"/>
          <w:szCs w:val="24"/>
        </w:rPr>
        <w:t>前期准备和建设期为自合同签订之日起至2021年3月；赛事运行保障阶段为2021年3月至2021年10月。</w:t>
      </w:r>
    </w:p>
    <w:p>
      <w:pPr>
        <w:spacing w:line="276" w:lineRule="auto"/>
        <w:ind w:firstLine="560"/>
        <w:rPr>
          <w:rFonts w:ascii="仿宋" w:hAnsi="仿宋" w:eastAsia="仿宋"/>
          <w:sz w:val="24"/>
          <w:szCs w:val="24"/>
        </w:rPr>
      </w:pPr>
      <w:r>
        <w:rPr>
          <w:rFonts w:hint="eastAsia" w:ascii="仿宋" w:hAnsi="仿宋" w:eastAsia="仿宋"/>
          <w:sz w:val="24"/>
          <w:szCs w:val="24"/>
        </w:rPr>
        <w:t>合同签订后第二日，系统的项目实施管理人员需到位。</w:t>
      </w:r>
    </w:p>
    <w:p>
      <w:pPr>
        <w:spacing w:line="276" w:lineRule="auto"/>
        <w:ind w:firstLine="560"/>
        <w:rPr>
          <w:rFonts w:ascii="仿宋" w:hAnsi="仿宋" w:eastAsia="仿宋"/>
          <w:sz w:val="24"/>
          <w:szCs w:val="24"/>
        </w:rPr>
      </w:pPr>
      <w:r>
        <w:rPr>
          <w:rFonts w:hint="eastAsia" w:ascii="仿宋" w:hAnsi="仿宋" w:eastAsia="仿宋"/>
          <w:sz w:val="24"/>
          <w:szCs w:val="24"/>
        </w:rPr>
        <w:t>2021年3月至6月为集成测试和测试赛，场馆技术支持人员按照全部岗位编制的 1/3计算到位。</w:t>
      </w:r>
    </w:p>
    <w:p>
      <w:pPr>
        <w:spacing w:line="276" w:lineRule="auto"/>
        <w:ind w:firstLine="560"/>
        <w:rPr>
          <w:rFonts w:ascii="仿宋" w:hAnsi="仿宋" w:eastAsia="仿宋"/>
          <w:sz w:val="24"/>
          <w:szCs w:val="24"/>
        </w:rPr>
      </w:pPr>
      <w:r>
        <w:rPr>
          <w:rFonts w:hint="eastAsia" w:ascii="仿宋" w:hAnsi="仿宋" w:eastAsia="仿宋"/>
          <w:sz w:val="24"/>
          <w:szCs w:val="24"/>
        </w:rPr>
        <w:t>2021年7月，联试联调，场馆人员一半人员到位。</w:t>
      </w:r>
    </w:p>
    <w:p>
      <w:pPr>
        <w:spacing w:line="276" w:lineRule="auto"/>
        <w:ind w:firstLine="560"/>
        <w:rPr>
          <w:rFonts w:ascii="仿宋" w:hAnsi="仿宋" w:eastAsia="仿宋"/>
          <w:sz w:val="24"/>
          <w:szCs w:val="24"/>
        </w:rPr>
      </w:pPr>
      <w:r>
        <w:rPr>
          <w:rFonts w:hint="eastAsia" w:ascii="仿宋" w:hAnsi="仿宋" w:eastAsia="仿宋"/>
          <w:sz w:val="24"/>
          <w:szCs w:val="24"/>
        </w:rPr>
        <w:t>2021年8月，全部场馆技术人员到位，进行全员培训、联试联调、赛事准备等工作。</w:t>
      </w:r>
    </w:p>
    <w:p>
      <w:pPr>
        <w:spacing w:line="276" w:lineRule="auto"/>
        <w:ind w:firstLine="560"/>
        <w:rPr>
          <w:rFonts w:ascii="仿宋" w:hAnsi="仿宋" w:eastAsia="仿宋"/>
          <w:sz w:val="24"/>
          <w:szCs w:val="24"/>
        </w:rPr>
      </w:pPr>
      <w:r>
        <w:rPr>
          <w:rFonts w:hint="eastAsia" w:ascii="仿宋" w:hAnsi="仿宋" w:eastAsia="仿宋"/>
          <w:sz w:val="24"/>
          <w:szCs w:val="24"/>
        </w:rPr>
        <w:t>2021年8月为赛时保障阶段，此时为整个人员使用的高峰，各非竞赛场馆和竞赛场馆人员需全员到位。其中技术运行中心（TOC）在赛时保障期提供7×24时的服务，每天安排两班人员进行倒班。</w:t>
      </w:r>
    </w:p>
    <w:p>
      <w:pPr>
        <w:spacing w:line="276" w:lineRule="auto"/>
        <w:ind w:firstLine="560"/>
        <w:rPr>
          <w:rFonts w:ascii="仿宋" w:hAnsi="仿宋" w:eastAsia="仿宋"/>
          <w:sz w:val="24"/>
          <w:szCs w:val="24"/>
        </w:rPr>
      </w:pPr>
      <w:r>
        <w:rPr>
          <w:rFonts w:hint="eastAsia" w:ascii="仿宋" w:hAnsi="仿宋" w:eastAsia="仿宋"/>
          <w:sz w:val="24"/>
          <w:szCs w:val="24"/>
        </w:rPr>
        <w:t>2021年9月至10月为赛事收尾阶段，完成赛事信息系统服务的后续保障，完成赛事收尾及咨询知识转移，完成总结报告等收尾工作。</w:t>
      </w:r>
    </w:p>
    <w:p>
      <w:pPr>
        <w:spacing w:line="276" w:lineRule="auto"/>
        <w:ind w:firstLine="560"/>
        <w:rPr>
          <w:rFonts w:ascii="仿宋" w:hAnsi="仿宋" w:eastAsia="仿宋"/>
          <w:sz w:val="24"/>
          <w:szCs w:val="24"/>
        </w:rPr>
      </w:pPr>
      <w:r>
        <w:rPr>
          <w:rFonts w:hint="eastAsia" w:ascii="仿宋" w:hAnsi="仿宋" w:eastAsia="仿宋"/>
          <w:sz w:val="24"/>
          <w:szCs w:val="24"/>
        </w:rPr>
        <w:t>服务期内招标方要求人员配置根据实际需求发生变化时，投标人应无条件响应。</w:t>
      </w:r>
    </w:p>
    <w:p>
      <w:pPr>
        <w:keepNext/>
        <w:keepLines/>
        <w:numPr>
          <w:ilvl w:val="0"/>
          <w:numId w:val="37"/>
        </w:numPr>
        <w:tabs>
          <w:tab w:val="left" w:pos="480"/>
        </w:tabs>
        <w:spacing w:before="240" w:beforeLines="100" w:line="276" w:lineRule="auto"/>
        <w:ind w:left="482" w:hanging="482" w:hangingChars="200"/>
        <w:outlineLvl w:val="2"/>
        <w:rPr>
          <w:rFonts w:ascii="仿宋" w:hAnsi="仿宋" w:eastAsia="仿宋"/>
          <w:kern w:val="0"/>
          <w:sz w:val="24"/>
          <w:szCs w:val="24"/>
        </w:rPr>
      </w:pPr>
      <w:r>
        <w:rPr>
          <w:rFonts w:hint="eastAsia" w:ascii="仿宋" w:hAnsi="仿宋" w:eastAsia="仿宋"/>
          <w:b/>
          <w:kern w:val="0"/>
          <w:sz w:val="24"/>
          <w:szCs w:val="24"/>
        </w:rPr>
        <w:t>实施管理要求</w:t>
      </w:r>
    </w:p>
    <w:p>
      <w:pPr>
        <w:spacing w:line="276" w:lineRule="auto"/>
        <w:ind w:firstLine="560"/>
        <w:rPr>
          <w:rFonts w:ascii="仿宋" w:hAnsi="仿宋" w:eastAsia="仿宋"/>
          <w:sz w:val="24"/>
          <w:szCs w:val="24"/>
        </w:rPr>
      </w:pPr>
      <w:r>
        <w:rPr>
          <w:rFonts w:hint="eastAsia" w:ascii="仿宋" w:hAnsi="仿宋" w:eastAsia="仿宋"/>
          <w:sz w:val="24"/>
          <w:szCs w:val="24"/>
        </w:rPr>
        <w:t>1、投标人必须对实施完成的系统提供日常维护服务，并根据招标方要求提供服务至运动会结束。</w:t>
      </w:r>
    </w:p>
    <w:p>
      <w:pPr>
        <w:spacing w:line="276" w:lineRule="auto"/>
        <w:ind w:firstLine="560"/>
        <w:rPr>
          <w:rFonts w:ascii="仿宋" w:hAnsi="仿宋" w:eastAsia="仿宋"/>
          <w:sz w:val="24"/>
          <w:szCs w:val="24"/>
        </w:rPr>
      </w:pPr>
      <w:r>
        <w:rPr>
          <w:rFonts w:hint="eastAsia" w:ascii="仿宋" w:hAnsi="仿宋" w:eastAsia="仿宋"/>
          <w:sz w:val="24"/>
          <w:szCs w:val="24"/>
        </w:rPr>
        <w:t>2、投标人须对建设的系统提供运行支持服务，根据合同承诺的内容对系统进行必要的修改、改进，并根据招标方要求提供服务至运动会结束。</w:t>
      </w:r>
    </w:p>
    <w:p>
      <w:pPr>
        <w:spacing w:line="276" w:lineRule="auto"/>
        <w:ind w:firstLine="560"/>
        <w:rPr>
          <w:rFonts w:ascii="仿宋" w:hAnsi="仿宋" w:eastAsia="仿宋"/>
          <w:sz w:val="24"/>
          <w:szCs w:val="24"/>
        </w:rPr>
      </w:pPr>
      <w:r>
        <w:rPr>
          <w:rFonts w:hint="eastAsia" w:ascii="仿宋" w:hAnsi="仿宋" w:eastAsia="仿宋"/>
          <w:sz w:val="24"/>
          <w:szCs w:val="24"/>
        </w:rPr>
        <w:t>3、接到招标方提出的修改建议之后，投标人需在1天内向招标方提供系统修改评估意见。</w:t>
      </w:r>
    </w:p>
    <w:p>
      <w:pPr>
        <w:spacing w:line="276" w:lineRule="auto"/>
        <w:ind w:firstLine="560"/>
        <w:rPr>
          <w:rFonts w:ascii="仿宋" w:hAnsi="仿宋" w:eastAsia="仿宋"/>
          <w:sz w:val="24"/>
          <w:szCs w:val="24"/>
        </w:rPr>
      </w:pPr>
      <w:r>
        <w:rPr>
          <w:rFonts w:hint="eastAsia" w:ascii="仿宋" w:hAnsi="仿宋" w:eastAsia="仿宋"/>
          <w:sz w:val="24"/>
          <w:szCs w:val="24"/>
        </w:rPr>
        <w:t>▲4、</w:t>
      </w:r>
      <w:r>
        <w:rPr>
          <w:rFonts w:hint="eastAsia" w:ascii="仿宋" w:hAnsi="仿宋" w:eastAsia="仿宋"/>
          <w:b/>
          <w:sz w:val="24"/>
          <w:szCs w:val="24"/>
          <w:u w:val="single"/>
        </w:rPr>
        <w:t>中标人应为招标方提供 7×24 小时的技术咨询和维修服务。中标人收到招标方服务要求后1小时内做出响应</w:t>
      </w:r>
      <w:r>
        <w:rPr>
          <w:rFonts w:hint="eastAsia" w:ascii="仿宋" w:hAnsi="仿宋" w:eastAsia="仿宋"/>
          <w:sz w:val="24"/>
          <w:szCs w:val="24"/>
        </w:rPr>
        <w:t>。</w:t>
      </w:r>
      <w:r>
        <w:rPr>
          <w:rFonts w:hint="eastAsia" w:ascii="仿宋" w:hAnsi="仿宋" w:eastAsia="仿宋"/>
          <w:b/>
          <w:sz w:val="24"/>
          <w:szCs w:val="24"/>
        </w:rPr>
        <w:t>▲</w:t>
      </w:r>
    </w:p>
    <w:p>
      <w:pPr>
        <w:spacing w:line="276" w:lineRule="auto"/>
        <w:ind w:firstLine="560"/>
        <w:rPr>
          <w:rFonts w:ascii="仿宋" w:hAnsi="仿宋" w:eastAsia="仿宋"/>
          <w:sz w:val="24"/>
          <w:szCs w:val="24"/>
        </w:rPr>
      </w:pPr>
      <w:r>
        <w:rPr>
          <w:rFonts w:hint="eastAsia" w:ascii="仿宋" w:hAnsi="仿宋" w:eastAsia="仿宋"/>
          <w:sz w:val="24"/>
          <w:szCs w:val="24"/>
        </w:rPr>
        <w:t>5、中标人建设的系统应具备备份方案，保证在运动会比赛期间，如果系统发生故障， 能够不影响比赛的正常进行。</w:t>
      </w:r>
    </w:p>
    <w:p>
      <w:pPr>
        <w:spacing w:line="276" w:lineRule="auto"/>
        <w:ind w:firstLine="560"/>
        <w:rPr>
          <w:rFonts w:ascii="仿宋" w:hAnsi="仿宋" w:eastAsia="仿宋"/>
          <w:sz w:val="24"/>
          <w:szCs w:val="24"/>
        </w:rPr>
      </w:pPr>
      <w:r>
        <w:rPr>
          <w:rFonts w:hint="eastAsia" w:ascii="仿宋" w:hAnsi="仿宋" w:eastAsia="仿宋"/>
          <w:sz w:val="24"/>
          <w:szCs w:val="24"/>
        </w:rPr>
        <w:t>6、运行维护期内，中标人负责对其提供的系统进行维护，不得单列模块维护加以收费。</w:t>
      </w:r>
    </w:p>
    <w:p>
      <w:pPr>
        <w:spacing w:line="276" w:lineRule="auto"/>
        <w:ind w:firstLine="560"/>
        <w:rPr>
          <w:rFonts w:ascii="仿宋" w:hAnsi="仿宋" w:eastAsia="仿宋"/>
          <w:sz w:val="24"/>
          <w:szCs w:val="24"/>
        </w:rPr>
      </w:pPr>
      <w:r>
        <w:rPr>
          <w:rFonts w:hint="eastAsia" w:ascii="仿宋" w:hAnsi="仿宋" w:eastAsia="仿宋"/>
          <w:sz w:val="24"/>
          <w:szCs w:val="24"/>
        </w:rPr>
        <w:t>7、投标人应本着认真负责态度，组织技术队伍，做好书面提出维护、服务以及今后技术支持的措施计划和承诺。</w:t>
      </w:r>
    </w:p>
    <w:p>
      <w:pPr>
        <w:spacing w:line="276" w:lineRule="auto"/>
        <w:ind w:firstLine="560"/>
        <w:rPr>
          <w:rFonts w:ascii="仿宋" w:hAnsi="仿宋" w:eastAsia="仿宋"/>
          <w:sz w:val="24"/>
          <w:szCs w:val="24"/>
        </w:rPr>
      </w:pPr>
      <w:r>
        <w:rPr>
          <w:rFonts w:hint="eastAsia" w:ascii="仿宋" w:hAnsi="仿宋" w:eastAsia="仿宋"/>
          <w:sz w:val="24"/>
          <w:szCs w:val="24"/>
        </w:rPr>
        <w:t>8、本项目中所选用主要设备原则上要求具有大型体育赛事信息系统相关应用案例。</w:t>
      </w:r>
    </w:p>
    <w:p>
      <w:pPr>
        <w:keepNext/>
        <w:keepLines/>
        <w:numPr>
          <w:ilvl w:val="0"/>
          <w:numId w:val="37"/>
        </w:numPr>
        <w:tabs>
          <w:tab w:val="left" w:pos="480"/>
        </w:tabs>
        <w:spacing w:before="120" w:beforeLines="50" w:line="276" w:lineRule="auto"/>
        <w:ind w:left="480" w:hanging="480" w:hangingChars="200"/>
        <w:outlineLvl w:val="2"/>
        <w:rPr>
          <w:rFonts w:ascii="仿宋" w:hAnsi="仿宋" w:eastAsia="仿宋"/>
          <w:kern w:val="0"/>
          <w:sz w:val="24"/>
          <w:szCs w:val="24"/>
        </w:rPr>
      </w:pPr>
      <w:r>
        <w:rPr>
          <w:rFonts w:hint="eastAsia" w:ascii="仿宋" w:hAnsi="仿宋" w:eastAsia="仿宋"/>
          <w:kern w:val="0"/>
          <w:sz w:val="24"/>
          <w:szCs w:val="24"/>
        </w:rPr>
        <w:t>▲</w:t>
      </w:r>
      <w:r>
        <w:rPr>
          <w:rFonts w:hint="eastAsia" w:ascii="仿宋" w:hAnsi="仿宋" w:eastAsia="仿宋"/>
          <w:b/>
          <w:kern w:val="0"/>
          <w:sz w:val="24"/>
          <w:szCs w:val="24"/>
          <w:u w:val="single"/>
        </w:rPr>
        <w:t>服务期限</w:t>
      </w:r>
      <w:r>
        <w:rPr>
          <w:rFonts w:hint="eastAsia" w:ascii="仿宋" w:hAnsi="仿宋" w:eastAsia="仿宋"/>
          <w:b/>
          <w:kern w:val="0"/>
          <w:sz w:val="24"/>
          <w:szCs w:val="24"/>
        </w:rPr>
        <w:t>▲</w:t>
      </w:r>
    </w:p>
    <w:p>
      <w:pPr>
        <w:spacing w:line="276" w:lineRule="auto"/>
        <w:ind w:firstLine="560"/>
        <w:rPr>
          <w:rFonts w:ascii="仿宋" w:hAnsi="仿宋" w:eastAsia="仿宋"/>
          <w:b/>
          <w:sz w:val="24"/>
          <w:szCs w:val="24"/>
        </w:rPr>
      </w:pPr>
      <w:r>
        <w:rPr>
          <w:rFonts w:hint="eastAsia" w:ascii="仿宋" w:hAnsi="仿宋" w:eastAsia="仿宋"/>
          <w:b/>
          <w:sz w:val="24"/>
          <w:szCs w:val="24"/>
        </w:rPr>
        <w:t>服务期限：自合同签订之日起至2021年12月结束。</w:t>
      </w:r>
    </w:p>
    <w:p>
      <w:pPr>
        <w:spacing w:line="276" w:lineRule="auto"/>
        <w:ind w:firstLine="560"/>
        <w:rPr>
          <w:rFonts w:ascii="仿宋" w:hAnsi="仿宋" w:eastAsia="仿宋"/>
          <w:b/>
          <w:sz w:val="24"/>
          <w:szCs w:val="24"/>
        </w:rPr>
      </w:pPr>
      <w:r>
        <w:rPr>
          <w:rFonts w:hint="eastAsia" w:ascii="仿宋" w:hAnsi="仿宋" w:eastAsia="仿宋"/>
          <w:b/>
          <w:sz w:val="24"/>
          <w:szCs w:val="24"/>
        </w:rPr>
        <w:t>1、自合同签订之日起-2021年3月  项目建设（含专项设计）；</w:t>
      </w:r>
    </w:p>
    <w:p>
      <w:pPr>
        <w:spacing w:line="276" w:lineRule="auto"/>
        <w:ind w:firstLine="560"/>
        <w:rPr>
          <w:rFonts w:ascii="仿宋" w:hAnsi="仿宋" w:eastAsia="仿宋"/>
          <w:b/>
          <w:sz w:val="24"/>
          <w:szCs w:val="24"/>
        </w:rPr>
      </w:pPr>
      <w:r>
        <w:rPr>
          <w:rFonts w:hint="eastAsia" w:ascii="仿宋" w:hAnsi="仿宋" w:eastAsia="仿宋"/>
          <w:b/>
          <w:sz w:val="24"/>
          <w:szCs w:val="24"/>
        </w:rPr>
        <w:t>2、2021年3-4月集成测试；</w:t>
      </w:r>
    </w:p>
    <w:p>
      <w:pPr>
        <w:spacing w:line="276" w:lineRule="auto"/>
        <w:ind w:firstLine="560"/>
        <w:rPr>
          <w:rFonts w:ascii="仿宋" w:hAnsi="仿宋" w:eastAsia="仿宋"/>
          <w:b/>
          <w:sz w:val="24"/>
          <w:szCs w:val="24"/>
        </w:rPr>
      </w:pPr>
      <w:r>
        <w:rPr>
          <w:rFonts w:hint="eastAsia" w:ascii="仿宋" w:hAnsi="仿宋" w:eastAsia="仿宋"/>
          <w:b/>
          <w:sz w:val="24"/>
          <w:szCs w:val="24"/>
        </w:rPr>
        <w:t>3、2021年4-6月提供测试赛运行服务；</w:t>
      </w:r>
    </w:p>
    <w:p>
      <w:pPr>
        <w:spacing w:line="276" w:lineRule="auto"/>
        <w:ind w:firstLine="560"/>
        <w:rPr>
          <w:rFonts w:ascii="仿宋" w:hAnsi="仿宋" w:eastAsia="仿宋"/>
          <w:b/>
          <w:sz w:val="24"/>
          <w:szCs w:val="24"/>
        </w:rPr>
      </w:pPr>
      <w:r>
        <w:rPr>
          <w:rFonts w:hint="eastAsia" w:ascii="仿宋" w:hAnsi="仿宋" w:eastAsia="仿宋"/>
          <w:b/>
          <w:sz w:val="24"/>
          <w:szCs w:val="24"/>
        </w:rPr>
        <w:t>4、2021年7月提供联调联试及联合演练服务；</w:t>
      </w:r>
    </w:p>
    <w:p>
      <w:pPr>
        <w:spacing w:line="276" w:lineRule="auto"/>
        <w:ind w:firstLine="560"/>
        <w:rPr>
          <w:rFonts w:ascii="仿宋" w:hAnsi="仿宋" w:eastAsia="仿宋"/>
          <w:b/>
          <w:sz w:val="24"/>
          <w:szCs w:val="24"/>
        </w:rPr>
      </w:pPr>
      <w:r>
        <w:rPr>
          <w:rFonts w:hint="eastAsia" w:ascii="仿宋" w:hAnsi="仿宋" w:eastAsia="仿宋"/>
          <w:b/>
          <w:sz w:val="24"/>
          <w:szCs w:val="24"/>
        </w:rPr>
        <w:t>5、2021年8月</w:t>
      </w:r>
      <w:r>
        <w:rPr>
          <w:rFonts w:hint="eastAsia" w:ascii="仿宋" w:hAnsi="仿宋" w:eastAsia="仿宋"/>
          <w:b/>
          <w:sz w:val="24"/>
          <w:szCs w:val="24"/>
        </w:rPr>
        <w:tab/>
      </w:r>
      <w:r>
        <w:rPr>
          <w:rFonts w:hint="eastAsia" w:ascii="仿宋" w:hAnsi="仿宋" w:eastAsia="仿宋"/>
          <w:b/>
          <w:sz w:val="24"/>
          <w:szCs w:val="24"/>
        </w:rPr>
        <w:t>全面提供赛时运行服务；</w:t>
      </w:r>
    </w:p>
    <w:p>
      <w:pPr>
        <w:spacing w:line="276" w:lineRule="auto"/>
        <w:ind w:firstLine="560"/>
        <w:rPr>
          <w:rFonts w:ascii="仿宋" w:hAnsi="仿宋" w:eastAsia="仿宋"/>
          <w:b/>
          <w:sz w:val="24"/>
          <w:szCs w:val="24"/>
        </w:rPr>
      </w:pPr>
      <w:r>
        <w:rPr>
          <w:rFonts w:hint="eastAsia" w:ascii="仿宋" w:hAnsi="仿宋" w:eastAsia="仿宋"/>
          <w:b/>
          <w:sz w:val="24"/>
          <w:szCs w:val="24"/>
        </w:rPr>
        <w:t>6、2021年9月-2021年12月提供赛事收尾服务。</w:t>
      </w:r>
    </w:p>
    <w:p>
      <w:pPr>
        <w:spacing w:line="276" w:lineRule="auto"/>
        <w:ind w:firstLine="560"/>
        <w:rPr>
          <w:rFonts w:ascii="仿宋" w:hAnsi="仿宋" w:eastAsia="仿宋"/>
          <w:b/>
          <w:sz w:val="24"/>
          <w:szCs w:val="24"/>
        </w:rPr>
      </w:pPr>
      <w:r>
        <w:rPr>
          <w:rFonts w:hint="eastAsia" w:ascii="仿宋" w:hAnsi="仿宋" w:eastAsia="仿宋"/>
          <w:b/>
          <w:sz w:val="24"/>
          <w:szCs w:val="24"/>
        </w:rPr>
        <w:t>以上工期会根据实际情况做适当优化修正。投标人应按照上述总体工期要求制定详细的系统建设计划。</w:t>
      </w:r>
    </w:p>
    <w:p>
      <w:pPr>
        <w:keepNext/>
        <w:keepLines/>
        <w:numPr>
          <w:ilvl w:val="0"/>
          <w:numId w:val="37"/>
        </w:numPr>
        <w:tabs>
          <w:tab w:val="left" w:pos="480"/>
        </w:tabs>
        <w:spacing w:before="120" w:beforeLines="50" w:line="276" w:lineRule="auto"/>
        <w:ind w:left="482" w:hanging="482" w:hangingChars="200"/>
        <w:outlineLvl w:val="2"/>
        <w:rPr>
          <w:rFonts w:ascii="仿宋" w:hAnsi="仿宋" w:eastAsia="仿宋"/>
          <w:b/>
          <w:kern w:val="0"/>
          <w:sz w:val="24"/>
          <w:szCs w:val="24"/>
        </w:rPr>
      </w:pPr>
      <w:r>
        <w:rPr>
          <w:rFonts w:hint="eastAsia" w:ascii="仿宋" w:hAnsi="仿宋" w:eastAsia="仿宋"/>
          <w:b/>
          <w:kern w:val="0"/>
          <w:sz w:val="24"/>
          <w:szCs w:val="24"/>
        </w:rPr>
        <w:t>培训要求</w:t>
      </w:r>
    </w:p>
    <w:p>
      <w:pPr>
        <w:spacing w:line="276" w:lineRule="auto"/>
        <w:ind w:firstLine="560"/>
        <w:rPr>
          <w:rFonts w:ascii="仿宋" w:hAnsi="仿宋" w:eastAsia="仿宋"/>
          <w:sz w:val="24"/>
          <w:szCs w:val="24"/>
        </w:rPr>
      </w:pPr>
      <w:r>
        <w:rPr>
          <w:rFonts w:hint="eastAsia" w:ascii="仿宋" w:hAnsi="仿宋" w:eastAsia="仿宋"/>
          <w:sz w:val="24"/>
          <w:szCs w:val="24"/>
        </w:rPr>
        <w:t>投标人应提供完整的培训方案；赛事信息系统的各分系统紧密联系，在培训时需从全局角度出发对培训进行计划。</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培训目标：</w:t>
      </w:r>
    </w:p>
    <w:p>
      <w:pPr>
        <w:spacing w:line="276" w:lineRule="auto"/>
        <w:ind w:firstLine="560"/>
        <w:rPr>
          <w:rFonts w:ascii="仿宋" w:hAnsi="仿宋" w:eastAsia="仿宋"/>
          <w:sz w:val="24"/>
          <w:szCs w:val="24"/>
        </w:rPr>
      </w:pPr>
      <w:r>
        <w:rPr>
          <w:rFonts w:hint="eastAsia" w:ascii="仿宋" w:hAnsi="仿宋" w:eastAsia="仿宋"/>
          <w:sz w:val="24"/>
          <w:szCs w:val="24"/>
        </w:rPr>
        <w:t>在系统实施过程中，必须加强对员工的培训工作，包括岗位培训、基础知识培训、竞赛业务培训、技术与操作技能培训等。培训人员数量按实际需求量的110 %，关键岗位人员、专业操作人员、技术支持与系统维护人员等应设立人才预备库，避免人员流失风险，提供应急突发事件处理能力。</w:t>
      </w:r>
    </w:p>
    <w:p>
      <w:pPr>
        <w:spacing w:line="276" w:lineRule="auto"/>
        <w:ind w:firstLine="560"/>
        <w:rPr>
          <w:rFonts w:ascii="仿宋" w:hAnsi="仿宋" w:eastAsia="仿宋"/>
          <w:sz w:val="24"/>
          <w:szCs w:val="24"/>
        </w:rPr>
      </w:pPr>
      <w:r>
        <w:rPr>
          <w:rFonts w:hint="eastAsia" w:ascii="仿宋" w:hAnsi="仿宋" w:eastAsia="仿宋"/>
          <w:sz w:val="24"/>
          <w:szCs w:val="24"/>
        </w:rPr>
        <w:t>基础知识和岗位培训将遵循组委会和项目管理安排进行培训，竞赛业务和操作技能培训部分由承包商提供培训资料和培训师。首批参加培训的员工，将担任各场馆主管等关键岗位，并负责场馆技术人员的培训工作。</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培训对象 ：</w:t>
      </w:r>
    </w:p>
    <w:p>
      <w:pPr>
        <w:spacing w:line="276" w:lineRule="auto"/>
        <w:ind w:firstLine="560"/>
        <w:rPr>
          <w:rFonts w:ascii="仿宋" w:hAnsi="仿宋" w:eastAsia="仿宋"/>
          <w:sz w:val="24"/>
          <w:szCs w:val="24"/>
        </w:rPr>
      </w:pPr>
      <w:r>
        <w:rPr>
          <w:rFonts w:hint="eastAsia" w:ascii="仿宋" w:hAnsi="仿宋" w:eastAsia="仿宋"/>
          <w:sz w:val="24"/>
          <w:szCs w:val="24"/>
        </w:rPr>
        <w:t>针对操作运行人员进行的专业培训，其目的在于使有关人员能够熟悉本届大运会的基本知识和相关业务流程，并通过培训，熟悉设备的安装调试和维护及操作要求和方法，以保障系统安全可靠、高效的运行质量。保障使用对象熟悉基本流程、服务规范，熟练操作各信息系统的各项功能，保证服务质量。掌握各种设备的故障的诊断、定位和排除技能。主要培训对象包括但不限于：管理团队、工作人员、开发人员、技术支持人员和志愿者辅助人员等。</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 xml:space="preserve">培训内容与课程要求 </w:t>
      </w:r>
    </w:p>
    <w:p>
      <w:pPr>
        <w:spacing w:line="276" w:lineRule="auto"/>
        <w:ind w:firstLine="560"/>
        <w:rPr>
          <w:rFonts w:ascii="仿宋" w:hAnsi="仿宋" w:eastAsia="仿宋"/>
          <w:sz w:val="24"/>
          <w:szCs w:val="24"/>
        </w:rPr>
      </w:pPr>
      <w:r>
        <w:rPr>
          <w:rFonts w:hint="eastAsia" w:ascii="仿宋" w:hAnsi="仿宋" w:eastAsia="仿宋"/>
          <w:sz w:val="24"/>
          <w:szCs w:val="24"/>
        </w:rPr>
        <w:t>投标人应对项目培训范围提供相应的培训，投标人需详细列明相应的培训课程内容和时间安排。</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 xml:space="preserve">培训费用 </w:t>
      </w:r>
    </w:p>
    <w:p>
      <w:pPr>
        <w:spacing w:line="276" w:lineRule="auto"/>
        <w:ind w:firstLine="560"/>
        <w:rPr>
          <w:rFonts w:ascii="仿宋" w:hAnsi="仿宋" w:eastAsia="仿宋"/>
          <w:sz w:val="24"/>
          <w:szCs w:val="24"/>
        </w:rPr>
      </w:pPr>
      <w:r>
        <w:rPr>
          <w:rFonts w:hint="eastAsia" w:ascii="仿宋" w:hAnsi="仿宋" w:eastAsia="仿宋"/>
          <w:sz w:val="24"/>
          <w:szCs w:val="24"/>
        </w:rPr>
        <w:t>所有培训费用及各项支出可包含在各子系统报价中，无需单列。</w:t>
      </w:r>
    </w:p>
    <w:p>
      <w:pPr>
        <w:keepNext/>
        <w:keepLines/>
        <w:numPr>
          <w:ilvl w:val="1"/>
          <w:numId w:val="0"/>
        </w:numPr>
        <w:spacing w:before="240" w:beforeLines="100" w:line="276" w:lineRule="auto"/>
        <w:ind w:right="-29" w:rightChars="-14"/>
        <w:outlineLvl w:val="1"/>
        <w:rPr>
          <w:rFonts w:ascii="仿宋" w:hAnsi="仿宋" w:eastAsia="仿宋"/>
          <w:b/>
          <w:bCs/>
          <w:sz w:val="28"/>
          <w:szCs w:val="24"/>
        </w:rPr>
      </w:pPr>
      <w:r>
        <w:rPr>
          <w:rFonts w:hint="eastAsia" w:ascii="仿宋" w:hAnsi="仿宋" w:eastAsia="仿宋"/>
          <w:b/>
          <w:bCs/>
          <w:sz w:val="28"/>
          <w:szCs w:val="24"/>
        </w:rPr>
        <w:t>1.6服务地点</w:t>
      </w:r>
    </w:p>
    <w:p>
      <w:pPr>
        <w:adjustRightInd w:val="0"/>
        <w:snapToGrid w:val="0"/>
        <w:spacing w:line="276" w:lineRule="auto"/>
        <w:ind w:left="640"/>
        <w:rPr>
          <w:rFonts w:ascii="仿宋" w:hAnsi="仿宋" w:eastAsia="仿宋"/>
          <w:sz w:val="24"/>
          <w:szCs w:val="24"/>
        </w:rPr>
      </w:pPr>
      <w:r>
        <w:rPr>
          <w:rFonts w:hint="eastAsia" w:ascii="仿宋" w:hAnsi="仿宋" w:eastAsia="仿宋"/>
          <w:sz w:val="24"/>
          <w:szCs w:val="24"/>
        </w:rPr>
        <w:t>服务</w:t>
      </w:r>
      <w:r>
        <w:rPr>
          <w:rFonts w:ascii="仿宋" w:hAnsi="仿宋" w:eastAsia="仿宋"/>
          <w:sz w:val="24"/>
          <w:szCs w:val="24"/>
        </w:rPr>
        <w:t>地点：成都</w:t>
      </w:r>
    </w:p>
    <w:p>
      <w:pPr>
        <w:keepNext/>
        <w:keepLines/>
        <w:numPr>
          <w:ilvl w:val="1"/>
          <w:numId w:val="0"/>
        </w:numPr>
        <w:spacing w:before="240" w:beforeLines="100" w:line="276" w:lineRule="auto"/>
        <w:ind w:right="-29" w:rightChars="-14"/>
        <w:outlineLvl w:val="1"/>
        <w:rPr>
          <w:rFonts w:ascii="仿宋" w:hAnsi="仿宋" w:eastAsia="仿宋"/>
          <w:b/>
          <w:bCs/>
          <w:sz w:val="28"/>
          <w:szCs w:val="24"/>
        </w:rPr>
      </w:pPr>
      <w:r>
        <w:rPr>
          <w:rFonts w:hint="eastAsia" w:ascii="仿宋" w:hAnsi="仿宋" w:eastAsia="仿宋"/>
          <w:b/>
          <w:bCs/>
          <w:sz w:val="28"/>
          <w:szCs w:val="24"/>
        </w:rPr>
        <w:t>1.7考核标准和方法</w:t>
      </w:r>
    </w:p>
    <w:p>
      <w:pPr>
        <w:keepNext/>
        <w:keepLines/>
        <w:numPr>
          <w:ilvl w:val="2"/>
          <w:numId w:val="0"/>
        </w:numPr>
        <w:tabs>
          <w:tab w:val="left" w:pos="480"/>
        </w:tabs>
        <w:spacing w:line="276" w:lineRule="auto"/>
        <w:outlineLvl w:val="2"/>
        <w:rPr>
          <w:rFonts w:ascii="仿宋" w:hAnsi="仿宋" w:eastAsia="仿宋"/>
          <w:kern w:val="0"/>
          <w:sz w:val="24"/>
          <w:szCs w:val="24"/>
        </w:rPr>
      </w:pPr>
      <w:r>
        <w:rPr>
          <w:rFonts w:hint="eastAsia" w:ascii="仿宋" w:hAnsi="仿宋" w:eastAsia="仿宋"/>
          <w:kern w:val="0"/>
          <w:sz w:val="24"/>
          <w:szCs w:val="24"/>
        </w:rPr>
        <w:t>考核标准及办法</w:t>
      </w:r>
    </w:p>
    <w:tbl>
      <w:tblPr>
        <w:tblStyle w:val="58"/>
        <w:tblW w:w="9045" w:type="dxa"/>
        <w:tblInd w:w="0" w:type="dxa"/>
        <w:tblLayout w:type="fixed"/>
        <w:tblCellMar>
          <w:top w:w="0" w:type="dxa"/>
          <w:left w:w="108" w:type="dxa"/>
          <w:bottom w:w="0" w:type="dxa"/>
          <w:right w:w="108" w:type="dxa"/>
        </w:tblCellMar>
      </w:tblPr>
      <w:tblGrid>
        <w:gridCol w:w="636"/>
        <w:gridCol w:w="1053"/>
        <w:gridCol w:w="686"/>
        <w:gridCol w:w="3128"/>
        <w:gridCol w:w="3542"/>
      </w:tblGrid>
      <w:tr>
        <w:tblPrEx>
          <w:tblCellMar>
            <w:top w:w="0" w:type="dxa"/>
            <w:left w:w="108" w:type="dxa"/>
            <w:bottom w:w="0" w:type="dxa"/>
            <w:right w:w="108" w:type="dxa"/>
          </w:tblCellMar>
        </w:tblPrEx>
        <w:trPr>
          <w:trHeight w:val="330" w:hRule="atLeast"/>
          <w:tblHeader/>
        </w:trPr>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ind w:firstLine="0"/>
              <w:jc w:val="both"/>
              <w:rPr>
                <w:rFonts w:ascii="仿宋" w:hAnsi="仿宋" w:eastAsia="仿宋" w:cs="宋体"/>
                <w:b/>
                <w:sz w:val="22"/>
                <w:szCs w:val="24"/>
              </w:rPr>
            </w:pPr>
            <w:r>
              <w:rPr>
                <w:rFonts w:hint="eastAsia" w:ascii="仿宋" w:hAnsi="仿宋" w:eastAsia="仿宋" w:cs="宋体"/>
                <w:b/>
                <w:sz w:val="22"/>
                <w:szCs w:val="24"/>
                <w:lang w:bidi="ar"/>
              </w:rPr>
              <w:t>序号</w:t>
            </w:r>
          </w:p>
        </w:tc>
        <w:tc>
          <w:tcPr>
            <w:tcW w:w="1053"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b/>
                <w:sz w:val="22"/>
                <w:szCs w:val="24"/>
              </w:rPr>
            </w:pPr>
            <w:r>
              <w:rPr>
                <w:rFonts w:hint="eastAsia" w:ascii="仿宋" w:hAnsi="仿宋" w:eastAsia="仿宋" w:cs="宋体"/>
                <w:b/>
                <w:sz w:val="22"/>
                <w:szCs w:val="24"/>
                <w:lang w:bidi="ar"/>
              </w:rPr>
              <w:t>服务阶段</w:t>
            </w:r>
          </w:p>
        </w:tc>
        <w:tc>
          <w:tcPr>
            <w:tcW w:w="686"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b/>
                <w:sz w:val="22"/>
                <w:szCs w:val="24"/>
              </w:rPr>
            </w:pPr>
            <w:r>
              <w:rPr>
                <w:rFonts w:hint="eastAsia" w:ascii="仿宋" w:hAnsi="仿宋" w:eastAsia="仿宋" w:cs="宋体"/>
                <w:b/>
                <w:sz w:val="22"/>
                <w:szCs w:val="24"/>
                <w:lang w:bidi="ar"/>
              </w:rPr>
              <w:t>服务内容</w:t>
            </w:r>
          </w:p>
        </w:tc>
        <w:tc>
          <w:tcPr>
            <w:tcW w:w="312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b/>
                <w:sz w:val="22"/>
                <w:szCs w:val="24"/>
              </w:rPr>
            </w:pPr>
            <w:r>
              <w:rPr>
                <w:rFonts w:hint="eastAsia" w:ascii="仿宋" w:hAnsi="仿宋" w:eastAsia="仿宋" w:cs="宋体"/>
                <w:b/>
                <w:sz w:val="22"/>
                <w:szCs w:val="24"/>
                <w:lang w:bidi="ar"/>
              </w:rPr>
              <w:t>服务说明</w:t>
            </w:r>
          </w:p>
        </w:tc>
        <w:tc>
          <w:tcPr>
            <w:tcW w:w="354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b/>
                <w:sz w:val="22"/>
                <w:szCs w:val="24"/>
              </w:rPr>
            </w:pPr>
            <w:r>
              <w:rPr>
                <w:rFonts w:hint="eastAsia" w:ascii="仿宋" w:hAnsi="仿宋" w:eastAsia="仿宋" w:cs="宋体"/>
                <w:b/>
                <w:sz w:val="22"/>
                <w:szCs w:val="24"/>
                <w:lang w:bidi="ar"/>
              </w:rPr>
              <w:t>扣分说明</w:t>
            </w:r>
          </w:p>
        </w:tc>
      </w:tr>
      <w:tr>
        <w:tblPrEx>
          <w:tblCellMar>
            <w:top w:w="0" w:type="dxa"/>
            <w:left w:w="108" w:type="dxa"/>
            <w:bottom w:w="0" w:type="dxa"/>
            <w:right w:w="108" w:type="dxa"/>
          </w:tblCellMar>
        </w:tblPrEx>
        <w:trPr>
          <w:trHeight w:val="330"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1</w:t>
            </w:r>
          </w:p>
        </w:tc>
        <w:tc>
          <w:tcPr>
            <w:tcW w:w="105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招标完成后</w:t>
            </w: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服务团队</w:t>
            </w:r>
          </w:p>
        </w:tc>
        <w:tc>
          <w:tcPr>
            <w:tcW w:w="3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按照用户要求提供相应数量、资质的人员</w:t>
            </w:r>
          </w:p>
        </w:tc>
        <w:tc>
          <w:tcPr>
            <w:tcW w:w="354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项目经理、主管等主要人员缺失的，每缺一人扣0.4分；资质不匹配的，每有一人/项，扣0.2分</w:t>
            </w:r>
          </w:p>
        </w:tc>
      </w:tr>
      <w:tr>
        <w:tblPrEx>
          <w:tblCellMar>
            <w:top w:w="0" w:type="dxa"/>
            <w:left w:w="108" w:type="dxa"/>
            <w:bottom w:w="0" w:type="dxa"/>
            <w:right w:w="108" w:type="dxa"/>
          </w:tblCellMar>
        </w:tblPrEx>
        <w:trPr>
          <w:trHeight w:val="330"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2</w:t>
            </w:r>
          </w:p>
        </w:tc>
        <w:tc>
          <w:tcPr>
            <w:tcW w:w="1053"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方案计划</w:t>
            </w:r>
          </w:p>
        </w:tc>
        <w:tc>
          <w:tcPr>
            <w:tcW w:w="3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依照要求制定、更新服务方案和服务计划</w:t>
            </w:r>
          </w:p>
        </w:tc>
        <w:tc>
          <w:tcPr>
            <w:tcW w:w="354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未提供服务方案服务计划，每有一次扣2分；逾期提供服务方案、服务计划，每逾期一天扣0.2分</w:t>
            </w:r>
          </w:p>
        </w:tc>
      </w:tr>
      <w:tr>
        <w:tblPrEx>
          <w:tblCellMar>
            <w:top w:w="0" w:type="dxa"/>
            <w:left w:w="108" w:type="dxa"/>
            <w:bottom w:w="0" w:type="dxa"/>
            <w:right w:w="108" w:type="dxa"/>
          </w:tblCellMar>
        </w:tblPrEx>
        <w:trPr>
          <w:trHeight w:val="660"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3</w:t>
            </w:r>
          </w:p>
        </w:tc>
        <w:tc>
          <w:tcPr>
            <w:tcW w:w="105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项目建设阶段</w:t>
            </w:r>
          </w:p>
        </w:tc>
        <w:tc>
          <w:tcPr>
            <w:tcW w:w="68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方案计划的执行</w:t>
            </w:r>
          </w:p>
        </w:tc>
        <w:tc>
          <w:tcPr>
            <w:tcW w:w="3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根据制定的服务方案、服务计划提供完整、可靠、优质的各类服务</w:t>
            </w:r>
          </w:p>
        </w:tc>
        <w:tc>
          <w:tcPr>
            <w:tcW w:w="354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未按照通过审核的服务方案、服务计划提供服务，每有一项/次扣0.2分</w:t>
            </w:r>
          </w:p>
        </w:tc>
      </w:tr>
      <w:tr>
        <w:tblPrEx>
          <w:tblCellMar>
            <w:top w:w="0" w:type="dxa"/>
            <w:left w:w="108" w:type="dxa"/>
            <w:bottom w:w="0" w:type="dxa"/>
            <w:right w:w="108" w:type="dxa"/>
          </w:tblCellMar>
        </w:tblPrEx>
        <w:trPr>
          <w:trHeight w:val="660"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4</w:t>
            </w:r>
          </w:p>
        </w:tc>
        <w:tc>
          <w:tcPr>
            <w:tcW w:w="1053"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3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根据制定的建设方案及进度计划进行项目建设</w:t>
            </w:r>
          </w:p>
        </w:tc>
        <w:tc>
          <w:tcPr>
            <w:tcW w:w="354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因建设进度滞后造成恶劣影响、或造成用户单位重大损失的，每有一项/次，扣1分；因建设进度滞后造成不良影响的，每有一项/次扣0.4分；项目建设未按方案进行的，每有一项扣0.2分</w:t>
            </w:r>
          </w:p>
        </w:tc>
      </w:tr>
      <w:tr>
        <w:tblPrEx>
          <w:tblCellMar>
            <w:top w:w="0" w:type="dxa"/>
            <w:left w:w="108" w:type="dxa"/>
            <w:bottom w:w="0" w:type="dxa"/>
            <w:right w:w="108" w:type="dxa"/>
          </w:tblCellMar>
        </w:tblPrEx>
        <w:trPr>
          <w:trHeight w:val="660"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5</w:t>
            </w:r>
          </w:p>
        </w:tc>
        <w:tc>
          <w:tcPr>
            <w:tcW w:w="1053"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服务报告</w:t>
            </w:r>
          </w:p>
        </w:tc>
        <w:tc>
          <w:tcPr>
            <w:tcW w:w="3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定期按照用户要求提交服务报告，不定期按照用户需求提交项目建设进度报告</w:t>
            </w:r>
          </w:p>
        </w:tc>
        <w:tc>
          <w:tcPr>
            <w:tcW w:w="354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未提供报告，每有一次扣0.1分；逾期提交或未达到用户要求的，扣0.04分</w:t>
            </w:r>
          </w:p>
        </w:tc>
      </w:tr>
      <w:tr>
        <w:tblPrEx>
          <w:tblCellMar>
            <w:top w:w="0" w:type="dxa"/>
            <w:left w:w="108" w:type="dxa"/>
            <w:bottom w:w="0" w:type="dxa"/>
            <w:right w:w="108" w:type="dxa"/>
          </w:tblCellMar>
        </w:tblPrEx>
        <w:trPr>
          <w:trHeight w:val="330"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6</w:t>
            </w:r>
          </w:p>
        </w:tc>
        <w:tc>
          <w:tcPr>
            <w:tcW w:w="105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赛事运行保障阶段</w:t>
            </w:r>
          </w:p>
        </w:tc>
        <w:tc>
          <w:tcPr>
            <w:tcW w:w="686" w:type="dxa"/>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应急演练</w:t>
            </w:r>
          </w:p>
        </w:tc>
        <w:tc>
          <w:tcPr>
            <w:tcW w:w="3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根据制定的应急预案进行应急演练</w:t>
            </w:r>
          </w:p>
        </w:tc>
        <w:tc>
          <w:tcPr>
            <w:tcW w:w="354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未进行应急演练，每有一次扣0.4分；逾期演练或未达到用户要求的扣0.2分</w:t>
            </w:r>
          </w:p>
        </w:tc>
      </w:tr>
      <w:tr>
        <w:tblPrEx>
          <w:tblCellMar>
            <w:top w:w="0" w:type="dxa"/>
            <w:left w:w="108" w:type="dxa"/>
            <w:bottom w:w="0" w:type="dxa"/>
            <w:right w:w="108" w:type="dxa"/>
          </w:tblCellMar>
        </w:tblPrEx>
        <w:trPr>
          <w:trHeight w:val="660"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7</w:t>
            </w:r>
          </w:p>
        </w:tc>
        <w:tc>
          <w:tcPr>
            <w:tcW w:w="1053"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服务团队</w:t>
            </w:r>
          </w:p>
        </w:tc>
        <w:tc>
          <w:tcPr>
            <w:tcW w:w="3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项目经理、主管、工程师等应按预设规定和用户要求进行日常签到或考勤</w:t>
            </w:r>
          </w:p>
        </w:tc>
        <w:tc>
          <w:tcPr>
            <w:tcW w:w="354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每有一人/次人员无故缺勤旷工扣0.06分；每有一人/次人员无故迟到早退扣0.04分</w:t>
            </w:r>
          </w:p>
        </w:tc>
      </w:tr>
      <w:tr>
        <w:tblPrEx>
          <w:tblCellMar>
            <w:top w:w="0" w:type="dxa"/>
            <w:left w:w="108" w:type="dxa"/>
            <w:bottom w:w="0" w:type="dxa"/>
            <w:right w:w="108" w:type="dxa"/>
          </w:tblCellMar>
        </w:tblPrEx>
        <w:trPr>
          <w:trHeight w:val="990"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8</w:t>
            </w:r>
          </w:p>
        </w:tc>
        <w:tc>
          <w:tcPr>
            <w:tcW w:w="1053"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安全管理</w:t>
            </w:r>
          </w:p>
        </w:tc>
        <w:tc>
          <w:tcPr>
            <w:tcW w:w="3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服务期间，应尽量避免系统出现安全问题；系统出现安全问题后应及时按照预设流程或应急方案进行处置，做好记录；事后应进行专题分析，提交专题报告，并优化系统</w:t>
            </w:r>
          </w:p>
        </w:tc>
        <w:tc>
          <w:tcPr>
            <w:tcW w:w="354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系统出现安全问题后，响应不及时或未按规定流程处置的，每有一次扣0.06分；问题记录、处置记录缺失或未达到用户要求，每有一次扣0.04分</w:t>
            </w:r>
          </w:p>
        </w:tc>
      </w:tr>
      <w:tr>
        <w:tblPrEx>
          <w:tblCellMar>
            <w:top w:w="0" w:type="dxa"/>
            <w:left w:w="108" w:type="dxa"/>
            <w:bottom w:w="0" w:type="dxa"/>
            <w:right w:w="108" w:type="dxa"/>
          </w:tblCellMar>
        </w:tblPrEx>
        <w:trPr>
          <w:trHeight w:val="990"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9</w:t>
            </w:r>
          </w:p>
        </w:tc>
        <w:tc>
          <w:tcPr>
            <w:tcW w:w="1053"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3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服务期间，应尽量避免设备设施出现安全问题；设备设施出现安全问题后应及时按照预设流程或应急方案采取补救措施，做好记录；事后应进行专题分析，提交专题报告</w:t>
            </w:r>
          </w:p>
        </w:tc>
        <w:tc>
          <w:tcPr>
            <w:tcW w:w="354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设备设施出现安全问题后，响应不及时、未按规定流程处置或未采取有效补救措施的，每有一次扣0.06分；问题记录、处置记录缺失或未达到用户要求，每有一次扣0.04分</w:t>
            </w:r>
          </w:p>
        </w:tc>
      </w:tr>
      <w:tr>
        <w:tblPrEx>
          <w:tblCellMar>
            <w:top w:w="0" w:type="dxa"/>
            <w:left w:w="108" w:type="dxa"/>
            <w:bottom w:w="0" w:type="dxa"/>
            <w:right w:w="108" w:type="dxa"/>
          </w:tblCellMar>
        </w:tblPrEx>
        <w:trPr>
          <w:trHeight w:val="1320"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10</w:t>
            </w:r>
          </w:p>
        </w:tc>
        <w:tc>
          <w:tcPr>
            <w:tcW w:w="1053"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服务响应</w:t>
            </w:r>
          </w:p>
        </w:tc>
        <w:tc>
          <w:tcPr>
            <w:tcW w:w="3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服务期间，应及时响应用户需求，积极应对系统、设备故障。有特殊规定响应时间的，应在规定时间内响应；无特殊规定响应时间的，应在收到请求或发现问题之时2小时内给予明确响应。同时，应进行相应处置。</w:t>
            </w:r>
          </w:p>
        </w:tc>
        <w:tc>
          <w:tcPr>
            <w:tcW w:w="354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对有特殊规定响应时间的，按照相关约定扣分；对无特殊规定响应时间，且超过2小时再予以响应的，每超过1小时，扣0.04分</w:t>
            </w:r>
          </w:p>
        </w:tc>
      </w:tr>
      <w:tr>
        <w:tblPrEx>
          <w:tblCellMar>
            <w:top w:w="0" w:type="dxa"/>
            <w:left w:w="108" w:type="dxa"/>
            <w:bottom w:w="0" w:type="dxa"/>
            <w:right w:w="108" w:type="dxa"/>
          </w:tblCellMar>
        </w:tblPrEx>
        <w:trPr>
          <w:trHeight w:val="330"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11</w:t>
            </w:r>
          </w:p>
        </w:tc>
        <w:tc>
          <w:tcPr>
            <w:tcW w:w="1053"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用户投诉</w:t>
            </w:r>
          </w:p>
        </w:tc>
        <w:tc>
          <w:tcPr>
            <w:tcW w:w="3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受到用户单位接待对象、用户上级单位或用户投诉</w:t>
            </w:r>
          </w:p>
        </w:tc>
        <w:tc>
          <w:tcPr>
            <w:tcW w:w="354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受到用户接待对象或用户上级单位投诉的，每有一次扣0.2分；受到用户投诉，每有一次扣0.04分</w:t>
            </w:r>
          </w:p>
        </w:tc>
      </w:tr>
      <w:tr>
        <w:tblPrEx>
          <w:tblCellMar>
            <w:top w:w="0" w:type="dxa"/>
            <w:left w:w="108" w:type="dxa"/>
            <w:bottom w:w="0" w:type="dxa"/>
            <w:right w:w="108" w:type="dxa"/>
          </w:tblCellMar>
        </w:tblPrEx>
        <w:trPr>
          <w:trHeight w:val="660"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12</w:t>
            </w:r>
          </w:p>
        </w:tc>
        <w:tc>
          <w:tcPr>
            <w:tcW w:w="1053"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赛事收尾阶段</w:t>
            </w: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赛事收尾</w:t>
            </w:r>
          </w:p>
        </w:tc>
        <w:tc>
          <w:tcPr>
            <w:tcW w:w="3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按照用户要求进行赛后资料收集整理、相关系统及数据移交、配合项目审计等相关工作</w:t>
            </w:r>
          </w:p>
        </w:tc>
        <w:tc>
          <w:tcPr>
            <w:tcW w:w="354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按时间要求提交相关资料，每逾期一次扣0.2分；按时间要求提交相关系统及数据移交，每逾期一次扣0.2分；按用户要求配合项目审计相关工作，每缺少一项扣0.2分</w:t>
            </w:r>
          </w:p>
        </w:tc>
      </w:tr>
    </w:tbl>
    <w:p>
      <w:pPr>
        <w:spacing w:line="276" w:lineRule="auto"/>
        <w:ind w:firstLine="560"/>
        <w:rPr>
          <w:rFonts w:ascii="仿宋" w:hAnsi="仿宋" w:eastAsia="仿宋"/>
          <w:bCs/>
          <w:sz w:val="24"/>
          <w:szCs w:val="24"/>
        </w:rPr>
      </w:pPr>
      <w:r>
        <w:rPr>
          <w:rFonts w:hint="eastAsia" w:ascii="仿宋" w:hAnsi="仿宋" w:eastAsia="仿宋"/>
          <w:bCs/>
          <w:sz w:val="24"/>
          <w:szCs w:val="24"/>
        </w:rPr>
        <w:t>本次服务招标项目的服务考核分为四个阶段，每个阶段按不同的服务内容进行服务考核，按照每阶段考核得分进行服务扣款。</w:t>
      </w:r>
    </w:p>
    <w:p>
      <w:pPr>
        <w:spacing w:line="276" w:lineRule="auto"/>
        <w:ind w:firstLine="560"/>
        <w:rPr>
          <w:rFonts w:ascii="仿宋" w:hAnsi="仿宋" w:eastAsia="仿宋"/>
          <w:bCs/>
          <w:sz w:val="24"/>
          <w:szCs w:val="24"/>
        </w:rPr>
      </w:pPr>
      <w:r>
        <w:rPr>
          <w:rFonts w:hint="eastAsia" w:ascii="仿宋" w:hAnsi="仿宋" w:eastAsia="仿宋"/>
          <w:bCs/>
          <w:sz w:val="24"/>
          <w:szCs w:val="24"/>
        </w:rPr>
        <w:t>按合同金额的5%作为考核款。其中招标完成后以项目的</w:t>
      </w:r>
      <w:r>
        <w:rPr>
          <w:rFonts w:ascii="仿宋" w:hAnsi="仿宋" w:eastAsia="仿宋"/>
          <w:bCs/>
          <w:sz w:val="24"/>
          <w:szCs w:val="24"/>
        </w:rPr>
        <w:t>1</w:t>
      </w:r>
      <w:r>
        <w:rPr>
          <w:rFonts w:hint="eastAsia" w:ascii="仿宋" w:hAnsi="仿宋" w:eastAsia="仿宋"/>
          <w:bCs/>
          <w:sz w:val="24"/>
          <w:szCs w:val="24"/>
        </w:rPr>
        <w:t>%合同金额作为考核款，项目建设阶段以项目的</w:t>
      </w:r>
      <w:r>
        <w:rPr>
          <w:rFonts w:ascii="仿宋" w:hAnsi="仿宋" w:eastAsia="仿宋"/>
          <w:bCs/>
          <w:sz w:val="24"/>
          <w:szCs w:val="24"/>
        </w:rPr>
        <w:t>1</w:t>
      </w:r>
      <w:r>
        <w:rPr>
          <w:rFonts w:hint="eastAsia" w:ascii="仿宋" w:hAnsi="仿宋" w:eastAsia="仿宋"/>
          <w:bCs/>
          <w:sz w:val="24"/>
          <w:szCs w:val="24"/>
        </w:rPr>
        <w:t>%合同金额作为考核款，赛事运行保障阶段以项目的</w:t>
      </w:r>
      <w:r>
        <w:rPr>
          <w:rFonts w:ascii="仿宋" w:hAnsi="仿宋" w:eastAsia="仿宋"/>
          <w:bCs/>
          <w:sz w:val="24"/>
          <w:szCs w:val="24"/>
        </w:rPr>
        <w:t>2</w:t>
      </w:r>
      <w:r>
        <w:rPr>
          <w:rFonts w:hint="eastAsia" w:ascii="仿宋" w:hAnsi="仿宋" w:eastAsia="仿宋"/>
          <w:bCs/>
          <w:sz w:val="24"/>
          <w:szCs w:val="24"/>
        </w:rPr>
        <w:t>%合同金额作为考核款，赛事收尾阶段以项目的</w:t>
      </w:r>
      <w:r>
        <w:rPr>
          <w:rFonts w:ascii="仿宋" w:hAnsi="仿宋" w:eastAsia="仿宋"/>
          <w:bCs/>
          <w:sz w:val="24"/>
          <w:szCs w:val="24"/>
        </w:rPr>
        <w:t>1</w:t>
      </w:r>
      <w:r>
        <w:rPr>
          <w:rFonts w:hint="eastAsia" w:ascii="仿宋" w:hAnsi="仿宋" w:eastAsia="仿宋"/>
          <w:bCs/>
          <w:sz w:val="24"/>
          <w:szCs w:val="24"/>
        </w:rPr>
        <w:t>%合同金额作为考核款。</w:t>
      </w:r>
    </w:p>
    <w:p>
      <w:pPr>
        <w:spacing w:line="276" w:lineRule="auto"/>
        <w:ind w:firstLine="560"/>
        <w:rPr>
          <w:rFonts w:ascii="仿宋" w:hAnsi="仿宋" w:eastAsia="仿宋"/>
          <w:bCs/>
          <w:sz w:val="24"/>
          <w:szCs w:val="24"/>
        </w:rPr>
      </w:pPr>
      <w:r>
        <w:rPr>
          <w:rFonts w:hint="eastAsia" w:ascii="仿宋" w:hAnsi="仿宋" w:eastAsia="仿宋"/>
          <w:bCs/>
          <w:sz w:val="24"/>
          <w:szCs w:val="24"/>
        </w:rPr>
        <w:t>第一档：考核得分在</w:t>
      </w:r>
      <w:r>
        <w:rPr>
          <w:rFonts w:ascii="仿宋" w:hAnsi="仿宋" w:eastAsia="仿宋"/>
          <w:bCs/>
          <w:sz w:val="24"/>
          <w:szCs w:val="24"/>
        </w:rPr>
        <w:t>85</w:t>
      </w:r>
      <w:r>
        <w:rPr>
          <w:rFonts w:hint="eastAsia" w:ascii="仿宋" w:hAnsi="仿宋" w:eastAsia="仿宋"/>
          <w:bCs/>
          <w:sz w:val="24"/>
          <w:szCs w:val="24"/>
        </w:rPr>
        <w:t>分及以上，则视为考核通过，按全额支付考核款；</w:t>
      </w:r>
    </w:p>
    <w:p>
      <w:pPr>
        <w:spacing w:line="276" w:lineRule="auto"/>
        <w:ind w:firstLine="560"/>
        <w:rPr>
          <w:rFonts w:ascii="仿宋" w:hAnsi="仿宋" w:eastAsia="仿宋"/>
          <w:color w:val="FF0000"/>
          <w:sz w:val="24"/>
          <w:szCs w:val="24"/>
        </w:rPr>
      </w:pPr>
      <w:r>
        <w:rPr>
          <w:rFonts w:hint="eastAsia" w:ascii="仿宋" w:hAnsi="仿宋" w:eastAsia="仿宋"/>
          <w:bCs/>
          <w:sz w:val="24"/>
          <w:szCs w:val="24"/>
        </w:rPr>
        <w:t>第二档：考核得分小于</w:t>
      </w:r>
      <w:r>
        <w:rPr>
          <w:rFonts w:ascii="仿宋" w:hAnsi="仿宋" w:eastAsia="仿宋"/>
          <w:bCs/>
          <w:sz w:val="24"/>
          <w:szCs w:val="24"/>
        </w:rPr>
        <w:t>85</w:t>
      </w:r>
      <w:r>
        <w:rPr>
          <w:rFonts w:hint="eastAsia" w:ascii="仿宋" w:hAnsi="仿宋" w:eastAsia="仿宋"/>
          <w:bCs/>
          <w:sz w:val="24"/>
          <w:szCs w:val="24"/>
        </w:rPr>
        <w:t>分，则按照考核款*(实际分数)%支付考核款</w:t>
      </w:r>
      <w:r>
        <w:rPr>
          <w:rFonts w:hint="eastAsia" w:ascii="仿宋" w:hAnsi="仿宋" w:eastAsia="仿宋"/>
          <w:color w:val="FF0000"/>
          <w:sz w:val="24"/>
          <w:szCs w:val="24"/>
        </w:rPr>
        <w:t xml:space="preserve">。 </w:t>
      </w:r>
    </w:p>
    <w:p>
      <w:pPr>
        <w:keepNext/>
        <w:keepLines/>
        <w:numPr>
          <w:ilvl w:val="1"/>
          <w:numId w:val="0"/>
        </w:numPr>
        <w:spacing w:before="240" w:beforeLines="100" w:line="276" w:lineRule="auto"/>
        <w:ind w:right="-29" w:rightChars="-14"/>
        <w:outlineLvl w:val="1"/>
        <w:rPr>
          <w:rFonts w:ascii="仿宋" w:hAnsi="仿宋" w:eastAsia="仿宋"/>
          <w:b/>
          <w:bCs/>
          <w:sz w:val="28"/>
          <w:szCs w:val="24"/>
        </w:rPr>
      </w:pPr>
      <w:r>
        <w:rPr>
          <w:rFonts w:hint="eastAsia" w:ascii="仿宋" w:hAnsi="仿宋" w:eastAsia="仿宋"/>
          <w:b/>
          <w:bCs/>
          <w:sz w:val="28"/>
          <w:szCs w:val="24"/>
        </w:rPr>
        <w:t>1.8付款方式</w:t>
      </w:r>
    </w:p>
    <w:p>
      <w:pPr>
        <w:spacing w:line="276" w:lineRule="auto"/>
        <w:ind w:firstLine="560"/>
        <w:rPr>
          <w:rFonts w:ascii="仿宋" w:hAnsi="仿宋" w:eastAsia="仿宋"/>
          <w:sz w:val="24"/>
          <w:szCs w:val="24"/>
        </w:rPr>
      </w:pPr>
      <w:r>
        <w:rPr>
          <w:rFonts w:hint="eastAsia" w:ascii="仿宋" w:hAnsi="仿宋" w:eastAsia="仿宋"/>
          <w:bCs/>
          <w:sz w:val="24"/>
          <w:szCs w:val="24"/>
        </w:rPr>
        <w:t>按照合同约定执行。</w:t>
      </w:r>
    </w:p>
    <w:p>
      <w:pPr>
        <w:keepNext/>
        <w:keepLines/>
        <w:numPr>
          <w:ilvl w:val="1"/>
          <w:numId w:val="0"/>
        </w:numPr>
        <w:spacing w:before="240" w:beforeLines="100" w:line="276" w:lineRule="auto"/>
        <w:ind w:right="-29" w:rightChars="-14"/>
        <w:outlineLvl w:val="1"/>
        <w:rPr>
          <w:rFonts w:ascii="仿宋" w:hAnsi="仿宋" w:eastAsia="仿宋"/>
          <w:b/>
          <w:bCs/>
          <w:sz w:val="24"/>
          <w:szCs w:val="24"/>
        </w:rPr>
      </w:pPr>
      <w:r>
        <w:rPr>
          <w:rFonts w:hint="eastAsia" w:ascii="仿宋" w:hAnsi="仿宋" w:eastAsia="仿宋"/>
          <w:b/>
          <w:bCs/>
          <w:sz w:val="28"/>
          <w:szCs w:val="24"/>
        </w:rPr>
        <w:t>1.9违约责任</w:t>
      </w:r>
    </w:p>
    <w:p>
      <w:pPr>
        <w:spacing w:line="276" w:lineRule="auto"/>
        <w:ind w:firstLine="560"/>
        <w:rPr>
          <w:rFonts w:ascii="仿宋" w:hAnsi="仿宋" w:eastAsia="仿宋"/>
          <w:sz w:val="24"/>
          <w:szCs w:val="24"/>
        </w:rPr>
      </w:pPr>
      <w:r>
        <w:rPr>
          <w:rFonts w:hint="eastAsia" w:ascii="仿宋" w:hAnsi="仿宋" w:eastAsia="仿宋"/>
          <w:sz w:val="24"/>
          <w:szCs w:val="24"/>
        </w:rPr>
        <w:t>一、甲乙双方应遵守并执行合同中的各项规定，保证合同的正常履行。</w:t>
      </w:r>
    </w:p>
    <w:p>
      <w:pPr>
        <w:spacing w:line="276" w:lineRule="auto"/>
        <w:ind w:firstLine="560"/>
        <w:rPr>
          <w:rFonts w:ascii="仿宋" w:hAnsi="仿宋" w:eastAsia="仿宋"/>
          <w:sz w:val="24"/>
          <w:szCs w:val="24"/>
        </w:rPr>
      </w:pPr>
      <w:r>
        <w:rPr>
          <w:rFonts w:hint="eastAsia" w:ascii="仿宋" w:hAnsi="仿宋" w:eastAsia="仿宋"/>
          <w:sz w:val="24"/>
          <w:szCs w:val="24"/>
        </w:rPr>
        <w:t>二、如因乙方工作人员在履行职务过程中出现影响甲方正常交易的情况，应当按照合同考核方式执行。由此而导致的甲方对任何第三方的法律责任等，乙方对此均应承担全部的赔偿责任。</w:t>
      </w:r>
    </w:p>
    <w:p>
      <w:pPr>
        <w:keepNext/>
        <w:keepLines/>
        <w:numPr>
          <w:ilvl w:val="1"/>
          <w:numId w:val="0"/>
        </w:numPr>
        <w:spacing w:line="276" w:lineRule="auto"/>
        <w:ind w:right="-29" w:rightChars="-14"/>
        <w:outlineLvl w:val="1"/>
        <w:rPr>
          <w:rFonts w:ascii="仿宋" w:hAnsi="仿宋" w:eastAsia="仿宋"/>
          <w:b/>
          <w:bCs/>
          <w:sz w:val="28"/>
          <w:szCs w:val="28"/>
          <w:u w:val="single"/>
        </w:rPr>
      </w:pPr>
      <w:r>
        <w:rPr>
          <w:rFonts w:ascii="仿宋" w:hAnsi="仿宋" w:eastAsia="仿宋"/>
          <w:b/>
          <w:bCs/>
          <w:sz w:val="28"/>
          <w:szCs w:val="28"/>
        </w:rPr>
        <w:t>1.10</w:t>
      </w:r>
      <w:r>
        <w:rPr>
          <w:rFonts w:ascii="仿宋" w:hAnsi="仿宋" w:eastAsia="仿宋"/>
          <w:bCs/>
          <w:sz w:val="28"/>
          <w:szCs w:val="28"/>
        </w:rPr>
        <w:t xml:space="preserve"> </w:t>
      </w:r>
      <w:r>
        <w:rPr>
          <w:rFonts w:hint="eastAsia" w:ascii="仿宋" w:hAnsi="仿宋" w:eastAsia="仿宋"/>
          <w:bCs/>
          <w:sz w:val="28"/>
          <w:szCs w:val="28"/>
        </w:rPr>
        <w:t>▲</w:t>
      </w:r>
      <w:r>
        <w:rPr>
          <w:rFonts w:hint="eastAsia" w:ascii="仿宋" w:hAnsi="仿宋" w:eastAsia="仿宋"/>
          <w:b/>
          <w:sz w:val="28"/>
          <w:szCs w:val="28"/>
          <w:u w:val="single"/>
        </w:rPr>
        <w:t>投标人须对以下要求单独做出承诺函（承诺函格式自拟）</w:t>
      </w:r>
    </w:p>
    <w:p>
      <w:pPr>
        <w:spacing w:line="276" w:lineRule="auto"/>
        <w:ind w:firstLine="560"/>
        <w:rPr>
          <w:rFonts w:ascii="仿宋" w:hAnsi="仿宋" w:eastAsia="仿宋"/>
          <w:b/>
          <w:sz w:val="24"/>
          <w:szCs w:val="24"/>
        </w:rPr>
      </w:pPr>
      <w:r>
        <w:rPr>
          <w:rFonts w:hint="eastAsia" w:ascii="仿宋" w:hAnsi="仿宋" w:eastAsia="仿宋"/>
          <w:b/>
          <w:sz w:val="24"/>
          <w:szCs w:val="24"/>
        </w:rPr>
        <w:t>一、投标人应承诺为本项目提供的所有服务符合现行的强制性国家相关标准、行业标准。</w:t>
      </w:r>
    </w:p>
    <w:p>
      <w:pPr>
        <w:spacing w:line="276" w:lineRule="auto"/>
        <w:ind w:firstLine="560"/>
        <w:rPr>
          <w:rFonts w:ascii="仿宋" w:hAnsi="仿宋" w:eastAsia="仿宋"/>
          <w:b/>
          <w:sz w:val="24"/>
          <w:szCs w:val="24"/>
        </w:rPr>
      </w:pPr>
      <w:r>
        <w:rPr>
          <w:rFonts w:hint="eastAsia" w:ascii="仿宋" w:hAnsi="仿宋" w:eastAsia="仿宋"/>
          <w:b/>
          <w:sz w:val="24"/>
          <w:szCs w:val="24"/>
        </w:rPr>
        <w:t>二、投标人对本项目所提供内容进行总负责、总兜底（对招标范围内的项目规模与数量进行总负责、总兜底）。</w:t>
      </w:r>
    </w:p>
    <w:p>
      <w:pPr>
        <w:spacing w:line="276" w:lineRule="auto"/>
        <w:ind w:firstLine="560"/>
        <w:rPr>
          <w:rFonts w:ascii="仿宋" w:hAnsi="仿宋" w:eastAsia="仿宋"/>
          <w:b/>
          <w:sz w:val="24"/>
          <w:szCs w:val="24"/>
        </w:rPr>
      </w:pPr>
      <w:r>
        <w:rPr>
          <w:rFonts w:hint="eastAsia" w:ascii="仿宋" w:hAnsi="仿宋" w:eastAsia="仿宋"/>
          <w:b/>
          <w:sz w:val="24"/>
          <w:szCs w:val="24"/>
        </w:rPr>
        <w:t>三、投标人提供服务的基础软件应合法取得软件使用权。</w:t>
      </w:r>
    </w:p>
    <w:p>
      <w:pPr>
        <w:spacing w:line="276" w:lineRule="auto"/>
        <w:ind w:firstLine="560"/>
        <w:rPr>
          <w:rFonts w:ascii="仿宋" w:hAnsi="仿宋" w:eastAsia="仿宋"/>
          <w:b/>
          <w:sz w:val="24"/>
          <w:szCs w:val="24"/>
        </w:rPr>
      </w:pPr>
      <w:r>
        <w:rPr>
          <w:rFonts w:hint="eastAsia" w:ascii="仿宋" w:hAnsi="仿宋" w:eastAsia="仿宋"/>
          <w:b/>
          <w:sz w:val="24"/>
          <w:szCs w:val="24"/>
        </w:rPr>
        <w:t>四、投标人将系统数据进行留存及移交，并负责本项目中综合运行管理（M</w:t>
      </w:r>
      <w:r>
        <w:rPr>
          <w:rFonts w:ascii="仿宋" w:hAnsi="仿宋" w:eastAsia="仿宋"/>
          <w:b/>
          <w:sz w:val="24"/>
          <w:szCs w:val="24"/>
        </w:rPr>
        <w:t>OC</w:t>
      </w:r>
      <w:r>
        <w:rPr>
          <w:rFonts w:hint="eastAsia" w:ascii="仿宋" w:hAnsi="仿宋" w:eastAsia="仿宋"/>
          <w:b/>
          <w:sz w:val="24"/>
          <w:szCs w:val="24"/>
        </w:rPr>
        <w:t>）系统的数据对接工作。</w:t>
      </w:r>
    </w:p>
    <w:p>
      <w:pPr>
        <w:spacing w:line="276" w:lineRule="auto"/>
        <w:ind w:firstLine="560"/>
        <w:rPr>
          <w:rFonts w:ascii="仿宋" w:hAnsi="仿宋" w:eastAsia="仿宋"/>
          <w:b/>
          <w:sz w:val="24"/>
          <w:szCs w:val="24"/>
        </w:rPr>
      </w:pPr>
      <w:r>
        <w:rPr>
          <w:rFonts w:hint="eastAsia" w:ascii="仿宋" w:hAnsi="仿宋" w:eastAsia="仿宋"/>
          <w:b/>
          <w:sz w:val="24"/>
          <w:szCs w:val="24"/>
        </w:rPr>
        <w:t>五、投标人应配合第三方安全厂家进行网络信息安全建设。</w:t>
      </w:r>
    </w:p>
    <w:p>
      <w:pPr>
        <w:spacing w:line="276" w:lineRule="auto"/>
        <w:ind w:firstLine="560"/>
        <w:rPr>
          <w:rFonts w:ascii="仿宋" w:hAnsi="仿宋" w:eastAsia="仿宋"/>
          <w:b/>
          <w:sz w:val="24"/>
          <w:szCs w:val="24"/>
        </w:rPr>
      </w:pPr>
      <w:r>
        <w:rPr>
          <w:rFonts w:hint="eastAsia" w:ascii="仿宋" w:hAnsi="仿宋" w:eastAsia="仿宋"/>
          <w:b/>
          <w:sz w:val="24"/>
          <w:szCs w:val="24"/>
        </w:rPr>
        <w:t>六、投标人应承诺为本项目提供服务所需的产品（属于节能产品政府采购品目清单的）应具有国家确定的认证机构出具的处于有效期之内的节能产品认证证书。</w:t>
      </w:r>
    </w:p>
    <w:p>
      <w:pPr>
        <w:spacing w:line="276" w:lineRule="auto"/>
        <w:ind w:firstLine="560"/>
        <w:rPr>
          <w:rFonts w:ascii="仿宋" w:hAnsi="仿宋" w:eastAsia="仿宋"/>
          <w:b/>
          <w:sz w:val="24"/>
          <w:szCs w:val="24"/>
        </w:rPr>
      </w:pPr>
      <w:r>
        <w:rPr>
          <w:rFonts w:hint="eastAsia" w:ascii="仿宋" w:hAnsi="仿宋" w:eastAsia="仿宋"/>
          <w:b/>
          <w:sz w:val="24"/>
          <w:szCs w:val="24"/>
        </w:rPr>
        <w:t>七、投标人应承诺为本项目提供服务的所需的所有产品、辅材中属于《国家强制性产品认证目录》范围内的，均通过国家强制性产品认证并取得认证证书。</w:t>
      </w:r>
    </w:p>
    <w:p>
      <w:pPr>
        <w:spacing w:line="276" w:lineRule="auto"/>
        <w:ind w:firstLine="560"/>
        <w:rPr>
          <w:rFonts w:ascii="仿宋" w:hAnsi="仿宋" w:eastAsia="仿宋"/>
          <w:b/>
          <w:sz w:val="24"/>
          <w:szCs w:val="24"/>
        </w:rPr>
      </w:pPr>
      <w:r>
        <w:rPr>
          <w:rFonts w:hint="eastAsia" w:ascii="仿宋" w:hAnsi="仿宋" w:eastAsia="仿宋"/>
          <w:b/>
          <w:sz w:val="24"/>
          <w:szCs w:val="24"/>
        </w:rPr>
        <w:t>八、投标人承诺如果因最终用户原因导致交付不能按时进行，将按延期时间顺延交付。</w:t>
      </w:r>
    </w:p>
    <w:p>
      <w:pPr>
        <w:spacing w:line="276" w:lineRule="auto"/>
        <w:ind w:firstLine="560"/>
        <w:rPr>
          <w:rFonts w:ascii="仿宋" w:hAnsi="仿宋" w:eastAsia="仿宋"/>
          <w:b/>
          <w:sz w:val="24"/>
          <w:szCs w:val="24"/>
        </w:rPr>
      </w:pPr>
    </w:p>
    <w:p>
      <w:pPr>
        <w:spacing w:line="276" w:lineRule="auto"/>
        <w:rPr>
          <w:rFonts w:ascii="宋体" w:hAnsi="宋体"/>
          <w:szCs w:val="24"/>
        </w:rPr>
      </w:pPr>
    </w:p>
    <w:p>
      <w:pPr>
        <w:keepNext/>
        <w:keepLines/>
        <w:numPr>
          <w:ilvl w:val="1"/>
          <w:numId w:val="0"/>
        </w:numPr>
        <w:spacing w:line="276" w:lineRule="auto"/>
        <w:ind w:right="-29" w:rightChars="-14"/>
        <w:outlineLvl w:val="1"/>
        <w:rPr>
          <w:rFonts w:ascii="仿宋" w:hAnsi="仿宋" w:eastAsia="仿宋"/>
          <w:b/>
          <w:bCs/>
          <w:color w:val="FF0000"/>
          <w:sz w:val="36"/>
          <w:szCs w:val="24"/>
        </w:rPr>
      </w:pPr>
      <w:r>
        <w:rPr>
          <w:rFonts w:hint="eastAsia" w:ascii="仿宋" w:hAnsi="仿宋" w:eastAsia="仿宋"/>
          <w:b/>
          <w:bCs/>
          <w:color w:val="FF0000"/>
          <w:sz w:val="36"/>
          <w:szCs w:val="24"/>
        </w:rPr>
        <w:t>标项3需求文档</w:t>
      </w:r>
    </w:p>
    <w:p>
      <w:pPr>
        <w:rPr>
          <w:rFonts w:ascii="Times New Roman" w:hAnsi="Times New Roman"/>
          <w:szCs w:val="24"/>
        </w:rPr>
      </w:pPr>
    </w:p>
    <w:p>
      <w:pPr>
        <w:keepNext/>
        <w:keepLines/>
        <w:numPr>
          <w:ilvl w:val="1"/>
          <w:numId w:val="0"/>
        </w:numPr>
        <w:spacing w:line="276" w:lineRule="auto"/>
        <w:ind w:right="-29" w:rightChars="-14"/>
        <w:outlineLvl w:val="1"/>
        <w:rPr>
          <w:rFonts w:ascii="仿宋" w:hAnsi="仿宋" w:eastAsia="仿宋"/>
          <w:b/>
          <w:bCs/>
          <w:sz w:val="28"/>
          <w:szCs w:val="24"/>
        </w:rPr>
      </w:pPr>
      <w:r>
        <w:rPr>
          <w:rFonts w:hint="eastAsia" w:ascii="仿宋" w:hAnsi="仿宋" w:eastAsia="仿宋"/>
          <w:b/>
          <w:bCs/>
          <w:sz w:val="28"/>
          <w:szCs w:val="24"/>
        </w:rPr>
        <w:t>1.1项目概况</w:t>
      </w:r>
    </w:p>
    <w:p>
      <w:pPr>
        <w:spacing w:line="276" w:lineRule="auto"/>
        <w:ind w:firstLine="560"/>
        <w:rPr>
          <w:rFonts w:ascii="仿宋" w:hAnsi="仿宋" w:eastAsia="仿宋"/>
          <w:sz w:val="24"/>
          <w:szCs w:val="24"/>
        </w:rPr>
      </w:pPr>
      <w:r>
        <w:rPr>
          <w:rFonts w:hint="eastAsia" w:ascii="仿宋" w:hAnsi="仿宋" w:eastAsia="仿宋"/>
          <w:sz w:val="24"/>
          <w:szCs w:val="24"/>
        </w:rPr>
        <w:t>世界大学生夏季运动会（以下简称“大运会”）是国际大学生体育联合会主办的世界性综合性运动会，每两年举办一届。2018年12月13日，国际大学生体育联合会（以下简称“国际大体联”）与成都市、中国大学生体育协会共同签署成都2021年第31届世界大学生夏季运动会举办权意向协议，成都成功获得2021年第31届世界大学生夏季运动会举办权。</w:t>
      </w:r>
    </w:p>
    <w:p>
      <w:pPr>
        <w:spacing w:line="276" w:lineRule="auto"/>
        <w:ind w:firstLine="560"/>
        <w:rPr>
          <w:rFonts w:ascii="仿宋" w:hAnsi="仿宋" w:eastAsia="仿宋"/>
          <w:sz w:val="24"/>
          <w:szCs w:val="24"/>
        </w:rPr>
      </w:pPr>
      <w:r>
        <w:rPr>
          <w:rFonts w:hint="eastAsia" w:ascii="仿宋" w:hAnsi="仿宋" w:eastAsia="仿宋"/>
          <w:sz w:val="24"/>
          <w:szCs w:val="24"/>
        </w:rPr>
        <w:t>第31届世界大学生夏季运动会在比赛项目设置上，确定了共18个正式比赛项目，其中包括体操、游泳、羽毛球、田径、击剑、乒乓球、篮球、排球、柔道、射箭、水球、跆拳道、跳水、网球、艺术体操15个必选项目和武术、赛艇、射击3个自选项目。</w:t>
      </w:r>
    </w:p>
    <w:p>
      <w:pPr>
        <w:spacing w:line="276" w:lineRule="auto"/>
        <w:ind w:firstLine="560"/>
        <w:rPr>
          <w:rFonts w:ascii="仿宋" w:hAnsi="仿宋" w:eastAsia="仿宋"/>
          <w:sz w:val="24"/>
          <w:szCs w:val="24"/>
        </w:rPr>
      </w:pPr>
      <w:r>
        <w:rPr>
          <w:rFonts w:hint="eastAsia" w:ascii="仿宋" w:hAnsi="仿宋" w:eastAsia="仿宋"/>
          <w:sz w:val="24"/>
          <w:szCs w:val="24"/>
        </w:rPr>
        <w:t>“竞赛视频系统服务项目”是为了大运会而建设的竞赛视频服务的系统，主要服务包括竞赛监控系统、竞赛闭路系统、视频直播系统等，完成</w:t>
      </w:r>
      <w:r>
        <w:rPr>
          <w:rFonts w:ascii="仿宋" w:hAnsi="仿宋" w:eastAsia="仿宋"/>
          <w:sz w:val="24"/>
          <w:szCs w:val="24"/>
        </w:rPr>
        <w:t>4</w:t>
      </w:r>
      <w:r>
        <w:rPr>
          <w:rFonts w:hint="eastAsia" w:ascii="仿宋" w:hAnsi="仿宋" w:eastAsia="仿宋"/>
          <w:sz w:val="24"/>
          <w:szCs w:val="24"/>
        </w:rPr>
        <w:t>9个竞赛场馆和非竞赛场馆的竞赛视频服务服务。</w:t>
      </w:r>
    </w:p>
    <w:p>
      <w:pPr>
        <w:spacing w:line="276" w:lineRule="auto"/>
        <w:ind w:firstLine="560"/>
        <w:rPr>
          <w:rFonts w:ascii="仿宋" w:hAnsi="仿宋" w:eastAsia="仿宋"/>
          <w:sz w:val="24"/>
          <w:szCs w:val="24"/>
        </w:rPr>
      </w:pPr>
      <w:r>
        <w:rPr>
          <w:rFonts w:hint="eastAsia" w:ascii="仿宋" w:hAnsi="仿宋" w:eastAsia="仿宋"/>
          <w:sz w:val="24"/>
          <w:szCs w:val="24"/>
        </w:rPr>
        <w:t>本项目以购买服务方式招标，合同履行期限从合同生效之日起至赛事收尾验收审计结束。</w:t>
      </w:r>
    </w:p>
    <w:p>
      <w:pPr>
        <w:keepNext/>
        <w:keepLines/>
        <w:numPr>
          <w:ilvl w:val="1"/>
          <w:numId w:val="0"/>
        </w:numPr>
        <w:spacing w:before="240" w:beforeLines="100" w:line="276" w:lineRule="auto"/>
        <w:ind w:right="-29" w:rightChars="-14"/>
        <w:outlineLvl w:val="1"/>
        <w:rPr>
          <w:rFonts w:ascii="仿宋" w:hAnsi="仿宋" w:eastAsia="仿宋"/>
          <w:b/>
          <w:bCs/>
          <w:sz w:val="28"/>
          <w:szCs w:val="24"/>
        </w:rPr>
      </w:pPr>
      <w:r>
        <w:rPr>
          <w:rFonts w:hint="eastAsia" w:ascii="仿宋" w:hAnsi="仿宋" w:eastAsia="仿宋"/>
          <w:b/>
          <w:bCs/>
          <w:sz w:val="28"/>
          <w:szCs w:val="24"/>
        </w:rPr>
        <w:t xml:space="preserve">1.2服务范围 </w:t>
      </w:r>
    </w:p>
    <w:p>
      <w:pPr>
        <w:spacing w:line="276" w:lineRule="auto"/>
        <w:ind w:firstLine="560"/>
        <w:rPr>
          <w:rFonts w:ascii="仿宋" w:hAnsi="仿宋" w:eastAsia="仿宋"/>
          <w:sz w:val="24"/>
          <w:szCs w:val="24"/>
        </w:rPr>
      </w:pPr>
      <w:r>
        <w:rPr>
          <w:rFonts w:hint="eastAsia" w:ascii="仿宋" w:hAnsi="仿宋" w:eastAsia="仿宋"/>
          <w:sz w:val="24"/>
          <w:szCs w:val="24"/>
        </w:rPr>
        <w:t>本项目的服务内容包括：竞赛监控系统、竞赛闭路系统、视频直播系统等</w:t>
      </w:r>
      <w:r>
        <w:rPr>
          <w:rFonts w:ascii="仿宋" w:hAnsi="仿宋" w:eastAsia="仿宋"/>
          <w:sz w:val="24"/>
          <w:szCs w:val="24"/>
        </w:rPr>
        <w:t>3</w:t>
      </w:r>
      <w:r>
        <w:rPr>
          <w:rFonts w:hint="eastAsia" w:ascii="仿宋" w:hAnsi="仿宋" w:eastAsia="仿宋"/>
          <w:sz w:val="24"/>
          <w:szCs w:val="24"/>
        </w:rPr>
        <w:t>个方面，具体如下所述：</w:t>
      </w:r>
    </w:p>
    <w:p>
      <w:pPr>
        <w:spacing w:line="276" w:lineRule="auto"/>
        <w:ind w:firstLine="560"/>
        <w:rPr>
          <w:rFonts w:ascii="仿宋" w:hAnsi="仿宋" w:eastAsia="仿宋"/>
          <w:sz w:val="24"/>
          <w:szCs w:val="24"/>
        </w:rPr>
      </w:pPr>
      <w:r>
        <w:rPr>
          <w:rFonts w:hint="eastAsia" w:ascii="仿宋" w:hAnsi="仿宋" w:eastAsia="仿宋"/>
          <w:sz w:val="24"/>
          <w:szCs w:val="24"/>
        </w:rPr>
        <w:t>竞赛视频系统：竞赛视频系统是建立在安全、高效的GAMES专网上实现竞赛视频服务，根据比赛项目、比赛场馆和比赛类型的不同，为在现场运动员、教练员、裁判员等人员和不在比赛现场的指挥、管理和决策人员提供更加直观的竞赛视频信息和比赛成绩，以便其更好了解赛事进程。竞赛视频系统以更加直观、可视方式为用户提供竞赛视频信息，能够更好的提升受用群体的用户体验，为大运会添光增彩。竞赛视频系统包括：竞赛监控系统、竞赛闭路系统、视频直播系统。</w:t>
      </w:r>
    </w:p>
    <w:p>
      <w:pPr>
        <w:keepNext/>
        <w:keepLines/>
        <w:numPr>
          <w:ilvl w:val="1"/>
          <w:numId w:val="0"/>
        </w:numPr>
        <w:spacing w:before="240" w:beforeLines="100" w:line="276" w:lineRule="auto"/>
        <w:ind w:right="-29" w:rightChars="-14"/>
        <w:outlineLvl w:val="1"/>
        <w:rPr>
          <w:rFonts w:ascii="仿宋" w:hAnsi="仿宋" w:eastAsia="仿宋"/>
          <w:b/>
          <w:bCs/>
          <w:sz w:val="28"/>
          <w:szCs w:val="24"/>
        </w:rPr>
      </w:pPr>
      <w:r>
        <w:rPr>
          <w:rFonts w:hint="eastAsia" w:ascii="仿宋" w:hAnsi="仿宋" w:eastAsia="仿宋"/>
          <w:b/>
          <w:bCs/>
          <w:sz w:val="28"/>
          <w:szCs w:val="24"/>
        </w:rPr>
        <w:t>1.3系统服务要求</w:t>
      </w:r>
    </w:p>
    <w:p>
      <w:pPr>
        <w:spacing w:line="276" w:lineRule="auto"/>
        <w:ind w:firstLine="560"/>
        <w:rPr>
          <w:rFonts w:ascii="仿宋" w:hAnsi="仿宋" w:eastAsia="仿宋"/>
          <w:b/>
          <w:sz w:val="24"/>
          <w:szCs w:val="24"/>
        </w:rPr>
      </w:pPr>
      <w:r>
        <w:rPr>
          <w:rFonts w:hint="eastAsia" w:ascii="仿宋" w:hAnsi="仿宋" w:eastAsia="仿宋"/>
          <w:b/>
          <w:sz w:val="24"/>
          <w:szCs w:val="24"/>
          <w:u w:val="single"/>
        </w:rPr>
        <w:t>▲中标人所提供的竞赛视频系统服务需满足国际大体联、国际（国内）单项体育联合协会的要求</w:t>
      </w:r>
      <w:r>
        <w:rPr>
          <w:rFonts w:hint="eastAsia" w:ascii="仿宋" w:hAnsi="仿宋" w:eastAsia="仿宋" w:cs="宋体"/>
          <w:kern w:val="0"/>
          <w:sz w:val="24"/>
          <w:szCs w:val="24"/>
          <w:lang w:bidi="ar"/>
        </w:rPr>
        <w:t>▲</w:t>
      </w:r>
      <w:r>
        <w:rPr>
          <w:rFonts w:hint="eastAsia" w:ascii="仿宋" w:hAnsi="仿宋" w:eastAsia="仿宋"/>
          <w:b/>
          <w:sz w:val="24"/>
          <w:szCs w:val="24"/>
        </w:rPr>
        <w:t>。</w:t>
      </w:r>
    </w:p>
    <w:p>
      <w:pPr>
        <w:keepNext/>
        <w:keepLines/>
        <w:numPr>
          <w:ilvl w:val="0"/>
          <w:numId w:val="38"/>
        </w:numPr>
        <w:tabs>
          <w:tab w:val="left" w:pos="480"/>
        </w:tabs>
        <w:spacing w:before="120" w:beforeLines="50" w:line="276" w:lineRule="auto"/>
        <w:ind w:left="482" w:hanging="482" w:hangingChars="200"/>
        <w:outlineLvl w:val="2"/>
        <w:rPr>
          <w:rFonts w:ascii="仿宋" w:hAnsi="仿宋" w:eastAsia="仿宋"/>
          <w:b/>
          <w:kern w:val="0"/>
          <w:sz w:val="24"/>
          <w:szCs w:val="24"/>
        </w:rPr>
      </w:pPr>
      <w:r>
        <w:rPr>
          <w:rFonts w:hint="eastAsia" w:ascii="仿宋" w:hAnsi="仿宋" w:eastAsia="仿宋"/>
          <w:b/>
          <w:kern w:val="0"/>
          <w:sz w:val="24"/>
          <w:szCs w:val="24"/>
        </w:rPr>
        <w:t>竞赛视频系统</w:t>
      </w:r>
    </w:p>
    <w:p>
      <w:pPr>
        <w:keepNext/>
        <w:keepLines/>
        <w:spacing w:before="120" w:after="120" w:line="276" w:lineRule="auto"/>
        <w:outlineLvl w:val="4"/>
        <w:rPr>
          <w:rFonts w:ascii="仿宋" w:hAnsi="仿宋" w:eastAsia="仿宋"/>
          <w:b/>
          <w:bCs/>
          <w:sz w:val="24"/>
          <w:szCs w:val="24"/>
        </w:rPr>
      </w:pPr>
      <w:r>
        <w:rPr>
          <w:rFonts w:hint="eastAsia" w:ascii="仿宋" w:hAnsi="仿宋" w:eastAsia="仿宋"/>
          <w:b/>
          <w:bCs/>
          <w:sz w:val="24"/>
          <w:szCs w:val="24"/>
        </w:rPr>
        <w:t>功能描述：</w:t>
      </w:r>
    </w:p>
    <w:p>
      <w:pPr>
        <w:spacing w:line="276" w:lineRule="auto"/>
        <w:ind w:firstLine="560"/>
        <w:rPr>
          <w:rFonts w:ascii="仿宋" w:hAnsi="仿宋" w:eastAsia="仿宋"/>
          <w:sz w:val="24"/>
          <w:szCs w:val="24"/>
        </w:rPr>
      </w:pPr>
      <w:r>
        <w:rPr>
          <w:rFonts w:hint="eastAsia" w:ascii="仿宋" w:hAnsi="仿宋" w:eastAsia="仿宋"/>
          <w:sz w:val="24"/>
          <w:szCs w:val="24"/>
        </w:rPr>
        <w:t>竞赛视频系统是建立在安全、高效的GAMES专网上实现竞赛视频服务，根据比赛项目、比赛场馆和比赛类型的不同，为在现场运动员、教练员、裁判员等人员和不在比赛现场的指挥、管理和决策人员提供更加直观的竞赛视频信息和比赛成绩，以便其更好了解赛事进程。竞赛视频系统以更加直观、可视方式为用户提供竞赛视频信息，能够更好的提升受用群体的用户体验，为大运会添光增彩。</w:t>
      </w:r>
    </w:p>
    <w:p>
      <w:pPr>
        <w:spacing w:line="276" w:lineRule="auto"/>
        <w:ind w:firstLine="560"/>
        <w:rPr>
          <w:rFonts w:ascii="仿宋" w:hAnsi="仿宋" w:eastAsia="仿宋"/>
          <w:sz w:val="24"/>
          <w:szCs w:val="24"/>
        </w:rPr>
      </w:pPr>
      <w:r>
        <w:rPr>
          <w:rFonts w:hint="eastAsia" w:ascii="仿宋" w:hAnsi="仿宋" w:eastAsia="仿宋"/>
          <w:sz w:val="24"/>
          <w:szCs w:val="24"/>
        </w:rPr>
        <w:t>竞赛视频系统包括竞赛监控系统、竞赛闭路系统、视频直播系统。</w:t>
      </w:r>
    </w:p>
    <w:p>
      <w:pPr>
        <w:keepNext/>
        <w:keepLines/>
        <w:spacing w:before="120" w:after="120" w:line="276" w:lineRule="auto"/>
        <w:outlineLvl w:val="4"/>
        <w:rPr>
          <w:rFonts w:ascii="仿宋" w:hAnsi="仿宋" w:eastAsia="仿宋"/>
          <w:b/>
          <w:bCs/>
          <w:sz w:val="24"/>
          <w:szCs w:val="24"/>
        </w:rPr>
      </w:pPr>
      <w:r>
        <w:rPr>
          <w:rFonts w:hint="eastAsia" w:ascii="仿宋" w:hAnsi="仿宋" w:eastAsia="仿宋"/>
          <w:b/>
          <w:bCs/>
          <w:sz w:val="24"/>
          <w:szCs w:val="24"/>
        </w:rPr>
        <w:t>服务内容：</w:t>
      </w:r>
    </w:p>
    <w:p>
      <w:pPr>
        <w:spacing w:line="276" w:lineRule="auto"/>
        <w:ind w:firstLine="560"/>
        <w:rPr>
          <w:rFonts w:ascii="仿宋" w:hAnsi="仿宋" w:eastAsia="仿宋"/>
          <w:sz w:val="24"/>
          <w:szCs w:val="24"/>
        </w:rPr>
      </w:pPr>
      <w:r>
        <w:rPr>
          <w:rFonts w:hint="eastAsia" w:ascii="仿宋" w:hAnsi="仿宋" w:eastAsia="仿宋"/>
          <w:sz w:val="24"/>
          <w:szCs w:val="24"/>
        </w:rPr>
        <w:t>（一）竞赛监控系统</w:t>
      </w:r>
    </w:p>
    <w:p>
      <w:pPr>
        <w:spacing w:line="276" w:lineRule="auto"/>
        <w:ind w:firstLine="560"/>
        <w:rPr>
          <w:rFonts w:ascii="仿宋" w:hAnsi="仿宋" w:eastAsia="仿宋"/>
          <w:sz w:val="24"/>
          <w:szCs w:val="24"/>
        </w:rPr>
      </w:pPr>
      <w:r>
        <w:rPr>
          <w:rFonts w:hint="eastAsia" w:ascii="仿宋" w:hAnsi="仿宋" w:eastAsia="仿宋"/>
          <w:sz w:val="24"/>
          <w:szCs w:val="24"/>
        </w:rPr>
        <w:t>竞赛监控系统是本届大运会赛事指挥管理服务体系中的重要组成部分，为了满足不同人群对赛事情况的了解和监控，需要建设竞赛监控系统，为赛事综合运行管理中心和技术运行中心的管理、指挥、决策提供服务。该系统通过对现场视音频信号进行收集以网络信号的形式传输至本地服务器进行信号存储、处理，通过视频综合管理平台服务器将带有视频音频的图像传输实时至技术运行中心和综合运行管理中心。</w:t>
      </w:r>
    </w:p>
    <w:p>
      <w:pPr>
        <w:spacing w:line="276" w:lineRule="auto"/>
        <w:ind w:firstLine="560"/>
        <w:rPr>
          <w:rFonts w:ascii="仿宋" w:hAnsi="仿宋" w:eastAsia="仿宋"/>
          <w:sz w:val="24"/>
          <w:szCs w:val="24"/>
        </w:rPr>
      </w:pPr>
      <w:r>
        <w:rPr>
          <w:rFonts w:hint="eastAsia" w:ascii="仿宋" w:hAnsi="仿宋" w:eastAsia="仿宋"/>
          <w:sz w:val="24"/>
          <w:szCs w:val="24"/>
        </w:rPr>
        <w:t>（二）竞赛闭路系统</w:t>
      </w:r>
    </w:p>
    <w:p>
      <w:pPr>
        <w:spacing w:line="276" w:lineRule="auto"/>
        <w:ind w:firstLine="560"/>
        <w:rPr>
          <w:rFonts w:ascii="仿宋" w:hAnsi="仿宋" w:eastAsia="仿宋"/>
          <w:sz w:val="24"/>
          <w:szCs w:val="24"/>
        </w:rPr>
      </w:pPr>
      <w:r>
        <w:rPr>
          <w:rFonts w:hint="eastAsia" w:ascii="仿宋" w:hAnsi="仿宋" w:eastAsia="仿宋"/>
          <w:sz w:val="24"/>
          <w:szCs w:val="24"/>
        </w:rPr>
        <w:t>竞赛闭路系统在场馆内构建一套闭路系统，汇总本场馆视频直播信号、仲裁录像信号、大屏成绩显示信号等多路信息，为后场准备区、热身区、竞赛官员休息室、裁判员休息室等位置提供信息服务。竞赛闭路系统接收多个其他子系统的数据和视频信息，系统自身并不进行数据处理工作，系统的主要工作是接收信息，并根据需要决定输出的信号源。也可设置多路信号，由用户自行选择需要观看的信号源。竞赛闭路系统的服务对象包括后场热身区进行热身准备的运动员、教练员、竞赛官员、轮换上场的裁判员等。由于有多路信号源，因此最好选用有这方面工作经验的技术人员从事导播和信号切换等工作。</w:t>
      </w:r>
    </w:p>
    <w:p>
      <w:pPr>
        <w:spacing w:line="276" w:lineRule="auto"/>
        <w:ind w:firstLine="560"/>
        <w:rPr>
          <w:rFonts w:ascii="仿宋" w:hAnsi="仿宋" w:eastAsia="仿宋"/>
          <w:sz w:val="24"/>
          <w:szCs w:val="24"/>
        </w:rPr>
      </w:pPr>
      <w:r>
        <w:rPr>
          <w:rFonts w:hint="eastAsia" w:ascii="仿宋" w:hAnsi="仿宋" w:eastAsia="仿宋"/>
          <w:sz w:val="24"/>
          <w:szCs w:val="24"/>
        </w:rPr>
        <w:t>（三）视频直播系统</w:t>
      </w:r>
    </w:p>
    <w:p>
      <w:pPr>
        <w:spacing w:line="276" w:lineRule="auto"/>
        <w:ind w:firstLine="560"/>
        <w:rPr>
          <w:rFonts w:ascii="仿宋" w:hAnsi="仿宋" w:eastAsia="仿宋"/>
          <w:sz w:val="24"/>
          <w:szCs w:val="24"/>
        </w:rPr>
      </w:pPr>
      <w:r>
        <w:rPr>
          <w:rFonts w:hint="eastAsia" w:ascii="仿宋" w:hAnsi="仿宋" w:eastAsia="仿宋"/>
          <w:sz w:val="24"/>
          <w:szCs w:val="24"/>
        </w:rPr>
        <w:t>视频直播系统向赛事视频工作室、综合运行管理中心、技术运行中心的指挥管理人员以及其他授权用户提供全项目、全场馆、全场次的竞赛视频直播服务。大运会作为世界级别的综合性运动会，深受各国领导的高度关注，但因为电视直播播出时间和频道的限制，许多项目比赛将不在主转播机构的转播计划之内。视频直播系统将满足指挥管理人员在第一时间了解到各项目、各场馆、各场次的比赛情况。在比赛结束后，将保存比赛影像资料，以便相关人员观看。</w:t>
      </w:r>
    </w:p>
    <w:p>
      <w:pPr>
        <w:keepNext/>
        <w:keepLines/>
        <w:spacing w:before="120" w:after="120" w:line="276" w:lineRule="auto"/>
        <w:outlineLvl w:val="4"/>
        <w:rPr>
          <w:rFonts w:ascii="仿宋" w:hAnsi="仿宋" w:eastAsia="仿宋"/>
          <w:b/>
          <w:bCs/>
          <w:sz w:val="24"/>
          <w:szCs w:val="24"/>
        </w:rPr>
      </w:pPr>
      <w:r>
        <w:rPr>
          <w:rFonts w:hint="eastAsia" w:ascii="仿宋" w:hAnsi="仿宋" w:eastAsia="仿宋"/>
          <w:b/>
          <w:bCs/>
          <w:sz w:val="24"/>
          <w:szCs w:val="24"/>
        </w:rPr>
        <w:t>服务要求：</w:t>
      </w:r>
    </w:p>
    <w:p>
      <w:pPr>
        <w:spacing w:line="276" w:lineRule="auto"/>
        <w:ind w:firstLine="560"/>
        <w:rPr>
          <w:rFonts w:ascii="仿宋" w:hAnsi="仿宋" w:eastAsia="仿宋"/>
          <w:sz w:val="24"/>
          <w:szCs w:val="24"/>
        </w:rPr>
      </w:pPr>
      <w:r>
        <w:rPr>
          <w:rFonts w:hint="eastAsia" w:ascii="仿宋" w:hAnsi="仿宋" w:eastAsia="仿宋"/>
          <w:sz w:val="24"/>
          <w:szCs w:val="24"/>
        </w:rPr>
        <w:t>（1）竞赛视频系统将建立在安全、高效的GAMES专网上进行视频信号的传输，各个场馆输出的信号均为实时高清视频信号。</w:t>
      </w:r>
    </w:p>
    <w:p>
      <w:pPr>
        <w:spacing w:line="276" w:lineRule="auto"/>
        <w:ind w:firstLine="560"/>
        <w:rPr>
          <w:rFonts w:ascii="仿宋" w:hAnsi="仿宋" w:eastAsia="仿宋"/>
          <w:sz w:val="24"/>
          <w:szCs w:val="24"/>
        </w:rPr>
      </w:pPr>
      <w:r>
        <w:rPr>
          <w:rFonts w:hint="eastAsia" w:ascii="仿宋" w:hAnsi="仿宋" w:eastAsia="仿宋"/>
          <w:sz w:val="24"/>
          <w:szCs w:val="24"/>
        </w:rPr>
        <w:t>（2）竞赛监控系统需不对比赛的视频信号进行处理，将源视频信号以实时高清的信号传输至TOC、MOC。</w:t>
      </w:r>
    </w:p>
    <w:p>
      <w:pPr>
        <w:spacing w:line="276" w:lineRule="auto"/>
        <w:ind w:firstLine="56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）竞赛闭路系统可实时获取竞赛监控系统、仲裁录像系统、场馆大屏信息等信号源，可根据需求自主选择播放内容，要求系统稳定低延时。</w:t>
      </w:r>
    </w:p>
    <w:p>
      <w:pPr>
        <w:spacing w:line="276" w:lineRule="auto"/>
        <w:ind w:firstLine="560"/>
        <w:rPr>
          <w:rFonts w:hint="eastAsia"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）视频直播系统需对采集的音视频信号进行收集处理，并进行实时储存备份。要求对视频直播系统进行系统支撑，保障视频直播系统传输实时性和稳定性。</w:t>
      </w:r>
    </w:p>
    <w:p>
      <w:pPr>
        <w:spacing w:line="276" w:lineRule="auto"/>
        <w:ind w:firstLine="560"/>
        <w:rPr>
          <w:rFonts w:hint="eastAsia" w:ascii="仿宋" w:hAnsi="仿宋" w:eastAsia="仿宋"/>
          <w:sz w:val="24"/>
          <w:szCs w:val="24"/>
        </w:rPr>
      </w:pPr>
    </w:p>
    <w:p>
      <w:pPr>
        <w:keepNext/>
        <w:keepLines/>
        <w:numPr>
          <w:ilvl w:val="0"/>
          <w:numId w:val="38"/>
        </w:numPr>
        <w:tabs>
          <w:tab w:val="left" w:pos="480"/>
        </w:tabs>
        <w:spacing w:before="120" w:beforeLines="50" w:line="276" w:lineRule="auto"/>
        <w:ind w:left="482" w:hanging="482" w:hangingChars="200"/>
        <w:outlineLvl w:val="2"/>
        <w:rPr>
          <w:rFonts w:ascii="仿宋" w:hAnsi="仿宋" w:eastAsia="仿宋"/>
          <w:b/>
          <w:kern w:val="0"/>
          <w:sz w:val="24"/>
          <w:szCs w:val="24"/>
        </w:rPr>
      </w:pPr>
      <w:r>
        <w:rPr>
          <w:rFonts w:hint="eastAsia" w:ascii="仿宋" w:hAnsi="仿宋" w:eastAsia="仿宋"/>
          <w:b/>
          <w:kern w:val="0"/>
          <w:sz w:val="24"/>
          <w:szCs w:val="24"/>
        </w:rPr>
        <w:t>系统保障</w:t>
      </w:r>
    </w:p>
    <w:p>
      <w:pPr>
        <w:spacing w:line="276" w:lineRule="auto"/>
        <w:ind w:firstLine="560"/>
        <w:rPr>
          <w:rFonts w:ascii="仿宋" w:hAnsi="仿宋" w:eastAsia="仿宋"/>
          <w:sz w:val="24"/>
          <w:szCs w:val="24"/>
        </w:rPr>
      </w:pPr>
      <w:r>
        <w:rPr>
          <w:rFonts w:hint="eastAsia" w:ascii="仿宋" w:hAnsi="仿宋" w:eastAsia="仿宋"/>
          <w:sz w:val="24"/>
          <w:szCs w:val="24"/>
        </w:rPr>
        <w:t>系统保障包含竞赛视频服务中通用设备计划、人员配置计划、人员培训计划等。</w:t>
      </w:r>
    </w:p>
    <w:p>
      <w:pPr>
        <w:spacing w:line="276" w:lineRule="auto"/>
        <w:ind w:firstLine="562"/>
        <w:rPr>
          <w:rFonts w:ascii="仿宋" w:hAnsi="仿宋" w:eastAsia="仿宋"/>
          <w:b/>
          <w:sz w:val="24"/>
          <w:szCs w:val="24"/>
        </w:rPr>
      </w:pPr>
      <w:r>
        <w:rPr>
          <w:rFonts w:hint="eastAsia" w:ascii="仿宋" w:hAnsi="仿宋" w:eastAsia="仿宋"/>
          <w:b/>
          <w:sz w:val="24"/>
          <w:szCs w:val="24"/>
        </w:rPr>
        <w:t>一、▲</w:t>
      </w:r>
      <w:r>
        <w:rPr>
          <w:rFonts w:hint="eastAsia" w:ascii="仿宋" w:hAnsi="仿宋" w:eastAsia="仿宋"/>
          <w:b/>
          <w:sz w:val="24"/>
          <w:szCs w:val="24"/>
          <w:u w:val="single"/>
        </w:rPr>
        <w:t>竞赛视频系统人员配置包括不少于以下人员数量要求：竞赛闭路工程师58人、竞赛监控工程师32人、视频直播工程师58人▲</w:t>
      </w:r>
      <w:r>
        <w:rPr>
          <w:rFonts w:hint="eastAsia" w:ascii="仿宋" w:hAnsi="仿宋" w:eastAsia="仿宋"/>
          <w:b/>
          <w:sz w:val="24"/>
          <w:szCs w:val="24"/>
        </w:rPr>
        <w:t>。</w:t>
      </w:r>
    </w:p>
    <w:p>
      <w:pPr>
        <w:spacing w:line="276" w:lineRule="auto"/>
        <w:ind w:firstLine="560"/>
        <w:rPr>
          <w:rFonts w:ascii="仿宋" w:hAnsi="仿宋" w:eastAsia="仿宋"/>
          <w:sz w:val="24"/>
          <w:szCs w:val="24"/>
        </w:rPr>
      </w:pPr>
      <w:r>
        <w:rPr>
          <w:rFonts w:hint="eastAsia" w:ascii="仿宋" w:hAnsi="仿宋" w:eastAsia="仿宋"/>
          <w:sz w:val="24"/>
          <w:szCs w:val="24"/>
        </w:rPr>
        <w:t>二、成交投标人成交后需要按照国际大体联技术指南最新版本提出的建设要求进行系统建设，并且在大运会建设期间负责与国际大体联关于建设内容进行沟通确认。</w:t>
      </w:r>
    </w:p>
    <w:p>
      <w:pPr>
        <w:spacing w:line="276" w:lineRule="auto"/>
        <w:ind w:firstLine="562"/>
        <w:rPr>
          <w:rFonts w:hint="eastAsia" w:ascii="仿宋" w:hAnsi="仿宋" w:eastAsia="仿宋"/>
          <w:b/>
          <w:sz w:val="24"/>
          <w:szCs w:val="24"/>
        </w:rPr>
      </w:pPr>
      <w:r>
        <w:rPr>
          <w:rFonts w:hint="eastAsia" w:ascii="仿宋" w:hAnsi="仿宋" w:eastAsia="仿宋"/>
          <w:b/>
          <w:sz w:val="24"/>
          <w:szCs w:val="24"/>
        </w:rPr>
        <w:t>三、▲</w:t>
      </w:r>
      <w:r>
        <w:rPr>
          <w:rFonts w:hint="eastAsia" w:ascii="仿宋" w:hAnsi="仿宋" w:eastAsia="仿宋"/>
          <w:b/>
          <w:sz w:val="24"/>
          <w:szCs w:val="24"/>
          <w:u w:val="single"/>
        </w:rPr>
        <w:t>成交投标人所提供的竞赛视频系统服务需满足国际大体联、国际（国内）单项体育联合协会的要求</w:t>
      </w:r>
      <w:r>
        <w:rPr>
          <w:rFonts w:hint="eastAsia" w:ascii="仿宋" w:hAnsi="仿宋" w:eastAsia="仿宋"/>
          <w:b/>
          <w:sz w:val="24"/>
          <w:szCs w:val="24"/>
        </w:rPr>
        <w:t>▲。</w:t>
      </w:r>
    </w:p>
    <w:p>
      <w:pPr>
        <w:spacing w:line="276" w:lineRule="auto"/>
        <w:ind w:firstLine="562"/>
        <w:rPr>
          <w:rFonts w:hint="eastAsia" w:ascii="仿宋" w:hAnsi="仿宋" w:eastAsia="仿宋"/>
          <w:b/>
          <w:sz w:val="24"/>
          <w:szCs w:val="24"/>
        </w:rPr>
      </w:pPr>
    </w:p>
    <w:p>
      <w:pPr>
        <w:keepNext/>
        <w:keepLines/>
        <w:numPr>
          <w:ilvl w:val="0"/>
          <w:numId w:val="38"/>
        </w:numPr>
        <w:tabs>
          <w:tab w:val="left" w:pos="480"/>
        </w:tabs>
        <w:spacing w:before="120" w:beforeLines="50" w:line="276" w:lineRule="auto"/>
        <w:ind w:left="482" w:hanging="482" w:hangingChars="200"/>
        <w:outlineLvl w:val="2"/>
        <w:rPr>
          <w:rFonts w:ascii="仿宋" w:hAnsi="仿宋" w:eastAsia="仿宋"/>
          <w:b/>
          <w:kern w:val="0"/>
          <w:sz w:val="24"/>
          <w:szCs w:val="24"/>
        </w:rPr>
      </w:pPr>
      <w:r>
        <w:rPr>
          <w:rFonts w:hint="eastAsia" w:ascii="仿宋" w:hAnsi="仿宋" w:eastAsia="仿宋"/>
          <w:b/>
          <w:kern w:val="0"/>
          <w:sz w:val="24"/>
          <w:szCs w:val="24"/>
        </w:rPr>
        <w:t>赛事运行服务要求</w:t>
      </w:r>
    </w:p>
    <w:p>
      <w:pPr>
        <w:spacing w:line="276" w:lineRule="auto"/>
        <w:ind w:firstLine="560"/>
        <w:rPr>
          <w:rFonts w:ascii="仿宋" w:hAnsi="仿宋" w:eastAsia="仿宋"/>
          <w:sz w:val="24"/>
          <w:szCs w:val="24"/>
        </w:rPr>
      </w:pPr>
      <w:r>
        <w:rPr>
          <w:rFonts w:hint="eastAsia" w:ascii="仿宋" w:hAnsi="仿宋" w:eastAsia="仿宋"/>
          <w:sz w:val="24"/>
          <w:szCs w:val="24"/>
        </w:rPr>
        <w:t>赛事运行服务主要指在集成测试、测试赛、联试联调、赛时运行和赛事收尾等阶段提供相应的运行服务保障，以确保赛事的顺利进行。赛时运行服务主要工作包括在项目的各个阶段对项目的范围、时间、成本、质量、风险和采购进行相应的控制以及在各过程合理调配人力资源和设备，以实现更好的服务保障，确保本届大运会信息化建设顺畅。</w:t>
      </w:r>
    </w:p>
    <w:p>
      <w:pPr>
        <w:keepNext/>
        <w:keepLines/>
        <w:numPr>
          <w:ilvl w:val="0"/>
          <w:numId w:val="38"/>
        </w:numPr>
        <w:tabs>
          <w:tab w:val="left" w:pos="480"/>
        </w:tabs>
        <w:spacing w:before="120" w:beforeLines="50" w:line="276" w:lineRule="auto"/>
        <w:ind w:left="482" w:hanging="482" w:hangingChars="200"/>
        <w:outlineLvl w:val="2"/>
        <w:rPr>
          <w:rFonts w:ascii="仿宋" w:hAnsi="仿宋" w:eastAsia="仿宋"/>
          <w:b/>
          <w:kern w:val="0"/>
          <w:sz w:val="24"/>
          <w:szCs w:val="24"/>
        </w:rPr>
      </w:pPr>
      <w:r>
        <w:rPr>
          <w:rFonts w:hint="eastAsia" w:ascii="仿宋" w:hAnsi="仿宋" w:eastAsia="仿宋"/>
          <w:b/>
          <w:kern w:val="0"/>
          <w:sz w:val="24"/>
          <w:szCs w:val="24"/>
        </w:rPr>
        <w:t>▲系统专项设计▲</w:t>
      </w:r>
    </w:p>
    <w:p>
      <w:pPr>
        <w:spacing w:line="276" w:lineRule="auto"/>
        <w:ind w:firstLine="482"/>
        <w:rPr>
          <w:rFonts w:ascii="仿宋" w:hAnsi="仿宋" w:eastAsia="仿宋"/>
          <w:b/>
          <w:sz w:val="24"/>
          <w:szCs w:val="24"/>
        </w:rPr>
      </w:pPr>
      <w:r>
        <w:rPr>
          <w:rFonts w:hint="eastAsia" w:ascii="仿宋" w:hAnsi="仿宋" w:eastAsia="仿宋"/>
          <w:b/>
          <w:sz w:val="24"/>
          <w:szCs w:val="24"/>
        </w:rPr>
        <w:t>投标人需按照招标方要求配合完成系统专项设计：包括但不限于《系统深化设计方案》、</w:t>
      </w:r>
      <w:r>
        <w:rPr>
          <w:rFonts w:ascii="仿宋" w:hAnsi="仿宋" w:eastAsia="仿宋"/>
          <w:b/>
          <w:sz w:val="24"/>
          <w:szCs w:val="24"/>
        </w:rPr>
        <w:t>《需求调研报告》、《需求规格说明书》、《数据库设计》、《概要设计》、《一馆一册》</w:t>
      </w:r>
      <w:r>
        <w:rPr>
          <w:rFonts w:hint="eastAsia" w:ascii="仿宋" w:hAnsi="仿宋" w:eastAsia="仿宋"/>
          <w:b/>
          <w:sz w:val="24"/>
          <w:szCs w:val="24"/>
        </w:rPr>
        <w:t>等文档以及各部分的子项目设计分册等内容。</w:t>
      </w:r>
    </w:p>
    <w:p>
      <w:pPr>
        <w:keepNext/>
        <w:keepLines/>
        <w:numPr>
          <w:ilvl w:val="0"/>
          <w:numId w:val="38"/>
        </w:numPr>
        <w:tabs>
          <w:tab w:val="left" w:pos="480"/>
        </w:tabs>
        <w:spacing w:before="120" w:beforeLines="50" w:line="276" w:lineRule="auto"/>
        <w:ind w:left="482" w:hanging="482" w:hangingChars="200"/>
        <w:outlineLvl w:val="2"/>
        <w:rPr>
          <w:rFonts w:ascii="仿宋" w:hAnsi="仿宋" w:eastAsia="仿宋"/>
          <w:b/>
          <w:kern w:val="0"/>
          <w:sz w:val="24"/>
          <w:szCs w:val="24"/>
        </w:rPr>
      </w:pPr>
      <w:r>
        <w:rPr>
          <w:rFonts w:hint="eastAsia" w:ascii="仿宋" w:hAnsi="仿宋" w:eastAsia="仿宋"/>
          <w:b/>
          <w:kern w:val="0"/>
          <w:sz w:val="24"/>
          <w:szCs w:val="24"/>
        </w:rPr>
        <w:t>赛事运行保障</w:t>
      </w:r>
    </w:p>
    <w:p>
      <w:pPr>
        <w:spacing w:line="276" w:lineRule="auto"/>
        <w:ind w:firstLine="560"/>
        <w:rPr>
          <w:rFonts w:ascii="仿宋" w:hAnsi="仿宋" w:eastAsia="仿宋"/>
          <w:sz w:val="24"/>
          <w:szCs w:val="24"/>
        </w:rPr>
      </w:pPr>
      <w:r>
        <w:rPr>
          <w:rFonts w:hint="eastAsia" w:ascii="仿宋" w:hAnsi="仿宋" w:eastAsia="仿宋"/>
          <w:sz w:val="24"/>
          <w:szCs w:val="24"/>
        </w:rPr>
        <w:t>赛事运行保障阶段包括以下工作内容：</w:t>
      </w:r>
    </w:p>
    <w:p>
      <w:pPr>
        <w:spacing w:line="276" w:lineRule="auto"/>
        <w:ind w:firstLine="560"/>
        <w:rPr>
          <w:rFonts w:ascii="仿宋" w:hAnsi="仿宋" w:eastAsia="仿宋"/>
          <w:sz w:val="24"/>
          <w:szCs w:val="24"/>
        </w:rPr>
      </w:pPr>
      <w:r>
        <w:rPr>
          <w:rFonts w:hint="eastAsia" w:ascii="仿宋" w:hAnsi="仿宋" w:eastAsia="仿宋"/>
          <w:sz w:val="24"/>
          <w:szCs w:val="24"/>
        </w:rPr>
        <w:t>1、集成测试：集成实验室的集成测试包括整个系统端到端功能性测试、各系统之间的接口测试、性能和压力等非功能性测试等，另外还将进行多项目模拟测试、第三方测试、一致性测试、差错回复测试和现场测试等多项测试内容，以确保系统的功能和性能能够满足本届大运会比赛的要求。</w:t>
      </w:r>
    </w:p>
    <w:p>
      <w:pPr>
        <w:spacing w:line="276" w:lineRule="auto"/>
        <w:ind w:firstLine="560"/>
        <w:rPr>
          <w:rFonts w:ascii="仿宋" w:hAnsi="仿宋" w:eastAsia="仿宋"/>
          <w:sz w:val="24"/>
          <w:szCs w:val="24"/>
        </w:rPr>
      </w:pPr>
      <w:r>
        <w:rPr>
          <w:rFonts w:hint="eastAsia" w:ascii="仿宋" w:hAnsi="仿宋" w:eastAsia="仿宋"/>
          <w:sz w:val="24"/>
          <w:szCs w:val="24"/>
        </w:rPr>
        <w:t>2、测试赛：在系统通过整体集成测试后，按照执委会要求进行相关的测试赛并提供相关的运行支持服务。</w:t>
      </w:r>
    </w:p>
    <w:p>
      <w:pPr>
        <w:spacing w:line="276" w:lineRule="auto"/>
        <w:ind w:firstLine="560"/>
        <w:rPr>
          <w:rFonts w:ascii="仿宋" w:hAnsi="仿宋" w:eastAsia="仿宋"/>
          <w:sz w:val="24"/>
          <w:szCs w:val="24"/>
        </w:rPr>
      </w:pPr>
      <w:r>
        <w:rPr>
          <w:rFonts w:hint="eastAsia" w:ascii="仿宋" w:hAnsi="仿宋" w:eastAsia="仿宋"/>
          <w:sz w:val="24"/>
          <w:szCs w:val="24"/>
        </w:rPr>
        <w:t>3、联试联调：进行全面而必要的联试联调，来保证整个系统的功能、服务水平及运行流程能够满足赛时的要求。</w:t>
      </w:r>
    </w:p>
    <w:p>
      <w:pPr>
        <w:spacing w:line="276" w:lineRule="auto"/>
        <w:ind w:firstLine="560"/>
        <w:rPr>
          <w:rFonts w:ascii="仿宋" w:hAnsi="仿宋" w:eastAsia="仿宋"/>
          <w:sz w:val="24"/>
          <w:szCs w:val="24"/>
        </w:rPr>
      </w:pPr>
      <w:r>
        <w:rPr>
          <w:rFonts w:hint="eastAsia" w:ascii="仿宋" w:hAnsi="仿宋" w:eastAsia="仿宋"/>
          <w:sz w:val="24"/>
          <w:szCs w:val="24"/>
        </w:rPr>
        <w:t>4、正式比赛：在正式比赛期间按照信息化建设的服务水平定义来进行赛时运行保障服务。</w:t>
      </w:r>
    </w:p>
    <w:p>
      <w:pPr>
        <w:spacing w:line="276" w:lineRule="auto"/>
        <w:ind w:firstLine="560"/>
        <w:rPr>
          <w:rFonts w:hint="eastAsia" w:ascii="仿宋" w:hAnsi="仿宋" w:eastAsia="仿宋"/>
          <w:sz w:val="24"/>
          <w:szCs w:val="24"/>
        </w:rPr>
      </w:pPr>
      <w:r>
        <w:rPr>
          <w:rFonts w:hint="eastAsia" w:ascii="仿宋" w:hAnsi="仿宋" w:eastAsia="仿宋"/>
          <w:sz w:val="24"/>
          <w:szCs w:val="24"/>
        </w:rPr>
        <w:t>5、赛事收尾：正式比赛结束后对整个信息化建设的相关工作进行赛事收尾工作内容。</w:t>
      </w:r>
    </w:p>
    <w:p>
      <w:pPr>
        <w:spacing w:line="276" w:lineRule="auto"/>
        <w:ind w:firstLine="560"/>
        <w:rPr>
          <w:rFonts w:hint="eastAsia" w:ascii="仿宋" w:hAnsi="仿宋" w:eastAsia="仿宋"/>
          <w:sz w:val="24"/>
          <w:szCs w:val="24"/>
        </w:rPr>
      </w:pPr>
    </w:p>
    <w:p>
      <w:pPr>
        <w:keepNext/>
        <w:keepLines/>
        <w:numPr>
          <w:ilvl w:val="0"/>
          <w:numId w:val="38"/>
        </w:numPr>
        <w:tabs>
          <w:tab w:val="left" w:pos="480"/>
        </w:tabs>
        <w:spacing w:before="120" w:beforeLines="50" w:line="276" w:lineRule="auto"/>
        <w:ind w:left="482" w:hanging="482" w:hangingChars="200"/>
        <w:outlineLvl w:val="2"/>
        <w:rPr>
          <w:rFonts w:ascii="仿宋" w:hAnsi="仿宋" w:eastAsia="仿宋"/>
          <w:b/>
          <w:kern w:val="0"/>
          <w:sz w:val="24"/>
          <w:szCs w:val="24"/>
        </w:rPr>
      </w:pPr>
      <w:r>
        <w:rPr>
          <w:rFonts w:hint="eastAsia" w:ascii="仿宋" w:hAnsi="仿宋" w:eastAsia="仿宋"/>
          <w:b/>
          <w:kern w:val="0"/>
          <w:sz w:val="24"/>
          <w:szCs w:val="24"/>
        </w:rPr>
        <w:t>赛时应急响应</w:t>
      </w:r>
    </w:p>
    <w:p>
      <w:pPr>
        <w:keepNext/>
        <w:keepLines/>
        <w:numPr>
          <w:ilvl w:val="3"/>
          <w:numId w:val="0"/>
        </w:numPr>
        <w:tabs>
          <w:tab w:val="left" w:pos="0"/>
        </w:tabs>
        <w:spacing w:line="276" w:lineRule="auto"/>
        <w:outlineLvl w:val="3"/>
        <w:rPr>
          <w:rFonts w:ascii="仿宋" w:hAnsi="仿宋" w:eastAsia="仿宋"/>
          <w:sz w:val="24"/>
          <w:szCs w:val="24"/>
        </w:rPr>
      </w:pPr>
      <w:r>
        <w:rPr>
          <w:rFonts w:hint="eastAsia" w:ascii="仿宋" w:hAnsi="仿宋" w:eastAsia="仿宋"/>
          <w:sz w:val="24"/>
          <w:szCs w:val="24"/>
        </w:rPr>
        <w:t xml:space="preserve">总体要求 </w:t>
      </w:r>
    </w:p>
    <w:p>
      <w:pPr>
        <w:spacing w:line="276" w:lineRule="auto"/>
        <w:ind w:firstLine="560"/>
        <w:rPr>
          <w:rFonts w:ascii="仿宋" w:hAnsi="仿宋" w:eastAsia="仿宋"/>
          <w:sz w:val="24"/>
          <w:szCs w:val="24"/>
        </w:rPr>
      </w:pPr>
      <w:r>
        <w:rPr>
          <w:rFonts w:hint="eastAsia" w:ascii="仿宋" w:hAnsi="仿宋" w:eastAsia="仿宋"/>
          <w:sz w:val="24"/>
          <w:szCs w:val="24"/>
        </w:rPr>
        <w:t>虽然系统在赛前将经过集成测试、测试赛、联试联调等多轮测试和演练，但由于综合性运动会信息技术存在“关门时间”和“实时性”的要求，因此赛时还需指定一套完备的应急预案，投标人应成立应急保障团队，从组织架构、工作流程、职责分工、应急人员等方面提出切实可行的计划，并在赛时出现紧急情况时立即做出响应。同时，还需针对赛时可能出现的突发事件风险进行识别、评估、处理，制定应急预案。</w:t>
      </w:r>
    </w:p>
    <w:p>
      <w:pPr>
        <w:keepNext/>
        <w:keepLines/>
        <w:numPr>
          <w:ilvl w:val="3"/>
          <w:numId w:val="0"/>
        </w:numPr>
        <w:tabs>
          <w:tab w:val="left" w:pos="0"/>
        </w:tabs>
        <w:spacing w:line="276" w:lineRule="auto"/>
        <w:outlineLvl w:val="3"/>
        <w:rPr>
          <w:rFonts w:ascii="仿宋" w:hAnsi="仿宋" w:eastAsia="仿宋"/>
          <w:sz w:val="24"/>
          <w:szCs w:val="24"/>
        </w:rPr>
      </w:pPr>
      <w:r>
        <w:rPr>
          <w:rFonts w:hint="eastAsia" w:ascii="仿宋" w:hAnsi="仿宋" w:eastAsia="仿宋"/>
          <w:sz w:val="24"/>
          <w:szCs w:val="24"/>
        </w:rPr>
        <w:t>服务要求</w:t>
      </w:r>
    </w:p>
    <w:p>
      <w:pPr>
        <w:spacing w:line="276" w:lineRule="auto"/>
        <w:ind w:firstLine="560"/>
        <w:rPr>
          <w:rFonts w:ascii="仿宋" w:hAnsi="仿宋" w:eastAsia="仿宋"/>
          <w:sz w:val="24"/>
          <w:szCs w:val="24"/>
        </w:rPr>
      </w:pPr>
      <w:r>
        <w:rPr>
          <w:rFonts w:hint="eastAsia" w:ascii="仿宋" w:hAnsi="仿宋" w:eastAsia="仿宋"/>
          <w:sz w:val="24"/>
          <w:szCs w:val="24"/>
        </w:rPr>
        <w:t>1、需具备完善应急服务组织机构设置和人员配置；</w:t>
      </w:r>
    </w:p>
    <w:p>
      <w:pPr>
        <w:spacing w:line="276" w:lineRule="auto"/>
        <w:ind w:firstLine="560"/>
        <w:rPr>
          <w:rFonts w:ascii="仿宋" w:hAnsi="仿宋" w:eastAsia="仿宋"/>
          <w:sz w:val="24"/>
          <w:szCs w:val="24"/>
        </w:rPr>
      </w:pPr>
      <w:r>
        <w:rPr>
          <w:rFonts w:hint="eastAsia" w:ascii="仿宋" w:hAnsi="仿宋" w:eastAsia="仿宋"/>
          <w:sz w:val="24"/>
          <w:szCs w:val="24"/>
        </w:rPr>
        <w:t>2、正式比赛期间需保障重点业务7*24小时监控值守，7*24小时备勤；</w:t>
      </w:r>
    </w:p>
    <w:p>
      <w:pPr>
        <w:spacing w:line="276" w:lineRule="auto"/>
        <w:ind w:firstLine="560"/>
        <w:rPr>
          <w:rFonts w:ascii="仿宋" w:hAnsi="仿宋" w:eastAsia="仿宋"/>
          <w:sz w:val="24"/>
          <w:szCs w:val="24"/>
        </w:rPr>
      </w:pPr>
      <w:r>
        <w:rPr>
          <w:rFonts w:hint="eastAsia" w:ascii="仿宋" w:hAnsi="仿宋" w:eastAsia="仿宋"/>
          <w:sz w:val="24"/>
          <w:szCs w:val="24"/>
        </w:rPr>
        <w:t>3、需提供完备的竞赛视频系统应急机制。</w:t>
      </w:r>
    </w:p>
    <w:p>
      <w:pPr>
        <w:keepNext/>
        <w:keepLines/>
        <w:numPr>
          <w:ilvl w:val="1"/>
          <w:numId w:val="0"/>
        </w:numPr>
        <w:spacing w:before="240" w:beforeLines="100" w:line="276" w:lineRule="auto"/>
        <w:ind w:right="-29" w:rightChars="-14"/>
        <w:outlineLvl w:val="1"/>
        <w:rPr>
          <w:rFonts w:ascii="仿宋" w:hAnsi="仿宋" w:eastAsia="仿宋"/>
          <w:b/>
          <w:bCs/>
          <w:sz w:val="28"/>
          <w:szCs w:val="24"/>
        </w:rPr>
      </w:pPr>
      <w:r>
        <w:rPr>
          <w:rFonts w:hint="eastAsia" w:ascii="仿宋" w:hAnsi="仿宋" w:eastAsia="仿宋"/>
          <w:b/>
          <w:bCs/>
          <w:sz w:val="28"/>
          <w:szCs w:val="24"/>
        </w:rPr>
        <w:t>1.4 服务功能清单</w:t>
      </w:r>
    </w:p>
    <w:tbl>
      <w:tblPr>
        <w:tblStyle w:val="58"/>
        <w:tblW w:w="8789" w:type="dxa"/>
        <w:tblInd w:w="5" w:type="dxa"/>
        <w:tblLayout w:type="autofit"/>
        <w:tblCellMar>
          <w:top w:w="0" w:type="dxa"/>
          <w:left w:w="108" w:type="dxa"/>
          <w:bottom w:w="0" w:type="dxa"/>
          <w:right w:w="108" w:type="dxa"/>
        </w:tblCellMar>
      </w:tblPr>
      <w:tblGrid>
        <w:gridCol w:w="1389"/>
        <w:gridCol w:w="7400"/>
      </w:tblGrid>
      <w:tr>
        <w:tblPrEx>
          <w:tblCellMar>
            <w:top w:w="0" w:type="dxa"/>
            <w:left w:w="108" w:type="dxa"/>
            <w:bottom w:w="0" w:type="dxa"/>
            <w:right w:w="108" w:type="dxa"/>
          </w:tblCellMar>
        </w:tblPrEx>
        <w:trPr>
          <w:trHeight w:val="285" w:hRule="atLeast"/>
          <w:tblHeader/>
        </w:trPr>
        <w:tc>
          <w:tcPr>
            <w:tcW w:w="138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6" w:lineRule="auto"/>
              <w:ind w:firstLine="39" w:firstLineChars="16"/>
              <w:jc w:val="center"/>
              <w:rPr>
                <w:rFonts w:ascii="仿宋" w:hAnsi="仿宋" w:eastAsia="仿宋" w:cs="宋体"/>
                <w:b/>
                <w:color w:val="000000"/>
                <w:sz w:val="24"/>
                <w:szCs w:val="24"/>
              </w:rPr>
            </w:pPr>
            <w:r>
              <w:rPr>
                <w:rFonts w:hint="eastAsia" w:ascii="仿宋" w:hAnsi="仿宋" w:eastAsia="仿宋" w:cs="宋体"/>
                <w:b/>
                <w:color w:val="000000"/>
                <w:sz w:val="24"/>
                <w:szCs w:val="24"/>
              </w:rPr>
              <w:t>项目系统</w:t>
            </w:r>
          </w:p>
        </w:tc>
        <w:tc>
          <w:tcPr>
            <w:tcW w:w="7400" w:type="dxa"/>
            <w:tcBorders>
              <w:top w:val="single" w:color="auto" w:sz="4" w:space="0"/>
              <w:left w:val="nil"/>
              <w:bottom w:val="single" w:color="auto" w:sz="4" w:space="0"/>
              <w:right w:val="single" w:color="auto" w:sz="4" w:space="0"/>
            </w:tcBorders>
            <w:shd w:val="clear" w:color="auto" w:fill="auto"/>
            <w:noWrap/>
            <w:vAlign w:val="center"/>
          </w:tcPr>
          <w:p>
            <w:pPr>
              <w:spacing w:line="276" w:lineRule="auto"/>
              <w:ind w:firstLine="41" w:firstLineChars="17"/>
              <w:jc w:val="center"/>
              <w:rPr>
                <w:rFonts w:ascii="仿宋" w:hAnsi="仿宋" w:eastAsia="仿宋" w:cs="宋体"/>
                <w:b/>
                <w:color w:val="000000"/>
                <w:sz w:val="24"/>
                <w:szCs w:val="24"/>
              </w:rPr>
            </w:pPr>
            <w:r>
              <w:rPr>
                <w:rFonts w:hint="eastAsia" w:ascii="仿宋" w:hAnsi="仿宋" w:eastAsia="仿宋" w:cs="宋体"/>
                <w:b/>
                <w:color w:val="000000"/>
                <w:sz w:val="24"/>
                <w:szCs w:val="24"/>
              </w:rPr>
              <w:t>项目子系统</w:t>
            </w:r>
          </w:p>
        </w:tc>
      </w:tr>
      <w:tr>
        <w:tblPrEx>
          <w:tblCellMar>
            <w:top w:w="0" w:type="dxa"/>
            <w:left w:w="108" w:type="dxa"/>
            <w:bottom w:w="0" w:type="dxa"/>
            <w:right w:w="108" w:type="dxa"/>
          </w:tblCellMar>
        </w:tblPrEx>
        <w:trPr>
          <w:trHeight w:val="810" w:hRule="atLeast"/>
        </w:trPr>
        <w:tc>
          <w:tcPr>
            <w:tcW w:w="1389"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276" w:lineRule="auto"/>
              <w:ind w:firstLine="38" w:firstLineChars="16"/>
              <w:rPr>
                <w:rFonts w:ascii="仿宋" w:hAnsi="仿宋" w:eastAsia="仿宋" w:cs="宋体"/>
                <w:color w:val="000000"/>
                <w:sz w:val="24"/>
                <w:szCs w:val="24"/>
              </w:rPr>
            </w:pPr>
            <w:r>
              <w:rPr>
                <w:rFonts w:hint="eastAsia" w:ascii="仿宋" w:hAnsi="仿宋" w:eastAsia="仿宋" w:cs="宋体"/>
                <w:color w:val="000000"/>
                <w:sz w:val="24"/>
                <w:szCs w:val="24"/>
              </w:rPr>
              <w:t>竞赛视频系统</w:t>
            </w:r>
          </w:p>
        </w:tc>
        <w:tc>
          <w:tcPr>
            <w:tcW w:w="7400" w:type="dxa"/>
            <w:tcBorders>
              <w:top w:val="nil"/>
              <w:left w:val="nil"/>
              <w:bottom w:val="single" w:color="auto" w:sz="4" w:space="0"/>
              <w:right w:val="single" w:color="auto" w:sz="4" w:space="0"/>
            </w:tcBorders>
            <w:shd w:val="clear" w:color="auto" w:fill="auto"/>
            <w:vAlign w:val="center"/>
          </w:tcPr>
          <w:p>
            <w:pPr>
              <w:spacing w:line="276" w:lineRule="auto"/>
              <w:ind w:firstLine="40" w:firstLineChars="17"/>
              <w:rPr>
                <w:rFonts w:ascii="仿宋" w:hAnsi="仿宋" w:eastAsia="仿宋" w:cs="宋体"/>
                <w:color w:val="000000"/>
                <w:sz w:val="24"/>
                <w:szCs w:val="24"/>
              </w:rPr>
            </w:pPr>
            <w:r>
              <w:rPr>
                <w:rFonts w:hint="eastAsia" w:ascii="仿宋" w:hAnsi="仿宋" w:eastAsia="仿宋" w:cs="宋体"/>
                <w:color w:val="000000"/>
                <w:sz w:val="24"/>
                <w:szCs w:val="24"/>
              </w:rPr>
              <w:t>竞赛监控系统-体操、游泳、羽毛球、田径、击剑、乒乓球、篮球、排球、柔道、射箭、水球、跆拳道、跳水、网球、艺术体操、武术、赛艇、射击18个单项</w:t>
            </w:r>
          </w:p>
        </w:tc>
      </w:tr>
      <w:tr>
        <w:tblPrEx>
          <w:tblCellMar>
            <w:top w:w="0" w:type="dxa"/>
            <w:left w:w="108" w:type="dxa"/>
            <w:bottom w:w="0" w:type="dxa"/>
            <w:right w:w="108" w:type="dxa"/>
          </w:tblCellMar>
        </w:tblPrEx>
        <w:trPr>
          <w:trHeight w:val="810" w:hRule="atLeast"/>
        </w:trPr>
        <w:tc>
          <w:tcPr>
            <w:tcW w:w="1389" w:type="dxa"/>
            <w:vMerge w:val="continue"/>
            <w:tcBorders>
              <w:top w:val="nil"/>
              <w:left w:val="single" w:color="auto" w:sz="4" w:space="0"/>
              <w:bottom w:val="single" w:color="auto" w:sz="4" w:space="0"/>
              <w:right w:val="single" w:color="auto" w:sz="4" w:space="0"/>
            </w:tcBorders>
            <w:vAlign w:val="center"/>
          </w:tcPr>
          <w:p>
            <w:pPr>
              <w:spacing w:line="276" w:lineRule="auto"/>
              <w:ind w:firstLine="38" w:firstLineChars="16"/>
              <w:rPr>
                <w:rFonts w:ascii="仿宋" w:hAnsi="仿宋" w:eastAsia="仿宋" w:cs="宋体"/>
                <w:color w:val="000000"/>
                <w:sz w:val="24"/>
                <w:szCs w:val="24"/>
              </w:rPr>
            </w:pPr>
          </w:p>
        </w:tc>
        <w:tc>
          <w:tcPr>
            <w:tcW w:w="7400" w:type="dxa"/>
            <w:tcBorders>
              <w:top w:val="nil"/>
              <w:left w:val="nil"/>
              <w:bottom w:val="single" w:color="auto" w:sz="4" w:space="0"/>
              <w:right w:val="single" w:color="auto" w:sz="4" w:space="0"/>
            </w:tcBorders>
            <w:shd w:val="clear" w:color="auto" w:fill="auto"/>
            <w:vAlign w:val="center"/>
          </w:tcPr>
          <w:p>
            <w:pPr>
              <w:spacing w:line="276" w:lineRule="auto"/>
              <w:ind w:firstLine="40" w:firstLineChars="17"/>
              <w:rPr>
                <w:rFonts w:ascii="仿宋" w:hAnsi="仿宋" w:eastAsia="仿宋" w:cs="宋体"/>
                <w:color w:val="000000"/>
                <w:sz w:val="24"/>
                <w:szCs w:val="24"/>
              </w:rPr>
            </w:pPr>
            <w:r>
              <w:rPr>
                <w:rFonts w:hint="eastAsia" w:ascii="仿宋" w:hAnsi="仿宋" w:eastAsia="仿宋" w:cs="宋体"/>
                <w:color w:val="000000"/>
                <w:sz w:val="24"/>
                <w:szCs w:val="24"/>
              </w:rPr>
              <w:t>竞赛闭路系统-体操、游泳、羽毛球、田径、击剑、乒乓球、篮球、排球、柔道、射箭、水球、跆拳道、跳水、网球、艺术体操、武术、赛艇、射击18个单项</w:t>
            </w:r>
          </w:p>
        </w:tc>
      </w:tr>
      <w:tr>
        <w:tblPrEx>
          <w:tblCellMar>
            <w:top w:w="0" w:type="dxa"/>
            <w:left w:w="108" w:type="dxa"/>
            <w:bottom w:w="0" w:type="dxa"/>
            <w:right w:w="108" w:type="dxa"/>
          </w:tblCellMar>
        </w:tblPrEx>
        <w:trPr>
          <w:trHeight w:val="810" w:hRule="atLeast"/>
        </w:trPr>
        <w:tc>
          <w:tcPr>
            <w:tcW w:w="1389" w:type="dxa"/>
            <w:vMerge w:val="continue"/>
            <w:tcBorders>
              <w:top w:val="nil"/>
              <w:left w:val="single" w:color="auto" w:sz="4" w:space="0"/>
              <w:bottom w:val="single" w:color="auto" w:sz="4" w:space="0"/>
              <w:right w:val="single" w:color="auto" w:sz="4" w:space="0"/>
            </w:tcBorders>
            <w:vAlign w:val="center"/>
          </w:tcPr>
          <w:p>
            <w:pPr>
              <w:spacing w:line="276" w:lineRule="auto"/>
              <w:ind w:firstLine="38" w:firstLineChars="16"/>
              <w:rPr>
                <w:rFonts w:ascii="仿宋" w:hAnsi="仿宋" w:eastAsia="仿宋" w:cs="宋体"/>
                <w:color w:val="000000"/>
                <w:sz w:val="24"/>
                <w:szCs w:val="24"/>
              </w:rPr>
            </w:pPr>
          </w:p>
        </w:tc>
        <w:tc>
          <w:tcPr>
            <w:tcW w:w="7400" w:type="dxa"/>
            <w:tcBorders>
              <w:top w:val="nil"/>
              <w:left w:val="nil"/>
              <w:bottom w:val="single" w:color="auto" w:sz="4" w:space="0"/>
              <w:right w:val="single" w:color="auto" w:sz="4" w:space="0"/>
            </w:tcBorders>
            <w:shd w:val="clear" w:color="auto" w:fill="auto"/>
            <w:vAlign w:val="center"/>
          </w:tcPr>
          <w:p>
            <w:pPr>
              <w:spacing w:line="276" w:lineRule="auto"/>
              <w:ind w:firstLine="40" w:firstLineChars="17"/>
              <w:rPr>
                <w:rFonts w:ascii="仿宋" w:hAnsi="仿宋" w:eastAsia="仿宋" w:cs="宋体"/>
                <w:color w:val="000000"/>
                <w:sz w:val="24"/>
                <w:szCs w:val="24"/>
              </w:rPr>
            </w:pPr>
            <w:r>
              <w:rPr>
                <w:rFonts w:hint="eastAsia" w:ascii="仿宋" w:hAnsi="仿宋" w:eastAsia="仿宋" w:cs="宋体"/>
                <w:color w:val="000000"/>
                <w:sz w:val="24"/>
                <w:szCs w:val="24"/>
              </w:rPr>
              <w:t>视频直播系统-体操、游泳、羽毛球、田径、击剑、乒乓球、篮球、排球、柔道、射箭、水球、跆拳道、跳水、网球、艺术体操、武术、赛艇、射击18个单项</w:t>
            </w:r>
          </w:p>
        </w:tc>
      </w:tr>
    </w:tbl>
    <w:p>
      <w:pPr>
        <w:keepNext/>
        <w:keepLines/>
        <w:numPr>
          <w:ilvl w:val="1"/>
          <w:numId w:val="0"/>
        </w:numPr>
        <w:spacing w:before="240" w:beforeLines="100" w:line="276" w:lineRule="auto"/>
        <w:ind w:right="-29" w:rightChars="-14"/>
        <w:outlineLvl w:val="1"/>
        <w:rPr>
          <w:rFonts w:ascii="仿宋" w:hAnsi="仿宋" w:eastAsia="仿宋"/>
          <w:b/>
          <w:bCs/>
          <w:sz w:val="28"/>
          <w:szCs w:val="24"/>
        </w:rPr>
      </w:pPr>
      <w:r>
        <w:rPr>
          <w:rFonts w:hint="eastAsia" w:ascii="仿宋" w:hAnsi="仿宋" w:eastAsia="仿宋"/>
          <w:b/>
          <w:bCs/>
          <w:sz w:val="28"/>
          <w:szCs w:val="24"/>
        </w:rPr>
        <w:t>1.5 其它要求</w:t>
      </w:r>
    </w:p>
    <w:p>
      <w:pPr>
        <w:keepNext/>
        <w:keepLines/>
        <w:numPr>
          <w:ilvl w:val="0"/>
          <w:numId w:val="39"/>
        </w:numPr>
        <w:tabs>
          <w:tab w:val="left" w:pos="480"/>
        </w:tabs>
        <w:spacing w:line="276" w:lineRule="auto"/>
        <w:outlineLvl w:val="2"/>
        <w:rPr>
          <w:rFonts w:ascii="仿宋" w:hAnsi="仿宋" w:eastAsia="仿宋"/>
          <w:b/>
          <w:kern w:val="0"/>
          <w:sz w:val="24"/>
          <w:szCs w:val="24"/>
        </w:rPr>
      </w:pPr>
      <w:r>
        <w:rPr>
          <w:rFonts w:hint="eastAsia" w:ascii="仿宋" w:hAnsi="仿宋" w:eastAsia="仿宋"/>
          <w:b/>
          <w:kern w:val="0"/>
          <w:sz w:val="24"/>
          <w:szCs w:val="24"/>
        </w:rPr>
        <w:t>人员管理要求</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人员构成：</w:t>
      </w:r>
    </w:p>
    <w:p>
      <w:pPr>
        <w:spacing w:line="276" w:lineRule="auto"/>
        <w:ind w:firstLine="560"/>
        <w:rPr>
          <w:rFonts w:ascii="仿宋" w:hAnsi="仿宋" w:eastAsia="仿宋"/>
          <w:sz w:val="24"/>
          <w:szCs w:val="24"/>
        </w:rPr>
      </w:pPr>
      <w:r>
        <w:rPr>
          <w:rFonts w:hint="eastAsia" w:ascii="仿宋" w:hAnsi="仿宋" w:eastAsia="仿宋"/>
          <w:sz w:val="24"/>
          <w:szCs w:val="24"/>
        </w:rPr>
        <w:t>完成竞赛视频系统建设，投标人需设置完善的系统运行团队的人员构成。子系统运行保障包括：竞赛监控系统、竞赛闭路系统、视频直播系统。</w:t>
      </w:r>
    </w:p>
    <w:p>
      <w:pPr>
        <w:spacing w:line="276" w:lineRule="auto"/>
        <w:ind w:firstLine="560"/>
        <w:rPr>
          <w:rFonts w:ascii="仿宋" w:hAnsi="仿宋" w:eastAsia="仿宋"/>
          <w:sz w:val="24"/>
          <w:szCs w:val="24"/>
        </w:rPr>
      </w:pPr>
      <w:r>
        <w:rPr>
          <w:rFonts w:hint="eastAsia" w:ascii="仿宋" w:hAnsi="仿宋" w:eastAsia="仿宋"/>
          <w:sz w:val="24"/>
          <w:szCs w:val="24"/>
        </w:rPr>
        <w:t>各组别需根据各自业务需求建设完善的人员构成，包括但不限于：竞赛视频主管、竞赛闭路工程师、竞赛监控工程师、视频直播工程师。</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人员要求：</w:t>
      </w:r>
    </w:p>
    <w:p>
      <w:pPr>
        <w:spacing w:line="276" w:lineRule="auto"/>
        <w:rPr>
          <w:rFonts w:ascii="仿宋" w:hAnsi="仿宋" w:eastAsia="仿宋"/>
          <w:sz w:val="24"/>
          <w:szCs w:val="24"/>
        </w:rPr>
      </w:pPr>
      <w:r>
        <w:rPr>
          <w:rFonts w:hint="eastAsia" w:ascii="仿宋" w:hAnsi="仿宋" w:eastAsia="仿宋"/>
          <w:sz w:val="24"/>
          <w:szCs w:val="24"/>
        </w:rPr>
        <w:t>各组别需根据各自业务需求建设完善的人员构成，包括但不限于：</w:t>
      </w:r>
    </w:p>
    <w:tbl>
      <w:tblPr>
        <w:tblStyle w:val="58"/>
        <w:tblW w:w="8784" w:type="dxa"/>
        <w:jc w:val="center"/>
        <w:tblLayout w:type="fixed"/>
        <w:tblCellMar>
          <w:top w:w="0" w:type="dxa"/>
          <w:left w:w="0" w:type="dxa"/>
          <w:bottom w:w="0" w:type="dxa"/>
          <w:right w:w="0" w:type="dxa"/>
        </w:tblCellMar>
      </w:tblPr>
      <w:tblGrid>
        <w:gridCol w:w="1212"/>
        <w:gridCol w:w="2047"/>
        <w:gridCol w:w="5525"/>
      </w:tblGrid>
      <w:tr>
        <w:tblPrEx>
          <w:tblCellMar>
            <w:top w:w="0" w:type="dxa"/>
            <w:left w:w="0" w:type="dxa"/>
            <w:bottom w:w="0" w:type="dxa"/>
            <w:right w:w="0" w:type="dxa"/>
          </w:tblCellMar>
        </w:tblPrEx>
        <w:trPr>
          <w:trHeight w:val="322" w:hRule="exact"/>
          <w:tblHeader/>
          <w:jc w:val="center"/>
        </w:trPr>
        <w:tc>
          <w:tcPr>
            <w:tcW w:w="1212"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cs="宋体"/>
                <w:b/>
                <w:bCs/>
                <w:sz w:val="24"/>
                <w:szCs w:val="24"/>
              </w:rPr>
              <w:t>序号</w:t>
            </w:r>
          </w:p>
        </w:tc>
        <w:tc>
          <w:tcPr>
            <w:tcW w:w="2047"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cs="宋体"/>
                <w:b/>
                <w:bCs/>
                <w:sz w:val="24"/>
                <w:szCs w:val="24"/>
              </w:rPr>
              <w:t>工作岗位</w:t>
            </w:r>
          </w:p>
        </w:tc>
        <w:tc>
          <w:tcPr>
            <w:tcW w:w="5525"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rPr>
                <w:rFonts w:ascii="仿宋" w:hAnsi="仿宋" w:eastAsia="仿宋"/>
                <w:sz w:val="24"/>
                <w:szCs w:val="24"/>
              </w:rPr>
            </w:pPr>
            <w:r>
              <w:rPr>
                <w:rFonts w:hint="eastAsia" w:ascii="仿宋" w:hAnsi="仿宋" w:eastAsia="仿宋" w:cs="宋体"/>
                <w:b/>
                <w:bCs/>
                <w:sz w:val="24"/>
                <w:szCs w:val="24"/>
              </w:rPr>
              <w:t>岗位职责</w:t>
            </w:r>
            <w:r>
              <w:rPr>
                <w:rFonts w:ascii="仿宋" w:hAnsi="仿宋" w:eastAsia="仿宋" w:cs="宋体"/>
                <w:b/>
                <w:bCs/>
                <w:w w:val="98"/>
                <w:sz w:val="24"/>
                <w:szCs w:val="24"/>
              </w:rPr>
              <w:t xml:space="preserve"> </w:t>
            </w:r>
          </w:p>
        </w:tc>
      </w:tr>
      <w:tr>
        <w:tblPrEx>
          <w:tblCellMar>
            <w:top w:w="0" w:type="dxa"/>
            <w:left w:w="0" w:type="dxa"/>
            <w:bottom w:w="0" w:type="dxa"/>
            <w:right w:w="0" w:type="dxa"/>
          </w:tblCellMar>
        </w:tblPrEx>
        <w:trPr>
          <w:trHeight w:val="322" w:hRule="exact"/>
          <w:jc w:val="center"/>
        </w:trPr>
        <w:tc>
          <w:tcPr>
            <w:tcW w:w="1212"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ascii="仿宋" w:hAnsi="仿宋" w:eastAsia="仿宋" w:cs="宋体"/>
                <w:sz w:val="24"/>
                <w:szCs w:val="24"/>
              </w:rPr>
              <w:t>1</w:t>
            </w:r>
          </w:p>
        </w:tc>
        <w:tc>
          <w:tcPr>
            <w:tcW w:w="2047"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cs="宋体"/>
                <w:sz w:val="24"/>
                <w:szCs w:val="24"/>
              </w:rPr>
              <w:t>竞赛视频主管</w:t>
            </w:r>
          </w:p>
        </w:tc>
        <w:tc>
          <w:tcPr>
            <w:tcW w:w="5525"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left"/>
              <w:rPr>
                <w:rFonts w:ascii="仿宋" w:hAnsi="仿宋" w:eastAsia="仿宋"/>
                <w:sz w:val="24"/>
                <w:szCs w:val="24"/>
              </w:rPr>
            </w:pPr>
            <w:r>
              <w:rPr>
                <w:rFonts w:hint="eastAsia" w:ascii="仿宋" w:hAnsi="仿宋" w:eastAsia="仿宋" w:cs="宋体"/>
                <w:sz w:val="24"/>
                <w:szCs w:val="24"/>
              </w:rPr>
              <w:t>场馆内竞赛视频总负责</w:t>
            </w:r>
            <w:r>
              <w:rPr>
                <w:rFonts w:ascii="仿宋" w:hAnsi="仿宋" w:eastAsia="仿宋" w:cs="宋体"/>
                <w:sz w:val="24"/>
                <w:szCs w:val="24"/>
              </w:rPr>
              <w:t xml:space="preserve"> </w:t>
            </w:r>
          </w:p>
        </w:tc>
      </w:tr>
      <w:tr>
        <w:tblPrEx>
          <w:tblCellMar>
            <w:top w:w="0" w:type="dxa"/>
            <w:left w:w="0" w:type="dxa"/>
            <w:bottom w:w="0" w:type="dxa"/>
            <w:right w:w="0" w:type="dxa"/>
          </w:tblCellMar>
        </w:tblPrEx>
        <w:trPr>
          <w:trHeight w:val="322" w:hRule="exact"/>
          <w:jc w:val="center"/>
        </w:trPr>
        <w:tc>
          <w:tcPr>
            <w:tcW w:w="1212"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ascii="仿宋" w:hAnsi="仿宋" w:eastAsia="仿宋" w:cs="宋体"/>
                <w:sz w:val="24"/>
                <w:szCs w:val="24"/>
              </w:rPr>
              <w:t>2</w:t>
            </w:r>
          </w:p>
        </w:tc>
        <w:tc>
          <w:tcPr>
            <w:tcW w:w="2047"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sz w:val="24"/>
                <w:szCs w:val="24"/>
              </w:rPr>
              <w:t>竞赛闭路工程师</w:t>
            </w:r>
          </w:p>
        </w:tc>
        <w:tc>
          <w:tcPr>
            <w:tcW w:w="5525"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left"/>
              <w:rPr>
                <w:rFonts w:ascii="仿宋" w:hAnsi="仿宋" w:eastAsia="仿宋"/>
                <w:sz w:val="24"/>
                <w:szCs w:val="24"/>
              </w:rPr>
            </w:pPr>
            <w:r>
              <w:rPr>
                <w:rFonts w:hint="eastAsia" w:ascii="仿宋" w:hAnsi="仿宋" w:eastAsia="仿宋" w:cs="宋体"/>
                <w:sz w:val="24"/>
                <w:szCs w:val="24"/>
              </w:rPr>
              <w:t>场馆内竞赛闭路系统运行维护</w:t>
            </w:r>
            <w:r>
              <w:rPr>
                <w:rFonts w:ascii="仿宋" w:hAnsi="仿宋" w:eastAsia="仿宋" w:cs="宋体"/>
                <w:sz w:val="24"/>
                <w:szCs w:val="24"/>
              </w:rPr>
              <w:t xml:space="preserve"> </w:t>
            </w:r>
          </w:p>
        </w:tc>
      </w:tr>
      <w:tr>
        <w:tblPrEx>
          <w:tblCellMar>
            <w:top w:w="0" w:type="dxa"/>
            <w:left w:w="0" w:type="dxa"/>
            <w:bottom w:w="0" w:type="dxa"/>
            <w:right w:w="0" w:type="dxa"/>
          </w:tblCellMar>
        </w:tblPrEx>
        <w:trPr>
          <w:trHeight w:val="322" w:hRule="exact"/>
          <w:jc w:val="center"/>
        </w:trPr>
        <w:tc>
          <w:tcPr>
            <w:tcW w:w="1212"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ascii="仿宋" w:hAnsi="仿宋" w:eastAsia="仿宋" w:cs="宋体"/>
                <w:sz w:val="24"/>
                <w:szCs w:val="24"/>
              </w:rPr>
              <w:t>3</w:t>
            </w:r>
          </w:p>
        </w:tc>
        <w:tc>
          <w:tcPr>
            <w:tcW w:w="2047"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sz w:val="24"/>
                <w:szCs w:val="24"/>
              </w:rPr>
              <w:t>竞赛监控工程师</w:t>
            </w:r>
          </w:p>
        </w:tc>
        <w:tc>
          <w:tcPr>
            <w:tcW w:w="5525"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left"/>
              <w:rPr>
                <w:rFonts w:ascii="仿宋" w:hAnsi="仿宋" w:eastAsia="仿宋"/>
                <w:sz w:val="24"/>
                <w:szCs w:val="24"/>
              </w:rPr>
            </w:pPr>
            <w:r>
              <w:rPr>
                <w:rFonts w:hint="eastAsia" w:ascii="仿宋" w:hAnsi="仿宋" w:eastAsia="仿宋" w:cs="宋体"/>
                <w:sz w:val="24"/>
                <w:szCs w:val="24"/>
              </w:rPr>
              <w:t>竞赛监控系统运行维护</w:t>
            </w:r>
          </w:p>
        </w:tc>
      </w:tr>
      <w:tr>
        <w:tblPrEx>
          <w:tblCellMar>
            <w:top w:w="0" w:type="dxa"/>
            <w:left w:w="0" w:type="dxa"/>
            <w:bottom w:w="0" w:type="dxa"/>
            <w:right w:w="0" w:type="dxa"/>
          </w:tblCellMar>
        </w:tblPrEx>
        <w:trPr>
          <w:trHeight w:val="325" w:hRule="exact"/>
          <w:jc w:val="center"/>
        </w:trPr>
        <w:tc>
          <w:tcPr>
            <w:tcW w:w="1212"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ascii="仿宋" w:hAnsi="仿宋" w:eastAsia="仿宋" w:cs="宋体"/>
                <w:sz w:val="24"/>
                <w:szCs w:val="24"/>
              </w:rPr>
              <w:t>4</w:t>
            </w:r>
          </w:p>
        </w:tc>
        <w:tc>
          <w:tcPr>
            <w:tcW w:w="2047"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sz w:val="24"/>
                <w:szCs w:val="24"/>
              </w:rPr>
              <w:t>视频直播工程师</w:t>
            </w:r>
          </w:p>
        </w:tc>
        <w:tc>
          <w:tcPr>
            <w:tcW w:w="5525"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left"/>
              <w:rPr>
                <w:rFonts w:ascii="仿宋" w:hAnsi="仿宋" w:eastAsia="仿宋"/>
                <w:sz w:val="24"/>
                <w:szCs w:val="24"/>
              </w:rPr>
            </w:pPr>
            <w:r>
              <w:rPr>
                <w:rFonts w:hint="eastAsia" w:ascii="仿宋" w:hAnsi="仿宋" w:eastAsia="仿宋" w:cs="宋体"/>
                <w:sz w:val="24"/>
                <w:szCs w:val="24"/>
              </w:rPr>
              <w:t>负责视频直播系统运行维护</w:t>
            </w:r>
          </w:p>
        </w:tc>
      </w:tr>
    </w:tbl>
    <w:p>
      <w:pPr>
        <w:spacing w:line="276" w:lineRule="auto"/>
        <w:rPr>
          <w:rFonts w:ascii="仿宋" w:hAnsi="仿宋" w:eastAsia="仿宋"/>
          <w:sz w:val="24"/>
          <w:szCs w:val="24"/>
        </w:rPr>
      </w:pPr>
    </w:p>
    <w:p>
      <w:pPr>
        <w:keepNext/>
        <w:keepLines/>
        <w:numPr>
          <w:ilvl w:val="3"/>
          <w:numId w:val="0"/>
        </w:numPr>
        <w:tabs>
          <w:tab w:val="left" w:pos="0"/>
        </w:tabs>
        <w:spacing w:line="276" w:lineRule="auto"/>
        <w:outlineLvl w:val="3"/>
        <w:rPr>
          <w:rFonts w:ascii="仿宋" w:hAnsi="仿宋" w:eastAsia="仿宋"/>
          <w:sz w:val="24"/>
          <w:szCs w:val="24"/>
        </w:rPr>
      </w:pPr>
      <w:r>
        <w:rPr>
          <w:rFonts w:hint="eastAsia" w:ascii="仿宋" w:hAnsi="仿宋" w:eastAsia="仿宋"/>
          <w:sz w:val="24"/>
          <w:szCs w:val="24"/>
        </w:rPr>
        <w:t>▲</w:t>
      </w:r>
      <w:r>
        <w:rPr>
          <w:rFonts w:hint="eastAsia" w:ascii="仿宋" w:hAnsi="仿宋" w:eastAsia="仿宋"/>
          <w:b/>
          <w:sz w:val="24"/>
          <w:szCs w:val="24"/>
          <w:u w:val="single"/>
        </w:rPr>
        <w:t>到岗时间</w:t>
      </w:r>
      <w:r>
        <w:rPr>
          <w:rFonts w:hint="eastAsia" w:ascii="仿宋" w:hAnsi="仿宋" w:eastAsia="仿宋"/>
          <w:b/>
          <w:sz w:val="24"/>
          <w:szCs w:val="24"/>
        </w:rPr>
        <w:t>▲：</w:t>
      </w:r>
    </w:p>
    <w:p>
      <w:pPr>
        <w:spacing w:line="276" w:lineRule="auto"/>
        <w:ind w:firstLine="560"/>
        <w:rPr>
          <w:rFonts w:ascii="仿宋" w:hAnsi="仿宋" w:eastAsia="仿宋"/>
          <w:sz w:val="24"/>
          <w:szCs w:val="24"/>
        </w:rPr>
      </w:pPr>
      <w:r>
        <w:rPr>
          <w:rFonts w:hint="eastAsia" w:ascii="仿宋" w:hAnsi="仿宋" w:eastAsia="仿宋"/>
          <w:sz w:val="24"/>
          <w:szCs w:val="24"/>
        </w:rPr>
        <w:t>前期准备和建设期为自合同签订之日起至2021年3月；赛事运行保障阶段为2021年3月至2021年10月。</w:t>
      </w:r>
    </w:p>
    <w:p>
      <w:pPr>
        <w:spacing w:line="276" w:lineRule="auto"/>
        <w:ind w:firstLine="560"/>
        <w:rPr>
          <w:rFonts w:ascii="仿宋" w:hAnsi="仿宋" w:eastAsia="仿宋"/>
          <w:sz w:val="24"/>
          <w:szCs w:val="24"/>
        </w:rPr>
      </w:pPr>
      <w:r>
        <w:rPr>
          <w:rFonts w:hint="eastAsia" w:ascii="仿宋" w:hAnsi="仿宋" w:eastAsia="仿宋"/>
          <w:sz w:val="24"/>
          <w:szCs w:val="24"/>
        </w:rPr>
        <w:t>合同签订后第二日，系统的项目实施管理人员需到位。</w:t>
      </w:r>
    </w:p>
    <w:p>
      <w:pPr>
        <w:spacing w:line="276" w:lineRule="auto"/>
        <w:ind w:firstLine="560"/>
        <w:rPr>
          <w:rFonts w:ascii="仿宋" w:hAnsi="仿宋" w:eastAsia="仿宋"/>
          <w:sz w:val="24"/>
          <w:szCs w:val="24"/>
        </w:rPr>
      </w:pPr>
      <w:r>
        <w:rPr>
          <w:rFonts w:hint="eastAsia" w:ascii="仿宋" w:hAnsi="仿宋" w:eastAsia="仿宋"/>
          <w:sz w:val="24"/>
          <w:szCs w:val="24"/>
        </w:rPr>
        <w:t>2021年3月至6月为集成测试和测试赛，场馆技术支持人员按照全部岗位编制的 1/3计算到位。</w:t>
      </w:r>
    </w:p>
    <w:p>
      <w:pPr>
        <w:spacing w:line="276" w:lineRule="auto"/>
        <w:ind w:firstLine="560"/>
        <w:rPr>
          <w:rFonts w:ascii="仿宋" w:hAnsi="仿宋" w:eastAsia="仿宋"/>
          <w:sz w:val="24"/>
          <w:szCs w:val="24"/>
        </w:rPr>
      </w:pPr>
      <w:r>
        <w:rPr>
          <w:rFonts w:hint="eastAsia" w:ascii="仿宋" w:hAnsi="仿宋" w:eastAsia="仿宋"/>
          <w:sz w:val="24"/>
          <w:szCs w:val="24"/>
        </w:rPr>
        <w:t>2021年7月，联试联调，场馆人员一半人员到位。</w:t>
      </w:r>
    </w:p>
    <w:p>
      <w:pPr>
        <w:spacing w:line="276" w:lineRule="auto"/>
        <w:ind w:firstLine="560"/>
        <w:rPr>
          <w:rFonts w:ascii="仿宋" w:hAnsi="仿宋" w:eastAsia="仿宋"/>
          <w:sz w:val="24"/>
          <w:szCs w:val="24"/>
        </w:rPr>
      </w:pPr>
      <w:r>
        <w:rPr>
          <w:rFonts w:hint="eastAsia" w:ascii="仿宋" w:hAnsi="仿宋" w:eastAsia="仿宋"/>
          <w:sz w:val="24"/>
          <w:szCs w:val="24"/>
        </w:rPr>
        <w:t>2021年8月，全部场馆技术人员到位，进行全员培训、联试联调、赛事准备等工作。</w:t>
      </w:r>
    </w:p>
    <w:p>
      <w:pPr>
        <w:spacing w:line="276" w:lineRule="auto"/>
        <w:ind w:firstLine="560"/>
        <w:rPr>
          <w:rFonts w:ascii="仿宋" w:hAnsi="仿宋" w:eastAsia="仿宋"/>
          <w:sz w:val="24"/>
          <w:szCs w:val="24"/>
        </w:rPr>
      </w:pPr>
      <w:r>
        <w:rPr>
          <w:rFonts w:hint="eastAsia" w:ascii="仿宋" w:hAnsi="仿宋" w:eastAsia="仿宋"/>
          <w:sz w:val="24"/>
          <w:szCs w:val="24"/>
        </w:rPr>
        <w:t>2021年8月为赛时保障阶段，此时为整个人员使用的高峰，各非竞赛场馆和竞赛场馆人员需全员到位。其中技术运行中心（TOC）在赛时保障期提供7×24时的服务，每天安排两班人员进行倒班。</w:t>
      </w:r>
    </w:p>
    <w:p>
      <w:pPr>
        <w:spacing w:line="276" w:lineRule="auto"/>
        <w:ind w:firstLine="560"/>
        <w:rPr>
          <w:rFonts w:ascii="仿宋" w:hAnsi="仿宋" w:eastAsia="仿宋"/>
          <w:sz w:val="24"/>
          <w:szCs w:val="24"/>
        </w:rPr>
      </w:pPr>
      <w:r>
        <w:rPr>
          <w:rFonts w:hint="eastAsia" w:ascii="仿宋" w:hAnsi="仿宋" w:eastAsia="仿宋"/>
          <w:sz w:val="24"/>
          <w:szCs w:val="24"/>
        </w:rPr>
        <w:t>2021年9月至10月为赛事收尾阶段，完成赛事信息系统服务的后续保障，完成赛事收尾及咨询知识转移，完成总结报告等收尾工作。</w:t>
      </w:r>
    </w:p>
    <w:p>
      <w:pPr>
        <w:spacing w:line="276" w:lineRule="auto"/>
        <w:ind w:firstLine="560"/>
        <w:rPr>
          <w:rFonts w:ascii="仿宋" w:hAnsi="仿宋" w:eastAsia="仿宋"/>
          <w:sz w:val="24"/>
          <w:szCs w:val="24"/>
        </w:rPr>
      </w:pPr>
      <w:r>
        <w:rPr>
          <w:rFonts w:hint="eastAsia" w:ascii="仿宋" w:hAnsi="仿宋" w:eastAsia="仿宋"/>
          <w:sz w:val="24"/>
          <w:szCs w:val="24"/>
        </w:rPr>
        <w:t>服务期内招标方要求人员配置根据实际需求发生变化时，投标人应无条件响应。</w:t>
      </w:r>
    </w:p>
    <w:p>
      <w:pPr>
        <w:keepNext/>
        <w:keepLines/>
        <w:numPr>
          <w:ilvl w:val="0"/>
          <w:numId w:val="39"/>
        </w:numPr>
        <w:tabs>
          <w:tab w:val="left" w:pos="480"/>
        </w:tabs>
        <w:spacing w:before="240" w:beforeLines="100" w:line="276" w:lineRule="auto"/>
        <w:ind w:left="482" w:hanging="482" w:hangingChars="200"/>
        <w:outlineLvl w:val="2"/>
        <w:rPr>
          <w:rFonts w:ascii="仿宋" w:hAnsi="仿宋" w:eastAsia="仿宋"/>
          <w:b/>
          <w:kern w:val="0"/>
          <w:sz w:val="24"/>
          <w:szCs w:val="24"/>
        </w:rPr>
      </w:pPr>
      <w:r>
        <w:rPr>
          <w:rFonts w:hint="eastAsia" w:ascii="仿宋" w:hAnsi="仿宋" w:eastAsia="仿宋"/>
          <w:b/>
          <w:kern w:val="0"/>
          <w:sz w:val="24"/>
          <w:szCs w:val="24"/>
        </w:rPr>
        <w:t>实施管理要求</w:t>
      </w:r>
    </w:p>
    <w:p>
      <w:pPr>
        <w:spacing w:line="276" w:lineRule="auto"/>
        <w:ind w:firstLine="560"/>
        <w:rPr>
          <w:rFonts w:ascii="仿宋" w:hAnsi="仿宋" w:eastAsia="仿宋"/>
          <w:sz w:val="24"/>
          <w:szCs w:val="24"/>
        </w:rPr>
      </w:pPr>
      <w:r>
        <w:rPr>
          <w:rFonts w:hint="eastAsia" w:ascii="仿宋" w:hAnsi="仿宋" w:eastAsia="仿宋"/>
          <w:sz w:val="24"/>
          <w:szCs w:val="24"/>
        </w:rPr>
        <w:t>1、投标人必须对实施完成的系统提供日常维护服务，并根据招标方要求提供服务至运动会结束。</w:t>
      </w:r>
    </w:p>
    <w:p>
      <w:pPr>
        <w:spacing w:line="276" w:lineRule="auto"/>
        <w:ind w:firstLine="560"/>
        <w:rPr>
          <w:rFonts w:ascii="仿宋" w:hAnsi="仿宋" w:eastAsia="仿宋"/>
          <w:sz w:val="24"/>
          <w:szCs w:val="24"/>
        </w:rPr>
      </w:pPr>
      <w:r>
        <w:rPr>
          <w:rFonts w:hint="eastAsia" w:ascii="仿宋" w:hAnsi="仿宋" w:eastAsia="仿宋"/>
          <w:sz w:val="24"/>
          <w:szCs w:val="24"/>
        </w:rPr>
        <w:t>2、投标人须对建设的系统提供运行支持服务，根据合同承诺的内容对系统进行必要的修改、改进，并根据招标方要求提供服务至运动会结束。</w:t>
      </w:r>
    </w:p>
    <w:p>
      <w:pPr>
        <w:spacing w:line="276" w:lineRule="auto"/>
        <w:ind w:firstLine="560"/>
        <w:rPr>
          <w:rFonts w:ascii="仿宋" w:hAnsi="仿宋" w:eastAsia="仿宋"/>
          <w:sz w:val="24"/>
          <w:szCs w:val="24"/>
        </w:rPr>
      </w:pPr>
      <w:r>
        <w:rPr>
          <w:rFonts w:hint="eastAsia" w:ascii="仿宋" w:hAnsi="仿宋" w:eastAsia="仿宋"/>
          <w:sz w:val="24"/>
          <w:szCs w:val="24"/>
        </w:rPr>
        <w:t>3、接到招标方提出的修改建议之后，投标人需在1天内向招标方提供系统修改评估意见。</w:t>
      </w:r>
    </w:p>
    <w:p>
      <w:pPr>
        <w:spacing w:line="276" w:lineRule="auto"/>
        <w:ind w:firstLine="560"/>
        <w:rPr>
          <w:rFonts w:ascii="仿宋" w:hAnsi="仿宋" w:eastAsia="仿宋"/>
          <w:sz w:val="24"/>
          <w:szCs w:val="24"/>
        </w:rPr>
      </w:pPr>
      <w:r>
        <w:rPr>
          <w:rFonts w:hint="eastAsia" w:ascii="仿宋" w:hAnsi="仿宋" w:eastAsia="仿宋"/>
          <w:sz w:val="24"/>
          <w:szCs w:val="24"/>
        </w:rPr>
        <w:t>▲4、</w:t>
      </w:r>
      <w:r>
        <w:rPr>
          <w:rFonts w:hint="eastAsia" w:ascii="仿宋" w:hAnsi="仿宋" w:eastAsia="仿宋"/>
          <w:b/>
          <w:sz w:val="24"/>
          <w:szCs w:val="24"/>
          <w:u w:val="single"/>
        </w:rPr>
        <w:t>中标人应为招标方提供 7×24 小时的技术咨询和维修服务。中标人收到招标方服务要求后1小时内做出响应</w:t>
      </w:r>
      <w:r>
        <w:rPr>
          <w:rFonts w:hint="eastAsia" w:ascii="仿宋" w:hAnsi="仿宋" w:eastAsia="仿宋"/>
          <w:sz w:val="24"/>
          <w:szCs w:val="24"/>
        </w:rPr>
        <w:t>。</w:t>
      </w:r>
      <w:r>
        <w:rPr>
          <w:rFonts w:hint="eastAsia" w:ascii="仿宋" w:hAnsi="仿宋" w:eastAsia="仿宋"/>
          <w:b/>
          <w:sz w:val="24"/>
          <w:szCs w:val="24"/>
        </w:rPr>
        <w:t>▲</w:t>
      </w:r>
    </w:p>
    <w:p>
      <w:pPr>
        <w:spacing w:line="276" w:lineRule="auto"/>
        <w:ind w:firstLine="560"/>
        <w:rPr>
          <w:rFonts w:ascii="仿宋" w:hAnsi="仿宋" w:eastAsia="仿宋"/>
          <w:sz w:val="24"/>
          <w:szCs w:val="24"/>
        </w:rPr>
      </w:pPr>
      <w:r>
        <w:rPr>
          <w:rFonts w:hint="eastAsia" w:ascii="仿宋" w:hAnsi="仿宋" w:eastAsia="仿宋"/>
          <w:sz w:val="24"/>
          <w:szCs w:val="24"/>
        </w:rPr>
        <w:t>5、中标人建设的系统应具备备份方案，保证在运动会比赛期间，如果系统发生故障， 能够不影响比赛的正常进行。</w:t>
      </w:r>
    </w:p>
    <w:p>
      <w:pPr>
        <w:spacing w:line="276" w:lineRule="auto"/>
        <w:ind w:firstLine="560"/>
        <w:rPr>
          <w:rFonts w:ascii="仿宋" w:hAnsi="仿宋" w:eastAsia="仿宋"/>
          <w:sz w:val="24"/>
          <w:szCs w:val="24"/>
        </w:rPr>
      </w:pPr>
      <w:r>
        <w:rPr>
          <w:rFonts w:hint="eastAsia" w:ascii="仿宋" w:hAnsi="仿宋" w:eastAsia="仿宋"/>
          <w:sz w:val="24"/>
          <w:szCs w:val="24"/>
        </w:rPr>
        <w:t>6、运行维护期内，中标人负责对其提供的系统进行维护，不得单列模块维护加以收费。</w:t>
      </w:r>
    </w:p>
    <w:p>
      <w:pPr>
        <w:spacing w:line="276" w:lineRule="auto"/>
        <w:ind w:firstLine="560"/>
        <w:rPr>
          <w:rFonts w:ascii="仿宋" w:hAnsi="仿宋" w:eastAsia="仿宋"/>
          <w:sz w:val="24"/>
          <w:szCs w:val="24"/>
        </w:rPr>
      </w:pPr>
      <w:r>
        <w:rPr>
          <w:rFonts w:hint="eastAsia" w:ascii="仿宋" w:hAnsi="仿宋" w:eastAsia="仿宋"/>
          <w:sz w:val="24"/>
          <w:szCs w:val="24"/>
        </w:rPr>
        <w:t>7、投标人应本着认真负责态度，组织技术队伍，做好书面提出维护、服务以及今后技术支持的措施计划和承诺。</w:t>
      </w:r>
    </w:p>
    <w:p>
      <w:pPr>
        <w:spacing w:line="276" w:lineRule="auto"/>
        <w:ind w:firstLine="560"/>
        <w:rPr>
          <w:rFonts w:ascii="仿宋" w:hAnsi="仿宋" w:eastAsia="仿宋"/>
          <w:sz w:val="24"/>
          <w:szCs w:val="24"/>
        </w:rPr>
      </w:pPr>
      <w:r>
        <w:rPr>
          <w:rFonts w:hint="eastAsia" w:ascii="仿宋" w:hAnsi="仿宋" w:eastAsia="仿宋"/>
          <w:sz w:val="24"/>
          <w:szCs w:val="24"/>
        </w:rPr>
        <w:t>8、本项目中所选用主要设备原则上要求具有大型体育赛事信息系统相关应用案例。</w:t>
      </w:r>
    </w:p>
    <w:p>
      <w:pPr>
        <w:keepNext/>
        <w:keepLines/>
        <w:numPr>
          <w:ilvl w:val="0"/>
          <w:numId w:val="39"/>
        </w:numPr>
        <w:tabs>
          <w:tab w:val="left" w:pos="480"/>
        </w:tabs>
        <w:spacing w:before="240" w:beforeLines="100" w:line="276" w:lineRule="auto"/>
        <w:ind w:left="482" w:hanging="482" w:hangingChars="200"/>
        <w:outlineLvl w:val="2"/>
        <w:rPr>
          <w:rFonts w:ascii="仿宋" w:hAnsi="仿宋" w:eastAsia="仿宋"/>
          <w:kern w:val="0"/>
          <w:sz w:val="24"/>
          <w:szCs w:val="24"/>
        </w:rPr>
      </w:pPr>
      <w:r>
        <w:rPr>
          <w:rFonts w:hint="eastAsia" w:ascii="仿宋" w:hAnsi="仿宋" w:eastAsia="仿宋"/>
          <w:b/>
          <w:kern w:val="0"/>
          <w:sz w:val="24"/>
          <w:szCs w:val="24"/>
        </w:rPr>
        <w:t>▲服务期限▲</w:t>
      </w:r>
    </w:p>
    <w:p>
      <w:pPr>
        <w:spacing w:line="276" w:lineRule="auto"/>
        <w:ind w:firstLine="560"/>
        <w:rPr>
          <w:rFonts w:ascii="仿宋" w:hAnsi="仿宋" w:eastAsia="仿宋"/>
          <w:b/>
          <w:sz w:val="24"/>
          <w:szCs w:val="24"/>
        </w:rPr>
      </w:pPr>
      <w:r>
        <w:rPr>
          <w:rFonts w:hint="eastAsia" w:ascii="仿宋" w:hAnsi="仿宋" w:eastAsia="仿宋"/>
          <w:b/>
          <w:sz w:val="24"/>
          <w:szCs w:val="24"/>
        </w:rPr>
        <w:t>服务期限：自合同签订之日起至2021年12月结束。</w:t>
      </w:r>
    </w:p>
    <w:p>
      <w:pPr>
        <w:spacing w:line="276" w:lineRule="auto"/>
        <w:ind w:firstLine="560"/>
        <w:rPr>
          <w:rFonts w:ascii="仿宋" w:hAnsi="仿宋" w:eastAsia="仿宋"/>
          <w:b/>
          <w:sz w:val="24"/>
          <w:szCs w:val="24"/>
        </w:rPr>
      </w:pPr>
      <w:r>
        <w:rPr>
          <w:rFonts w:hint="eastAsia" w:ascii="仿宋" w:hAnsi="仿宋" w:eastAsia="仿宋"/>
          <w:b/>
          <w:sz w:val="24"/>
          <w:szCs w:val="24"/>
        </w:rPr>
        <w:t>1、自合同签订之日起-2021年3月  项目建设（含专项设计）；</w:t>
      </w:r>
    </w:p>
    <w:p>
      <w:pPr>
        <w:spacing w:line="276" w:lineRule="auto"/>
        <w:ind w:firstLine="560"/>
        <w:rPr>
          <w:rFonts w:ascii="仿宋" w:hAnsi="仿宋" w:eastAsia="仿宋"/>
          <w:b/>
          <w:sz w:val="24"/>
          <w:szCs w:val="24"/>
        </w:rPr>
      </w:pPr>
      <w:r>
        <w:rPr>
          <w:rFonts w:hint="eastAsia" w:ascii="仿宋" w:hAnsi="仿宋" w:eastAsia="仿宋"/>
          <w:b/>
          <w:sz w:val="24"/>
          <w:szCs w:val="24"/>
        </w:rPr>
        <w:t>2、2021年3-4月集成测试；</w:t>
      </w:r>
    </w:p>
    <w:p>
      <w:pPr>
        <w:spacing w:line="276" w:lineRule="auto"/>
        <w:ind w:firstLine="560"/>
        <w:rPr>
          <w:rFonts w:ascii="仿宋" w:hAnsi="仿宋" w:eastAsia="仿宋"/>
          <w:b/>
          <w:sz w:val="24"/>
          <w:szCs w:val="24"/>
        </w:rPr>
      </w:pPr>
      <w:r>
        <w:rPr>
          <w:rFonts w:hint="eastAsia" w:ascii="仿宋" w:hAnsi="仿宋" w:eastAsia="仿宋"/>
          <w:b/>
          <w:sz w:val="24"/>
          <w:szCs w:val="24"/>
        </w:rPr>
        <w:t>3、2021年4-6月提供测试赛运行服务；</w:t>
      </w:r>
    </w:p>
    <w:p>
      <w:pPr>
        <w:spacing w:line="276" w:lineRule="auto"/>
        <w:ind w:firstLine="560"/>
        <w:rPr>
          <w:rFonts w:ascii="仿宋" w:hAnsi="仿宋" w:eastAsia="仿宋"/>
          <w:b/>
          <w:sz w:val="24"/>
          <w:szCs w:val="24"/>
        </w:rPr>
      </w:pPr>
      <w:r>
        <w:rPr>
          <w:rFonts w:hint="eastAsia" w:ascii="仿宋" w:hAnsi="仿宋" w:eastAsia="仿宋"/>
          <w:b/>
          <w:sz w:val="24"/>
          <w:szCs w:val="24"/>
        </w:rPr>
        <w:t>4、2021年7月提供联调联试及联合演练服务；</w:t>
      </w:r>
    </w:p>
    <w:p>
      <w:pPr>
        <w:spacing w:line="276" w:lineRule="auto"/>
        <w:ind w:firstLine="560"/>
        <w:rPr>
          <w:rFonts w:ascii="仿宋" w:hAnsi="仿宋" w:eastAsia="仿宋"/>
          <w:b/>
          <w:sz w:val="24"/>
          <w:szCs w:val="24"/>
        </w:rPr>
      </w:pPr>
      <w:r>
        <w:rPr>
          <w:rFonts w:hint="eastAsia" w:ascii="仿宋" w:hAnsi="仿宋" w:eastAsia="仿宋"/>
          <w:b/>
          <w:sz w:val="24"/>
          <w:szCs w:val="24"/>
        </w:rPr>
        <w:t>5、2021年8月</w:t>
      </w:r>
      <w:r>
        <w:rPr>
          <w:rFonts w:hint="eastAsia" w:ascii="仿宋" w:hAnsi="仿宋" w:eastAsia="仿宋"/>
          <w:b/>
          <w:sz w:val="24"/>
          <w:szCs w:val="24"/>
        </w:rPr>
        <w:tab/>
      </w:r>
      <w:r>
        <w:rPr>
          <w:rFonts w:hint="eastAsia" w:ascii="仿宋" w:hAnsi="仿宋" w:eastAsia="仿宋"/>
          <w:b/>
          <w:sz w:val="24"/>
          <w:szCs w:val="24"/>
        </w:rPr>
        <w:t>全面提供赛时运行服务；</w:t>
      </w:r>
    </w:p>
    <w:p>
      <w:pPr>
        <w:spacing w:line="276" w:lineRule="auto"/>
        <w:ind w:firstLine="560"/>
        <w:rPr>
          <w:rFonts w:ascii="仿宋" w:hAnsi="仿宋" w:eastAsia="仿宋"/>
          <w:b/>
          <w:sz w:val="24"/>
          <w:szCs w:val="24"/>
        </w:rPr>
      </w:pPr>
      <w:r>
        <w:rPr>
          <w:rFonts w:hint="eastAsia" w:ascii="仿宋" w:hAnsi="仿宋" w:eastAsia="仿宋"/>
          <w:b/>
          <w:sz w:val="24"/>
          <w:szCs w:val="24"/>
        </w:rPr>
        <w:t>6、2021年9月-2021年12月提供赛事收尾服务。</w:t>
      </w:r>
    </w:p>
    <w:p>
      <w:pPr>
        <w:spacing w:line="276" w:lineRule="auto"/>
        <w:ind w:firstLine="560"/>
        <w:rPr>
          <w:rFonts w:ascii="仿宋" w:hAnsi="仿宋" w:eastAsia="仿宋"/>
          <w:b/>
          <w:sz w:val="24"/>
          <w:szCs w:val="24"/>
        </w:rPr>
      </w:pPr>
      <w:r>
        <w:rPr>
          <w:rFonts w:hint="eastAsia" w:ascii="仿宋" w:hAnsi="仿宋" w:eastAsia="仿宋"/>
          <w:b/>
          <w:sz w:val="24"/>
          <w:szCs w:val="24"/>
        </w:rPr>
        <w:t>以上工期会根据实际情况做适当优化修正。投标人应按照上述总体工期要求制定详细的系统建设计划。</w:t>
      </w:r>
    </w:p>
    <w:p>
      <w:pPr>
        <w:keepNext/>
        <w:keepLines/>
        <w:numPr>
          <w:ilvl w:val="0"/>
          <w:numId w:val="39"/>
        </w:numPr>
        <w:tabs>
          <w:tab w:val="left" w:pos="480"/>
        </w:tabs>
        <w:spacing w:before="240" w:beforeLines="100" w:line="276" w:lineRule="auto"/>
        <w:ind w:left="482" w:hanging="482" w:hangingChars="200"/>
        <w:outlineLvl w:val="2"/>
        <w:rPr>
          <w:rFonts w:ascii="仿宋" w:hAnsi="仿宋" w:eastAsia="仿宋"/>
          <w:b/>
          <w:kern w:val="0"/>
          <w:sz w:val="24"/>
          <w:szCs w:val="24"/>
        </w:rPr>
      </w:pPr>
      <w:r>
        <w:rPr>
          <w:rFonts w:hint="eastAsia" w:ascii="仿宋" w:hAnsi="仿宋" w:eastAsia="仿宋"/>
          <w:b/>
          <w:kern w:val="0"/>
          <w:sz w:val="24"/>
          <w:szCs w:val="24"/>
        </w:rPr>
        <w:t>培训要求</w:t>
      </w:r>
    </w:p>
    <w:p>
      <w:pPr>
        <w:spacing w:line="276" w:lineRule="auto"/>
        <w:ind w:firstLine="560"/>
        <w:rPr>
          <w:rFonts w:ascii="仿宋" w:hAnsi="仿宋" w:eastAsia="仿宋"/>
          <w:sz w:val="24"/>
          <w:szCs w:val="24"/>
        </w:rPr>
      </w:pPr>
      <w:r>
        <w:rPr>
          <w:rFonts w:hint="eastAsia" w:ascii="仿宋" w:hAnsi="仿宋" w:eastAsia="仿宋"/>
          <w:sz w:val="24"/>
          <w:szCs w:val="24"/>
        </w:rPr>
        <w:t>投标人应提供完整的培训方案；赛事信息系统的各分系统紧密联系，在培训时需从全局角度出发对培训进行计划。</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 xml:space="preserve">培训目标： </w:t>
      </w:r>
    </w:p>
    <w:p>
      <w:pPr>
        <w:spacing w:line="276" w:lineRule="auto"/>
        <w:ind w:firstLine="560"/>
        <w:rPr>
          <w:rFonts w:ascii="仿宋" w:hAnsi="仿宋" w:eastAsia="仿宋"/>
          <w:sz w:val="24"/>
          <w:szCs w:val="24"/>
        </w:rPr>
      </w:pPr>
      <w:r>
        <w:rPr>
          <w:rFonts w:hint="eastAsia" w:ascii="仿宋" w:hAnsi="仿宋" w:eastAsia="仿宋"/>
          <w:sz w:val="24"/>
          <w:szCs w:val="24"/>
        </w:rPr>
        <w:t>在系统实施过程中，必须加强对员工的培训工作，包括岗位培训、基础知识培训、竞赛业务培训、技术与操作技能培训等。培训人员数量按实际需求量的110 %，关键岗位人员、专业操作人员、技术支持与系统维护人员等应设立人才预备库，避免人员流失风险，提供应急突发事件处理能力。</w:t>
      </w:r>
    </w:p>
    <w:p>
      <w:pPr>
        <w:spacing w:line="276" w:lineRule="auto"/>
        <w:ind w:firstLine="560"/>
        <w:rPr>
          <w:rFonts w:ascii="仿宋" w:hAnsi="仿宋" w:eastAsia="仿宋"/>
          <w:sz w:val="24"/>
          <w:szCs w:val="24"/>
        </w:rPr>
      </w:pPr>
      <w:r>
        <w:rPr>
          <w:rFonts w:hint="eastAsia" w:ascii="仿宋" w:hAnsi="仿宋" w:eastAsia="仿宋"/>
          <w:sz w:val="24"/>
          <w:szCs w:val="24"/>
        </w:rPr>
        <w:t>基础知识和岗位培训将遵循组委会和项目管理安排进行培训，竞赛业务和操作技能培训部分由承包商提供培训资料和培训师。首批参加培训的员工，将担任各场馆主管等关键岗位，并负责场馆技术人员的培训工作。</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培训对象 ：</w:t>
      </w:r>
    </w:p>
    <w:p>
      <w:pPr>
        <w:spacing w:line="276" w:lineRule="auto"/>
        <w:ind w:firstLine="560"/>
        <w:rPr>
          <w:rFonts w:ascii="仿宋" w:hAnsi="仿宋" w:eastAsia="仿宋"/>
          <w:sz w:val="24"/>
          <w:szCs w:val="24"/>
        </w:rPr>
      </w:pPr>
      <w:r>
        <w:rPr>
          <w:rFonts w:hint="eastAsia" w:ascii="仿宋" w:hAnsi="仿宋" w:eastAsia="仿宋"/>
          <w:sz w:val="24"/>
          <w:szCs w:val="24"/>
        </w:rPr>
        <w:t>针对操作运行人员进行的专业培训，其目的在于使有关人员能够熟悉本届大运会的基本知识和相关业务流程，并通过培训，熟悉设备的安装调试和维护及操作要求和方法，以保障系统安全可靠、高效的运行质量。保障使用对象熟悉基本流程、服务规范，熟练操作各信息系统的各项功能，保证服务质量。掌握各种设备的故障的诊断、定位和排除技能。主要培训对象包括但不限于：管理团队、工作人员、开发人员、技术支持人员和志愿者辅助人员等。</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培训内容与课程要求 ：</w:t>
      </w:r>
    </w:p>
    <w:p>
      <w:pPr>
        <w:spacing w:line="276" w:lineRule="auto"/>
        <w:ind w:firstLine="560"/>
        <w:rPr>
          <w:rFonts w:ascii="仿宋" w:hAnsi="仿宋" w:eastAsia="仿宋"/>
          <w:sz w:val="24"/>
          <w:szCs w:val="24"/>
        </w:rPr>
      </w:pPr>
      <w:r>
        <w:rPr>
          <w:rFonts w:hint="eastAsia" w:ascii="仿宋" w:hAnsi="仿宋" w:eastAsia="仿宋"/>
          <w:sz w:val="24"/>
          <w:szCs w:val="24"/>
        </w:rPr>
        <w:t>投标人应对项目培训范围提供相应的培训，投标人需详细列明相应的培训课程内容和时间安排。</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培训费用 ：</w:t>
      </w:r>
    </w:p>
    <w:p>
      <w:pPr>
        <w:spacing w:line="276" w:lineRule="auto"/>
        <w:ind w:firstLine="560"/>
        <w:rPr>
          <w:rFonts w:ascii="仿宋" w:hAnsi="仿宋" w:eastAsia="仿宋"/>
          <w:sz w:val="24"/>
          <w:szCs w:val="24"/>
        </w:rPr>
      </w:pPr>
      <w:r>
        <w:rPr>
          <w:rFonts w:hint="eastAsia" w:ascii="仿宋" w:hAnsi="仿宋" w:eastAsia="仿宋"/>
          <w:sz w:val="24"/>
          <w:szCs w:val="24"/>
        </w:rPr>
        <w:t>所有培训费用及各项支出可包含在各子系统报价中，无需单列。</w:t>
      </w:r>
    </w:p>
    <w:p>
      <w:pPr>
        <w:keepNext/>
        <w:keepLines/>
        <w:numPr>
          <w:ilvl w:val="1"/>
          <w:numId w:val="0"/>
        </w:numPr>
        <w:spacing w:before="240" w:beforeLines="100" w:line="276" w:lineRule="auto"/>
        <w:ind w:right="-29" w:rightChars="-14"/>
        <w:outlineLvl w:val="1"/>
        <w:rPr>
          <w:rFonts w:ascii="仿宋" w:hAnsi="仿宋" w:eastAsia="仿宋"/>
          <w:b/>
          <w:bCs/>
          <w:sz w:val="28"/>
          <w:szCs w:val="24"/>
        </w:rPr>
      </w:pPr>
      <w:r>
        <w:rPr>
          <w:rFonts w:hint="eastAsia" w:ascii="仿宋" w:hAnsi="仿宋" w:eastAsia="仿宋"/>
          <w:b/>
          <w:bCs/>
          <w:sz w:val="28"/>
          <w:szCs w:val="24"/>
        </w:rPr>
        <w:t>1.6服务地点</w:t>
      </w:r>
    </w:p>
    <w:p>
      <w:pPr>
        <w:adjustRightInd w:val="0"/>
        <w:snapToGrid w:val="0"/>
        <w:spacing w:line="276" w:lineRule="auto"/>
        <w:ind w:left="640"/>
        <w:rPr>
          <w:rFonts w:ascii="仿宋" w:hAnsi="仿宋" w:eastAsia="仿宋"/>
          <w:sz w:val="24"/>
          <w:szCs w:val="24"/>
        </w:rPr>
      </w:pPr>
      <w:r>
        <w:rPr>
          <w:rFonts w:hint="eastAsia" w:ascii="仿宋" w:hAnsi="仿宋" w:eastAsia="仿宋"/>
          <w:sz w:val="24"/>
          <w:szCs w:val="24"/>
        </w:rPr>
        <w:t>服务</w:t>
      </w:r>
      <w:r>
        <w:rPr>
          <w:rFonts w:ascii="仿宋" w:hAnsi="仿宋" w:eastAsia="仿宋"/>
          <w:sz w:val="24"/>
          <w:szCs w:val="24"/>
        </w:rPr>
        <w:t>地点：成都</w:t>
      </w:r>
    </w:p>
    <w:p>
      <w:pPr>
        <w:keepNext/>
        <w:keepLines/>
        <w:numPr>
          <w:ilvl w:val="1"/>
          <w:numId w:val="0"/>
        </w:numPr>
        <w:spacing w:before="240" w:beforeLines="100" w:line="276" w:lineRule="auto"/>
        <w:ind w:right="-29" w:rightChars="-14"/>
        <w:outlineLvl w:val="1"/>
        <w:rPr>
          <w:rFonts w:ascii="仿宋" w:hAnsi="仿宋" w:eastAsia="仿宋"/>
          <w:b/>
          <w:bCs/>
          <w:sz w:val="28"/>
          <w:szCs w:val="24"/>
        </w:rPr>
      </w:pPr>
      <w:r>
        <w:rPr>
          <w:rFonts w:hint="eastAsia" w:ascii="仿宋" w:hAnsi="仿宋" w:eastAsia="仿宋"/>
          <w:b/>
          <w:bCs/>
          <w:sz w:val="28"/>
          <w:szCs w:val="24"/>
        </w:rPr>
        <w:t>1.7考核标准和方法</w:t>
      </w:r>
    </w:p>
    <w:p>
      <w:pPr>
        <w:keepNext/>
        <w:keepLines/>
        <w:numPr>
          <w:ilvl w:val="2"/>
          <w:numId w:val="0"/>
        </w:numPr>
        <w:tabs>
          <w:tab w:val="left" w:pos="480"/>
        </w:tabs>
        <w:spacing w:line="276" w:lineRule="auto"/>
        <w:outlineLvl w:val="2"/>
        <w:rPr>
          <w:rFonts w:ascii="仿宋" w:hAnsi="仿宋" w:eastAsia="仿宋"/>
          <w:kern w:val="0"/>
          <w:sz w:val="24"/>
          <w:szCs w:val="24"/>
        </w:rPr>
      </w:pPr>
      <w:r>
        <w:rPr>
          <w:rFonts w:hint="eastAsia" w:ascii="仿宋" w:hAnsi="仿宋" w:eastAsia="仿宋"/>
          <w:kern w:val="0"/>
          <w:sz w:val="24"/>
          <w:szCs w:val="24"/>
        </w:rPr>
        <w:t>考核标准及办法</w:t>
      </w:r>
    </w:p>
    <w:tbl>
      <w:tblPr>
        <w:tblStyle w:val="58"/>
        <w:tblW w:w="9045" w:type="dxa"/>
        <w:tblInd w:w="0" w:type="dxa"/>
        <w:tblLayout w:type="fixed"/>
        <w:tblCellMar>
          <w:top w:w="0" w:type="dxa"/>
          <w:left w:w="108" w:type="dxa"/>
          <w:bottom w:w="0" w:type="dxa"/>
          <w:right w:w="108" w:type="dxa"/>
        </w:tblCellMar>
      </w:tblPr>
      <w:tblGrid>
        <w:gridCol w:w="817"/>
        <w:gridCol w:w="872"/>
        <w:gridCol w:w="686"/>
        <w:gridCol w:w="3128"/>
        <w:gridCol w:w="3542"/>
      </w:tblGrid>
      <w:tr>
        <w:tblPrEx>
          <w:tblCellMar>
            <w:top w:w="0" w:type="dxa"/>
            <w:left w:w="108" w:type="dxa"/>
            <w:bottom w:w="0" w:type="dxa"/>
            <w:right w:w="108" w:type="dxa"/>
          </w:tblCellMar>
        </w:tblPrEx>
        <w:trPr>
          <w:trHeight w:val="330"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ind w:firstLine="400"/>
              <w:jc w:val="center"/>
              <w:rPr>
                <w:rFonts w:ascii="仿宋" w:hAnsi="仿宋" w:eastAsia="仿宋" w:cs="宋体"/>
                <w:b/>
                <w:sz w:val="22"/>
                <w:szCs w:val="24"/>
              </w:rPr>
            </w:pPr>
            <w:r>
              <w:rPr>
                <w:rFonts w:hint="eastAsia" w:ascii="仿宋" w:hAnsi="仿宋" w:eastAsia="仿宋" w:cs="宋体"/>
                <w:b/>
                <w:sz w:val="22"/>
                <w:szCs w:val="24"/>
                <w:lang w:bidi="ar"/>
              </w:rPr>
              <w:t>序号</w:t>
            </w:r>
          </w:p>
        </w:tc>
        <w:tc>
          <w:tcPr>
            <w:tcW w:w="87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b/>
                <w:sz w:val="22"/>
                <w:szCs w:val="24"/>
              </w:rPr>
            </w:pPr>
            <w:r>
              <w:rPr>
                <w:rFonts w:hint="eastAsia" w:ascii="仿宋" w:hAnsi="仿宋" w:eastAsia="仿宋" w:cs="宋体"/>
                <w:b/>
                <w:sz w:val="22"/>
                <w:szCs w:val="24"/>
                <w:lang w:bidi="ar"/>
              </w:rPr>
              <w:t>服务阶段</w:t>
            </w:r>
          </w:p>
        </w:tc>
        <w:tc>
          <w:tcPr>
            <w:tcW w:w="686"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b/>
                <w:sz w:val="22"/>
                <w:szCs w:val="24"/>
              </w:rPr>
            </w:pPr>
            <w:r>
              <w:rPr>
                <w:rFonts w:hint="eastAsia" w:ascii="仿宋" w:hAnsi="仿宋" w:eastAsia="仿宋" w:cs="宋体"/>
                <w:b/>
                <w:sz w:val="22"/>
                <w:szCs w:val="24"/>
                <w:lang w:bidi="ar"/>
              </w:rPr>
              <w:t>服务内容</w:t>
            </w:r>
          </w:p>
        </w:tc>
        <w:tc>
          <w:tcPr>
            <w:tcW w:w="312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b/>
                <w:sz w:val="22"/>
                <w:szCs w:val="24"/>
              </w:rPr>
            </w:pPr>
            <w:r>
              <w:rPr>
                <w:rFonts w:hint="eastAsia" w:ascii="仿宋" w:hAnsi="仿宋" w:eastAsia="仿宋" w:cs="宋体"/>
                <w:b/>
                <w:sz w:val="22"/>
                <w:szCs w:val="24"/>
                <w:lang w:bidi="ar"/>
              </w:rPr>
              <w:t>服务说明</w:t>
            </w:r>
          </w:p>
        </w:tc>
        <w:tc>
          <w:tcPr>
            <w:tcW w:w="354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b/>
                <w:sz w:val="22"/>
                <w:szCs w:val="24"/>
              </w:rPr>
            </w:pPr>
            <w:r>
              <w:rPr>
                <w:rFonts w:hint="eastAsia" w:ascii="仿宋" w:hAnsi="仿宋" w:eastAsia="仿宋" w:cs="宋体"/>
                <w:b/>
                <w:sz w:val="22"/>
                <w:szCs w:val="24"/>
                <w:lang w:bidi="ar"/>
              </w:rPr>
              <w:t>扣分说明</w:t>
            </w:r>
          </w:p>
        </w:tc>
      </w:tr>
      <w:tr>
        <w:tblPrEx>
          <w:tblCellMar>
            <w:top w:w="0" w:type="dxa"/>
            <w:left w:w="108" w:type="dxa"/>
            <w:bottom w:w="0" w:type="dxa"/>
            <w:right w:w="108" w:type="dxa"/>
          </w:tblCellMar>
        </w:tblPrEx>
        <w:trPr>
          <w:trHeight w:val="330"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1</w:t>
            </w:r>
          </w:p>
        </w:tc>
        <w:tc>
          <w:tcPr>
            <w:tcW w:w="87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招标完成后</w:t>
            </w: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服务团队</w:t>
            </w:r>
          </w:p>
        </w:tc>
        <w:tc>
          <w:tcPr>
            <w:tcW w:w="3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按照用户要求提供相应数量、资质的人员</w:t>
            </w:r>
          </w:p>
        </w:tc>
        <w:tc>
          <w:tcPr>
            <w:tcW w:w="354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项目经理、主管等主要人员缺失的，每缺一人扣0.4分；资质不匹配的，每有一人/项，扣0.2分</w:t>
            </w:r>
          </w:p>
        </w:tc>
      </w:tr>
      <w:tr>
        <w:tblPrEx>
          <w:tblCellMar>
            <w:top w:w="0" w:type="dxa"/>
            <w:left w:w="108" w:type="dxa"/>
            <w:bottom w:w="0" w:type="dxa"/>
            <w:right w:w="108" w:type="dxa"/>
          </w:tblCellMar>
        </w:tblPrEx>
        <w:trPr>
          <w:trHeight w:val="330"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2</w:t>
            </w:r>
          </w:p>
        </w:tc>
        <w:tc>
          <w:tcPr>
            <w:tcW w:w="872"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方案计划</w:t>
            </w:r>
          </w:p>
        </w:tc>
        <w:tc>
          <w:tcPr>
            <w:tcW w:w="3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依照要求制定、更新服务方案和服务计划</w:t>
            </w:r>
          </w:p>
        </w:tc>
        <w:tc>
          <w:tcPr>
            <w:tcW w:w="354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未提供服务方案服务计划，每有一次扣2分；逾期提供服务方案、服务计划，每逾期一天扣0.2分</w:t>
            </w:r>
          </w:p>
        </w:tc>
      </w:tr>
      <w:tr>
        <w:tblPrEx>
          <w:tblCellMar>
            <w:top w:w="0" w:type="dxa"/>
            <w:left w:w="108" w:type="dxa"/>
            <w:bottom w:w="0" w:type="dxa"/>
            <w:right w:w="108" w:type="dxa"/>
          </w:tblCellMar>
        </w:tblPrEx>
        <w:trPr>
          <w:trHeight w:val="660"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3</w:t>
            </w:r>
          </w:p>
        </w:tc>
        <w:tc>
          <w:tcPr>
            <w:tcW w:w="87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项目建设阶段</w:t>
            </w:r>
          </w:p>
        </w:tc>
        <w:tc>
          <w:tcPr>
            <w:tcW w:w="68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方案计划的执行</w:t>
            </w:r>
          </w:p>
        </w:tc>
        <w:tc>
          <w:tcPr>
            <w:tcW w:w="3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根据制定的服务方案、服务计划提供完整、可靠、优质的各类服务</w:t>
            </w:r>
          </w:p>
        </w:tc>
        <w:tc>
          <w:tcPr>
            <w:tcW w:w="354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未按照通过审核的服务方案、服务计划提供服务，每有一项/次扣0.2分</w:t>
            </w:r>
          </w:p>
        </w:tc>
      </w:tr>
      <w:tr>
        <w:tblPrEx>
          <w:tblCellMar>
            <w:top w:w="0" w:type="dxa"/>
            <w:left w:w="108" w:type="dxa"/>
            <w:bottom w:w="0" w:type="dxa"/>
            <w:right w:w="108" w:type="dxa"/>
          </w:tblCellMar>
        </w:tblPrEx>
        <w:trPr>
          <w:trHeight w:val="660"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4</w:t>
            </w:r>
          </w:p>
        </w:tc>
        <w:tc>
          <w:tcPr>
            <w:tcW w:w="872"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3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根据制定的建设方案及进度计划进行项目建设</w:t>
            </w:r>
          </w:p>
        </w:tc>
        <w:tc>
          <w:tcPr>
            <w:tcW w:w="354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因建设进度滞后造成恶劣影响、或造成用户单位重大损失的，每有一项/次，扣1分；因建设进度滞后造成不良影响的，每有一项/次扣0.4分；项目建设未按方案进行的，每有一项扣0.2分</w:t>
            </w:r>
          </w:p>
        </w:tc>
      </w:tr>
      <w:tr>
        <w:tblPrEx>
          <w:tblCellMar>
            <w:top w:w="0" w:type="dxa"/>
            <w:left w:w="108" w:type="dxa"/>
            <w:bottom w:w="0" w:type="dxa"/>
            <w:right w:w="108" w:type="dxa"/>
          </w:tblCellMar>
        </w:tblPrEx>
        <w:trPr>
          <w:trHeight w:val="660"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5</w:t>
            </w:r>
          </w:p>
        </w:tc>
        <w:tc>
          <w:tcPr>
            <w:tcW w:w="872"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服务报告</w:t>
            </w:r>
          </w:p>
        </w:tc>
        <w:tc>
          <w:tcPr>
            <w:tcW w:w="3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定期按照用户要求提交服务报告，不定期按照用户需求提交项目建设进度报告</w:t>
            </w:r>
          </w:p>
        </w:tc>
        <w:tc>
          <w:tcPr>
            <w:tcW w:w="354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未提供报告，每有一次扣0.1分；逾期提交或未达到用户要求的，扣0.04分</w:t>
            </w:r>
          </w:p>
        </w:tc>
      </w:tr>
      <w:tr>
        <w:tblPrEx>
          <w:tblCellMar>
            <w:top w:w="0" w:type="dxa"/>
            <w:left w:w="108" w:type="dxa"/>
            <w:bottom w:w="0" w:type="dxa"/>
            <w:right w:w="108" w:type="dxa"/>
          </w:tblCellMar>
        </w:tblPrEx>
        <w:trPr>
          <w:trHeight w:val="330"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6</w:t>
            </w:r>
          </w:p>
        </w:tc>
        <w:tc>
          <w:tcPr>
            <w:tcW w:w="87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赛事运行保障阶段</w:t>
            </w:r>
          </w:p>
        </w:tc>
        <w:tc>
          <w:tcPr>
            <w:tcW w:w="686" w:type="dxa"/>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应急演练</w:t>
            </w:r>
          </w:p>
        </w:tc>
        <w:tc>
          <w:tcPr>
            <w:tcW w:w="3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根据制定的应急预案进行应急演练</w:t>
            </w:r>
          </w:p>
        </w:tc>
        <w:tc>
          <w:tcPr>
            <w:tcW w:w="354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未进行应急演练，每有一次扣0.4分；逾期演练或未达到用户要求的扣0.2分</w:t>
            </w:r>
          </w:p>
        </w:tc>
      </w:tr>
      <w:tr>
        <w:tblPrEx>
          <w:tblCellMar>
            <w:top w:w="0" w:type="dxa"/>
            <w:left w:w="108" w:type="dxa"/>
            <w:bottom w:w="0" w:type="dxa"/>
            <w:right w:w="108" w:type="dxa"/>
          </w:tblCellMar>
        </w:tblPrEx>
        <w:trPr>
          <w:trHeight w:val="660"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7</w:t>
            </w:r>
          </w:p>
        </w:tc>
        <w:tc>
          <w:tcPr>
            <w:tcW w:w="872"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服务团队</w:t>
            </w:r>
          </w:p>
        </w:tc>
        <w:tc>
          <w:tcPr>
            <w:tcW w:w="3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项目经理、主管、工程师等应按预设规定和用户要求进行日常签到或考勤</w:t>
            </w:r>
          </w:p>
        </w:tc>
        <w:tc>
          <w:tcPr>
            <w:tcW w:w="354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每有一人/次人员无故缺勤旷工扣0.06分；每有一人/次人员无故迟到早退扣0.04分</w:t>
            </w:r>
          </w:p>
        </w:tc>
      </w:tr>
      <w:tr>
        <w:tblPrEx>
          <w:tblCellMar>
            <w:top w:w="0" w:type="dxa"/>
            <w:left w:w="108" w:type="dxa"/>
            <w:bottom w:w="0" w:type="dxa"/>
            <w:right w:w="108" w:type="dxa"/>
          </w:tblCellMar>
        </w:tblPrEx>
        <w:trPr>
          <w:trHeight w:val="990"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8</w:t>
            </w:r>
          </w:p>
        </w:tc>
        <w:tc>
          <w:tcPr>
            <w:tcW w:w="872"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安全管理</w:t>
            </w:r>
          </w:p>
        </w:tc>
        <w:tc>
          <w:tcPr>
            <w:tcW w:w="3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服务期间，应尽量避免系统出现安全问题；系统出现安全问题后应及时按照预设流程或应急方案进行处置，做好记录；事后应进行专题分析，提交专题报告，并优化系统</w:t>
            </w:r>
          </w:p>
        </w:tc>
        <w:tc>
          <w:tcPr>
            <w:tcW w:w="354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系统出现安全问题后，响应不及时或未按规定流程处置的，每有一次扣0.06分；问题记录、处置记录缺失或未达到用户要求，每有一次扣0.04分</w:t>
            </w:r>
          </w:p>
        </w:tc>
      </w:tr>
      <w:tr>
        <w:tblPrEx>
          <w:tblCellMar>
            <w:top w:w="0" w:type="dxa"/>
            <w:left w:w="108" w:type="dxa"/>
            <w:bottom w:w="0" w:type="dxa"/>
            <w:right w:w="108" w:type="dxa"/>
          </w:tblCellMar>
        </w:tblPrEx>
        <w:trPr>
          <w:trHeight w:val="990"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9</w:t>
            </w:r>
          </w:p>
        </w:tc>
        <w:tc>
          <w:tcPr>
            <w:tcW w:w="872"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3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服务期间，应尽量避免设备设施出现安全问题；设备设施出现安全问题后应及时按照预设流程或应急方案采取补救措施，做好记录；事后应进行专题分析，提交专题报告</w:t>
            </w:r>
          </w:p>
        </w:tc>
        <w:tc>
          <w:tcPr>
            <w:tcW w:w="354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设备设施出现安全问题后，响应不及时、未按规定流程处置或未采取有效补救措施的，每有一次扣0.06分；问题记录、处置记录缺失或未达到用户要求，每有一次扣0.04分</w:t>
            </w:r>
          </w:p>
        </w:tc>
      </w:tr>
      <w:tr>
        <w:tblPrEx>
          <w:tblCellMar>
            <w:top w:w="0" w:type="dxa"/>
            <w:left w:w="108" w:type="dxa"/>
            <w:bottom w:w="0" w:type="dxa"/>
            <w:right w:w="108" w:type="dxa"/>
          </w:tblCellMar>
        </w:tblPrEx>
        <w:trPr>
          <w:trHeight w:val="1320"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10</w:t>
            </w:r>
          </w:p>
        </w:tc>
        <w:tc>
          <w:tcPr>
            <w:tcW w:w="872"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服务响应</w:t>
            </w:r>
          </w:p>
        </w:tc>
        <w:tc>
          <w:tcPr>
            <w:tcW w:w="3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服务期间，应及时响应用户需求，积极应对系统、设备故障。有特殊规定响应时间的，应在规定时间内响应；无特殊规定响应时间的，应在收到请求或发现问题之时2小时内给予明确响应。同时，应进行相应处置。</w:t>
            </w:r>
          </w:p>
        </w:tc>
        <w:tc>
          <w:tcPr>
            <w:tcW w:w="354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对有特殊规定响应时间的，按照相关约定扣分；对无特殊规定响应时间，且超过2小时再予以响应的，每超过1小时，扣0.04分</w:t>
            </w:r>
          </w:p>
        </w:tc>
      </w:tr>
      <w:tr>
        <w:tblPrEx>
          <w:tblCellMar>
            <w:top w:w="0" w:type="dxa"/>
            <w:left w:w="108" w:type="dxa"/>
            <w:bottom w:w="0" w:type="dxa"/>
            <w:right w:w="108" w:type="dxa"/>
          </w:tblCellMar>
        </w:tblPrEx>
        <w:trPr>
          <w:trHeight w:val="330"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11</w:t>
            </w:r>
          </w:p>
        </w:tc>
        <w:tc>
          <w:tcPr>
            <w:tcW w:w="872"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用户投诉</w:t>
            </w:r>
          </w:p>
        </w:tc>
        <w:tc>
          <w:tcPr>
            <w:tcW w:w="3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受到用户单位接待对象、用户上级单位或用户投诉</w:t>
            </w:r>
          </w:p>
        </w:tc>
        <w:tc>
          <w:tcPr>
            <w:tcW w:w="354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受到用户接待对象或用户上级单位投诉的，每有一次扣0.2分；受到用户投诉，每有一次扣0.04分</w:t>
            </w:r>
          </w:p>
        </w:tc>
      </w:tr>
      <w:tr>
        <w:tblPrEx>
          <w:tblCellMar>
            <w:top w:w="0" w:type="dxa"/>
            <w:left w:w="108" w:type="dxa"/>
            <w:bottom w:w="0" w:type="dxa"/>
            <w:right w:w="108" w:type="dxa"/>
          </w:tblCellMar>
        </w:tblPrEx>
        <w:trPr>
          <w:trHeight w:val="660"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12</w:t>
            </w:r>
          </w:p>
        </w:tc>
        <w:tc>
          <w:tcPr>
            <w:tcW w:w="87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赛事收尾阶段</w:t>
            </w: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赛事收尾</w:t>
            </w:r>
          </w:p>
        </w:tc>
        <w:tc>
          <w:tcPr>
            <w:tcW w:w="3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按照用户要求进行赛后资料收集整理、相关系统及数据移交、配合项目审计等相关工作</w:t>
            </w:r>
          </w:p>
        </w:tc>
        <w:tc>
          <w:tcPr>
            <w:tcW w:w="354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lang w:bidi="ar"/>
              </w:rPr>
              <w:t>按时间要求提交相关资料，每逾期一次扣0.2分；按时间要求提交相关系统及数据移交，每逾期一次扣0.2分；按用户要求配合项目审计相关工作，每缺少一项扣0.2分</w:t>
            </w:r>
          </w:p>
        </w:tc>
      </w:tr>
    </w:tbl>
    <w:p>
      <w:pPr>
        <w:spacing w:line="276" w:lineRule="auto"/>
        <w:ind w:firstLine="560"/>
        <w:rPr>
          <w:rFonts w:ascii="仿宋" w:hAnsi="仿宋" w:eastAsia="仿宋"/>
          <w:bCs/>
          <w:sz w:val="24"/>
          <w:szCs w:val="24"/>
        </w:rPr>
      </w:pPr>
      <w:r>
        <w:rPr>
          <w:rFonts w:hint="eastAsia" w:ascii="仿宋" w:hAnsi="仿宋" w:eastAsia="仿宋"/>
          <w:bCs/>
          <w:sz w:val="24"/>
          <w:szCs w:val="24"/>
        </w:rPr>
        <w:t>本次服务招标项目的服务考核分为四个阶段，每个阶段按不同的服务内容进行服务考核，按照每阶段考核得分进行服务扣款。</w:t>
      </w:r>
    </w:p>
    <w:p>
      <w:pPr>
        <w:spacing w:line="276" w:lineRule="auto"/>
        <w:ind w:firstLine="560"/>
        <w:rPr>
          <w:rFonts w:ascii="仿宋" w:hAnsi="仿宋" w:eastAsia="仿宋"/>
          <w:bCs/>
          <w:sz w:val="24"/>
          <w:szCs w:val="24"/>
        </w:rPr>
      </w:pPr>
      <w:r>
        <w:rPr>
          <w:rFonts w:hint="eastAsia" w:ascii="仿宋" w:hAnsi="仿宋" w:eastAsia="仿宋"/>
          <w:bCs/>
          <w:sz w:val="24"/>
          <w:szCs w:val="24"/>
        </w:rPr>
        <w:t>按合同金额的5%作为考核款。其中招标完成后以项目的</w:t>
      </w:r>
      <w:r>
        <w:rPr>
          <w:rFonts w:ascii="仿宋" w:hAnsi="仿宋" w:eastAsia="仿宋"/>
          <w:bCs/>
          <w:sz w:val="24"/>
          <w:szCs w:val="24"/>
        </w:rPr>
        <w:t>1</w:t>
      </w:r>
      <w:r>
        <w:rPr>
          <w:rFonts w:hint="eastAsia" w:ascii="仿宋" w:hAnsi="仿宋" w:eastAsia="仿宋"/>
          <w:bCs/>
          <w:sz w:val="24"/>
          <w:szCs w:val="24"/>
        </w:rPr>
        <w:t>%合同金额作为考核款，项目建设阶段以项目的</w:t>
      </w:r>
      <w:r>
        <w:rPr>
          <w:rFonts w:ascii="仿宋" w:hAnsi="仿宋" w:eastAsia="仿宋"/>
          <w:bCs/>
          <w:sz w:val="24"/>
          <w:szCs w:val="24"/>
        </w:rPr>
        <w:t>1</w:t>
      </w:r>
      <w:r>
        <w:rPr>
          <w:rFonts w:hint="eastAsia" w:ascii="仿宋" w:hAnsi="仿宋" w:eastAsia="仿宋"/>
          <w:bCs/>
          <w:sz w:val="24"/>
          <w:szCs w:val="24"/>
        </w:rPr>
        <w:t>%合同金额作为考核款，赛事运行保障阶段以项目的</w:t>
      </w:r>
      <w:r>
        <w:rPr>
          <w:rFonts w:ascii="仿宋" w:hAnsi="仿宋" w:eastAsia="仿宋"/>
          <w:bCs/>
          <w:sz w:val="24"/>
          <w:szCs w:val="24"/>
        </w:rPr>
        <w:t>2</w:t>
      </w:r>
      <w:r>
        <w:rPr>
          <w:rFonts w:hint="eastAsia" w:ascii="仿宋" w:hAnsi="仿宋" w:eastAsia="仿宋"/>
          <w:bCs/>
          <w:sz w:val="24"/>
          <w:szCs w:val="24"/>
        </w:rPr>
        <w:t>%合同金额作为考核款，赛事收尾阶段以项目的</w:t>
      </w:r>
      <w:r>
        <w:rPr>
          <w:rFonts w:ascii="仿宋" w:hAnsi="仿宋" w:eastAsia="仿宋"/>
          <w:bCs/>
          <w:sz w:val="24"/>
          <w:szCs w:val="24"/>
        </w:rPr>
        <w:t>1</w:t>
      </w:r>
      <w:r>
        <w:rPr>
          <w:rFonts w:hint="eastAsia" w:ascii="仿宋" w:hAnsi="仿宋" w:eastAsia="仿宋"/>
          <w:bCs/>
          <w:sz w:val="24"/>
          <w:szCs w:val="24"/>
        </w:rPr>
        <w:t>%合同金额作为考核款。</w:t>
      </w:r>
    </w:p>
    <w:p>
      <w:pPr>
        <w:spacing w:line="276" w:lineRule="auto"/>
        <w:ind w:firstLine="560"/>
        <w:rPr>
          <w:rFonts w:ascii="仿宋" w:hAnsi="仿宋" w:eastAsia="仿宋"/>
          <w:bCs/>
          <w:sz w:val="24"/>
          <w:szCs w:val="24"/>
        </w:rPr>
      </w:pPr>
      <w:r>
        <w:rPr>
          <w:rFonts w:hint="eastAsia" w:ascii="仿宋" w:hAnsi="仿宋" w:eastAsia="仿宋"/>
          <w:bCs/>
          <w:sz w:val="24"/>
          <w:szCs w:val="24"/>
        </w:rPr>
        <w:t>第一档：考核得分在</w:t>
      </w:r>
      <w:r>
        <w:rPr>
          <w:rFonts w:ascii="仿宋" w:hAnsi="仿宋" w:eastAsia="仿宋"/>
          <w:bCs/>
          <w:sz w:val="24"/>
          <w:szCs w:val="24"/>
        </w:rPr>
        <w:t>85</w:t>
      </w:r>
      <w:r>
        <w:rPr>
          <w:rFonts w:hint="eastAsia" w:ascii="仿宋" w:hAnsi="仿宋" w:eastAsia="仿宋"/>
          <w:bCs/>
          <w:sz w:val="24"/>
          <w:szCs w:val="24"/>
        </w:rPr>
        <w:t>分及以上，则视为考核通过，按全额支付考核款；</w:t>
      </w:r>
    </w:p>
    <w:p>
      <w:pPr>
        <w:spacing w:line="276" w:lineRule="auto"/>
        <w:ind w:firstLine="560"/>
        <w:rPr>
          <w:rFonts w:ascii="仿宋" w:hAnsi="仿宋" w:eastAsia="仿宋"/>
          <w:color w:val="FF0000"/>
          <w:sz w:val="24"/>
          <w:szCs w:val="24"/>
        </w:rPr>
      </w:pPr>
      <w:r>
        <w:rPr>
          <w:rFonts w:hint="eastAsia" w:ascii="仿宋" w:hAnsi="仿宋" w:eastAsia="仿宋"/>
          <w:bCs/>
          <w:sz w:val="24"/>
          <w:szCs w:val="24"/>
        </w:rPr>
        <w:t>第二档：考核得分小于</w:t>
      </w:r>
      <w:r>
        <w:rPr>
          <w:rFonts w:ascii="仿宋" w:hAnsi="仿宋" w:eastAsia="仿宋"/>
          <w:bCs/>
          <w:sz w:val="24"/>
          <w:szCs w:val="24"/>
        </w:rPr>
        <w:t>85</w:t>
      </w:r>
      <w:r>
        <w:rPr>
          <w:rFonts w:hint="eastAsia" w:ascii="仿宋" w:hAnsi="仿宋" w:eastAsia="仿宋"/>
          <w:bCs/>
          <w:sz w:val="24"/>
          <w:szCs w:val="24"/>
        </w:rPr>
        <w:t>分，则按照考核款*(实际分数)%支付考核款</w:t>
      </w:r>
      <w:r>
        <w:rPr>
          <w:rFonts w:hint="eastAsia" w:ascii="仿宋" w:hAnsi="仿宋" w:eastAsia="仿宋"/>
          <w:color w:val="FF0000"/>
          <w:sz w:val="24"/>
          <w:szCs w:val="24"/>
        </w:rPr>
        <w:t xml:space="preserve">。 </w:t>
      </w:r>
    </w:p>
    <w:p>
      <w:pPr>
        <w:keepNext/>
        <w:keepLines/>
        <w:numPr>
          <w:ilvl w:val="1"/>
          <w:numId w:val="0"/>
        </w:numPr>
        <w:spacing w:before="240" w:beforeLines="100" w:line="276" w:lineRule="auto"/>
        <w:ind w:right="-29" w:rightChars="-14"/>
        <w:outlineLvl w:val="1"/>
        <w:rPr>
          <w:rFonts w:ascii="仿宋" w:hAnsi="仿宋" w:eastAsia="仿宋"/>
          <w:b/>
          <w:bCs/>
          <w:sz w:val="28"/>
          <w:szCs w:val="24"/>
        </w:rPr>
      </w:pPr>
      <w:r>
        <w:rPr>
          <w:rFonts w:hint="eastAsia" w:ascii="仿宋" w:hAnsi="仿宋" w:eastAsia="仿宋"/>
          <w:b/>
          <w:bCs/>
          <w:sz w:val="28"/>
          <w:szCs w:val="24"/>
        </w:rPr>
        <w:t>1.8 付款方式</w:t>
      </w:r>
    </w:p>
    <w:p>
      <w:pPr>
        <w:spacing w:line="276" w:lineRule="auto"/>
        <w:ind w:firstLine="560"/>
        <w:rPr>
          <w:rFonts w:ascii="仿宋" w:hAnsi="仿宋" w:eastAsia="仿宋"/>
          <w:sz w:val="24"/>
          <w:szCs w:val="24"/>
        </w:rPr>
      </w:pPr>
      <w:r>
        <w:rPr>
          <w:rFonts w:hint="eastAsia" w:ascii="仿宋" w:hAnsi="仿宋" w:eastAsia="仿宋"/>
          <w:bCs/>
          <w:sz w:val="24"/>
          <w:szCs w:val="24"/>
        </w:rPr>
        <w:t>按照合同约定执行。</w:t>
      </w:r>
    </w:p>
    <w:p>
      <w:pPr>
        <w:keepNext/>
        <w:keepLines/>
        <w:numPr>
          <w:ilvl w:val="1"/>
          <w:numId w:val="0"/>
        </w:numPr>
        <w:spacing w:before="240" w:beforeLines="100" w:line="276" w:lineRule="auto"/>
        <w:ind w:right="-29" w:rightChars="-14"/>
        <w:outlineLvl w:val="1"/>
        <w:rPr>
          <w:rFonts w:ascii="仿宋" w:hAnsi="仿宋" w:eastAsia="仿宋"/>
          <w:b/>
          <w:bCs/>
          <w:sz w:val="28"/>
          <w:szCs w:val="24"/>
        </w:rPr>
      </w:pPr>
      <w:r>
        <w:rPr>
          <w:rFonts w:hint="eastAsia" w:ascii="仿宋" w:hAnsi="仿宋" w:eastAsia="仿宋"/>
          <w:b/>
          <w:bCs/>
          <w:sz w:val="28"/>
          <w:szCs w:val="24"/>
        </w:rPr>
        <w:t>1.9违约责任</w:t>
      </w:r>
    </w:p>
    <w:p>
      <w:pPr>
        <w:spacing w:line="276" w:lineRule="auto"/>
        <w:ind w:firstLine="560"/>
        <w:rPr>
          <w:rFonts w:ascii="仿宋" w:hAnsi="仿宋" w:eastAsia="仿宋"/>
          <w:sz w:val="24"/>
          <w:szCs w:val="24"/>
        </w:rPr>
      </w:pPr>
      <w:r>
        <w:rPr>
          <w:rFonts w:hint="eastAsia" w:ascii="仿宋" w:hAnsi="仿宋" w:eastAsia="仿宋"/>
          <w:sz w:val="24"/>
          <w:szCs w:val="24"/>
        </w:rPr>
        <w:t>一、甲乙双方应遵守并执行合同中的各项规定，保证合同的正常履行。</w:t>
      </w:r>
    </w:p>
    <w:p>
      <w:pPr>
        <w:spacing w:line="276" w:lineRule="auto"/>
        <w:ind w:firstLine="560"/>
        <w:rPr>
          <w:rFonts w:ascii="仿宋" w:hAnsi="仿宋" w:eastAsia="仿宋"/>
          <w:sz w:val="24"/>
          <w:szCs w:val="24"/>
        </w:rPr>
      </w:pPr>
      <w:r>
        <w:rPr>
          <w:rFonts w:hint="eastAsia" w:ascii="仿宋" w:hAnsi="仿宋" w:eastAsia="仿宋"/>
          <w:sz w:val="24"/>
          <w:szCs w:val="24"/>
        </w:rPr>
        <w:t>二、如因乙方工作人员在履行职务过程中出现影响甲方正常交易的情况，应当按照合同考核方式执行。由此而导致的甲方对任何第三方的法律责任等，乙方对此均应承担全部的赔偿责任。</w:t>
      </w:r>
    </w:p>
    <w:p>
      <w:pPr>
        <w:spacing w:line="276" w:lineRule="auto"/>
        <w:ind w:firstLine="560"/>
        <w:rPr>
          <w:rFonts w:ascii="仿宋" w:hAnsi="仿宋" w:eastAsia="仿宋"/>
          <w:sz w:val="24"/>
          <w:szCs w:val="24"/>
        </w:rPr>
      </w:pPr>
    </w:p>
    <w:p>
      <w:pPr>
        <w:keepNext/>
        <w:keepLines/>
        <w:numPr>
          <w:ilvl w:val="1"/>
          <w:numId w:val="0"/>
        </w:numPr>
        <w:spacing w:line="276" w:lineRule="auto"/>
        <w:ind w:right="-29" w:rightChars="-14"/>
        <w:outlineLvl w:val="1"/>
        <w:rPr>
          <w:rFonts w:ascii="仿宋" w:hAnsi="仿宋" w:eastAsia="仿宋"/>
          <w:b/>
          <w:bCs/>
          <w:sz w:val="28"/>
          <w:szCs w:val="28"/>
          <w:u w:val="single"/>
        </w:rPr>
      </w:pPr>
      <w:r>
        <w:rPr>
          <w:rFonts w:ascii="仿宋" w:hAnsi="仿宋" w:eastAsia="仿宋"/>
          <w:b/>
          <w:bCs/>
          <w:sz w:val="28"/>
          <w:szCs w:val="28"/>
        </w:rPr>
        <w:t>1.10</w:t>
      </w:r>
      <w:r>
        <w:rPr>
          <w:rFonts w:ascii="仿宋" w:hAnsi="仿宋" w:eastAsia="仿宋"/>
          <w:bCs/>
          <w:sz w:val="28"/>
          <w:szCs w:val="28"/>
        </w:rPr>
        <w:t xml:space="preserve"> </w:t>
      </w:r>
      <w:r>
        <w:rPr>
          <w:rFonts w:hint="eastAsia" w:ascii="仿宋" w:hAnsi="仿宋" w:eastAsia="仿宋"/>
          <w:bCs/>
          <w:sz w:val="28"/>
          <w:szCs w:val="28"/>
        </w:rPr>
        <w:t>▲</w:t>
      </w:r>
      <w:r>
        <w:rPr>
          <w:rFonts w:hint="eastAsia" w:ascii="仿宋" w:hAnsi="仿宋" w:eastAsia="仿宋"/>
          <w:b/>
          <w:sz w:val="28"/>
          <w:szCs w:val="28"/>
          <w:u w:val="single"/>
        </w:rPr>
        <w:t>投标人须对以下要求单独做出承诺函（承诺函格式自拟）</w:t>
      </w:r>
    </w:p>
    <w:p>
      <w:pPr>
        <w:spacing w:line="276" w:lineRule="auto"/>
        <w:ind w:firstLine="560"/>
        <w:rPr>
          <w:rFonts w:ascii="仿宋" w:hAnsi="仿宋" w:eastAsia="仿宋"/>
          <w:b/>
          <w:sz w:val="24"/>
          <w:szCs w:val="24"/>
        </w:rPr>
      </w:pPr>
      <w:r>
        <w:rPr>
          <w:rFonts w:hint="eastAsia" w:ascii="仿宋" w:hAnsi="仿宋" w:eastAsia="仿宋"/>
          <w:b/>
          <w:sz w:val="24"/>
          <w:szCs w:val="24"/>
        </w:rPr>
        <w:t>一、投标人应承诺为本项目提供的所有服务符合现行的强制性国家相关标准、行业标准。</w:t>
      </w:r>
    </w:p>
    <w:p>
      <w:pPr>
        <w:spacing w:line="276" w:lineRule="auto"/>
        <w:ind w:firstLine="560"/>
        <w:rPr>
          <w:rFonts w:ascii="仿宋" w:hAnsi="仿宋" w:eastAsia="仿宋"/>
          <w:b/>
          <w:sz w:val="24"/>
          <w:szCs w:val="24"/>
        </w:rPr>
      </w:pPr>
      <w:r>
        <w:rPr>
          <w:rFonts w:hint="eastAsia" w:ascii="仿宋" w:hAnsi="仿宋" w:eastAsia="仿宋"/>
          <w:b/>
          <w:sz w:val="24"/>
          <w:szCs w:val="24"/>
        </w:rPr>
        <w:t>二、投标人对本项目所提供内容进行总负责、总兜底（对招标范围内的项目规模与数量进行总负责、总兜底）。</w:t>
      </w:r>
    </w:p>
    <w:p>
      <w:pPr>
        <w:spacing w:line="276" w:lineRule="auto"/>
        <w:ind w:firstLine="560"/>
        <w:rPr>
          <w:rFonts w:ascii="仿宋" w:hAnsi="仿宋" w:eastAsia="仿宋"/>
          <w:b/>
          <w:sz w:val="24"/>
          <w:szCs w:val="24"/>
        </w:rPr>
      </w:pPr>
      <w:r>
        <w:rPr>
          <w:rFonts w:hint="eastAsia" w:ascii="仿宋" w:hAnsi="仿宋" w:eastAsia="仿宋"/>
          <w:b/>
          <w:sz w:val="24"/>
          <w:szCs w:val="24"/>
        </w:rPr>
        <w:t>三、投标人提供服务的基础软件应合法取得软件使用权。</w:t>
      </w:r>
    </w:p>
    <w:p>
      <w:pPr>
        <w:spacing w:line="276" w:lineRule="auto"/>
        <w:ind w:firstLine="560"/>
        <w:rPr>
          <w:rFonts w:ascii="仿宋" w:hAnsi="仿宋" w:eastAsia="仿宋"/>
          <w:b/>
          <w:sz w:val="24"/>
          <w:szCs w:val="24"/>
        </w:rPr>
      </w:pPr>
      <w:r>
        <w:rPr>
          <w:rFonts w:hint="eastAsia" w:ascii="仿宋" w:hAnsi="仿宋" w:eastAsia="仿宋"/>
          <w:b/>
          <w:sz w:val="24"/>
          <w:szCs w:val="24"/>
        </w:rPr>
        <w:t>四、投标人将系统数据进行留存及移交，并负责本项目中综合运行管理（M</w:t>
      </w:r>
      <w:r>
        <w:rPr>
          <w:rFonts w:ascii="仿宋" w:hAnsi="仿宋" w:eastAsia="仿宋"/>
          <w:b/>
          <w:sz w:val="24"/>
          <w:szCs w:val="24"/>
        </w:rPr>
        <w:t>OC</w:t>
      </w:r>
      <w:r>
        <w:rPr>
          <w:rFonts w:hint="eastAsia" w:ascii="仿宋" w:hAnsi="仿宋" w:eastAsia="仿宋"/>
          <w:b/>
          <w:sz w:val="24"/>
          <w:szCs w:val="24"/>
        </w:rPr>
        <w:t>）系统的数据对接工作。</w:t>
      </w:r>
    </w:p>
    <w:p>
      <w:pPr>
        <w:spacing w:line="276" w:lineRule="auto"/>
        <w:ind w:firstLine="560"/>
        <w:rPr>
          <w:rFonts w:ascii="仿宋" w:hAnsi="仿宋" w:eastAsia="仿宋"/>
          <w:b/>
          <w:sz w:val="24"/>
          <w:szCs w:val="24"/>
        </w:rPr>
      </w:pPr>
      <w:r>
        <w:rPr>
          <w:rFonts w:hint="eastAsia" w:ascii="仿宋" w:hAnsi="仿宋" w:eastAsia="仿宋"/>
          <w:b/>
          <w:sz w:val="24"/>
          <w:szCs w:val="24"/>
        </w:rPr>
        <w:t>五、投标人应配合第三方安全厂家进行网络信息安全建设。</w:t>
      </w:r>
    </w:p>
    <w:p>
      <w:pPr>
        <w:spacing w:line="276" w:lineRule="auto"/>
        <w:ind w:firstLine="560"/>
        <w:rPr>
          <w:rFonts w:ascii="仿宋" w:hAnsi="仿宋" w:eastAsia="仿宋"/>
          <w:b/>
          <w:sz w:val="24"/>
          <w:szCs w:val="24"/>
        </w:rPr>
      </w:pPr>
      <w:r>
        <w:rPr>
          <w:rFonts w:hint="eastAsia" w:ascii="仿宋" w:hAnsi="仿宋" w:eastAsia="仿宋"/>
          <w:b/>
          <w:sz w:val="24"/>
          <w:szCs w:val="24"/>
        </w:rPr>
        <w:t>六、投标人应承诺为本项目提供服务所需的产品（属于节能产品政府采购品目清单的）应具有国家确定的认证机构出具的处于有效期之内的节能产品认证证书。</w:t>
      </w:r>
    </w:p>
    <w:p>
      <w:pPr>
        <w:spacing w:line="276" w:lineRule="auto"/>
        <w:ind w:firstLine="560"/>
        <w:rPr>
          <w:rFonts w:ascii="仿宋" w:hAnsi="仿宋" w:eastAsia="仿宋"/>
          <w:b/>
          <w:sz w:val="24"/>
          <w:szCs w:val="24"/>
        </w:rPr>
      </w:pPr>
      <w:r>
        <w:rPr>
          <w:rFonts w:hint="eastAsia" w:ascii="仿宋" w:hAnsi="仿宋" w:eastAsia="仿宋"/>
          <w:b/>
          <w:sz w:val="24"/>
          <w:szCs w:val="24"/>
        </w:rPr>
        <w:t>七、投标人应承诺为本项目提供服务的所需的所有产品、辅材中属于《国家强制性产品认证目录》范围内的，均通过国家强制性产品认证并取得认证证书。</w:t>
      </w:r>
    </w:p>
    <w:p>
      <w:pPr>
        <w:spacing w:line="276" w:lineRule="auto"/>
        <w:ind w:firstLine="560"/>
        <w:rPr>
          <w:rFonts w:ascii="仿宋" w:hAnsi="仿宋" w:eastAsia="仿宋"/>
          <w:b/>
          <w:sz w:val="24"/>
          <w:szCs w:val="24"/>
        </w:rPr>
      </w:pPr>
      <w:r>
        <w:rPr>
          <w:rFonts w:hint="eastAsia" w:ascii="仿宋" w:hAnsi="仿宋" w:eastAsia="仿宋"/>
          <w:b/>
          <w:sz w:val="24"/>
          <w:szCs w:val="24"/>
        </w:rPr>
        <w:t>八、投标人承诺如果因最终用户原因导致交付不能按时进行，将按延期时间顺延交付。</w:t>
      </w:r>
    </w:p>
    <w:p>
      <w:pPr>
        <w:spacing w:line="276" w:lineRule="auto"/>
        <w:ind w:firstLine="560"/>
        <w:rPr>
          <w:rFonts w:ascii="仿宋" w:hAnsi="仿宋" w:eastAsia="仿宋"/>
          <w:b/>
          <w:sz w:val="24"/>
          <w:szCs w:val="24"/>
        </w:rPr>
      </w:pPr>
    </w:p>
    <w:p>
      <w:pPr>
        <w:spacing w:line="276" w:lineRule="auto"/>
        <w:rPr>
          <w:rFonts w:ascii="仿宋" w:hAnsi="仿宋" w:eastAsia="仿宋"/>
          <w:sz w:val="24"/>
          <w:szCs w:val="24"/>
        </w:rPr>
      </w:pPr>
    </w:p>
    <w:p>
      <w:pPr>
        <w:keepNext/>
        <w:keepLines/>
        <w:numPr>
          <w:ilvl w:val="1"/>
          <w:numId w:val="0"/>
        </w:numPr>
        <w:spacing w:line="276" w:lineRule="auto"/>
        <w:ind w:right="-29" w:rightChars="-14"/>
        <w:outlineLvl w:val="1"/>
        <w:rPr>
          <w:rFonts w:ascii="仿宋" w:hAnsi="仿宋" w:eastAsia="仿宋"/>
          <w:b/>
          <w:bCs/>
          <w:color w:val="FF0000"/>
          <w:sz w:val="36"/>
          <w:szCs w:val="24"/>
        </w:rPr>
      </w:pPr>
      <w:r>
        <w:rPr>
          <w:rFonts w:hint="eastAsia" w:ascii="仿宋" w:hAnsi="仿宋" w:eastAsia="仿宋"/>
          <w:b/>
          <w:bCs/>
          <w:color w:val="FF0000"/>
          <w:sz w:val="36"/>
          <w:szCs w:val="24"/>
        </w:rPr>
        <w:t>标项4需求文档</w:t>
      </w:r>
    </w:p>
    <w:p>
      <w:pPr>
        <w:keepNext/>
        <w:keepLines/>
        <w:numPr>
          <w:ilvl w:val="1"/>
          <w:numId w:val="0"/>
        </w:numPr>
        <w:spacing w:before="240" w:beforeLines="100" w:line="276" w:lineRule="auto"/>
        <w:ind w:right="-29" w:rightChars="-14"/>
        <w:outlineLvl w:val="1"/>
        <w:rPr>
          <w:rFonts w:ascii="仿宋" w:hAnsi="仿宋" w:eastAsia="仿宋"/>
          <w:b/>
          <w:bCs/>
          <w:sz w:val="28"/>
          <w:szCs w:val="24"/>
        </w:rPr>
      </w:pPr>
      <w:r>
        <w:rPr>
          <w:rFonts w:hint="eastAsia" w:ascii="仿宋" w:hAnsi="仿宋" w:eastAsia="仿宋"/>
          <w:b/>
          <w:bCs/>
          <w:sz w:val="28"/>
          <w:szCs w:val="24"/>
        </w:rPr>
        <w:t>1.1项目概况</w:t>
      </w:r>
    </w:p>
    <w:p>
      <w:pPr>
        <w:spacing w:line="276" w:lineRule="auto"/>
        <w:ind w:firstLine="560"/>
        <w:rPr>
          <w:rFonts w:ascii="仿宋" w:hAnsi="仿宋" w:eastAsia="仿宋"/>
          <w:sz w:val="24"/>
          <w:szCs w:val="24"/>
        </w:rPr>
      </w:pPr>
      <w:r>
        <w:rPr>
          <w:rFonts w:hint="eastAsia" w:ascii="仿宋" w:hAnsi="仿宋" w:eastAsia="仿宋"/>
          <w:sz w:val="24"/>
          <w:szCs w:val="24"/>
        </w:rPr>
        <w:t>世界大学生夏季运动会（以下简称“大运会”）是国际大学生体育联合会主办的世界性综合性运动会，每两年举办一届。2018年12月13日，国际大学生体育联合会（以下简称“国际大体联”）与成都市、中国大学生体育协会共同签署成都2021年第31届世界大学生夏季运动会举办权意向协议，成都成功获得2021年第31届世界大学生夏季运动会举办权。</w:t>
      </w:r>
    </w:p>
    <w:p>
      <w:pPr>
        <w:spacing w:line="276" w:lineRule="auto"/>
        <w:ind w:firstLine="560"/>
        <w:rPr>
          <w:rFonts w:ascii="仿宋" w:hAnsi="仿宋" w:eastAsia="仿宋"/>
          <w:sz w:val="24"/>
          <w:szCs w:val="24"/>
        </w:rPr>
      </w:pPr>
      <w:r>
        <w:rPr>
          <w:rFonts w:hint="eastAsia" w:ascii="仿宋" w:hAnsi="仿宋" w:eastAsia="仿宋"/>
          <w:sz w:val="24"/>
          <w:szCs w:val="24"/>
        </w:rPr>
        <w:t>第31届世界大学生夏季运动会在比赛项目设置上，确定了共18个正式比赛项目，其中包括体操、游泳、羽毛球、田径、击剑、乒乓球、篮球、排球、柔道、射箭、水球、跆拳道、跳水、网球、艺术体操15个必选项目和武术、赛艇、射击3个自选项目。</w:t>
      </w:r>
    </w:p>
    <w:p>
      <w:pPr>
        <w:spacing w:line="276" w:lineRule="auto"/>
        <w:ind w:firstLine="560"/>
        <w:rPr>
          <w:rFonts w:ascii="仿宋" w:hAnsi="仿宋" w:eastAsia="仿宋"/>
          <w:sz w:val="24"/>
          <w:szCs w:val="24"/>
        </w:rPr>
      </w:pPr>
      <w:r>
        <w:rPr>
          <w:rFonts w:hint="eastAsia" w:ascii="仿宋" w:hAnsi="仿宋" w:eastAsia="仿宋"/>
          <w:sz w:val="24"/>
          <w:szCs w:val="24"/>
        </w:rPr>
        <w:t>根据第31届世界大学生夏季运动会场馆布局，本次大运会初步计划使用49个场馆（其中新建场馆13个，维修改造场馆36个。分布于成都市16个区（市）县，对应18个竞赛项目的比赛和训练需求），以及综合运行管理中心（MOC）、主新闻中心、国际广播中心、运动员村等十余个非竞赛场馆。</w:t>
      </w:r>
    </w:p>
    <w:p>
      <w:pPr>
        <w:spacing w:line="276" w:lineRule="auto"/>
        <w:ind w:firstLine="560"/>
        <w:rPr>
          <w:rFonts w:ascii="仿宋" w:hAnsi="仿宋" w:eastAsia="仿宋"/>
          <w:sz w:val="24"/>
          <w:szCs w:val="24"/>
        </w:rPr>
      </w:pPr>
      <w:r>
        <w:rPr>
          <w:rFonts w:hint="eastAsia" w:ascii="仿宋" w:hAnsi="仿宋" w:eastAsia="仿宋"/>
          <w:sz w:val="24"/>
          <w:szCs w:val="24"/>
        </w:rPr>
        <w:t>“综合及场馆成绩系统” 是大运会信息化系统的核心组成部分，主要服务包括中央成绩系统、信息发布系统、成绩处理系统、公共大屏显示控制系统、技术统计系统以及评论员系统。</w:t>
      </w:r>
    </w:p>
    <w:p>
      <w:pPr>
        <w:spacing w:line="276" w:lineRule="auto"/>
        <w:ind w:firstLine="560"/>
        <w:rPr>
          <w:rFonts w:ascii="仿宋" w:hAnsi="仿宋" w:eastAsia="仿宋"/>
          <w:sz w:val="24"/>
          <w:szCs w:val="24"/>
        </w:rPr>
      </w:pPr>
      <w:r>
        <w:rPr>
          <w:rFonts w:hint="eastAsia" w:ascii="仿宋" w:hAnsi="仿宋" w:eastAsia="仿宋"/>
          <w:sz w:val="24"/>
          <w:szCs w:val="24"/>
        </w:rPr>
        <w:t>本项目以购买服务方式招标，合同履行期限从合同生效之日起至赛事收尾验收审计结束。</w:t>
      </w:r>
    </w:p>
    <w:p>
      <w:pPr>
        <w:keepNext/>
        <w:keepLines/>
        <w:numPr>
          <w:ilvl w:val="1"/>
          <w:numId w:val="0"/>
        </w:numPr>
        <w:spacing w:before="240" w:beforeLines="100" w:line="276" w:lineRule="auto"/>
        <w:ind w:right="-29" w:rightChars="-14"/>
        <w:outlineLvl w:val="1"/>
        <w:rPr>
          <w:rFonts w:ascii="仿宋" w:hAnsi="仿宋" w:eastAsia="仿宋"/>
          <w:b/>
          <w:bCs/>
          <w:sz w:val="28"/>
          <w:szCs w:val="24"/>
        </w:rPr>
      </w:pPr>
      <w:r>
        <w:rPr>
          <w:rFonts w:hint="eastAsia" w:ascii="仿宋" w:hAnsi="仿宋" w:eastAsia="仿宋"/>
          <w:b/>
          <w:bCs/>
          <w:sz w:val="28"/>
          <w:szCs w:val="24"/>
        </w:rPr>
        <w:t xml:space="preserve">1.2服务范围 </w:t>
      </w:r>
    </w:p>
    <w:p>
      <w:pPr>
        <w:spacing w:line="276" w:lineRule="auto"/>
        <w:ind w:firstLine="560"/>
        <w:rPr>
          <w:rFonts w:ascii="仿宋" w:hAnsi="仿宋" w:eastAsia="仿宋"/>
          <w:sz w:val="24"/>
          <w:szCs w:val="24"/>
        </w:rPr>
      </w:pPr>
      <w:r>
        <w:rPr>
          <w:rFonts w:hint="eastAsia" w:ascii="仿宋" w:hAnsi="仿宋" w:eastAsia="仿宋"/>
          <w:sz w:val="24"/>
          <w:szCs w:val="24"/>
        </w:rPr>
        <w:t>本项目的服务内容包括：中央成绩系统、信息发布系统、成绩处理系统、大屏显示系统、技术统计系统以及评论员系统等</w:t>
      </w:r>
      <w:r>
        <w:rPr>
          <w:rFonts w:ascii="仿宋" w:hAnsi="仿宋" w:eastAsia="仿宋"/>
          <w:sz w:val="24"/>
          <w:szCs w:val="24"/>
        </w:rPr>
        <w:t>6</w:t>
      </w:r>
      <w:r>
        <w:rPr>
          <w:rFonts w:hint="eastAsia" w:ascii="仿宋" w:hAnsi="仿宋" w:eastAsia="仿宋"/>
          <w:sz w:val="24"/>
          <w:szCs w:val="24"/>
        </w:rPr>
        <w:t>个方面，具体如下所述：</w:t>
      </w:r>
    </w:p>
    <w:p>
      <w:pPr>
        <w:spacing w:line="276" w:lineRule="auto"/>
        <w:ind w:firstLine="56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中央成绩系统：中央成绩系统需实现对竞赛信息系统内部以及与外系统之间进行通信协议和数据传输、交换，承载数据的流入、流出和管理，完成各种管理和配置工作；完成各种计划，安排与数据自动处理，对数据进行存储。中央成绩系统包括：公共代码与通讯协议，数据通讯平台，核心管理子系统，综合成绩处理模块和中央数据资源库。</w:t>
      </w:r>
    </w:p>
    <w:p>
      <w:pPr>
        <w:spacing w:line="276" w:lineRule="auto"/>
        <w:ind w:firstLine="56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信息发布系统：信息发布系统是大运会信息系统的重要组成部分，是组委会官员、参赛人员、新闻媒体、社会公众等获取运动会竞赛信息的重要渠道。信息发布系统包括：内部竞赛信息核查系统、竞赛信息发布系统、移动竞赛信息发布系统、信息发布接口。</w:t>
      </w:r>
    </w:p>
    <w:p>
      <w:pPr>
        <w:spacing w:line="276" w:lineRule="auto"/>
        <w:ind w:firstLine="560"/>
        <w:rPr>
          <w:rFonts w:ascii="仿宋" w:hAnsi="仿宋" w:eastAsia="仿宋"/>
          <w:sz w:val="24"/>
          <w:szCs w:val="24"/>
        </w:rPr>
      </w:pPr>
      <w:r>
        <w:rPr>
          <w:rFonts w:hint="eastAsia" w:ascii="仿宋" w:hAnsi="仿宋" w:eastAsia="仿宋"/>
          <w:sz w:val="24"/>
          <w:szCs w:val="24"/>
        </w:rPr>
        <w:t>（3）成绩处理系统：成绩处理系统负责现场成绩处理的所有协同技术系统，其中包括比赛编排、场次管理和控制，竞赛数据的采集、统计、处理，生成各种竞赛表单；与其它系统进行数据交换，协助监控、管理比赛进程，保证场馆成绩系统中各子系统的协同工作。</w:t>
      </w:r>
    </w:p>
    <w:p>
      <w:pPr>
        <w:spacing w:line="276" w:lineRule="auto"/>
        <w:ind w:firstLine="560"/>
        <w:rPr>
          <w:rFonts w:ascii="仿宋" w:hAnsi="仿宋" w:eastAsia="仿宋"/>
          <w:sz w:val="24"/>
          <w:szCs w:val="24"/>
        </w:rPr>
      </w:pPr>
      <w:r>
        <w:rPr>
          <w:rFonts w:hint="eastAsia" w:ascii="仿宋" w:hAnsi="仿宋" w:eastAsia="仿宋"/>
          <w:sz w:val="24"/>
          <w:szCs w:val="24"/>
        </w:rPr>
        <w:t>（4）公共大屏显示控制系统是一套直接服务于现场的信息发布系统。以特定的显示方式为现场观众提供赛事的信息，如竞赛计划、编排秩序信息、实时成绩、比赛成绩信息、颁奖信息等，是现场观众、裁判运动员获得比赛成绩信息的最直接的方式。</w:t>
      </w:r>
    </w:p>
    <w:p>
      <w:pPr>
        <w:spacing w:line="276" w:lineRule="auto"/>
        <w:ind w:firstLine="560"/>
        <w:rPr>
          <w:rFonts w:ascii="仿宋" w:hAnsi="仿宋" w:eastAsia="仿宋"/>
          <w:sz w:val="24"/>
          <w:szCs w:val="24"/>
        </w:rPr>
      </w:pPr>
      <w:r>
        <w:rPr>
          <w:rFonts w:hint="eastAsia" w:ascii="仿宋" w:hAnsi="仿宋" w:eastAsia="仿宋"/>
          <w:sz w:val="24"/>
          <w:szCs w:val="24"/>
        </w:rPr>
        <w:t>（5）技术统计系统：本系统要求为赛前从信息交换系统获取比赛时间、名单等信息，并输入首发名单、出场序、球衣颜色等信息，赛中，由技术统计裁判或者指定技术操作员负责技术统计系统的现场操作，并通过与数据交换系统的数据接口，实时将比赛数据发送给数据交换系统进行后续处理，赛后对统计的数据进行综合评定分析。本系统服务范围为篮球、排球、水球、网球项目。</w:t>
      </w:r>
    </w:p>
    <w:p>
      <w:pPr>
        <w:spacing w:line="276" w:lineRule="auto"/>
        <w:ind w:firstLine="560"/>
        <w:rPr>
          <w:rFonts w:ascii="仿宋" w:hAnsi="仿宋" w:eastAsia="仿宋"/>
          <w:sz w:val="24"/>
          <w:szCs w:val="24"/>
        </w:rPr>
      </w:pPr>
      <w:r>
        <w:rPr>
          <w:rFonts w:hint="eastAsia" w:ascii="仿宋" w:hAnsi="仿宋" w:eastAsia="仿宋"/>
          <w:sz w:val="24"/>
          <w:szCs w:val="24"/>
        </w:rPr>
        <w:t>（6）评论员系统：评论员系统要求在运动会比赛期间，为现场转播评论员实时地提供当前成绩信息，方便评论员对比赛进行更详尽的现场报道。该系统负责向评论员实时地提供详细的成绩，以便协助他们提高公众的临场体验。评论员通过评论席上设置的工作站访问CIS系统。在比赛的任何期间、任何比赛场馆，评论员都可以通过评论员系统获取不同项目、不同比赛场馆的实时成绩、奖牌数据、比赛进程以及日常比赛工作时刻表等信息，随时了解比赛的情况。评论员系统项目需根据主转播商所确定的直播项目确定。</w:t>
      </w:r>
    </w:p>
    <w:p>
      <w:pPr>
        <w:keepNext/>
        <w:keepLines/>
        <w:numPr>
          <w:ilvl w:val="1"/>
          <w:numId w:val="0"/>
        </w:numPr>
        <w:spacing w:before="240" w:beforeLines="100" w:line="276" w:lineRule="auto"/>
        <w:ind w:right="-29" w:rightChars="-14"/>
        <w:outlineLvl w:val="1"/>
        <w:rPr>
          <w:rFonts w:ascii="仿宋" w:hAnsi="仿宋" w:eastAsia="仿宋"/>
          <w:b/>
          <w:bCs/>
          <w:sz w:val="28"/>
          <w:szCs w:val="24"/>
        </w:rPr>
      </w:pPr>
      <w:r>
        <w:rPr>
          <w:rFonts w:hint="eastAsia" w:ascii="仿宋" w:hAnsi="仿宋" w:eastAsia="仿宋"/>
          <w:b/>
          <w:bCs/>
          <w:sz w:val="28"/>
          <w:szCs w:val="24"/>
        </w:rPr>
        <w:t>1.3系统服务要求</w:t>
      </w:r>
    </w:p>
    <w:p>
      <w:pPr>
        <w:spacing w:line="276" w:lineRule="auto"/>
        <w:ind w:firstLine="560"/>
        <w:rPr>
          <w:rFonts w:ascii="仿宋" w:hAnsi="仿宋" w:eastAsia="仿宋"/>
          <w:b/>
          <w:sz w:val="24"/>
          <w:szCs w:val="24"/>
        </w:rPr>
      </w:pPr>
      <w:r>
        <w:rPr>
          <w:rFonts w:hint="eastAsia" w:ascii="仿宋" w:hAnsi="仿宋" w:eastAsia="仿宋"/>
          <w:b/>
          <w:sz w:val="24"/>
          <w:szCs w:val="24"/>
          <w:u w:val="single"/>
        </w:rPr>
        <w:t>▲中标人所提供的综合及场馆成绩系统服务需满足国际大体联、国际（国内）单项体育联合协会的要求</w:t>
      </w:r>
      <w:r>
        <w:rPr>
          <w:rFonts w:hint="eastAsia" w:ascii="仿宋" w:hAnsi="仿宋" w:eastAsia="仿宋" w:cs="宋体"/>
          <w:kern w:val="0"/>
          <w:sz w:val="24"/>
          <w:szCs w:val="24"/>
          <w:lang w:bidi="ar"/>
        </w:rPr>
        <w:t>▲</w:t>
      </w:r>
      <w:r>
        <w:rPr>
          <w:rFonts w:hint="eastAsia" w:ascii="仿宋" w:hAnsi="仿宋" w:eastAsia="仿宋"/>
          <w:b/>
          <w:sz w:val="24"/>
          <w:szCs w:val="24"/>
        </w:rPr>
        <w:t>。</w:t>
      </w:r>
    </w:p>
    <w:p>
      <w:pPr>
        <w:keepNext/>
        <w:keepLines/>
        <w:numPr>
          <w:ilvl w:val="0"/>
          <w:numId w:val="40"/>
        </w:numPr>
        <w:tabs>
          <w:tab w:val="left" w:pos="480"/>
        </w:tabs>
        <w:spacing w:line="276" w:lineRule="auto"/>
        <w:outlineLvl w:val="2"/>
        <w:rPr>
          <w:rFonts w:ascii="仿宋" w:hAnsi="仿宋" w:eastAsia="仿宋"/>
          <w:b/>
          <w:kern w:val="0"/>
          <w:sz w:val="24"/>
          <w:szCs w:val="24"/>
        </w:rPr>
      </w:pPr>
      <w:r>
        <w:rPr>
          <w:rFonts w:hint="eastAsia" w:ascii="仿宋" w:hAnsi="仿宋" w:eastAsia="仿宋"/>
          <w:b/>
          <w:kern w:val="0"/>
          <w:sz w:val="24"/>
          <w:szCs w:val="24"/>
        </w:rPr>
        <w:t>综合及场馆成绩系统</w:t>
      </w:r>
    </w:p>
    <w:p>
      <w:pPr>
        <w:keepNext/>
        <w:keepLines/>
        <w:numPr>
          <w:ilvl w:val="1"/>
          <w:numId w:val="0"/>
        </w:numPr>
        <w:spacing w:before="240" w:beforeLines="100" w:line="276" w:lineRule="auto"/>
        <w:ind w:right="-29" w:rightChars="-14"/>
        <w:outlineLvl w:val="1"/>
        <w:rPr>
          <w:rFonts w:ascii="仿宋" w:hAnsi="仿宋" w:eastAsia="仿宋"/>
          <w:b/>
          <w:bCs/>
          <w:sz w:val="24"/>
          <w:szCs w:val="24"/>
        </w:rPr>
      </w:pPr>
      <w:r>
        <w:rPr>
          <w:rFonts w:hint="eastAsia" w:ascii="仿宋" w:hAnsi="仿宋" w:eastAsia="仿宋"/>
          <w:b/>
          <w:bCs/>
          <w:sz w:val="24"/>
          <w:szCs w:val="24"/>
        </w:rPr>
        <w:t>功能描述：</w:t>
      </w:r>
    </w:p>
    <w:p>
      <w:pPr>
        <w:spacing w:line="276" w:lineRule="auto"/>
        <w:ind w:firstLine="560"/>
        <w:rPr>
          <w:rFonts w:ascii="仿宋" w:hAnsi="仿宋" w:eastAsia="仿宋"/>
          <w:sz w:val="24"/>
          <w:szCs w:val="24"/>
        </w:rPr>
      </w:pPr>
      <w:r>
        <w:rPr>
          <w:rFonts w:hint="eastAsia" w:ascii="仿宋" w:hAnsi="仿宋" w:eastAsia="仿宋"/>
          <w:sz w:val="24"/>
          <w:szCs w:val="24"/>
        </w:rPr>
        <w:t>综合及场馆成绩系统包括中央成绩系统、信息发布系统、成绩处理系统、公共大屏显示控制系统、技术统计系统以及评论员系统。</w:t>
      </w:r>
    </w:p>
    <w:p>
      <w:pPr>
        <w:spacing w:line="276" w:lineRule="auto"/>
        <w:ind w:firstLine="560"/>
        <w:rPr>
          <w:rFonts w:ascii="仿宋" w:hAnsi="仿宋" w:eastAsia="仿宋"/>
          <w:sz w:val="24"/>
          <w:szCs w:val="24"/>
        </w:rPr>
      </w:pPr>
      <w:r>
        <w:rPr>
          <w:rFonts w:hint="eastAsia" w:ascii="仿宋" w:hAnsi="仿宋" w:eastAsia="仿宋"/>
          <w:sz w:val="24"/>
          <w:szCs w:val="24"/>
        </w:rPr>
        <w:t>其中中央成绩系统是竞赛信息系统的核心部分，也是竞赛信息系统的综合业务系统。中央成绩系统需遵循数据处理及时、系统运行稳定、数据操作安全、可配置管理的原则进行设计。中央成绩系统需实现对竞赛信息系统内部以及与外系统之间进行通信协议和数据传输、交换，承载数据的流入、流出和管理，完成各种管理和配置工作；完成各种计划，安排与数据自动处理，对数据进行存储。</w:t>
      </w:r>
    </w:p>
    <w:p>
      <w:pPr>
        <w:spacing w:line="276" w:lineRule="auto"/>
        <w:ind w:firstLine="560"/>
        <w:rPr>
          <w:rFonts w:ascii="仿宋" w:hAnsi="仿宋" w:eastAsia="仿宋"/>
          <w:sz w:val="24"/>
          <w:szCs w:val="24"/>
        </w:rPr>
      </w:pPr>
      <w:r>
        <w:rPr>
          <w:rFonts w:hint="eastAsia" w:ascii="仿宋" w:hAnsi="仿宋" w:eastAsia="仿宋"/>
          <w:sz w:val="24"/>
          <w:szCs w:val="24"/>
        </w:rPr>
        <w:t>信息发布系统的内部竞赛信息核查系统承担着运动会综合信息的内部查询任务，确保运动会各种数据在发布时准确无误；竞赛信息发布网站是执委会对社会公众发布竞赛信息的权威出口；随着移动互联网的迅猛发展及智能手机的普及，移动端发布系统的使用将更加方便用户进行运动会竞赛信息查询；信息发布接口向执委会官方网站、MOC、第三方系统等提供运动会竞赛信息发布服务。打印分发服务系统负责管理和监控场馆成绩系统所产生的成绩报告的打印和分发。</w:t>
      </w:r>
    </w:p>
    <w:p>
      <w:pPr>
        <w:spacing w:line="276" w:lineRule="auto"/>
        <w:ind w:firstLine="560"/>
        <w:rPr>
          <w:rFonts w:ascii="仿宋" w:hAnsi="仿宋" w:eastAsia="仿宋"/>
          <w:sz w:val="24"/>
          <w:szCs w:val="24"/>
        </w:rPr>
      </w:pPr>
      <w:r>
        <w:rPr>
          <w:rFonts w:hint="eastAsia" w:ascii="仿宋" w:hAnsi="仿宋" w:eastAsia="仿宋"/>
          <w:sz w:val="24"/>
          <w:szCs w:val="24"/>
        </w:rPr>
        <w:t>成绩处理系统主要包括成绩数据采集系统负责对比赛成绩进行采集；现场成绩处理系统是场馆成绩系统的核心，主要包括代码管理、基础数据管理、安全管理、赛事配置、数据下载、竞赛计划、报名报项管理、现场编排、单场成绩处理、综合成绩处理；现场成绩打印根据竞赛业务需求提供报表设计、报表管理和报表打印的功能；数据交换系统负责成绩处理系统各子系统的数据和文件的交换，保证各子系统协同工作。</w:t>
      </w:r>
    </w:p>
    <w:p>
      <w:pPr>
        <w:spacing w:line="276" w:lineRule="auto"/>
        <w:ind w:firstLine="560"/>
        <w:rPr>
          <w:rFonts w:ascii="仿宋" w:hAnsi="仿宋" w:eastAsia="仿宋"/>
          <w:sz w:val="24"/>
          <w:szCs w:val="24"/>
        </w:rPr>
      </w:pPr>
      <w:r>
        <w:rPr>
          <w:rFonts w:hint="eastAsia" w:ascii="仿宋" w:hAnsi="仿宋" w:eastAsia="仿宋"/>
          <w:sz w:val="24"/>
          <w:szCs w:val="24"/>
        </w:rPr>
        <w:t>公共大屏显示控制系统是一套直接服务于现场的信息发布系统。以特定的显示方式为现场观众提供赛事的信息，如竞赛计划、编排秩序信息、实时成绩、比赛成绩信息、颁奖信息等，是现场观众、裁判运动员获得比赛成绩信息的最直接的方式。</w:t>
      </w:r>
    </w:p>
    <w:p>
      <w:pPr>
        <w:spacing w:line="276" w:lineRule="auto"/>
        <w:ind w:firstLine="560"/>
        <w:rPr>
          <w:rFonts w:ascii="仿宋" w:hAnsi="仿宋" w:eastAsia="仿宋"/>
          <w:sz w:val="24"/>
          <w:szCs w:val="24"/>
        </w:rPr>
      </w:pPr>
      <w:r>
        <w:rPr>
          <w:rFonts w:hint="eastAsia" w:ascii="仿宋" w:hAnsi="仿宋" w:eastAsia="仿宋"/>
          <w:sz w:val="24"/>
          <w:szCs w:val="24"/>
        </w:rPr>
        <w:t>技术统计系统的服务要求为赛前从信息交换系统获取比赛时间、名单等信息，并输入首发名单、出场序、球衣颜色等信息，赛中，由技术统计裁判或者指定技术操作员负责技术统计系统的现场操作，并通过与数据交换系统的数据接口，实时将比赛数据发送给数据交换系统进行后续处理，赛后对统计的数据进行综合评定分析。</w:t>
      </w:r>
    </w:p>
    <w:p>
      <w:pPr>
        <w:spacing w:line="276" w:lineRule="auto"/>
        <w:ind w:firstLine="560"/>
        <w:rPr>
          <w:rFonts w:ascii="仿宋" w:hAnsi="仿宋" w:eastAsia="仿宋"/>
          <w:sz w:val="24"/>
          <w:szCs w:val="24"/>
        </w:rPr>
      </w:pPr>
      <w:r>
        <w:rPr>
          <w:rFonts w:hint="eastAsia" w:ascii="仿宋" w:hAnsi="仿宋" w:eastAsia="仿宋"/>
          <w:sz w:val="24"/>
          <w:szCs w:val="24"/>
        </w:rPr>
        <w:t>评论员系统在运动会比赛期间，为现场转播评论员实时地提供当前成绩信息，方便评论员对比赛进行更详尽的现场报道。该系统负责向评论员实时地提供详细的成绩，以便协助他们提高公众的临场体验。评论员通过评论席上设置的工作站访问CIS系统。在比赛的任何期间、任何比赛场馆，评论员都可以通过评论员系统获取不同项目、不同比赛场馆的实时成绩、奖牌数据、比赛进程以及日常比赛工作时刻表等信息，随时了解比赛的情况。</w:t>
      </w:r>
    </w:p>
    <w:p>
      <w:pPr>
        <w:keepNext/>
        <w:keepLines/>
        <w:spacing w:before="280" w:after="290" w:line="376" w:lineRule="auto"/>
        <w:outlineLvl w:val="4"/>
        <w:rPr>
          <w:rFonts w:ascii="仿宋" w:hAnsi="仿宋" w:eastAsia="仿宋"/>
          <w:b/>
          <w:bCs/>
          <w:sz w:val="24"/>
          <w:szCs w:val="24"/>
        </w:rPr>
      </w:pPr>
      <w:r>
        <w:rPr>
          <w:rFonts w:hint="eastAsia" w:ascii="仿宋" w:hAnsi="仿宋" w:eastAsia="仿宋"/>
          <w:b/>
          <w:bCs/>
          <w:sz w:val="24"/>
          <w:szCs w:val="24"/>
        </w:rPr>
        <w:t>服务内容：</w:t>
      </w:r>
    </w:p>
    <w:p>
      <w:pPr>
        <w:spacing w:line="276" w:lineRule="auto"/>
        <w:ind w:firstLine="560"/>
        <w:rPr>
          <w:rFonts w:ascii="仿宋" w:hAnsi="仿宋" w:eastAsia="仿宋"/>
          <w:sz w:val="24"/>
          <w:szCs w:val="24"/>
        </w:rPr>
      </w:pPr>
      <w:r>
        <w:rPr>
          <w:rFonts w:hint="eastAsia" w:ascii="仿宋" w:hAnsi="仿宋" w:eastAsia="仿宋"/>
          <w:sz w:val="24"/>
          <w:szCs w:val="24"/>
        </w:rPr>
        <w:t>（一）中央成绩系统</w:t>
      </w:r>
    </w:p>
    <w:p>
      <w:pPr>
        <w:spacing w:line="276" w:lineRule="auto"/>
        <w:ind w:firstLine="560"/>
        <w:rPr>
          <w:rFonts w:ascii="仿宋" w:hAnsi="仿宋" w:eastAsia="仿宋"/>
          <w:sz w:val="24"/>
          <w:szCs w:val="24"/>
        </w:rPr>
      </w:pPr>
      <w:r>
        <w:rPr>
          <w:rFonts w:hint="eastAsia" w:ascii="仿宋" w:hAnsi="仿宋" w:eastAsia="仿宋"/>
          <w:sz w:val="24"/>
          <w:szCs w:val="24"/>
        </w:rPr>
        <w:t>中央成绩系统由公共代码与通讯协议，数据通讯平台，核心管理子系统，综合成绩处理模块和中央数据资源库组成。</w:t>
      </w:r>
    </w:p>
    <w:p>
      <w:pPr>
        <w:spacing w:line="276" w:lineRule="auto"/>
        <w:ind w:firstLine="560"/>
        <w:rPr>
          <w:rFonts w:ascii="仿宋" w:hAnsi="仿宋" w:eastAsia="仿宋"/>
          <w:sz w:val="24"/>
          <w:szCs w:val="24"/>
        </w:rPr>
      </w:pPr>
      <w:r>
        <w:rPr>
          <w:rFonts w:hint="eastAsia" w:ascii="仿宋" w:hAnsi="仿宋" w:eastAsia="仿宋"/>
          <w:sz w:val="24"/>
          <w:szCs w:val="24"/>
        </w:rPr>
        <w:t>在报名工作结束后，竞赛报名系统把所有运动员、裁判员的报名报项信息发送给中央成绩系统，由中央成绩系统下发给场馆成绩系统、竞赛视频系统以及信息发布系统。</w:t>
      </w:r>
    </w:p>
    <w:p>
      <w:pPr>
        <w:spacing w:line="276" w:lineRule="auto"/>
        <w:ind w:firstLine="560"/>
        <w:rPr>
          <w:rFonts w:ascii="仿宋" w:hAnsi="仿宋" w:eastAsia="仿宋"/>
          <w:sz w:val="24"/>
          <w:szCs w:val="24"/>
        </w:rPr>
      </w:pPr>
      <w:r>
        <w:rPr>
          <w:rFonts w:hint="eastAsia" w:ascii="仿宋" w:hAnsi="仿宋" w:eastAsia="仿宋"/>
          <w:sz w:val="24"/>
          <w:szCs w:val="24"/>
        </w:rPr>
        <w:t>赛前，中央成绩系统把公告代码与通讯协议下发给场馆成绩系统、竞赛视频系统以及信息发布系统；把运动员和裁判员报名报项信息等下发给场馆成绩系统和信息发布系统；同时，从场馆成绩系统搜集各项目的竞赛计划并下发给竞赛视频系统和信息发布系统。</w:t>
      </w:r>
    </w:p>
    <w:p>
      <w:pPr>
        <w:spacing w:line="276" w:lineRule="auto"/>
        <w:ind w:firstLine="560"/>
        <w:rPr>
          <w:rFonts w:ascii="仿宋" w:hAnsi="仿宋" w:eastAsia="仿宋"/>
          <w:sz w:val="24"/>
          <w:szCs w:val="24"/>
        </w:rPr>
      </w:pPr>
      <w:r>
        <w:rPr>
          <w:rFonts w:hint="eastAsia" w:ascii="仿宋" w:hAnsi="仿宋" w:eastAsia="仿宋"/>
          <w:sz w:val="24"/>
          <w:szCs w:val="24"/>
        </w:rPr>
        <w:t>赛中，中央成绩系统从场馆成绩系统获取动态竞赛信息，进行名次排名等综合成绩处理工作，并向信息发布系统提供最新动态竞赛信息。</w:t>
      </w:r>
    </w:p>
    <w:p>
      <w:pPr>
        <w:spacing w:line="276" w:lineRule="auto"/>
        <w:ind w:firstLine="560"/>
        <w:rPr>
          <w:rFonts w:ascii="仿宋" w:hAnsi="仿宋" w:eastAsia="仿宋"/>
          <w:sz w:val="24"/>
          <w:szCs w:val="24"/>
        </w:rPr>
      </w:pPr>
      <w:r>
        <w:rPr>
          <w:rFonts w:hint="eastAsia" w:ascii="仿宋" w:hAnsi="仿宋" w:eastAsia="仿宋"/>
          <w:sz w:val="24"/>
          <w:szCs w:val="24"/>
        </w:rPr>
        <w:t>中央成绩系统包含模块和子系统如下：</w:t>
      </w:r>
    </w:p>
    <w:p>
      <w:pPr>
        <w:spacing w:line="276" w:lineRule="auto"/>
        <w:ind w:firstLine="560"/>
        <w:rPr>
          <w:rFonts w:ascii="仿宋" w:hAnsi="仿宋" w:eastAsia="仿宋"/>
          <w:sz w:val="24"/>
          <w:szCs w:val="24"/>
        </w:rPr>
      </w:pPr>
      <w:r>
        <w:rPr>
          <w:rFonts w:hint="eastAsia" w:ascii="仿宋" w:hAnsi="仿宋" w:eastAsia="仿宋"/>
          <w:sz w:val="24"/>
          <w:szCs w:val="24"/>
        </w:rPr>
        <w:t>1.公共代码与通讯协议：提供赛事成绩系统内部以及可能用到的与外系统之间进行通信的基础协议和数据代码。</w:t>
      </w:r>
    </w:p>
    <w:p>
      <w:pPr>
        <w:spacing w:line="276" w:lineRule="auto"/>
        <w:ind w:firstLine="560"/>
        <w:rPr>
          <w:rFonts w:ascii="仿宋" w:hAnsi="仿宋" w:eastAsia="仿宋"/>
          <w:sz w:val="24"/>
          <w:szCs w:val="24"/>
        </w:rPr>
      </w:pPr>
      <w:r>
        <w:rPr>
          <w:rFonts w:hint="eastAsia" w:ascii="仿宋" w:hAnsi="仿宋" w:eastAsia="仿宋"/>
          <w:sz w:val="24"/>
          <w:szCs w:val="24"/>
        </w:rPr>
        <w:t>2.数据通讯平台：承载中央成绩系统数据的流入流出和管理功能，是连接综合应用系统和现场应用系统的枢纽。</w:t>
      </w:r>
    </w:p>
    <w:p>
      <w:pPr>
        <w:spacing w:line="276" w:lineRule="auto"/>
        <w:ind w:firstLine="560"/>
        <w:rPr>
          <w:rFonts w:ascii="仿宋" w:hAnsi="仿宋" w:eastAsia="仿宋"/>
          <w:sz w:val="24"/>
          <w:szCs w:val="24"/>
        </w:rPr>
      </w:pPr>
      <w:r>
        <w:rPr>
          <w:rFonts w:hint="eastAsia" w:ascii="仿宋" w:hAnsi="仿宋" w:eastAsia="仿宋"/>
          <w:sz w:val="24"/>
          <w:szCs w:val="24"/>
        </w:rPr>
        <w:t>3.核心管理系统：主要完成中央成绩系统的各种管理和配置工作，包括编码管理、应用安全管理、运动会配置管理等。</w:t>
      </w:r>
    </w:p>
    <w:p>
      <w:pPr>
        <w:spacing w:line="276" w:lineRule="auto"/>
        <w:ind w:firstLine="560"/>
        <w:rPr>
          <w:rFonts w:ascii="仿宋" w:hAnsi="仿宋" w:eastAsia="仿宋"/>
          <w:sz w:val="24"/>
          <w:szCs w:val="24"/>
        </w:rPr>
      </w:pPr>
      <w:r>
        <w:rPr>
          <w:rFonts w:hint="eastAsia" w:ascii="仿宋" w:hAnsi="仿宋" w:eastAsia="仿宋"/>
          <w:sz w:val="24"/>
          <w:szCs w:val="24"/>
        </w:rPr>
        <w:t>4.综合成绩处理系统：完成中央成绩系统的各种计划，安排与数据自动处理。包括赛事计划管理，分数计算，破纪录管理等。</w:t>
      </w:r>
    </w:p>
    <w:p>
      <w:pPr>
        <w:spacing w:line="276" w:lineRule="auto"/>
        <w:ind w:firstLine="560"/>
        <w:rPr>
          <w:rFonts w:ascii="仿宋" w:hAnsi="仿宋" w:eastAsia="仿宋"/>
          <w:sz w:val="24"/>
          <w:szCs w:val="24"/>
        </w:rPr>
      </w:pPr>
      <w:r>
        <w:rPr>
          <w:rFonts w:hint="eastAsia" w:ascii="仿宋" w:hAnsi="仿宋" w:eastAsia="仿宋"/>
          <w:sz w:val="24"/>
          <w:szCs w:val="24"/>
        </w:rPr>
        <w:t>5.中央数据资源库：存储中央成绩系统的所有数据。</w:t>
      </w:r>
    </w:p>
    <w:p>
      <w:pPr>
        <w:spacing w:line="276" w:lineRule="auto"/>
        <w:ind w:firstLine="560"/>
        <w:rPr>
          <w:rFonts w:ascii="仿宋" w:hAnsi="仿宋" w:eastAsia="仿宋"/>
          <w:sz w:val="24"/>
          <w:szCs w:val="24"/>
        </w:rPr>
      </w:pPr>
      <w:r>
        <w:rPr>
          <w:rFonts w:hint="eastAsia" w:ascii="仿宋" w:hAnsi="仿宋" w:eastAsia="仿宋"/>
          <w:sz w:val="24"/>
          <w:szCs w:val="24"/>
        </w:rPr>
        <w:t>（二）信息发布系统</w:t>
      </w:r>
    </w:p>
    <w:p>
      <w:pPr>
        <w:spacing w:line="276" w:lineRule="auto"/>
        <w:ind w:firstLine="560"/>
        <w:rPr>
          <w:rFonts w:ascii="仿宋" w:hAnsi="仿宋" w:eastAsia="仿宋"/>
          <w:sz w:val="24"/>
          <w:szCs w:val="24"/>
        </w:rPr>
      </w:pPr>
      <w:r>
        <w:rPr>
          <w:rFonts w:hint="eastAsia" w:ascii="仿宋" w:hAnsi="仿宋" w:eastAsia="仿宋"/>
          <w:sz w:val="24"/>
          <w:szCs w:val="24"/>
        </w:rPr>
        <w:t>信息发布系统由以下几个分系统组成：</w:t>
      </w:r>
    </w:p>
    <w:p>
      <w:pPr>
        <w:spacing w:line="276" w:lineRule="auto"/>
        <w:ind w:firstLine="56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内网竞赛核查系统</w:t>
      </w:r>
    </w:p>
    <w:p>
      <w:pPr>
        <w:spacing w:line="276" w:lineRule="auto"/>
        <w:ind w:firstLine="560"/>
        <w:rPr>
          <w:rFonts w:ascii="仿宋" w:hAnsi="仿宋" w:eastAsia="仿宋"/>
          <w:sz w:val="24"/>
          <w:szCs w:val="24"/>
        </w:rPr>
      </w:pPr>
      <w:r>
        <w:rPr>
          <w:rFonts w:hint="eastAsia" w:ascii="仿宋" w:hAnsi="仿宋" w:eastAsia="仿宋"/>
          <w:sz w:val="24"/>
          <w:szCs w:val="24"/>
        </w:rPr>
        <w:t>内部竞赛信息核查系统承担着运动会综合信息的内部查询任务，确保运动会各种数据在发布时的准确无误，在运动会运行服务期间，内部竞赛信息核查系统提供静态信息查询与动态信息查询。静态信息将在赛前准备完成，主要包括本届运动会信息、代表团信息、运动员信息、运动员参赛报项信息等。动态信息是在运动会运行期间产生的竞赛成绩信息，随着比赛进程向前发展，动态信息将越来越丰富。</w:t>
      </w:r>
    </w:p>
    <w:p>
      <w:pPr>
        <w:spacing w:line="276" w:lineRule="auto"/>
        <w:ind w:firstLine="56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w:t>
      </w:r>
      <w:r>
        <w:rPr>
          <w:rFonts w:hint="eastAsia" w:ascii="仿宋" w:hAnsi="仿宋" w:eastAsia="仿宋"/>
          <w:sz w:val="24"/>
          <w:szCs w:val="24"/>
        </w:rPr>
        <w:t>竞赛信息发布系统</w:t>
      </w:r>
    </w:p>
    <w:p>
      <w:pPr>
        <w:spacing w:line="276" w:lineRule="auto"/>
        <w:ind w:firstLine="560"/>
        <w:rPr>
          <w:rFonts w:ascii="仿宋" w:hAnsi="仿宋" w:eastAsia="仿宋"/>
          <w:sz w:val="24"/>
          <w:szCs w:val="24"/>
        </w:rPr>
      </w:pPr>
      <w:r>
        <w:rPr>
          <w:rFonts w:hint="eastAsia" w:ascii="仿宋" w:hAnsi="仿宋" w:eastAsia="仿宋"/>
          <w:sz w:val="24"/>
          <w:szCs w:val="24"/>
        </w:rPr>
        <w:t>竞赛信息发布网站是执委会对社会公众发布竞赛信息的最权威出口，通过浏览器/服务器结构提供竞赛信息查询服务。官方网站的竞赛信息查询主要对比赛赛程、奖牌、竞赛表单、平破纪录信息、比赛成绩、代表团成绩等动态信息进行查询以及运动员报名报项等静态信息的查询；</w:t>
      </w:r>
    </w:p>
    <w:p>
      <w:pPr>
        <w:spacing w:line="276" w:lineRule="auto"/>
        <w:ind w:firstLine="560"/>
        <w:rPr>
          <w:rFonts w:ascii="仿宋" w:hAnsi="仿宋" w:eastAsia="仿宋"/>
          <w:sz w:val="24"/>
          <w:szCs w:val="24"/>
        </w:rPr>
      </w:pPr>
      <w:r>
        <w:rPr>
          <w:rFonts w:hint="eastAsia" w:ascii="仿宋" w:hAnsi="仿宋" w:eastAsia="仿宋"/>
          <w:sz w:val="24"/>
          <w:szCs w:val="24"/>
        </w:rPr>
        <w:t>3．移动竞赛信息发布系统</w:t>
      </w:r>
    </w:p>
    <w:p>
      <w:pPr>
        <w:spacing w:line="276" w:lineRule="auto"/>
        <w:ind w:firstLine="560"/>
        <w:rPr>
          <w:rFonts w:ascii="仿宋" w:hAnsi="仿宋" w:eastAsia="仿宋"/>
          <w:sz w:val="24"/>
          <w:szCs w:val="24"/>
        </w:rPr>
      </w:pPr>
      <w:r>
        <w:rPr>
          <w:rFonts w:hint="eastAsia" w:ascii="仿宋" w:hAnsi="仿宋" w:eastAsia="仿宋"/>
          <w:sz w:val="24"/>
          <w:szCs w:val="24"/>
        </w:rPr>
        <w:t>随着移动互联网的迅猛发展及智能手机的普及，移动端发布系统的使用将更加方便用户进行运动会竞赛信息查询，在运动会运行服务期间，只要有智能手机、有网络，就能随时实现对竞赛信息进行查询，移动端发布系统实现的目标是准确、及时、便捷的查询各类竞赛信息；</w:t>
      </w:r>
    </w:p>
    <w:p>
      <w:pPr>
        <w:spacing w:line="276" w:lineRule="auto"/>
        <w:ind w:firstLine="560"/>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w:t>
      </w:r>
      <w:r>
        <w:rPr>
          <w:rFonts w:hint="eastAsia" w:ascii="仿宋" w:hAnsi="仿宋" w:eastAsia="仿宋"/>
          <w:sz w:val="24"/>
          <w:szCs w:val="24"/>
        </w:rPr>
        <w:t>信息发布接口</w:t>
      </w:r>
    </w:p>
    <w:p>
      <w:pPr>
        <w:spacing w:line="276" w:lineRule="auto"/>
        <w:ind w:firstLine="560"/>
        <w:rPr>
          <w:rFonts w:ascii="仿宋" w:hAnsi="仿宋" w:eastAsia="仿宋"/>
          <w:sz w:val="24"/>
          <w:szCs w:val="24"/>
        </w:rPr>
      </w:pPr>
      <w:r>
        <w:rPr>
          <w:rFonts w:hint="eastAsia" w:ascii="仿宋" w:hAnsi="仿宋" w:eastAsia="仿宋"/>
          <w:sz w:val="24"/>
          <w:szCs w:val="24"/>
        </w:rPr>
        <w:t>信息发布接口系统向执委会官方网站、综合运行管理中心(MOC)、第三方系统等提供运动会竞赛信息发布服务，信息发布接口作为竞赛信息系统对外发布数据的重要接口，需要与官方网站和其它第三方的合作伙伴进行数据对接，接口系统的服务对象的不同，导致对系统的专业性上有着极高的要求，提供的接口数据和内容上有着很大不同，因此进行信息发布接口设计时应密切与官方网站和其他第三方机构配合。</w:t>
      </w:r>
    </w:p>
    <w:p>
      <w:pPr>
        <w:spacing w:line="276" w:lineRule="auto"/>
        <w:ind w:firstLine="560"/>
        <w:rPr>
          <w:rFonts w:ascii="仿宋" w:hAnsi="仿宋" w:eastAsia="仿宋"/>
          <w:sz w:val="24"/>
          <w:szCs w:val="24"/>
        </w:rPr>
      </w:pPr>
      <w:r>
        <w:rPr>
          <w:rFonts w:hint="eastAsia" w:ascii="仿宋" w:hAnsi="仿宋" w:eastAsia="仿宋"/>
          <w:sz w:val="24"/>
          <w:szCs w:val="24"/>
        </w:rPr>
        <w:t>5</w:t>
      </w:r>
      <w:r>
        <w:rPr>
          <w:rFonts w:ascii="仿宋" w:hAnsi="仿宋" w:eastAsia="仿宋"/>
          <w:sz w:val="24"/>
          <w:szCs w:val="24"/>
        </w:rPr>
        <w:t>.</w:t>
      </w:r>
      <w:r>
        <w:rPr>
          <w:rFonts w:hint="eastAsia" w:ascii="仿宋" w:hAnsi="仿宋" w:eastAsia="仿宋"/>
          <w:sz w:val="24"/>
          <w:szCs w:val="24"/>
        </w:rPr>
        <w:t>打印分发系统</w:t>
      </w:r>
    </w:p>
    <w:p>
      <w:pPr>
        <w:spacing w:line="276" w:lineRule="auto"/>
        <w:ind w:firstLine="560"/>
        <w:rPr>
          <w:rFonts w:ascii="仿宋" w:hAnsi="仿宋" w:eastAsia="仿宋"/>
          <w:sz w:val="24"/>
          <w:szCs w:val="24"/>
        </w:rPr>
      </w:pPr>
      <w:r>
        <w:rPr>
          <w:rFonts w:hint="eastAsia" w:ascii="仿宋" w:hAnsi="仿宋" w:eastAsia="仿宋"/>
          <w:sz w:val="24"/>
          <w:szCs w:val="24"/>
        </w:rPr>
        <w:t>打印分发系统负责管理和监控场馆成绩系统所产生的成绩报告的打印和分发。包括接收、存储、跟踪和发送报告，最终通过打印分发系统将报告发送至竞赛、媒体、官员等订阅的客户。</w:t>
      </w:r>
    </w:p>
    <w:p>
      <w:pPr>
        <w:spacing w:line="276" w:lineRule="auto"/>
        <w:ind w:firstLine="560"/>
        <w:rPr>
          <w:rFonts w:ascii="仿宋" w:hAnsi="仿宋" w:eastAsia="仿宋"/>
          <w:sz w:val="24"/>
          <w:szCs w:val="24"/>
        </w:rPr>
      </w:pPr>
      <w:r>
        <w:rPr>
          <w:rFonts w:hint="eastAsia" w:ascii="仿宋" w:hAnsi="仿宋" w:eastAsia="仿宋"/>
          <w:sz w:val="24"/>
          <w:szCs w:val="24"/>
        </w:rPr>
        <w:t>（三）成绩处理系统</w:t>
      </w:r>
    </w:p>
    <w:p>
      <w:pPr>
        <w:spacing w:line="276" w:lineRule="auto"/>
        <w:ind w:firstLine="560"/>
        <w:rPr>
          <w:rFonts w:ascii="仿宋" w:hAnsi="仿宋" w:eastAsia="仿宋"/>
          <w:sz w:val="24"/>
          <w:szCs w:val="24"/>
        </w:rPr>
      </w:pPr>
      <w:r>
        <w:rPr>
          <w:rFonts w:hint="eastAsia" w:ascii="仿宋" w:hAnsi="仿宋" w:eastAsia="仿宋"/>
          <w:sz w:val="24"/>
          <w:szCs w:val="24"/>
        </w:rPr>
        <w:t>成绩处理系统主要包括成绩数据采集系统负责对比赛成绩进行采集；</w:t>
      </w:r>
    </w:p>
    <w:p>
      <w:pPr>
        <w:spacing w:line="276" w:lineRule="auto"/>
        <w:ind w:firstLine="560"/>
        <w:rPr>
          <w:rFonts w:ascii="仿宋" w:hAnsi="仿宋" w:eastAsia="仿宋"/>
          <w:sz w:val="24"/>
          <w:szCs w:val="24"/>
        </w:rPr>
      </w:pPr>
      <w:r>
        <w:rPr>
          <w:rFonts w:hint="eastAsia" w:ascii="仿宋" w:hAnsi="仿宋" w:eastAsia="仿宋"/>
          <w:sz w:val="24"/>
          <w:szCs w:val="24"/>
        </w:rPr>
        <w:t>现场成绩处理系统是场馆成绩系统的核心，主要包括代码管理、基础数据管理、安全管理、赛事配置、数据下载、竞赛计划、报名报项管理、现场编排、单场成绩处理、综合成绩处理；</w:t>
      </w:r>
    </w:p>
    <w:p>
      <w:pPr>
        <w:spacing w:line="276" w:lineRule="auto"/>
        <w:ind w:firstLine="560"/>
        <w:rPr>
          <w:rFonts w:ascii="仿宋" w:hAnsi="仿宋" w:eastAsia="仿宋"/>
          <w:sz w:val="24"/>
          <w:szCs w:val="24"/>
        </w:rPr>
      </w:pPr>
      <w:r>
        <w:rPr>
          <w:rFonts w:hint="eastAsia" w:ascii="仿宋" w:hAnsi="仿宋" w:eastAsia="仿宋"/>
          <w:sz w:val="24"/>
          <w:szCs w:val="24"/>
        </w:rPr>
        <w:t>现场成绩打印根据竞赛业务需求提供报表设计、报表管理和报表打印的功能；</w:t>
      </w:r>
    </w:p>
    <w:p>
      <w:pPr>
        <w:spacing w:line="276" w:lineRule="auto"/>
        <w:ind w:firstLine="560"/>
        <w:rPr>
          <w:rFonts w:ascii="仿宋" w:hAnsi="仿宋" w:eastAsia="仿宋"/>
          <w:sz w:val="24"/>
          <w:szCs w:val="24"/>
        </w:rPr>
      </w:pPr>
      <w:r>
        <w:rPr>
          <w:rFonts w:hint="eastAsia" w:ascii="仿宋" w:hAnsi="仿宋" w:eastAsia="仿宋"/>
          <w:sz w:val="24"/>
          <w:szCs w:val="24"/>
        </w:rPr>
        <w:t>数据交换系统负责成绩处理系统各子系统的数据和文件的交换，保证各子系统协同工作。</w:t>
      </w:r>
    </w:p>
    <w:p>
      <w:pPr>
        <w:spacing w:line="276" w:lineRule="auto"/>
        <w:ind w:firstLine="560"/>
        <w:rPr>
          <w:rFonts w:ascii="仿宋" w:hAnsi="仿宋" w:eastAsia="仿宋"/>
          <w:sz w:val="24"/>
          <w:szCs w:val="24"/>
        </w:rPr>
      </w:pPr>
      <w:r>
        <w:rPr>
          <w:rFonts w:hint="eastAsia" w:ascii="仿宋" w:hAnsi="仿宋" w:eastAsia="仿宋"/>
          <w:sz w:val="24"/>
          <w:szCs w:val="24"/>
        </w:rPr>
        <w:t>（四）公共大屏显示控制系统</w:t>
      </w:r>
    </w:p>
    <w:p>
      <w:pPr>
        <w:spacing w:line="276" w:lineRule="auto"/>
        <w:ind w:firstLine="560"/>
        <w:rPr>
          <w:rFonts w:ascii="仿宋" w:hAnsi="仿宋" w:eastAsia="仿宋"/>
          <w:sz w:val="24"/>
          <w:szCs w:val="24"/>
        </w:rPr>
      </w:pPr>
      <w:r>
        <w:rPr>
          <w:rFonts w:hint="eastAsia" w:ascii="仿宋" w:hAnsi="仿宋" w:eastAsia="仿宋"/>
          <w:sz w:val="24"/>
          <w:szCs w:val="24"/>
        </w:rPr>
        <w:t>公共大屏显示控制系统是一套直接服务于现场的信息发布系统。</w:t>
      </w:r>
    </w:p>
    <w:p>
      <w:pPr>
        <w:spacing w:line="276" w:lineRule="auto"/>
        <w:ind w:firstLine="560"/>
        <w:rPr>
          <w:rFonts w:ascii="仿宋" w:hAnsi="仿宋" w:eastAsia="仿宋"/>
          <w:sz w:val="24"/>
          <w:szCs w:val="24"/>
        </w:rPr>
      </w:pPr>
      <w:r>
        <w:rPr>
          <w:rFonts w:hint="eastAsia" w:ascii="仿宋" w:hAnsi="仿宋" w:eastAsia="仿宋"/>
          <w:sz w:val="24"/>
          <w:szCs w:val="24"/>
        </w:rPr>
        <w:t>公共大屏显示控制系统以特定的显示方式为现场观众提供赛事的信息，如竞赛计划、编排秩序信息、实时成绩、比赛成绩信息、颁奖信息等，是现场观众、裁判运动员获得比赛成绩信息。</w:t>
      </w:r>
    </w:p>
    <w:p>
      <w:pPr>
        <w:spacing w:line="276" w:lineRule="auto"/>
        <w:ind w:firstLine="560"/>
        <w:rPr>
          <w:rFonts w:ascii="仿宋" w:hAnsi="仿宋" w:eastAsia="仿宋"/>
          <w:sz w:val="24"/>
          <w:szCs w:val="24"/>
        </w:rPr>
      </w:pPr>
      <w:r>
        <w:rPr>
          <w:rFonts w:hint="eastAsia" w:ascii="仿宋" w:hAnsi="仿宋" w:eastAsia="仿宋"/>
          <w:sz w:val="24"/>
          <w:szCs w:val="24"/>
        </w:rPr>
        <w:t>（五）技术统计系统</w:t>
      </w:r>
    </w:p>
    <w:p>
      <w:pPr>
        <w:spacing w:line="276" w:lineRule="auto"/>
        <w:ind w:firstLine="560"/>
        <w:rPr>
          <w:rFonts w:ascii="仿宋" w:hAnsi="仿宋" w:eastAsia="仿宋"/>
          <w:sz w:val="24"/>
          <w:szCs w:val="24"/>
        </w:rPr>
      </w:pPr>
      <w:r>
        <w:rPr>
          <w:rFonts w:hint="eastAsia" w:ascii="仿宋" w:hAnsi="仿宋" w:eastAsia="仿宋"/>
          <w:sz w:val="24"/>
          <w:szCs w:val="24"/>
        </w:rPr>
        <w:t>技术统计的服务要求为：</w:t>
      </w:r>
    </w:p>
    <w:p>
      <w:pPr>
        <w:spacing w:line="276" w:lineRule="auto"/>
        <w:ind w:firstLine="560"/>
        <w:rPr>
          <w:rFonts w:ascii="仿宋" w:hAnsi="仿宋" w:eastAsia="仿宋"/>
          <w:sz w:val="24"/>
          <w:szCs w:val="24"/>
        </w:rPr>
      </w:pPr>
      <w:r>
        <w:rPr>
          <w:rFonts w:hint="eastAsia" w:ascii="仿宋" w:hAnsi="仿宋" w:eastAsia="仿宋"/>
          <w:sz w:val="24"/>
          <w:szCs w:val="24"/>
        </w:rPr>
        <w:t>赛前从信息交换系统获取比赛时间、名单等信息，并输入首发名单、出场序、球衣颜色等信息。</w:t>
      </w:r>
    </w:p>
    <w:p>
      <w:pPr>
        <w:spacing w:line="276" w:lineRule="auto"/>
        <w:ind w:firstLine="560"/>
        <w:rPr>
          <w:rFonts w:ascii="仿宋" w:hAnsi="仿宋" w:eastAsia="仿宋"/>
          <w:sz w:val="24"/>
          <w:szCs w:val="24"/>
        </w:rPr>
      </w:pPr>
      <w:r>
        <w:rPr>
          <w:rFonts w:hint="eastAsia" w:ascii="仿宋" w:hAnsi="仿宋" w:eastAsia="仿宋"/>
          <w:sz w:val="24"/>
          <w:szCs w:val="24"/>
        </w:rPr>
        <w:t>在赛中，由技术统计裁判或者指定技术操作员负责技术统计系统的现场操作，并通过与数据交换系统的数据接口，实时将比赛数据发送给数据交换系统进行后续处理。</w:t>
      </w:r>
    </w:p>
    <w:p>
      <w:pPr>
        <w:spacing w:line="276" w:lineRule="auto"/>
        <w:ind w:firstLine="560"/>
        <w:rPr>
          <w:rFonts w:ascii="仿宋" w:hAnsi="仿宋" w:eastAsia="仿宋"/>
          <w:sz w:val="24"/>
          <w:szCs w:val="24"/>
        </w:rPr>
      </w:pPr>
      <w:r>
        <w:rPr>
          <w:rFonts w:hint="eastAsia" w:ascii="仿宋" w:hAnsi="仿宋" w:eastAsia="仿宋"/>
          <w:sz w:val="24"/>
          <w:szCs w:val="24"/>
        </w:rPr>
        <w:t>在赛后对统计的数据进行综合评定分析。</w:t>
      </w:r>
    </w:p>
    <w:p>
      <w:pPr>
        <w:spacing w:line="276" w:lineRule="auto"/>
        <w:ind w:firstLine="560"/>
        <w:rPr>
          <w:rFonts w:ascii="仿宋" w:hAnsi="仿宋" w:eastAsia="仿宋"/>
          <w:sz w:val="24"/>
          <w:szCs w:val="24"/>
        </w:rPr>
      </w:pPr>
      <w:r>
        <w:rPr>
          <w:rFonts w:hint="eastAsia" w:ascii="仿宋" w:hAnsi="仿宋" w:eastAsia="仿宋"/>
          <w:sz w:val="24"/>
          <w:szCs w:val="24"/>
        </w:rPr>
        <w:t>本系统服务范围为篮球、排球、水球、网球项目。</w:t>
      </w:r>
    </w:p>
    <w:p>
      <w:pPr>
        <w:spacing w:line="276" w:lineRule="auto"/>
        <w:ind w:firstLine="560"/>
        <w:rPr>
          <w:rFonts w:ascii="仿宋" w:hAnsi="仿宋" w:eastAsia="仿宋"/>
          <w:sz w:val="24"/>
          <w:szCs w:val="24"/>
        </w:rPr>
      </w:pPr>
      <w:r>
        <w:rPr>
          <w:rFonts w:hint="eastAsia" w:ascii="仿宋" w:hAnsi="仿宋" w:eastAsia="仿宋"/>
          <w:sz w:val="24"/>
          <w:szCs w:val="24"/>
        </w:rPr>
        <w:t>（六）评论员系统</w:t>
      </w:r>
    </w:p>
    <w:p>
      <w:pPr>
        <w:spacing w:line="276" w:lineRule="auto"/>
        <w:ind w:firstLine="560"/>
        <w:rPr>
          <w:rFonts w:ascii="仿宋" w:hAnsi="仿宋" w:eastAsia="仿宋"/>
          <w:sz w:val="24"/>
          <w:szCs w:val="24"/>
        </w:rPr>
      </w:pPr>
      <w:r>
        <w:rPr>
          <w:rFonts w:hint="eastAsia" w:ascii="仿宋" w:hAnsi="仿宋" w:eastAsia="仿宋"/>
          <w:sz w:val="24"/>
          <w:szCs w:val="24"/>
        </w:rPr>
        <w:t>评论员系统需要在运动会比赛期间，为现场转播评论员实时地提供当前成绩信息，方便评论员对比赛进行更详尽的现场报道。该系统负责向评论员实时地提供详细的成绩，以便协助他们提高公众的临场体验。评论员通过评论席上设置的工作站访问CIS系统。在比赛的任何期间、任何比赛场馆，评论员都可以通过评论员系统获取不同项目、不同比赛场馆的实时成绩、奖牌数据、比赛进程以及日常比赛工作时刻表等信息，随时了解比赛的情况。</w:t>
      </w:r>
    </w:p>
    <w:p>
      <w:pPr>
        <w:spacing w:line="276" w:lineRule="auto"/>
        <w:ind w:firstLine="560"/>
        <w:rPr>
          <w:rFonts w:ascii="仿宋" w:hAnsi="仿宋" w:eastAsia="仿宋"/>
          <w:sz w:val="24"/>
          <w:szCs w:val="24"/>
        </w:rPr>
      </w:pPr>
      <w:r>
        <w:rPr>
          <w:rFonts w:hint="eastAsia" w:ascii="仿宋" w:hAnsi="仿宋" w:eastAsia="仿宋"/>
          <w:sz w:val="24"/>
          <w:szCs w:val="24"/>
        </w:rPr>
        <w:t>评论员系统项目需根据主转播商所确定的直播项目确定。</w:t>
      </w:r>
    </w:p>
    <w:p>
      <w:pPr>
        <w:spacing w:line="276" w:lineRule="auto"/>
        <w:ind w:firstLine="560"/>
        <w:rPr>
          <w:rFonts w:ascii="仿宋" w:hAnsi="仿宋" w:eastAsia="仿宋"/>
          <w:sz w:val="24"/>
          <w:szCs w:val="24"/>
        </w:rPr>
      </w:pPr>
    </w:p>
    <w:p>
      <w:pPr>
        <w:keepNext/>
        <w:keepLines/>
        <w:spacing w:before="280" w:after="290" w:line="376" w:lineRule="auto"/>
        <w:outlineLvl w:val="4"/>
        <w:rPr>
          <w:rFonts w:ascii="仿宋" w:hAnsi="仿宋" w:eastAsia="仿宋"/>
          <w:b/>
          <w:bCs/>
          <w:sz w:val="24"/>
          <w:szCs w:val="24"/>
        </w:rPr>
      </w:pPr>
      <w:r>
        <w:rPr>
          <w:rFonts w:hint="eastAsia" w:ascii="仿宋" w:hAnsi="仿宋" w:eastAsia="仿宋"/>
          <w:b/>
          <w:bCs/>
          <w:sz w:val="24"/>
          <w:szCs w:val="24"/>
        </w:rPr>
        <w:t>服务要求：</w:t>
      </w:r>
    </w:p>
    <w:p>
      <w:pPr>
        <w:spacing w:line="276" w:lineRule="auto"/>
        <w:ind w:firstLine="562"/>
        <w:rPr>
          <w:rFonts w:ascii="仿宋" w:hAnsi="仿宋" w:eastAsia="仿宋"/>
          <w:sz w:val="24"/>
          <w:szCs w:val="24"/>
        </w:rPr>
      </w:pPr>
      <w:r>
        <w:rPr>
          <w:rFonts w:hint="eastAsia" w:ascii="仿宋" w:hAnsi="仿宋" w:eastAsia="仿宋"/>
          <w:sz w:val="24"/>
          <w:szCs w:val="24"/>
        </w:rPr>
        <w:t>综合及场馆成绩系统服务要求如下：</w:t>
      </w:r>
    </w:p>
    <w:p>
      <w:pPr>
        <w:spacing w:line="276" w:lineRule="auto"/>
        <w:ind w:firstLine="562"/>
        <w:rPr>
          <w:rFonts w:ascii="仿宋" w:hAnsi="仿宋" w:eastAsia="仿宋"/>
          <w:sz w:val="24"/>
          <w:szCs w:val="24"/>
        </w:rPr>
      </w:pPr>
      <w:r>
        <w:rPr>
          <w:rFonts w:hint="eastAsia" w:ascii="仿宋" w:hAnsi="仿宋" w:eastAsia="仿宋"/>
          <w:sz w:val="24"/>
          <w:szCs w:val="24"/>
        </w:rPr>
        <w:t>（一）中央成绩系统：</w:t>
      </w:r>
    </w:p>
    <w:p>
      <w:pPr>
        <w:spacing w:line="276" w:lineRule="auto"/>
        <w:ind w:firstLine="562"/>
        <w:rPr>
          <w:rFonts w:ascii="仿宋" w:hAnsi="仿宋" w:eastAsia="仿宋"/>
          <w:b/>
          <w:bCs/>
          <w:sz w:val="24"/>
          <w:szCs w:val="24"/>
        </w:rPr>
      </w:pPr>
      <w:r>
        <w:rPr>
          <w:rFonts w:hint="eastAsia" w:ascii="仿宋" w:hAnsi="仿宋" w:eastAsia="仿宋"/>
          <w:b/>
          <w:bCs/>
          <w:sz w:val="24"/>
          <w:szCs w:val="24"/>
        </w:rPr>
        <w:t>1．数据处理及时</w:t>
      </w:r>
    </w:p>
    <w:p>
      <w:pPr>
        <w:spacing w:line="276" w:lineRule="auto"/>
        <w:ind w:firstLine="560"/>
        <w:rPr>
          <w:rFonts w:ascii="仿宋" w:hAnsi="仿宋" w:eastAsia="仿宋"/>
          <w:sz w:val="24"/>
          <w:szCs w:val="24"/>
        </w:rPr>
      </w:pPr>
      <w:r>
        <w:rPr>
          <w:rFonts w:hint="eastAsia" w:ascii="仿宋" w:hAnsi="仿宋" w:eastAsia="仿宋"/>
          <w:sz w:val="24"/>
          <w:szCs w:val="24"/>
        </w:rPr>
        <w:t>1）在一个处理事务内接收与处理现场成绩系统数据。</w:t>
      </w:r>
    </w:p>
    <w:p>
      <w:pPr>
        <w:spacing w:line="276" w:lineRule="auto"/>
        <w:ind w:firstLine="560"/>
        <w:rPr>
          <w:rFonts w:ascii="仿宋" w:hAnsi="仿宋" w:eastAsia="仿宋"/>
          <w:sz w:val="24"/>
          <w:szCs w:val="24"/>
        </w:rPr>
      </w:pPr>
      <w:r>
        <w:rPr>
          <w:rFonts w:hint="eastAsia" w:ascii="仿宋" w:hAnsi="仿宋" w:eastAsia="仿宋"/>
          <w:sz w:val="24"/>
          <w:szCs w:val="24"/>
        </w:rPr>
        <w:t>2）及时通知信息发布系统更新发布信息。</w:t>
      </w:r>
    </w:p>
    <w:p>
      <w:pPr>
        <w:spacing w:line="276" w:lineRule="auto"/>
        <w:ind w:firstLine="562"/>
        <w:rPr>
          <w:rFonts w:ascii="仿宋" w:hAnsi="仿宋" w:eastAsia="仿宋"/>
          <w:b/>
          <w:bCs/>
          <w:sz w:val="24"/>
          <w:szCs w:val="24"/>
        </w:rPr>
      </w:pPr>
      <w:r>
        <w:rPr>
          <w:rFonts w:hint="eastAsia" w:ascii="仿宋" w:hAnsi="仿宋" w:eastAsia="仿宋"/>
          <w:b/>
          <w:bCs/>
          <w:sz w:val="24"/>
          <w:szCs w:val="24"/>
        </w:rPr>
        <w:t>2．系统运行稳定</w:t>
      </w:r>
    </w:p>
    <w:p>
      <w:pPr>
        <w:spacing w:line="276" w:lineRule="auto"/>
        <w:ind w:firstLine="560"/>
        <w:rPr>
          <w:rFonts w:ascii="仿宋" w:hAnsi="仿宋" w:eastAsia="仿宋"/>
          <w:sz w:val="24"/>
          <w:szCs w:val="24"/>
        </w:rPr>
      </w:pPr>
      <w:r>
        <w:rPr>
          <w:rFonts w:hint="eastAsia" w:ascii="仿宋" w:hAnsi="仿宋" w:eastAsia="仿宋"/>
          <w:sz w:val="24"/>
          <w:szCs w:val="24"/>
        </w:rPr>
        <w:t>1）中央成绩系统软件系统本身的稳定性；</w:t>
      </w:r>
    </w:p>
    <w:p>
      <w:pPr>
        <w:spacing w:line="276" w:lineRule="auto"/>
        <w:ind w:firstLine="560"/>
        <w:rPr>
          <w:rFonts w:ascii="仿宋" w:hAnsi="仿宋" w:eastAsia="仿宋"/>
          <w:sz w:val="24"/>
          <w:szCs w:val="24"/>
        </w:rPr>
      </w:pPr>
      <w:r>
        <w:rPr>
          <w:rFonts w:hint="eastAsia" w:ascii="仿宋" w:hAnsi="仿宋" w:eastAsia="仿宋"/>
          <w:sz w:val="24"/>
          <w:szCs w:val="24"/>
        </w:rPr>
        <w:t>2）中央成绩系统与其它系统进行数据通讯与数据交换的稳定性；</w:t>
      </w:r>
    </w:p>
    <w:p>
      <w:pPr>
        <w:spacing w:line="276" w:lineRule="auto"/>
        <w:ind w:firstLine="560"/>
        <w:rPr>
          <w:rFonts w:ascii="仿宋" w:hAnsi="仿宋" w:eastAsia="仿宋"/>
          <w:sz w:val="24"/>
          <w:szCs w:val="24"/>
        </w:rPr>
      </w:pPr>
      <w:r>
        <w:rPr>
          <w:rFonts w:hint="eastAsia" w:ascii="仿宋" w:hAnsi="仿宋" w:eastAsia="仿宋"/>
          <w:sz w:val="24"/>
          <w:szCs w:val="24"/>
        </w:rPr>
        <w:t>3）中央成绩系统硬件设备与性能的冗余设计，必须足以抗拒任何高峰阈值的冲击。</w:t>
      </w:r>
    </w:p>
    <w:p>
      <w:pPr>
        <w:spacing w:line="276" w:lineRule="auto"/>
        <w:ind w:firstLine="562"/>
        <w:rPr>
          <w:rFonts w:ascii="仿宋" w:hAnsi="仿宋" w:eastAsia="仿宋"/>
          <w:b/>
          <w:bCs/>
          <w:sz w:val="24"/>
          <w:szCs w:val="24"/>
        </w:rPr>
      </w:pPr>
      <w:r>
        <w:rPr>
          <w:rFonts w:hint="eastAsia" w:ascii="仿宋" w:hAnsi="仿宋" w:eastAsia="仿宋"/>
          <w:b/>
          <w:bCs/>
          <w:sz w:val="24"/>
          <w:szCs w:val="24"/>
        </w:rPr>
        <w:t>3．数据操作安全</w:t>
      </w:r>
    </w:p>
    <w:p>
      <w:pPr>
        <w:spacing w:line="276" w:lineRule="auto"/>
        <w:ind w:firstLine="560"/>
        <w:rPr>
          <w:rFonts w:ascii="仿宋" w:hAnsi="仿宋" w:eastAsia="仿宋"/>
          <w:sz w:val="24"/>
          <w:szCs w:val="24"/>
        </w:rPr>
      </w:pPr>
      <w:r>
        <w:rPr>
          <w:rFonts w:hint="eastAsia" w:ascii="仿宋" w:hAnsi="仿宋" w:eastAsia="仿宋"/>
          <w:sz w:val="24"/>
          <w:szCs w:val="24"/>
        </w:rPr>
        <w:t>在运动会运行服务期间，众多的系统需要与中央成绩系统进行数据交互，因此要对所有操作人员的权限和行为进行有效控制。此外对具体业务数据设置控制状态，以控制数据操作行为。</w:t>
      </w:r>
    </w:p>
    <w:p>
      <w:pPr>
        <w:spacing w:line="276" w:lineRule="auto"/>
        <w:ind w:firstLine="562"/>
        <w:rPr>
          <w:rFonts w:ascii="仿宋" w:hAnsi="仿宋" w:eastAsia="仿宋"/>
          <w:b/>
          <w:bCs/>
          <w:sz w:val="24"/>
          <w:szCs w:val="24"/>
        </w:rPr>
      </w:pPr>
      <w:r>
        <w:rPr>
          <w:rFonts w:hint="eastAsia" w:ascii="仿宋" w:hAnsi="仿宋" w:eastAsia="仿宋"/>
          <w:b/>
          <w:bCs/>
          <w:sz w:val="24"/>
          <w:szCs w:val="24"/>
        </w:rPr>
        <w:t>4．可配置可管理</w:t>
      </w:r>
    </w:p>
    <w:p>
      <w:pPr>
        <w:spacing w:line="276" w:lineRule="auto"/>
        <w:ind w:firstLine="560"/>
        <w:rPr>
          <w:rFonts w:ascii="仿宋" w:hAnsi="仿宋" w:eastAsia="仿宋"/>
          <w:sz w:val="24"/>
          <w:szCs w:val="24"/>
        </w:rPr>
      </w:pPr>
      <w:r>
        <w:rPr>
          <w:rFonts w:hint="eastAsia" w:ascii="仿宋" w:hAnsi="仿宋" w:eastAsia="仿宋"/>
          <w:sz w:val="24"/>
          <w:szCs w:val="24"/>
        </w:rPr>
        <w:t>设计单独的管理模块，对中央成绩系统进行集中配置。中央成绩系统的任务业务数据，对中央成绩系统应用程序来说都是可视的，可管理的，且任何操作都是可追溯的。</w:t>
      </w:r>
    </w:p>
    <w:p>
      <w:pPr>
        <w:spacing w:line="276" w:lineRule="auto"/>
        <w:ind w:firstLine="560"/>
        <w:rPr>
          <w:rFonts w:ascii="仿宋" w:hAnsi="仿宋" w:eastAsia="仿宋"/>
          <w:sz w:val="24"/>
          <w:szCs w:val="24"/>
        </w:rPr>
      </w:pPr>
    </w:p>
    <w:p>
      <w:pPr>
        <w:spacing w:line="276" w:lineRule="auto"/>
        <w:ind w:firstLine="560"/>
        <w:rPr>
          <w:rFonts w:ascii="仿宋" w:hAnsi="仿宋" w:eastAsia="仿宋"/>
          <w:sz w:val="24"/>
          <w:szCs w:val="24"/>
        </w:rPr>
      </w:pPr>
      <w:r>
        <w:rPr>
          <w:rFonts w:hint="eastAsia" w:ascii="仿宋" w:hAnsi="仿宋" w:eastAsia="仿宋"/>
          <w:sz w:val="24"/>
          <w:szCs w:val="24"/>
        </w:rPr>
        <w:t>（二）信息发布系统：</w:t>
      </w:r>
    </w:p>
    <w:p>
      <w:pPr>
        <w:spacing w:line="276" w:lineRule="auto"/>
        <w:ind w:firstLine="560"/>
        <w:rPr>
          <w:rFonts w:ascii="仿宋" w:hAnsi="仿宋" w:eastAsia="仿宋"/>
          <w:sz w:val="24"/>
          <w:szCs w:val="24"/>
        </w:rPr>
      </w:pPr>
      <w:r>
        <w:rPr>
          <w:rFonts w:hint="eastAsia" w:ascii="仿宋" w:hAnsi="仿宋" w:eastAsia="仿宋"/>
          <w:sz w:val="24"/>
          <w:szCs w:val="24"/>
        </w:rPr>
        <w:t>信息发布系统是大运会信息系统的重要组成部分，是执委会官员、参赛人员、新闻媒体、社会公众等获取运动会竞赛信息的重要渠道。信息发布系统应遵循信息及时、内容丰富、数据准确、界面友好的基本原则进行设计。</w:t>
      </w:r>
    </w:p>
    <w:p>
      <w:pPr>
        <w:spacing w:line="276" w:lineRule="auto"/>
        <w:ind w:firstLine="560"/>
        <w:rPr>
          <w:rFonts w:ascii="仿宋" w:hAnsi="仿宋" w:eastAsia="仿宋"/>
          <w:sz w:val="24"/>
          <w:szCs w:val="24"/>
        </w:rPr>
      </w:pPr>
      <w:r>
        <w:rPr>
          <w:rFonts w:hint="eastAsia" w:ascii="仿宋" w:hAnsi="仿宋" w:eastAsia="仿宋"/>
          <w:sz w:val="24"/>
          <w:szCs w:val="24"/>
        </w:rPr>
        <w:t>信息发布系统的设计应遵循的基本原则是：</w:t>
      </w:r>
    </w:p>
    <w:p>
      <w:pPr>
        <w:spacing w:line="276" w:lineRule="auto"/>
        <w:ind w:firstLine="560"/>
        <w:rPr>
          <w:rFonts w:ascii="仿宋" w:hAnsi="仿宋" w:eastAsia="仿宋"/>
          <w:b/>
          <w:sz w:val="24"/>
          <w:szCs w:val="24"/>
        </w:rPr>
      </w:pPr>
      <w:r>
        <w:rPr>
          <w:rFonts w:ascii="仿宋" w:hAnsi="仿宋" w:eastAsia="仿宋"/>
          <w:b/>
          <w:sz w:val="24"/>
          <w:szCs w:val="24"/>
        </w:rPr>
        <w:t>1</w:t>
      </w:r>
      <w:r>
        <w:rPr>
          <w:rFonts w:hint="eastAsia" w:ascii="仿宋" w:hAnsi="仿宋" w:eastAsia="仿宋"/>
          <w:b/>
          <w:sz w:val="24"/>
          <w:szCs w:val="24"/>
        </w:rPr>
        <w:t>．信息及时</w:t>
      </w:r>
    </w:p>
    <w:p>
      <w:pPr>
        <w:spacing w:line="276" w:lineRule="auto"/>
        <w:ind w:firstLine="560"/>
        <w:rPr>
          <w:rFonts w:ascii="仿宋" w:hAnsi="仿宋" w:eastAsia="仿宋"/>
          <w:sz w:val="24"/>
          <w:szCs w:val="24"/>
        </w:rPr>
      </w:pPr>
      <w:r>
        <w:rPr>
          <w:rFonts w:hint="eastAsia" w:ascii="仿宋" w:hAnsi="仿宋" w:eastAsia="仿宋"/>
          <w:sz w:val="24"/>
          <w:szCs w:val="24"/>
        </w:rPr>
        <w:t>信息发布系统的用户群首要关注的是及时的赛事信息，无论是信息查询，还是官方网站发布结果，信息发布系统都必须考虑信息的时效性能，也只有及时的信息才是有意义的。</w:t>
      </w:r>
    </w:p>
    <w:p>
      <w:pPr>
        <w:spacing w:line="276" w:lineRule="auto"/>
        <w:ind w:firstLine="560"/>
        <w:rPr>
          <w:rFonts w:ascii="仿宋" w:hAnsi="仿宋" w:eastAsia="仿宋"/>
          <w:b/>
          <w:sz w:val="24"/>
          <w:szCs w:val="24"/>
        </w:rPr>
      </w:pPr>
      <w:r>
        <w:rPr>
          <w:rFonts w:ascii="仿宋" w:hAnsi="仿宋" w:eastAsia="仿宋"/>
          <w:b/>
          <w:sz w:val="24"/>
          <w:szCs w:val="24"/>
        </w:rPr>
        <w:t>2</w:t>
      </w:r>
      <w:r>
        <w:rPr>
          <w:rFonts w:hint="eastAsia" w:ascii="仿宋" w:hAnsi="仿宋" w:eastAsia="仿宋"/>
          <w:b/>
          <w:sz w:val="24"/>
          <w:szCs w:val="24"/>
        </w:rPr>
        <w:t>．内容丰富</w:t>
      </w:r>
    </w:p>
    <w:p>
      <w:pPr>
        <w:spacing w:line="276" w:lineRule="auto"/>
        <w:ind w:firstLine="560"/>
        <w:rPr>
          <w:rFonts w:ascii="仿宋" w:hAnsi="仿宋" w:eastAsia="仿宋"/>
          <w:sz w:val="24"/>
          <w:szCs w:val="24"/>
        </w:rPr>
      </w:pPr>
      <w:r>
        <w:rPr>
          <w:rFonts w:hint="eastAsia" w:ascii="仿宋" w:hAnsi="仿宋" w:eastAsia="仿宋"/>
          <w:sz w:val="24"/>
          <w:szCs w:val="24"/>
        </w:rPr>
        <w:t>信息发布的展示手段多种多样，信息发布系统需要能够提供完备、丰富的内容，以利于发布平台为用户呈现最完美的使用体验。</w:t>
      </w:r>
    </w:p>
    <w:p>
      <w:pPr>
        <w:spacing w:line="276" w:lineRule="auto"/>
        <w:ind w:firstLine="560"/>
        <w:rPr>
          <w:rFonts w:ascii="仿宋" w:hAnsi="仿宋" w:eastAsia="仿宋"/>
          <w:b/>
          <w:sz w:val="24"/>
          <w:szCs w:val="24"/>
        </w:rPr>
      </w:pPr>
      <w:r>
        <w:rPr>
          <w:rFonts w:ascii="仿宋" w:hAnsi="仿宋" w:eastAsia="仿宋"/>
          <w:b/>
          <w:sz w:val="24"/>
          <w:szCs w:val="24"/>
        </w:rPr>
        <w:t>3</w:t>
      </w:r>
      <w:r>
        <w:rPr>
          <w:rFonts w:hint="eastAsia" w:ascii="仿宋" w:hAnsi="仿宋" w:eastAsia="仿宋"/>
          <w:b/>
          <w:sz w:val="24"/>
          <w:szCs w:val="24"/>
        </w:rPr>
        <w:t>．数据准确</w:t>
      </w:r>
    </w:p>
    <w:p>
      <w:pPr>
        <w:spacing w:line="276" w:lineRule="auto"/>
        <w:ind w:firstLine="560"/>
        <w:rPr>
          <w:rFonts w:ascii="仿宋" w:hAnsi="仿宋" w:eastAsia="仿宋"/>
          <w:sz w:val="24"/>
          <w:szCs w:val="24"/>
        </w:rPr>
      </w:pPr>
      <w:r>
        <w:rPr>
          <w:rFonts w:hint="eastAsia" w:ascii="仿宋" w:hAnsi="仿宋" w:eastAsia="仿宋"/>
          <w:sz w:val="24"/>
          <w:szCs w:val="24"/>
        </w:rPr>
        <w:t>信息发布的数据必须保证其准确性，如果信息发布的数据发生错误而被公布，则可能引起不必要的信息误导，将造成不良的影响。因此，信息发布系统设计时，必须保证其数据与源一致，不能引入任何的计算或二次处理。</w:t>
      </w:r>
    </w:p>
    <w:p>
      <w:pPr>
        <w:spacing w:line="276" w:lineRule="auto"/>
        <w:ind w:firstLine="560"/>
        <w:rPr>
          <w:rFonts w:ascii="仿宋" w:hAnsi="仿宋" w:eastAsia="仿宋"/>
          <w:b/>
          <w:sz w:val="24"/>
          <w:szCs w:val="24"/>
        </w:rPr>
      </w:pPr>
      <w:r>
        <w:rPr>
          <w:rFonts w:ascii="仿宋" w:hAnsi="仿宋" w:eastAsia="仿宋"/>
          <w:b/>
          <w:sz w:val="24"/>
          <w:szCs w:val="24"/>
        </w:rPr>
        <w:t>4</w:t>
      </w:r>
      <w:r>
        <w:rPr>
          <w:rFonts w:hint="eastAsia" w:ascii="仿宋" w:hAnsi="仿宋" w:eastAsia="仿宋"/>
          <w:b/>
          <w:sz w:val="24"/>
          <w:szCs w:val="24"/>
        </w:rPr>
        <w:t>．界面友好</w:t>
      </w:r>
    </w:p>
    <w:p>
      <w:pPr>
        <w:spacing w:line="276" w:lineRule="auto"/>
        <w:ind w:firstLine="560"/>
        <w:rPr>
          <w:rFonts w:ascii="仿宋" w:hAnsi="仿宋" w:eastAsia="仿宋"/>
          <w:sz w:val="24"/>
          <w:szCs w:val="24"/>
        </w:rPr>
      </w:pPr>
      <w:r>
        <w:rPr>
          <w:rFonts w:hint="eastAsia" w:ascii="仿宋" w:hAnsi="仿宋" w:eastAsia="仿宋"/>
          <w:sz w:val="24"/>
          <w:szCs w:val="24"/>
        </w:rPr>
        <w:t>信息查询要提供美观、统一的操作界面。</w:t>
      </w:r>
    </w:p>
    <w:p>
      <w:pPr>
        <w:spacing w:line="276" w:lineRule="auto"/>
        <w:ind w:firstLine="560"/>
        <w:rPr>
          <w:rFonts w:ascii="仿宋" w:hAnsi="仿宋" w:eastAsia="仿宋"/>
          <w:sz w:val="24"/>
          <w:szCs w:val="24"/>
        </w:rPr>
      </w:pPr>
      <w:r>
        <w:rPr>
          <w:rFonts w:hint="eastAsia" w:ascii="仿宋" w:hAnsi="仿宋" w:eastAsia="仿宋"/>
          <w:sz w:val="24"/>
          <w:szCs w:val="24"/>
        </w:rPr>
        <w:t>（三）场馆成绩系统</w:t>
      </w:r>
    </w:p>
    <w:p>
      <w:pPr>
        <w:spacing w:line="276" w:lineRule="auto"/>
        <w:ind w:firstLine="560"/>
        <w:rPr>
          <w:rFonts w:ascii="仿宋" w:hAnsi="仿宋" w:eastAsia="仿宋"/>
          <w:sz w:val="24"/>
          <w:szCs w:val="24"/>
        </w:rPr>
      </w:pPr>
      <w:r>
        <w:rPr>
          <w:rFonts w:hint="eastAsia" w:ascii="仿宋" w:hAnsi="仿宋" w:eastAsia="仿宋"/>
          <w:sz w:val="24"/>
          <w:szCs w:val="24"/>
        </w:rPr>
        <w:t>场馆成绩系统将建立在安全、高效的GAMES专网内进行数据的传输，各个场馆通过高效交换机收发数据，进行数据的交互。</w:t>
      </w:r>
    </w:p>
    <w:p>
      <w:pPr>
        <w:spacing w:line="276" w:lineRule="auto"/>
        <w:ind w:firstLine="560"/>
        <w:rPr>
          <w:rFonts w:ascii="仿宋" w:hAnsi="仿宋" w:eastAsia="仿宋"/>
          <w:sz w:val="24"/>
          <w:szCs w:val="24"/>
        </w:rPr>
      </w:pPr>
      <w:r>
        <w:rPr>
          <w:rFonts w:hint="eastAsia" w:ascii="仿宋" w:hAnsi="仿宋" w:eastAsia="仿宋"/>
          <w:sz w:val="24"/>
          <w:szCs w:val="24"/>
        </w:rPr>
        <w:t>场馆成绩系统中的成绩处理系统对计时记分系统传输的数据进行数据交互，并将处理后的数据以最快的方式传输到各外部系统。</w:t>
      </w:r>
    </w:p>
    <w:p>
      <w:pPr>
        <w:spacing w:line="276" w:lineRule="auto"/>
        <w:ind w:firstLine="560"/>
        <w:rPr>
          <w:rFonts w:ascii="仿宋" w:hAnsi="仿宋" w:eastAsia="仿宋"/>
          <w:sz w:val="24"/>
          <w:szCs w:val="24"/>
        </w:rPr>
      </w:pPr>
      <w:r>
        <w:rPr>
          <w:rFonts w:hint="eastAsia" w:ascii="仿宋" w:hAnsi="仿宋" w:eastAsia="仿宋"/>
          <w:sz w:val="24"/>
          <w:szCs w:val="24"/>
        </w:rPr>
        <w:t>（1）准确性：必须从计时记分设备中获取正确的数据；</w:t>
      </w:r>
    </w:p>
    <w:p>
      <w:pPr>
        <w:spacing w:line="276" w:lineRule="auto"/>
        <w:ind w:firstLine="560"/>
        <w:rPr>
          <w:rFonts w:ascii="仿宋" w:hAnsi="仿宋" w:eastAsia="仿宋"/>
          <w:sz w:val="24"/>
          <w:szCs w:val="24"/>
        </w:rPr>
      </w:pPr>
      <w:r>
        <w:rPr>
          <w:rFonts w:hint="eastAsia" w:ascii="仿宋" w:hAnsi="仿宋" w:eastAsia="仿宋"/>
          <w:sz w:val="24"/>
          <w:szCs w:val="24"/>
        </w:rPr>
        <w:t>（2）适应能力：必须能够处理不同类型的计时记分设备并要求运行正常；</w:t>
      </w:r>
    </w:p>
    <w:p>
      <w:pPr>
        <w:spacing w:line="276" w:lineRule="auto"/>
        <w:ind w:firstLine="560"/>
        <w:rPr>
          <w:rFonts w:ascii="仿宋" w:hAnsi="仿宋" w:eastAsia="仿宋"/>
          <w:sz w:val="24"/>
          <w:szCs w:val="24"/>
        </w:rPr>
      </w:pPr>
      <w:r>
        <w:rPr>
          <w:rFonts w:hint="eastAsia" w:ascii="仿宋" w:hAnsi="仿宋" w:eastAsia="仿宋"/>
          <w:sz w:val="24"/>
          <w:szCs w:val="24"/>
        </w:rPr>
        <w:t>（3）协议：必须能够生成、存储、应用各种可靠的、有效的协议；</w:t>
      </w:r>
    </w:p>
    <w:p>
      <w:pPr>
        <w:spacing w:line="276" w:lineRule="auto"/>
        <w:ind w:firstLine="560"/>
        <w:rPr>
          <w:rFonts w:ascii="仿宋" w:hAnsi="仿宋" w:eastAsia="仿宋"/>
          <w:sz w:val="24"/>
          <w:szCs w:val="24"/>
        </w:rPr>
      </w:pPr>
      <w:r>
        <w:rPr>
          <w:rFonts w:hint="eastAsia" w:ascii="仿宋" w:hAnsi="仿宋" w:eastAsia="仿宋"/>
          <w:sz w:val="24"/>
          <w:szCs w:val="24"/>
        </w:rPr>
        <w:t>（4）简便：运动会赛事系统与计时记分系统之间的连接必须简便易用。</w:t>
      </w:r>
    </w:p>
    <w:p>
      <w:pPr>
        <w:spacing w:line="276" w:lineRule="auto"/>
        <w:ind w:firstLine="560"/>
        <w:rPr>
          <w:rFonts w:ascii="仿宋" w:hAnsi="仿宋" w:eastAsia="仿宋"/>
          <w:sz w:val="24"/>
          <w:szCs w:val="24"/>
        </w:rPr>
      </w:pPr>
      <w:r>
        <w:rPr>
          <w:rFonts w:hint="eastAsia" w:ascii="仿宋" w:hAnsi="仿宋" w:eastAsia="仿宋"/>
          <w:sz w:val="24"/>
          <w:szCs w:val="24"/>
        </w:rPr>
        <w:t>公共大屏系统采用统一的模板以及操作流程进行展示操作。</w:t>
      </w:r>
    </w:p>
    <w:p>
      <w:pPr>
        <w:spacing w:line="276" w:lineRule="auto"/>
        <w:ind w:firstLine="560"/>
        <w:rPr>
          <w:rFonts w:ascii="仿宋" w:hAnsi="仿宋" w:eastAsia="仿宋"/>
          <w:sz w:val="24"/>
          <w:szCs w:val="24"/>
        </w:rPr>
      </w:pPr>
      <w:r>
        <w:rPr>
          <w:rFonts w:hint="eastAsia" w:ascii="仿宋" w:hAnsi="仿宋" w:eastAsia="仿宋"/>
          <w:sz w:val="24"/>
          <w:szCs w:val="24"/>
        </w:rPr>
        <w:t>技术统计系统的服务要求为赛前从信息交换系统获取比赛时间、名单等信息，并输入首发名单、出场序、球衣颜色等信息，赛中，由技术统计裁判或者指定技术操作员负责技术统计系统的现场操作，并通过与数据交换系统的数据接口，实时将比赛数据发送给数据交换系统进行后续处理，赛后对统计的数据进行综合评定分析。</w:t>
      </w:r>
    </w:p>
    <w:p>
      <w:pPr>
        <w:spacing w:line="276" w:lineRule="auto"/>
        <w:ind w:firstLine="560"/>
        <w:rPr>
          <w:rFonts w:ascii="仿宋" w:hAnsi="仿宋" w:eastAsia="仿宋"/>
          <w:sz w:val="24"/>
          <w:szCs w:val="24"/>
        </w:rPr>
      </w:pPr>
      <w:r>
        <w:rPr>
          <w:rFonts w:hint="eastAsia" w:ascii="仿宋" w:hAnsi="仿宋" w:eastAsia="仿宋"/>
          <w:sz w:val="24"/>
          <w:szCs w:val="24"/>
        </w:rPr>
        <w:t>评论员系统在运动会比赛期间，为现场转播评论员实时地提供当前成绩信息，方便评论员对比赛进行更详尽的现场报道。在比赛的任何期间、任何比赛场馆，评论员都可以通过评论员系统获取不同项目、不同比赛场馆的实时成绩、奖牌数据、比赛进程以及日常比赛工作时刻表等信息，随时了解比赛的情况。</w:t>
      </w:r>
    </w:p>
    <w:p>
      <w:pPr>
        <w:keepNext/>
        <w:keepLines/>
        <w:numPr>
          <w:ilvl w:val="0"/>
          <w:numId w:val="40"/>
        </w:numPr>
        <w:tabs>
          <w:tab w:val="left" w:pos="480"/>
        </w:tabs>
        <w:spacing w:before="240" w:beforeLines="100" w:line="276" w:lineRule="auto"/>
        <w:ind w:left="482" w:hanging="482" w:hangingChars="200"/>
        <w:outlineLvl w:val="2"/>
        <w:rPr>
          <w:rFonts w:ascii="仿宋" w:hAnsi="仿宋" w:eastAsia="仿宋"/>
          <w:b/>
          <w:kern w:val="0"/>
          <w:sz w:val="24"/>
          <w:szCs w:val="24"/>
        </w:rPr>
      </w:pPr>
      <w:r>
        <w:rPr>
          <w:rFonts w:hint="eastAsia" w:ascii="仿宋" w:hAnsi="仿宋" w:eastAsia="仿宋"/>
          <w:b/>
          <w:kern w:val="0"/>
          <w:sz w:val="24"/>
          <w:szCs w:val="24"/>
        </w:rPr>
        <w:t>系统保障</w:t>
      </w:r>
    </w:p>
    <w:p>
      <w:pPr>
        <w:spacing w:line="276" w:lineRule="auto"/>
        <w:ind w:firstLine="560"/>
        <w:rPr>
          <w:rFonts w:ascii="仿宋" w:hAnsi="仿宋" w:eastAsia="仿宋"/>
          <w:sz w:val="24"/>
          <w:szCs w:val="24"/>
        </w:rPr>
      </w:pPr>
      <w:r>
        <w:rPr>
          <w:rFonts w:hint="eastAsia" w:ascii="仿宋" w:hAnsi="仿宋" w:eastAsia="仿宋"/>
          <w:sz w:val="24"/>
          <w:szCs w:val="24"/>
        </w:rPr>
        <w:t>系统保障包含综合及场馆成绩系统服务中通用设备计划、人员配置计划、人员培训计划等。</w:t>
      </w:r>
    </w:p>
    <w:p>
      <w:pPr>
        <w:numPr>
          <w:ilvl w:val="0"/>
          <w:numId w:val="41"/>
        </w:numPr>
        <w:spacing w:line="276" w:lineRule="auto"/>
        <w:rPr>
          <w:rFonts w:ascii="仿宋" w:hAnsi="仿宋" w:eastAsia="仿宋"/>
          <w:b/>
          <w:sz w:val="24"/>
          <w:szCs w:val="24"/>
        </w:rPr>
      </w:pPr>
      <w:r>
        <w:rPr>
          <w:rFonts w:hint="eastAsia" w:ascii="仿宋" w:hAnsi="仿宋" w:eastAsia="仿宋"/>
          <w:b/>
          <w:sz w:val="24"/>
          <w:szCs w:val="24"/>
        </w:rPr>
        <w:t>▲</w:t>
      </w:r>
      <w:r>
        <w:rPr>
          <w:rFonts w:hint="eastAsia" w:ascii="仿宋" w:hAnsi="仿宋" w:eastAsia="仿宋"/>
          <w:b/>
          <w:sz w:val="24"/>
          <w:szCs w:val="24"/>
          <w:u w:val="single"/>
        </w:rPr>
        <w:t>场馆成绩系统人员配置包括不少于以下人员数量要求：成绩经理</w:t>
      </w:r>
      <w:r>
        <w:rPr>
          <w:rFonts w:ascii="仿宋" w:hAnsi="仿宋" w:eastAsia="仿宋"/>
          <w:b/>
          <w:sz w:val="24"/>
          <w:szCs w:val="24"/>
          <w:u w:val="single"/>
        </w:rPr>
        <w:t>19</w:t>
      </w:r>
      <w:r>
        <w:rPr>
          <w:rFonts w:hint="eastAsia" w:ascii="仿宋" w:hAnsi="仿宋" w:eastAsia="仿宋"/>
          <w:b/>
          <w:sz w:val="24"/>
          <w:szCs w:val="24"/>
          <w:u w:val="single"/>
        </w:rPr>
        <w:t>人、成绩处理工程师</w:t>
      </w:r>
      <w:r>
        <w:rPr>
          <w:rFonts w:ascii="仿宋" w:hAnsi="仿宋" w:eastAsia="仿宋"/>
          <w:b/>
          <w:sz w:val="24"/>
          <w:szCs w:val="24"/>
          <w:u w:val="single"/>
        </w:rPr>
        <w:t>128</w:t>
      </w:r>
      <w:r>
        <w:rPr>
          <w:rFonts w:hint="eastAsia" w:ascii="仿宋" w:hAnsi="仿宋" w:eastAsia="仿宋"/>
          <w:b/>
          <w:sz w:val="24"/>
          <w:szCs w:val="24"/>
          <w:u w:val="single"/>
        </w:rPr>
        <w:t>人、技术统计工程师</w:t>
      </w:r>
      <w:r>
        <w:rPr>
          <w:rFonts w:ascii="仿宋" w:hAnsi="仿宋" w:eastAsia="仿宋"/>
          <w:b/>
          <w:sz w:val="24"/>
          <w:szCs w:val="24"/>
          <w:u w:val="single"/>
        </w:rPr>
        <w:t>49</w:t>
      </w:r>
      <w:r>
        <w:rPr>
          <w:rFonts w:hint="eastAsia" w:ascii="仿宋" w:hAnsi="仿宋" w:eastAsia="仿宋"/>
          <w:b/>
          <w:sz w:val="24"/>
          <w:szCs w:val="24"/>
          <w:u w:val="single"/>
        </w:rPr>
        <w:t>人、公共显示屏控制工程师</w:t>
      </w:r>
      <w:r>
        <w:rPr>
          <w:rFonts w:ascii="仿宋" w:hAnsi="仿宋" w:eastAsia="仿宋"/>
          <w:b/>
          <w:sz w:val="24"/>
          <w:szCs w:val="24"/>
          <w:u w:val="single"/>
        </w:rPr>
        <w:t>29</w:t>
      </w:r>
      <w:r>
        <w:rPr>
          <w:rFonts w:hint="eastAsia" w:ascii="仿宋" w:hAnsi="仿宋" w:eastAsia="仿宋"/>
          <w:b/>
          <w:sz w:val="24"/>
          <w:szCs w:val="24"/>
          <w:u w:val="single"/>
        </w:rPr>
        <w:t>人、评论员系统工程师</w:t>
      </w:r>
      <w:r>
        <w:rPr>
          <w:rFonts w:ascii="仿宋" w:hAnsi="仿宋" w:eastAsia="仿宋"/>
          <w:b/>
          <w:sz w:val="24"/>
          <w:szCs w:val="24"/>
          <w:u w:val="single"/>
        </w:rPr>
        <w:t>18</w:t>
      </w:r>
      <w:r>
        <w:rPr>
          <w:rFonts w:hint="eastAsia" w:ascii="仿宋" w:hAnsi="仿宋" w:eastAsia="仿宋"/>
          <w:b/>
          <w:sz w:val="24"/>
          <w:szCs w:val="24"/>
          <w:u w:val="single"/>
        </w:rPr>
        <w:t>人▲</w:t>
      </w:r>
      <w:r>
        <w:rPr>
          <w:rFonts w:hint="eastAsia" w:ascii="仿宋" w:hAnsi="仿宋" w:eastAsia="仿宋"/>
          <w:b/>
          <w:sz w:val="24"/>
          <w:szCs w:val="24"/>
        </w:rPr>
        <w:t>。</w:t>
      </w:r>
    </w:p>
    <w:p>
      <w:pPr>
        <w:numPr>
          <w:ilvl w:val="0"/>
          <w:numId w:val="41"/>
        </w:numPr>
        <w:spacing w:line="276" w:lineRule="auto"/>
        <w:rPr>
          <w:rFonts w:ascii="仿宋" w:hAnsi="仿宋" w:eastAsia="仿宋"/>
          <w:b/>
          <w:sz w:val="24"/>
          <w:szCs w:val="24"/>
        </w:rPr>
      </w:pPr>
      <w:r>
        <w:rPr>
          <w:rFonts w:hint="eastAsia" w:ascii="仿宋" w:hAnsi="仿宋" w:eastAsia="仿宋"/>
          <w:b/>
          <w:sz w:val="24"/>
          <w:szCs w:val="24"/>
          <w:u w:val="single"/>
        </w:rPr>
        <w:t>中央成绩系统人员配置包括不少于以下人员数量要求：主管1人、副主管1人、工程师6人、应急人员10人。</w:t>
      </w:r>
    </w:p>
    <w:p>
      <w:pPr>
        <w:numPr>
          <w:ilvl w:val="0"/>
          <w:numId w:val="41"/>
        </w:numPr>
        <w:spacing w:line="276" w:lineRule="auto"/>
        <w:rPr>
          <w:rFonts w:ascii="仿宋" w:hAnsi="仿宋" w:eastAsia="仿宋"/>
          <w:b/>
          <w:sz w:val="24"/>
          <w:szCs w:val="24"/>
        </w:rPr>
      </w:pPr>
      <w:r>
        <w:rPr>
          <w:rFonts w:hint="eastAsia" w:ascii="仿宋" w:hAnsi="仿宋" w:eastAsia="仿宋"/>
          <w:b/>
          <w:sz w:val="24"/>
          <w:szCs w:val="24"/>
          <w:u w:val="single"/>
        </w:rPr>
        <w:t>信息发布系统人员配置包括不少于以下人员数量要求：主管1人、副主管2人、工程师16人、应急人员5人。</w:t>
      </w:r>
    </w:p>
    <w:p>
      <w:pPr>
        <w:numPr>
          <w:ilvl w:val="0"/>
          <w:numId w:val="41"/>
        </w:numPr>
        <w:spacing w:line="276" w:lineRule="auto"/>
        <w:rPr>
          <w:rFonts w:ascii="仿宋" w:hAnsi="仿宋" w:eastAsia="仿宋"/>
          <w:sz w:val="24"/>
          <w:szCs w:val="24"/>
        </w:rPr>
      </w:pPr>
      <w:r>
        <w:rPr>
          <w:rFonts w:hint="eastAsia" w:ascii="仿宋" w:hAnsi="仿宋" w:eastAsia="仿宋"/>
          <w:sz w:val="24"/>
          <w:szCs w:val="24"/>
        </w:rPr>
        <w:t>成交投标人成交后需要按照国际大体联技术指南最新版本提出的建设要求进行系统建设，并且在大运会建设期间负责与国际大体联关于建设内容进行沟通确认。</w:t>
      </w:r>
    </w:p>
    <w:p>
      <w:pPr>
        <w:numPr>
          <w:ilvl w:val="0"/>
          <w:numId w:val="41"/>
        </w:numPr>
        <w:spacing w:line="276" w:lineRule="auto"/>
        <w:rPr>
          <w:rFonts w:ascii="仿宋" w:hAnsi="仿宋" w:eastAsia="仿宋"/>
          <w:b/>
          <w:sz w:val="24"/>
          <w:szCs w:val="24"/>
        </w:rPr>
      </w:pPr>
      <w:r>
        <w:rPr>
          <w:rFonts w:hint="eastAsia" w:ascii="仿宋" w:hAnsi="仿宋" w:eastAsia="仿宋"/>
          <w:b/>
          <w:sz w:val="24"/>
          <w:szCs w:val="24"/>
        </w:rPr>
        <w:t>▲</w:t>
      </w:r>
      <w:r>
        <w:rPr>
          <w:rFonts w:hint="eastAsia" w:ascii="仿宋" w:hAnsi="仿宋" w:eastAsia="仿宋"/>
          <w:b/>
          <w:sz w:val="24"/>
          <w:szCs w:val="24"/>
          <w:u w:val="single"/>
        </w:rPr>
        <w:t>成交投标人所提供的综合及场馆成绩系统服务需满足国际大体联、国际（国内）单项体育联合协会的要求</w:t>
      </w:r>
      <w:r>
        <w:rPr>
          <w:rFonts w:hint="eastAsia" w:ascii="仿宋" w:hAnsi="仿宋" w:eastAsia="仿宋"/>
          <w:b/>
          <w:sz w:val="24"/>
          <w:szCs w:val="24"/>
        </w:rPr>
        <w:t>▲。</w:t>
      </w:r>
    </w:p>
    <w:p>
      <w:pPr>
        <w:keepNext/>
        <w:keepLines/>
        <w:numPr>
          <w:ilvl w:val="0"/>
          <w:numId w:val="40"/>
        </w:numPr>
        <w:tabs>
          <w:tab w:val="left" w:pos="480"/>
        </w:tabs>
        <w:spacing w:before="240" w:beforeLines="100" w:line="276" w:lineRule="auto"/>
        <w:ind w:left="482" w:hanging="482" w:hangingChars="200"/>
        <w:outlineLvl w:val="2"/>
        <w:rPr>
          <w:rFonts w:ascii="仿宋" w:hAnsi="仿宋" w:eastAsia="仿宋"/>
          <w:kern w:val="0"/>
          <w:sz w:val="24"/>
          <w:szCs w:val="24"/>
        </w:rPr>
      </w:pPr>
      <w:r>
        <w:rPr>
          <w:rFonts w:hint="eastAsia" w:ascii="仿宋" w:hAnsi="仿宋" w:eastAsia="仿宋"/>
          <w:b/>
          <w:kern w:val="0"/>
          <w:sz w:val="24"/>
          <w:szCs w:val="24"/>
        </w:rPr>
        <w:t>赛事运行服务要求</w:t>
      </w:r>
    </w:p>
    <w:p>
      <w:pPr>
        <w:spacing w:line="276" w:lineRule="auto"/>
        <w:ind w:firstLine="560"/>
        <w:rPr>
          <w:rFonts w:ascii="仿宋" w:hAnsi="仿宋" w:eastAsia="仿宋"/>
          <w:sz w:val="24"/>
          <w:szCs w:val="24"/>
        </w:rPr>
      </w:pPr>
      <w:r>
        <w:rPr>
          <w:rFonts w:hint="eastAsia" w:ascii="仿宋" w:hAnsi="仿宋" w:eastAsia="仿宋"/>
          <w:sz w:val="24"/>
          <w:szCs w:val="24"/>
        </w:rPr>
        <w:t>赛事运行服务主要指在集成测试、测试赛、联试联调、赛时运行和赛事收尾等阶段提供相应的运行服务保障，以确保赛事的顺利进行。赛时运行服务主要工作包括在项目的各个阶段对项目的范围、时间、成本、质量、风险和采购进行相应的控制以及在各过程合理调配人力资源和设备，以实现更好的服务保障，确保本届大运会信息化建设顺畅。</w:t>
      </w:r>
    </w:p>
    <w:p>
      <w:pPr>
        <w:keepNext/>
        <w:keepLines/>
        <w:numPr>
          <w:ilvl w:val="0"/>
          <w:numId w:val="40"/>
        </w:numPr>
        <w:tabs>
          <w:tab w:val="left" w:pos="480"/>
        </w:tabs>
        <w:spacing w:before="240" w:beforeLines="100" w:line="276" w:lineRule="auto"/>
        <w:ind w:left="482" w:hanging="482" w:hangingChars="200"/>
        <w:outlineLvl w:val="2"/>
        <w:rPr>
          <w:rFonts w:ascii="仿宋" w:hAnsi="仿宋" w:eastAsia="仿宋"/>
          <w:b/>
          <w:kern w:val="0"/>
          <w:sz w:val="24"/>
          <w:szCs w:val="24"/>
        </w:rPr>
      </w:pPr>
      <w:r>
        <w:rPr>
          <w:rFonts w:hint="eastAsia" w:ascii="仿宋" w:hAnsi="仿宋" w:eastAsia="仿宋"/>
          <w:b/>
          <w:kern w:val="0"/>
          <w:sz w:val="24"/>
          <w:szCs w:val="24"/>
        </w:rPr>
        <w:t>▲系统专项设计▲</w:t>
      </w:r>
    </w:p>
    <w:p>
      <w:pPr>
        <w:spacing w:line="360" w:lineRule="auto"/>
        <w:ind w:firstLine="482"/>
        <w:rPr>
          <w:rFonts w:ascii="仿宋" w:hAnsi="仿宋" w:eastAsia="仿宋"/>
          <w:b/>
          <w:sz w:val="24"/>
          <w:szCs w:val="24"/>
        </w:rPr>
      </w:pPr>
      <w:r>
        <w:rPr>
          <w:rFonts w:hint="eastAsia" w:ascii="仿宋" w:hAnsi="仿宋" w:eastAsia="仿宋"/>
          <w:b/>
          <w:sz w:val="24"/>
          <w:szCs w:val="24"/>
        </w:rPr>
        <w:t>投标人需按照招标方要求配合完成系统专项设计：包括但不限于《系统深化设计方案》、《需求调研报告》、《需求规格说明书》、《数据库设计》、《概要设计》、《一馆一册》等文档以及各部分的子项目设计分册等内容。</w:t>
      </w:r>
    </w:p>
    <w:p>
      <w:pPr>
        <w:keepNext/>
        <w:keepLines/>
        <w:numPr>
          <w:ilvl w:val="0"/>
          <w:numId w:val="40"/>
        </w:numPr>
        <w:tabs>
          <w:tab w:val="left" w:pos="480"/>
        </w:tabs>
        <w:spacing w:before="240" w:beforeLines="100" w:line="276" w:lineRule="auto"/>
        <w:ind w:left="482" w:hanging="482" w:hangingChars="200"/>
        <w:outlineLvl w:val="2"/>
        <w:rPr>
          <w:rFonts w:ascii="仿宋" w:hAnsi="仿宋" w:eastAsia="仿宋"/>
          <w:kern w:val="0"/>
          <w:sz w:val="24"/>
          <w:szCs w:val="24"/>
        </w:rPr>
      </w:pPr>
      <w:r>
        <w:rPr>
          <w:rFonts w:hint="eastAsia" w:ascii="仿宋" w:hAnsi="仿宋" w:eastAsia="仿宋"/>
          <w:b/>
          <w:kern w:val="0"/>
          <w:sz w:val="24"/>
          <w:szCs w:val="24"/>
        </w:rPr>
        <w:t>赛事运行保障</w:t>
      </w:r>
    </w:p>
    <w:p>
      <w:pPr>
        <w:spacing w:line="276" w:lineRule="auto"/>
        <w:ind w:firstLine="560"/>
        <w:rPr>
          <w:rFonts w:ascii="仿宋" w:hAnsi="仿宋" w:eastAsia="仿宋"/>
          <w:sz w:val="24"/>
          <w:szCs w:val="24"/>
        </w:rPr>
      </w:pPr>
      <w:r>
        <w:rPr>
          <w:rFonts w:hint="eastAsia" w:ascii="仿宋" w:hAnsi="仿宋" w:eastAsia="仿宋"/>
          <w:sz w:val="24"/>
          <w:szCs w:val="24"/>
        </w:rPr>
        <w:t>赛事运行保障阶段包括以下工作内容：</w:t>
      </w:r>
    </w:p>
    <w:p>
      <w:pPr>
        <w:spacing w:line="276" w:lineRule="auto"/>
        <w:ind w:firstLine="560"/>
        <w:rPr>
          <w:rFonts w:ascii="仿宋" w:hAnsi="仿宋" w:eastAsia="仿宋"/>
          <w:sz w:val="24"/>
          <w:szCs w:val="24"/>
        </w:rPr>
      </w:pPr>
      <w:r>
        <w:rPr>
          <w:rFonts w:hint="eastAsia" w:ascii="仿宋" w:hAnsi="仿宋" w:eastAsia="仿宋"/>
          <w:sz w:val="24"/>
          <w:szCs w:val="24"/>
        </w:rPr>
        <w:t>1、集成测试：集成实验室的集成测试包括整个系统端到端功能性测试、各系统之间的接口测试、性能和压力等非功能性测试等，另外还将进行多项目模拟测试、第三方测试、一致性测试、差错回复测试和现场测试等多项测试内容，以确保系统的功能和性能能够满足本届大运会比赛的要求。</w:t>
      </w:r>
    </w:p>
    <w:p>
      <w:pPr>
        <w:spacing w:line="276" w:lineRule="auto"/>
        <w:ind w:firstLine="560"/>
        <w:rPr>
          <w:rFonts w:ascii="仿宋" w:hAnsi="仿宋" w:eastAsia="仿宋"/>
          <w:sz w:val="24"/>
          <w:szCs w:val="24"/>
        </w:rPr>
      </w:pPr>
      <w:r>
        <w:rPr>
          <w:rFonts w:hint="eastAsia" w:ascii="仿宋" w:hAnsi="仿宋" w:eastAsia="仿宋"/>
          <w:sz w:val="24"/>
          <w:szCs w:val="24"/>
        </w:rPr>
        <w:t>2、测试赛：在系统通过整体集成测试后，按照执委会要求进行相关的测试赛并提供相关的运行支持服务。</w:t>
      </w:r>
    </w:p>
    <w:p>
      <w:pPr>
        <w:spacing w:line="276" w:lineRule="auto"/>
        <w:ind w:firstLine="560"/>
        <w:rPr>
          <w:rFonts w:ascii="仿宋" w:hAnsi="仿宋" w:eastAsia="仿宋"/>
          <w:sz w:val="24"/>
          <w:szCs w:val="24"/>
        </w:rPr>
      </w:pPr>
      <w:r>
        <w:rPr>
          <w:rFonts w:hint="eastAsia" w:ascii="仿宋" w:hAnsi="仿宋" w:eastAsia="仿宋"/>
          <w:sz w:val="24"/>
          <w:szCs w:val="24"/>
        </w:rPr>
        <w:t>3、联试联调：进行全面而必要的联试联调，来保证整个系统的功能、服务水平及运行流程能够满足赛时的要求。</w:t>
      </w:r>
    </w:p>
    <w:p>
      <w:pPr>
        <w:spacing w:line="276" w:lineRule="auto"/>
        <w:ind w:firstLine="560"/>
        <w:rPr>
          <w:rFonts w:ascii="仿宋" w:hAnsi="仿宋" w:eastAsia="仿宋"/>
          <w:sz w:val="24"/>
          <w:szCs w:val="24"/>
        </w:rPr>
      </w:pPr>
      <w:r>
        <w:rPr>
          <w:rFonts w:hint="eastAsia" w:ascii="仿宋" w:hAnsi="仿宋" w:eastAsia="仿宋"/>
          <w:sz w:val="24"/>
          <w:szCs w:val="24"/>
        </w:rPr>
        <w:t>4、正式比赛：在正式比赛期间按照信息化建设的服务水平定义来进行赛时运行保障服务。</w:t>
      </w:r>
    </w:p>
    <w:p>
      <w:pPr>
        <w:spacing w:line="276" w:lineRule="auto"/>
        <w:ind w:firstLine="560"/>
        <w:rPr>
          <w:rFonts w:ascii="仿宋" w:hAnsi="仿宋" w:eastAsia="仿宋"/>
          <w:sz w:val="24"/>
          <w:szCs w:val="24"/>
        </w:rPr>
      </w:pPr>
      <w:r>
        <w:rPr>
          <w:rFonts w:hint="eastAsia" w:ascii="仿宋" w:hAnsi="仿宋" w:eastAsia="仿宋"/>
          <w:sz w:val="24"/>
          <w:szCs w:val="24"/>
        </w:rPr>
        <w:t>5、赛事收尾：正式比赛结束后对整个信息化建设的相关工作进行赛事收尾工作内容。</w:t>
      </w:r>
    </w:p>
    <w:p>
      <w:pPr>
        <w:keepNext/>
        <w:keepLines/>
        <w:numPr>
          <w:ilvl w:val="0"/>
          <w:numId w:val="40"/>
        </w:numPr>
        <w:tabs>
          <w:tab w:val="left" w:pos="480"/>
        </w:tabs>
        <w:spacing w:before="240" w:beforeLines="100" w:line="276" w:lineRule="auto"/>
        <w:ind w:left="482" w:hanging="482" w:hangingChars="200"/>
        <w:outlineLvl w:val="2"/>
        <w:rPr>
          <w:rFonts w:ascii="仿宋" w:hAnsi="仿宋" w:eastAsia="仿宋"/>
          <w:b/>
          <w:kern w:val="0"/>
          <w:sz w:val="24"/>
          <w:szCs w:val="24"/>
        </w:rPr>
      </w:pPr>
      <w:r>
        <w:rPr>
          <w:rFonts w:hint="eastAsia" w:ascii="仿宋" w:hAnsi="仿宋" w:eastAsia="仿宋"/>
          <w:b/>
          <w:kern w:val="0"/>
          <w:sz w:val="24"/>
          <w:szCs w:val="24"/>
        </w:rPr>
        <w:t>赛时应急响应</w:t>
      </w:r>
    </w:p>
    <w:p>
      <w:pPr>
        <w:keepNext/>
        <w:keepLines/>
        <w:numPr>
          <w:ilvl w:val="3"/>
          <w:numId w:val="0"/>
        </w:numPr>
        <w:tabs>
          <w:tab w:val="left" w:pos="0"/>
        </w:tabs>
        <w:spacing w:line="276" w:lineRule="auto"/>
        <w:outlineLvl w:val="3"/>
        <w:rPr>
          <w:rFonts w:ascii="仿宋" w:hAnsi="仿宋" w:eastAsia="仿宋"/>
          <w:sz w:val="24"/>
          <w:szCs w:val="24"/>
        </w:rPr>
      </w:pPr>
      <w:r>
        <w:rPr>
          <w:rFonts w:hint="eastAsia" w:ascii="仿宋" w:hAnsi="仿宋" w:eastAsia="仿宋"/>
          <w:sz w:val="24"/>
          <w:szCs w:val="24"/>
        </w:rPr>
        <w:t xml:space="preserve">总体要求 </w:t>
      </w:r>
    </w:p>
    <w:p>
      <w:pPr>
        <w:spacing w:line="276" w:lineRule="auto"/>
        <w:ind w:firstLine="560"/>
        <w:rPr>
          <w:rFonts w:ascii="仿宋" w:hAnsi="仿宋" w:eastAsia="仿宋"/>
          <w:sz w:val="24"/>
          <w:szCs w:val="24"/>
        </w:rPr>
      </w:pPr>
      <w:r>
        <w:rPr>
          <w:rFonts w:hint="eastAsia" w:ascii="仿宋" w:hAnsi="仿宋" w:eastAsia="仿宋"/>
          <w:sz w:val="24"/>
          <w:szCs w:val="24"/>
        </w:rPr>
        <w:t>虽然系统在赛前将经过集成测试、测试赛、联试联调等多轮测试和演练，但由于综合性运动会信息技术存在“关门时间”和“实时性”的要求，因此赛时还需指定一套完备的应急预案，投标人应成立应急保障团队，从组织架构、工作流程、职责分工、应急人员等方面提出切实可行的计划，并在赛时出现紧急情况时立即做出响应。同时，还需针对赛时可能出现的突发事件风险进行识别、评估、处理，制定应急预案。</w:t>
      </w:r>
    </w:p>
    <w:p>
      <w:pPr>
        <w:keepNext/>
        <w:keepLines/>
        <w:numPr>
          <w:ilvl w:val="3"/>
          <w:numId w:val="0"/>
        </w:numPr>
        <w:tabs>
          <w:tab w:val="left" w:pos="0"/>
        </w:tabs>
        <w:spacing w:line="276" w:lineRule="auto"/>
        <w:outlineLvl w:val="3"/>
        <w:rPr>
          <w:rFonts w:ascii="仿宋" w:hAnsi="仿宋" w:eastAsia="仿宋"/>
          <w:sz w:val="24"/>
          <w:szCs w:val="24"/>
        </w:rPr>
      </w:pPr>
      <w:r>
        <w:rPr>
          <w:rFonts w:hint="eastAsia" w:ascii="仿宋" w:hAnsi="仿宋" w:eastAsia="仿宋"/>
          <w:sz w:val="24"/>
          <w:szCs w:val="24"/>
        </w:rPr>
        <w:t>服务要求</w:t>
      </w:r>
    </w:p>
    <w:p>
      <w:pPr>
        <w:spacing w:line="276" w:lineRule="auto"/>
        <w:ind w:firstLine="560"/>
        <w:rPr>
          <w:rFonts w:ascii="仿宋" w:hAnsi="仿宋" w:eastAsia="仿宋"/>
          <w:sz w:val="24"/>
          <w:szCs w:val="24"/>
        </w:rPr>
      </w:pPr>
      <w:r>
        <w:rPr>
          <w:rFonts w:hint="eastAsia" w:ascii="仿宋" w:hAnsi="仿宋" w:eastAsia="仿宋"/>
          <w:sz w:val="24"/>
          <w:szCs w:val="24"/>
        </w:rPr>
        <w:t>1、需具备完善应急服务组织机构设置和人员配置；</w:t>
      </w:r>
    </w:p>
    <w:p>
      <w:pPr>
        <w:spacing w:line="276" w:lineRule="auto"/>
        <w:ind w:firstLine="560"/>
        <w:rPr>
          <w:rFonts w:ascii="仿宋" w:hAnsi="仿宋" w:eastAsia="仿宋"/>
          <w:sz w:val="24"/>
          <w:szCs w:val="24"/>
        </w:rPr>
      </w:pPr>
      <w:r>
        <w:rPr>
          <w:rFonts w:hint="eastAsia" w:ascii="仿宋" w:hAnsi="仿宋" w:eastAsia="仿宋"/>
          <w:sz w:val="24"/>
          <w:szCs w:val="24"/>
        </w:rPr>
        <w:t>2、正式比赛期间需保障重点业务7*24小时监控值守，7*24小时备勤；</w:t>
      </w:r>
    </w:p>
    <w:p>
      <w:pPr>
        <w:spacing w:line="276" w:lineRule="auto"/>
        <w:ind w:firstLine="560"/>
        <w:rPr>
          <w:rFonts w:ascii="仿宋" w:hAnsi="仿宋" w:eastAsia="仿宋"/>
          <w:sz w:val="24"/>
          <w:szCs w:val="24"/>
        </w:rPr>
      </w:pPr>
      <w:r>
        <w:rPr>
          <w:rFonts w:hint="eastAsia" w:ascii="仿宋" w:hAnsi="仿宋" w:eastAsia="仿宋"/>
          <w:sz w:val="24"/>
          <w:szCs w:val="24"/>
        </w:rPr>
        <w:t>3、需提供完备的综合及场馆成绩系统应急机制。</w:t>
      </w:r>
    </w:p>
    <w:p>
      <w:pPr>
        <w:keepNext/>
        <w:keepLines/>
        <w:numPr>
          <w:ilvl w:val="1"/>
          <w:numId w:val="0"/>
        </w:numPr>
        <w:spacing w:before="240" w:beforeLines="100" w:line="276" w:lineRule="auto"/>
        <w:ind w:right="-29" w:rightChars="-14"/>
        <w:outlineLvl w:val="1"/>
        <w:rPr>
          <w:rFonts w:ascii="仿宋" w:hAnsi="仿宋" w:eastAsia="仿宋"/>
          <w:b/>
          <w:bCs/>
          <w:sz w:val="28"/>
          <w:szCs w:val="24"/>
        </w:rPr>
      </w:pPr>
      <w:r>
        <w:rPr>
          <w:rFonts w:hint="eastAsia" w:ascii="仿宋" w:hAnsi="仿宋" w:eastAsia="仿宋"/>
          <w:b/>
          <w:bCs/>
          <w:sz w:val="28"/>
          <w:szCs w:val="24"/>
        </w:rPr>
        <w:t>1.4服务功能清单</w:t>
      </w:r>
    </w:p>
    <w:tbl>
      <w:tblPr>
        <w:tblStyle w:val="58"/>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7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389" w:type="dxa"/>
            <w:shd w:val="clear" w:color="auto" w:fill="auto"/>
            <w:noWrap/>
            <w:vAlign w:val="center"/>
          </w:tcPr>
          <w:p>
            <w:pPr>
              <w:spacing w:line="276" w:lineRule="auto"/>
              <w:ind w:firstLine="39" w:firstLineChars="16"/>
              <w:jc w:val="center"/>
              <w:rPr>
                <w:rFonts w:ascii="仿宋" w:hAnsi="仿宋" w:eastAsia="仿宋" w:cs="宋体"/>
                <w:b/>
                <w:color w:val="000000"/>
                <w:sz w:val="24"/>
                <w:szCs w:val="24"/>
              </w:rPr>
            </w:pPr>
            <w:r>
              <w:rPr>
                <w:rFonts w:hint="eastAsia" w:ascii="仿宋" w:hAnsi="仿宋" w:eastAsia="仿宋" w:cs="宋体"/>
                <w:b/>
                <w:color w:val="000000"/>
                <w:sz w:val="24"/>
                <w:szCs w:val="24"/>
              </w:rPr>
              <w:t>项目系统</w:t>
            </w:r>
          </w:p>
        </w:tc>
        <w:tc>
          <w:tcPr>
            <w:tcW w:w="7400" w:type="dxa"/>
            <w:shd w:val="clear" w:color="auto" w:fill="auto"/>
            <w:noWrap/>
            <w:vAlign w:val="center"/>
          </w:tcPr>
          <w:p>
            <w:pPr>
              <w:spacing w:line="276" w:lineRule="auto"/>
              <w:ind w:firstLine="41" w:firstLineChars="17"/>
              <w:jc w:val="center"/>
              <w:rPr>
                <w:rFonts w:ascii="仿宋" w:hAnsi="仿宋" w:eastAsia="仿宋" w:cs="宋体"/>
                <w:b/>
                <w:color w:val="000000"/>
                <w:sz w:val="24"/>
                <w:szCs w:val="24"/>
              </w:rPr>
            </w:pPr>
            <w:r>
              <w:rPr>
                <w:rFonts w:hint="eastAsia" w:ascii="仿宋" w:hAnsi="仿宋" w:eastAsia="仿宋" w:cs="宋体"/>
                <w:b/>
                <w:color w:val="000000"/>
                <w:sz w:val="24"/>
                <w:szCs w:val="24"/>
              </w:rPr>
              <w:t>项目子系统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9" w:type="dxa"/>
            <w:vMerge w:val="restart"/>
            <w:vAlign w:val="center"/>
          </w:tcPr>
          <w:p>
            <w:pPr>
              <w:spacing w:line="276" w:lineRule="auto"/>
              <w:ind w:firstLine="38" w:firstLineChars="16"/>
              <w:rPr>
                <w:rFonts w:ascii="仿宋" w:hAnsi="仿宋" w:eastAsia="仿宋" w:cs="宋体"/>
                <w:color w:val="000000"/>
                <w:sz w:val="24"/>
                <w:szCs w:val="24"/>
              </w:rPr>
            </w:pPr>
            <w:r>
              <w:rPr>
                <w:rFonts w:hint="eastAsia" w:ascii="仿宋" w:hAnsi="仿宋" w:eastAsia="仿宋" w:cs="宋体"/>
                <w:color w:val="000000"/>
                <w:sz w:val="24"/>
                <w:szCs w:val="24"/>
              </w:rPr>
              <w:t>场馆成绩系统</w:t>
            </w:r>
          </w:p>
        </w:tc>
        <w:tc>
          <w:tcPr>
            <w:tcW w:w="7400" w:type="dxa"/>
            <w:shd w:val="clear" w:color="auto" w:fill="auto"/>
            <w:noWrap/>
            <w:vAlign w:val="center"/>
          </w:tcPr>
          <w:p>
            <w:pPr>
              <w:spacing w:line="276" w:lineRule="auto"/>
              <w:ind w:firstLine="40" w:firstLineChars="17"/>
              <w:rPr>
                <w:rFonts w:ascii="仿宋" w:hAnsi="仿宋" w:eastAsia="仿宋" w:cs="宋体"/>
                <w:color w:val="000000"/>
                <w:sz w:val="24"/>
                <w:szCs w:val="24"/>
              </w:rPr>
            </w:pPr>
            <w:r>
              <w:rPr>
                <w:rFonts w:hint="eastAsia" w:ascii="仿宋" w:hAnsi="仿宋" w:eastAsia="仿宋" w:cs="宋体"/>
                <w:color w:val="000000"/>
                <w:sz w:val="24"/>
                <w:szCs w:val="24"/>
              </w:rPr>
              <w:t>技术统计系统-篮球、排球、水球、网球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389" w:type="dxa"/>
            <w:vMerge w:val="continue"/>
            <w:vAlign w:val="center"/>
          </w:tcPr>
          <w:p>
            <w:pPr>
              <w:spacing w:line="276" w:lineRule="auto"/>
              <w:ind w:firstLine="38" w:firstLineChars="16"/>
              <w:rPr>
                <w:rFonts w:ascii="仿宋" w:hAnsi="仿宋" w:eastAsia="仿宋" w:cs="宋体"/>
                <w:color w:val="000000"/>
                <w:sz w:val="24"/>
                <w:szCs w:val="24"/>
              </w:rPr>
            </w:pPr>
          </w:p>
        </w:tc>
        <w:tc>
          <w:tcPr>
            <w:tcW w:w="7400" w:type="dxa"/>
            <w:shd w:val="clear" w:color="auto" w:fill="auto"/>
            <w:vAlign w:val="center"/>
          </w:tcPr>
          <w:p>
            <w:pPr>
              <w:spacing w:line="276" w:lineRule="auto"/>
              <w:ind w:firstLine="40" w:firstLineChars="17"/>
              <w:rPr>
                <w:rFonts w:ascii="仿宋" w:hAnsi="仿宋" w:eastAsia="仿宋" w:cs="宋体"/>
                <w:color w:val="000000"/>
                <w:sz w:val="24"/>
                <w:szCs w:val="24"/>
              </w:rPr>
            </w:pPr>
            <w:r>
              <w:rPr>
                <w:rFonts w:hint="eastAsia" w:ascii="仿宋" w:hAnsi="仿宋" w:eastAsia="仿宋" w:cs="宋体"/>
                <w:color w:val="000000"/>
                <w:sz w:val="24"/>
                <w:szCs w:val="24"/>
              </w:rPr>
              <w:t>成绩处理系统-体操、游泳、羽毛球、田径、击剑、乒乓球、篮球、排球、柔道、射箭、水球、跆拳道、跳水、网球、艺术体操、武术、赛艇、射击18个单项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9" w:type="dxa"/>
            <w:vMerge w:val="continue"/>
            <w:vAlign w:val="center"/>
          </w:tcPr>
          <w:p>
            <w:pPr>
              <w:spacing w:line="276" w:lineRule="auto"/>
              <w:ind w:firstLine="38" w:firstLineChars="16"/>
              <w:rPr>
                <w:rFonts w:ascii="仿宋" w:hAnsi="仿宋" w:eastAsia="仿宋" w:cs="宋体"/>
                <w:color w:val="000000"/>
                <w:sz w:val="24"/>
                <w:szCs w:val="24"/>
              </w:rPr>
            </w:pPr>
          </w:p>
        </w:tc>
        <w:tc>
          <w:tcPr>
            <w:tcW w:w="7400" w:type="dxa"/>
            <w:shd w:val="clear" w:color="auto" w:fill="auto"/>
            <w:vAlign w:val="center"/>
          </w:tcPr>
          <w:p>
            <w:pPr>
              <w:spacing w:line="276" w:lineRule="auto"/>
              <w:ind w:firstLine="40" w:firstLineChars="17"/>
              <w:rPr>
                <w:rFonts w:ascii="仿宋" w:hAnsi="仿宋" w:eastAsia="仿宋" w:cs="宋体"/>
                <w:color w:val="000000"/>
                <w:sz w:val="24"/>
                <w:szCs w:val="24"/>
              </w:rPr>
            </w:pPr>
            <w:r>
              <w:rPr>
                <w:rFonts w:hint="eastAsia" w:ascii="仿宋" w:hAnsi="仿宋" w:eastAsia="仿宋" w:cs="宋体"/>
                <w:color w:val="000000"/>
                <w:sz w:val="24"/>
                <w:szCs w:val="24"/>
              </w:rPr>
              <w:t>评论员系统-根据持权转播商具体安排确定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389" w:type="dxa"/>
            <w:vMerge w:val="continue"/>
            <w:vAlign w:val="center"/>
          </w:tcPr>
          <w:p>
            <w:pPr>
              <w:spacing w:line="276" w:lineRule="auto"/>
              <w:ind w:firstLine="38" w:firstLineChars="16"/>
              <w:rPr>
                <w:rFonts w:ascii="仿宋" w:hAnsi="仿宋" w:eastAsia="仿宋" w:cs="宋体"/>
                <w:color w:val="000000"/>
                <w:sz w:val="24"/>
                <w:szCs w:val="24"/>
              </w:rPr>
            </w:pPr>
          </w:p>
        </w:tc>
        <w:tc>
          <w:tcPr>
            <w:tcW w:w="7400" w:type="dxa"/>
            <w:shd w:val="clear" w:color="auto" w:fill="auto"/>
            <w:vAlign w:val="center"/>
          </w:tcPr>
          <w:p>
            <w:pPr>
              <w:spacing w:line="276" w:lineRule="auto"/>
              <w:ind w:firstLine="40" w:firstLineChars="17"/>
              <w:rPr>
                <w:rFonts w:ascii="仿宋" w:hAnsi="仿宋" w:eastAsia="仿宋" w:cs="宋体"/>
                <w:color w:val="000000"/>
                <w:sz w:val="24"/>
                <w:szCs w:val="24"/>
              </w:rPr>
            </w:pPr>
            <w:r>
              <w:rPr>
                <w:rFonts w:hint="eastAsia" w:ascii="仿宋" w:hAnsi="仿宋" w:eastAsia="仿宋" w:cs="宋体"/>
                <w:color w:val="000000"/>
                <w:sz w:val="24"/>
                <w:szCs w:val="24"/>
              </w:rPr>
              <w:t>公共显示屏控制子系统-体操、游泳、羽毛球、田径、击剑、乒乓球、篮球、排球、柔道、射箭、水球、跆拳道、跳水、网球、艺术体操、武术、赛艇、射击18个单项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9" w:type="dxa"/>
            <w:vMerge w:val="restart"/>
            <w:shd w:val="clear" w:color="auto" w:fill="auto"/>
            <w:noWrap/>
            <w:vAlign w:val="center"/>
          </w:tcPr>
          <w:p>
            <w:pPr>
              <w:spacing w:line="276" w:lineRule="auto"/>
              <w:ind w:firstLine="38" w:firstLineChars="16"/>
              <w:rPr>
                <w:rFonts w:ascii="仿宋" w:hAnsi="仿宋" w:eastAsia="仿宋" w:cs="宋体"/>
                <w:color w:val="000000"/>
                <w:sz w:val="24"/>
                <w:szCs w:val="24"/>
              </w:rPr>
            </w:pPr>
            <w:r>
              <w:rPr>
                <w:rFonts w:hint="eastAsia" w:ascii="仿宋" w:hAnsi="仿宋" w:eastAsia="仿宋" w:cs="宋体"/>
                <w:color w:val="000000"/>
                <w:sz w:val="24"/>
                <w:szCs w:val="24"/>
              </w:rPr>
              <w:t>中央成绩系统</w:t>
            </w:r>
          </w:p>
        </w:tc>
        <w:tc>
          <w:tcPr>
            <w:tcW w:w="7400" w:type="dxa"/>
            <w:shd w:val="clear" w:color="auto" w:fill="auto"/>
            <w:vAlign w:val="center"/>
          </w:tcPr>
          <w:p>
            <w:pPr>
              <w:spacing w:line="276" w:lineRule="auto"/>
              <w:ind w:firstLine="40" w:firstLineChars="17"/>
              <w:rPr>
                <w:rFonts w:ascii="仿宋" w:hAnsi="仿宋" w:eastAsia="仿宋" w:cs="宋体"/>
                <w:color w:val="000000"/>
                <w:sz w:val="24"/>
                <w:szCs w:val="24"/>
              </w:rPr>
            </w:pPr>
            <w:r>
              <w:rPr>
                <w:rFonts w:hint="eastAsia" w:ascii="仿宋" w:hAnsi="仿宋" w:eastAsia="仿宋" w:cs="宋体"/>
                <w:color w:val="000000"/>
                <w:sz w:val="24"/>
                <w:szCs w:val="24"/>
              </w:rPr>
              <w:t>公共代码与通讯协议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9" w:type="dxa"/>
            <w:vMerge w:val="continue"/>
            <w:vAlign w:val="center"/>
          </w:tcPr>
          <w:p>
            <w:pPr>
              <w:spacing w:line="276" w:lineRule="auto"/>
              <w:ind w:firstLine="38" w:firstLineChars="16"/>
              <w:rPr>
                <w:rFonts w:ascii="仿宋" w:hAnsi="仿宋" w:eastAsia="仿宋" w:cs="宋体"/>
                <w:color w:val="000000"/>
                <w:sz w:val="24"/>
                <w:szCs w:val="24"/>
              </w:rPr>
            </w:pPr>
          </w:p>
        </w:tc>
        <w:tc>
          <w:tcPr>
            <w:tcW w:w="7400" w:type="dxa"/>
            <w:shd w:val="clear" w:color="auto" w:fill="auto"/>
            <w:vAlign w:val="center"/>
          </w:tcPr>
          <w:p>
            <w:pPr>
              <w:spacing w:line="276" w:lineRule="auto"/>
              <w:ind w:firstLine="40" w:firstLineChars="17"/>
              <w:rPr>
                <w:rFonts w:ascii="仿宋" w:hAnsi="仿宋" w:eastAsia="仿宋" w:cs="宋体"/>
                <w:color w:val="000000"/>
                <w:sz w:val="24"/>
                <w:szCs w:val="24"/>
              </w:rPr>
            </w:pPr>
            <w:r>
              <w:rPr>
                <w:rFonts w:hint="eastAsia" w:ascii="仿宋" w:hAnsi="仿宋" w:eastAsia="仿宋" w:cs="宋体"/>
                <w:color w:val="000000"/>
                <w:sz w:val="24"/>
                <w:szCs w:val="24"/>
              </w:rPr>
              <w:t>数据通讯平台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9" w:type="dxa"/>
            <w:vMerge w:val="continue"/>
            <w:vAlign w:val="center"/>
          </w:tcPr>
          <w:p>
            <w:pPr>
              <w:spacing w:line="276" w:lineRule="auto"/>
              <w:ind w:firstLine="38" w:firstLineChars="16"/>
              <w:rPr>
                <w:rFonts w:ascii="仿宋" w:hAnsi="仿宋" w:eastAsia="仿宋" w:cs="宋体"/>
                <w:color w:val="000000"/>
                <w:sz w:val="24"/>
                <w:szCs w:val="24"/>
              </w:rPr>
            </w:pPr>
          </w:p>
        </w:tc>
        <w:tc>
          <w:tcPr>
            <w:tcW w:w="7400" w:type="dxa"/>
            <w:shd w:val="clear" w:color="auto" w:fill="auto"/>
            <w:vAlign w:val="center"/>
          </w:tcPr>
          <w:p>
            <w:pPr>
              <w:spacing w:line="276" w:lineRule="auto"/>
              <w:ind w:firstLine="40" w:firstLineChars="17"/>
              <w:rPr>
                <w:rFonts w:ascii="仿宋" w:hAnsi="仿宋" w:eastAsia="仿宋" w:cs="宋体"/>
                <w:color w:val="000000"/>
                <w:sz w:val="24"/>
                <w:szCs w:val="24"/>
              </w:rPr>
            </w:pPr>
            <w:r>
              <w:rPr>
                <w:rFonts w:hint="eastAsia" w:ascii="仿宋" w:hAnsi="仿宋" w:eastAsia="仿宋" w:cs="宋体"/>
                <w:color w:val="000000"/>
                <w:sz w:val="24"/>
                <w:szCs w:val="24"/>
              </w:rPr>
              <w:t>核心管理系统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9" w:type="dxa"/>
            <w:vMerge w:val="continue"/>
            <w:vAlign w:val="center"/>
          </w:tcPr>
          <w:p>
            <w:pPr>
              <w:spacing w:line="276" w:lineRule="auto"/>
              <w:ind w:firstLine="38" w:firstLineChars="16"/>
              <w:rPr>
                <w:rFonts w:ascii="仿宋" w:hAnsi="仿宋" w:eastAsia="仿宋" w:cs="宋体"/>
                <w:color w:val="000000"/>
                <w:sz w:val="24"/>
                <w:szCs w:val="24"/>
              </w:rPr>
            </w:pPr>
          </w:p>
        </w:tc>
        <w:tc>
          <w:tcPr>
            <w:tcW w:w="7400" w:type="dxa"/>
            <w:shd w:val="clear" w:color="auto" w:fill="auto"/>
            <w:vAlign w:val="center"/>
          </w:tcPr>
          <w:p>
            <w:pPr>
              <w:spacing w:line="276" w:lineRule="auto"/>
              <w:ind w:firstLine="40" w:firstLineChars="17"/>
              <w:rPr>
                <w:rFonts w:ascii="仿宋" w:hAnsi="仿宋" w:eastAsia="仿宋" w:cs="宋体"/>
                <w:color w:val="000000"/>
                <w:sz w:val="24"/>
                <w:szCs w:val="24"/>
              </w:rPr>
            </w:pPr>
            <w:r>
              <w:rPr>
                <w:rFonts w:hint="eastAsia" w:ascii="仿宋" w:hAnsi="仿宋" w:eastAsia="仿宋" w:cs="宋体"/>
                <w:color w:val="000000"/>
                <w:sz w:val="24"/>
                <w:szCs w:val="24"/>
              </w:rPr>
              <w:t>综合成绩处理系统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9" w:type="dxa"/>
            <w:vMerge w:val="continue"/>
            <w:vAlign w:val="center"/>
          </w:tcPr>
          <w:p>
            <w:pPr>
              <w:spacing w:line="276" w:lineRule="auto"/>
              <w:ind w:firstLine="38" w:firstLineChars="16"/>
              <w:rPr>
                <w:rFonts w:ascii="仿宋" w:hAnsi="仿宋" w:eastAsia="仿宋" w:cs="宋体"/>
                <w:color w:val="000000"/>
                <w:sz w:val="24"/>
                <w:szCs w:val="24"/>
              </w:rPr>
            </w:pPr>
          </w:p>
        </w:tc>
        <w:tc>
          <w:tcPr>
            <w:tcW w:w="7400" w:type="dxa"/>
            <w:shd w:val="clear" w:color="auto" w:fill="auto"/>
            <w:vAlign w:val="center"/>
          </w:tcPr>
          <w:p>
            <w:pPr>
              <w:spacing w:line="276" w:lineRule="auto"/>
              <w:ind w:firstLine="40" w:firstLineChars="17"/>
              <w:rPr>
                <w:rFonts w:ascii="仿宋" w:hAnsi="仿宋" w:eastAsia="仿宋" w:cs="宋体"/>
                <w:color w:val="000000"/>
                <w:sz w:val="24"/>
                <w:szCs w:val="24"/>
              </w:rPr>
            </w:pPr>
            <w:r>
              <w:rPr>
                <w:rFonts w:hint="eastAsia" w:ascii="仿宋" w:hAnsi="仿宋" w:eastAsia="仿宋" w:cs="宋体"/>
                <w:color w:val="000000"/>
                <w:sz w:val="24"/>
                <w:szCs w:val="24"/>
              </w:rPr>
              <w:t>中央数据资源库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9" w:type="dxa"/>
            <w:vMerge w:val="restart"/>
            <w:shd w:val="clear" w:color="auto" w:fill="auto"/>
            <w:noWrap/>
            <w:vAlign w:val="center"/>
          </w:tcPr>
          <w:p>
            <w:pPr>
              <w:spacing w:line="276" w:lineRule="auto"/>
              <w:ind w:firstLine="38" w:firstLineChars="16"/>
              <w:rPr>
                <w:rFonts w:ascii="仿宋" w:hAnsi="仿宋" w:eastAsia="仿宋" w:cs="宋体"/>
                <w:color w:val="000000"/>
                <w:sz w:val="24"/>
                <w:szCs w:val="24"/>
              </w:rPr>
            </w:pPr>
            <w:r>
              <w:rPr>
                <w:rFonts w:hint="eastAsia" w:ascii="仿宋" w:hAnsi="仿宋" w:eastAsia="仿宋" w:cs="宋体"/>
                <w:color w:val="000000"/>
                <w:sz w:val="24"/>
                <w:szCs w:val="24"/>
              </w:rPr>
              <w:t>信息发布系统</w:t>
            </w:r>
          </w:p>
        </w:tc>
        <w:tc>
          <w:tcPr>
            <w:tcW w:w="7400" w:type="dxa"/>
            <w:shd w:val="clear" w:color="auto" w:fill="auto"/>
            <w:vAlign w:val="center"/>
          </w:tcPr>
          <w:p>
            <w:pPr>
              <w:spacing w:line="276" w:lineRule="auto"/>
              <w:ind w:firstLine="40" w:firstLineChars="17"/>
              <w:rPr>
                <w:rFonts w:ascii="仿宋" w:hAnsi="仿宋" w:eastAsia="仿宋" w:cs="宋体"/>
                <w:color w:val="000000"/>
                <w:sz w:val="24"/>
                <w:szCs w:val="24"/>
              </w:rPr>
            </w:pPr>
            <w:r>
              <w:rPr>
                <w:rFonts w:hint="eastAsia" w:ascii="仿宋" w:hAnsi="仿宋" w:eastAsia="仿宋" w:cs="宋体"/>
                <w:color w:val="000000"/>
                <w:sz w:val="24"/>
                <w:szCs w:val="24"/>
              </w:rPr>
              <w:t>内网竞赛核查系统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9" w:type="dxa"/>
            <w:vMerge w:val="continue"/>
            <w:vAlign w:val="center"/>
          </w:tcPr>
          <w:p>
            <w:pPr>
              <w:spacing w:line="276" w:lineRule="auto"/>
              <w:ind w:firstLine="38" w:firstLineChars="16"/>
              <w:rPr>
                <w:rFonts w:ascii="仿宋" w:hAnsi="仿宋" w:eastAsia="仿宋" w:cs="宋体"/>
                <w:color w:val="000000"/>
                <w:sz w:val="24"/>
                <w:szCs w:val="24"/>
              </w:rPr>
            </w:pPr>
          </w:p>
        </w:tc>
        <w:tc>
          <w:tcPr>
            <w:tcW w:w="7400" w:type="dxa"/>
            <w:shd w:val="clear" w:color="auto" w:fill="auto"/>
            <w:vAlign w:val="center"/>
          </w:tcPr>
          <w:p>
            <w:pPr>
              <w:spacing w:line="276" w:lineRule="auto"/>
              <w:ind w:firstLine="40" w:firstLineChars="17"/>
              <w:rPr>
                <w:rFonts w:ascii="仿宋" w:hAnsi="仿宋" w:eastAsia="仿宋" w:cs="宋体"/>
                <w:color w:val="000000"/>
                <w:sz w:val="24"/>
                <w:szCs w:val="24"/>
              </w:rPr>
            </w:pPr>
            <w:r>
              <w:rPr>
                <w:rFonts w:hint="eastAsia" w:ascii="仿宋" w:hAnsi="仿宋" w:eastAsia="仿宋" w:cs="宋体"/>
                <w:color w:val="000000"/>
                <w:sz w:val="24"/>
                <w:szCs w:val="24"/>
              </w:rPr>
              <w:t>竞赛信息发布系统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9" w:type="dxa"/>
            <w:vMerge w:val="continue"/>
            <w:vAlign w:val="center"/>
          </w:tcPr>
          <w:p>
            <w:pPr>
              <w:spacing w:line="276" w:lineRule="auto"/>
              <w:ind w:firstLine="38" w:firstLineChars="16"/>
              <w:rPr>
                <w:rFonts w:ascii="仿宋" w:hAnsi="仿宋" w:eastAsia="仿宋" w:cs="宋体"/>
                <w:color w:val="000000"/>
                <w:sz w:val="24"/>
                <w:szCs w:val="24"/>
              </w:rPr>
            </w:pPr>
          </w:p>
        </w:tc>
        <w:tc>
          <w:tcPr>
            <w:tcW w:w="7400" w:type="dxa"/>
            <w:shd w:val="clear" w:color="auto" w:fill="auto"/>
            <w:vAlign w:val="center"/>
          </w:tcPr>
          <w:p>
            <w:pPr>
              <w:spacing w:line="276" w:lineRule="auto"/>
              <w:ind w:firstLine="40" w:firstLineChars="17"/>
              <w:rPr>
                <w:rFonts w:ascii="仿宋" w:hAnsi="仿宋" w:eastAsia="仿宋" w:cs="宋体"/>
                <w:color w:val="000000"/>
                <w:sz w:val="24"/>
                <w:szCs w:val="24"/>
              </w:rPr>
            </w:pPr>
            <w:r>
              <w:rPr>
                <w:rFonts w:hint="eastAsia" w:ascii="仿宋" w:hAnsi="仿宋" w:eastAsia="仿宋" w:cs="宋体"/>
                <w:color w:val="000000"/>
                <w:sz w:val="24"/>
                <w:szCs w:val="24"/>
              </w:rPr>
              <w:t>移动竞赛信息发布系统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9" w:type="dxa"/>
            <w:vMerge w:val="continue"/>
            <w:vAlign w:val="center"/>
          </w:tcPr>
          <w:p>
            <w:pPr>
              <w:spacing w:line="276" w:lineRule="auto"/>
              <w:ind w:firstLine="38" w:firstLineChars="16"/>
              <w:rPr>
                <w:rFonts w:ascii="仿宋" w:hAnsi="仿宋" w:eastAsia="仿宋" w:cs="宋体"/>
                <w:color w:val="000000"/>
                <w:sz w:val="24"/>
                <w:szCs w:val="24"/>
              </w:rPr>
            </w:pPr>
          </w:p>
        </w:tc>
        <w:tc>
          <w:tcPr>
            <w:tcW w:w="7400" w:type="dxa"/>
            <w:shd w:val="clear" w:color="auto" w:fill="auto"/>
            <w:vAlign w:val="center"/>
          </w:tcPr>
          <w:p>
            <w:pPr>
              <w:spacing w:line="276" w:lineRule="auto"/>
              <w:ind w:firstLine="40" w:firstLineChars="17"/>
              <w:rPr>
                <w:rFonts w:ascii="仿宋" w:hAnsi="仿宋" w:eastAsia="仿宋" w:cs="宋体"/>
                <w:color w:val="000000"/>
                <w:sz w:val="24"/>
                <w:szCs w:val="24"/>
              </w:rPr>
            </w:pPr>
            <w:r>
              <w:rPr>
                <w:rFonts w:hint="eastAsia" w:ascii="仿宋" w:hAnsi="仿宋" w:eastAsia="仿宋" w:cs="宋体"/>
                <w:color w:val="000000"/>
                <w:sz w:val="24"/>
                <w:szCs w:val="24"/>
              </w:rPr>
              <w:t>信息发布接口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9" w:type="dxa"/>
            <w:vMerge w:val="continue"/>
            <w:vAlign w:val="center"/>
          </w:tcPr>
          <w:p>
            <w:pPr>
              <w:spacing w:line="276" w:lineRule="auto"/>
              <w:ind w:firstLine="38" w:firstLineChars="16"/>
              <w:rPr>
                <w:rFonts w:ascii="仿宋" w:hAnsi="仿宋" w:eastAsia="仿宋" w:cs="宋体"/>
                <w:color w:val="000000"/>
                <w:sz w:val="24"/>
                <w:szCs w:val="24"/>
              </w:rPr>
            </w:pPr>
          </w:p>
        </w:tc>
        <w:tc>
          <w:tcPr>
            <w:tcW w:w="7400" w:type="dxa"/>
            <w:shd w:val="clear" w:color="auto" w:fill="auto"/>
            <w:vAlign w:val="center"/>
          </w:tcPr>
          <w:p>
            <w:pPr>
              <w:spacing w:line="276" w:lineRule="auto"/>
              <w:ind w:firstLine="40" w:firstLineChars="17"/>
              <w:rPr>
                <w:rFonts w:ascii="仿宋" w:hAnsi="仿宋" w:eastAsia="仿宋" w:cs="宋体"/>
                <w:color w:val="000000"/>
                <w:sz w:val="24"/>
                <w:szCs w:val="24"/>
              </w:rPr>
            </w:pPr>
            <w:r>
              <w:rPr>
                <w:rFonts w:hint="eastAsia" w:ascii="仿宋" w:hAnsi="仿宋" w:eastAsia="仿宋" w:cs="宋体"/>
                <w:color w:val="000000"/>
                <w:sz w:val="24"/>
                <w:szCs w:val="24"/>
              </w:rPr>
              <w:t>打印分发系统</w:t>
            </w:r>
          </w:p>
        </w:tc>
      </w:tr>
    </w:tbl>
    <w:p>
      <w:pPr>
        <w:rPr>
          <w:rFonts w:ascii="仿宋" w:hAnsi="仿宋" w:eastAsia="仿宋"/>
          <w:sz w:val="24"/>
          <w:szCs w:val="24"/>
        </w:rPr>
      </w:pPr>
    </w:p>
    <w:p>
      <w:pPr>
        <w:keepNext/>
        <w:keepLines/>
        <w:numPr>
          <w:ilvl w:val="1"/>
          <w:numId w:val="0"/>
        </w:numPr>
        <w:spacing w:before="240" w:beforeLines="100" w:line="276" w:lineRule="auto"/>
        <w:ind w:right="-29" w:rightChars="-14"/>
        <w:outlineLvl w:val="1"/>
        <w:rPr>
          <w:rFonts w:ascii="仿宋" w:hAnsi="仿宋" w:eastAsia="仿宋"/>
          <w:b/>
          <w:bCs/>
          <w:sz w:val="28"/>
          <w:szCs w:val="24"/>
        </w:rPr>
      </w:pPr>
      <w:r>
        <w:rPr>
          <w:rFonts w:hint="eastAsia" w:ascii="仿宋" w:hAnsi="仿宋" w:eastAsia="仿宋"/>
          <w:b/>
          <w:bCs/>
          <w:sz w:val="28"/>
          <w:szCs w:val="24"/>
        </w:rPr>
        <w:t>1.5 其它要求</w:t>
      </w:r>
    </w:p>
    <w:p>
      <w:pPr>
        <w:keepNext/>
        <w:keepLines/>
        <w:numPr>
          <w:ilvl w:val="0"/>
          <w:numId w:val="42"/>
        </w:numPr>
        <w:tabs>
          <w:tab w:val="left" w:pos="480"/>
        </w:tabs>
        <w:spacing w:before="240" w:beforeLines="100" w:line="276" w:lineRule="auto"/>
        <w:ind w:left="482" w:hanging="482" w:hangingChars="200"/>
        <w:outlineLvl w:val="2"/>
        <w:rPr>
          <w:rFonts w:ascii="仿宋" w:hAnsi="仿宋" w:eastAsia="仿宋"/>
          <w:b/>
          <w:kern w:val="0"/>
          <w:sz w:val="24"/>
          <w:szCs w:val="24"/>
        </w:rPr>
      </w:pPr>
      <w:r>
        <w:rPr>
          <w:rFonts w:hint="eastAsia" w:ascii="仿宋" w:hAnsi="仿宋" w:eastAsia="仿宋"/>
          <w:b/>
          <w:kern w:val="0"/>
          <w:sz w:val="24"/>
          <w:szCs w:val="24"/>
        </w:rPr>
        <w:t>人员管理要求</w:t>
      </w:r>
    </w:p>
    <w:p>
      <w:pPr>
        <w:keepNext/>
        <w:keepLines/>
        <w:numPr>
          <w:ilvl w:val="3"/>
          <w:numId w:val="0"/>
        </w:numPr>
        <w:tabs>
          <w:tab w:val="left" w:pos="0"/>
        </w:tabs>
        <w:spacing w:line="276" w:lineRule="auto"/>
        <w:outlineLvl w:val="3"/>
        <w:rPr>
          <w:rFonts w:ascii="仿宋" w:hAnsi="仿宋" w:eastAsia="仿宋"/>
          <w:sz w:val="24"/>
          <w:szCs w:val="24"/>
        </w:rPr>
      </w:pPr>
      <w:r>
        <w:rPr>
          <w:rFonts w:hint="eastAsia" w:ascii="仿宋" w:hAnsi="仿宋" w:eastAsia="仿宋"/>
          <w:sz w:val="24"/>
          <w:szCs w:val="24"/>
        </w:rPr>
        <w:t>人员构成</w:t>
      </w:r>
    </w:p>
    <w:p>
      <w:pPr>
        <w:spacing w:line="276" w:lineRule="auto"/>
        <w:ind w:firstLine="560"/>
        <w:rPr>
          <w:rFonts w:ascii="仿宋" w:hAnsi="仿宋" w:eastAsia="仿宋"/>
          <w:sz w:val="24"/>
          <w:szCs w:val="24"/>
        </w:rPr>
      </w:pPr>
      <w:r>
        <w:rPr>
          <w:rFonts w:hint="eastAsia" w:ascii="仿宋" w:hAnsi="仿宋" w:eastAsia="仿宋"/>
          <w:sz w:val="24"/>
          <w:szCs w:val="24"/>
        </w:rPr>
        <w:t>完成综合及场馆成绩系统建设，投标人需设置完善的系统运行团队的人员构成。子系统运行保障包括：中央成绩系统、信息发布系统、成绩处理系统、公共大屏显示控制系统、技术统计系统、评论员系统。</w:t>
      </w:r>
    </w:p>
    <w:p>
      <w:pPr>
        <w:spacing w:line="276" w:lineRule="auto"/>
        <w:ind w:firstLine="560"/>
        <w:rPr>
          <w:rFonts w:ascii="仿宋" w:hAnsi="仿宋" w:eastAsia="仿宋"/>
          <w:sz w:val="24"/>
          <w:szCs w:val="24"/>
        </w:rPr>
      </w:pPr>
      <w:r>
        <w:rPr>
          <w:rFonts w:hint="eastAsia" w:ascii="仿宋" w:hAnsi="仿宋" w:eastAsia="仿宋"/>
          <w:sz w:val="24"/>
          <w:szCs w:val="24"/>
        </w:rPr>
        <w:t>各组别需根据各自业务需求建设完善的人员构成，包括但不限于：竞赛视频主管、竞赛闭路工程师、竞赛监控工程师、视频直播工程师。</w:t>
      </w:r>
    </w:p>
    <w:p>
      <w:pPr>
        <w:keepNext/>
        <w:keepLines/>
        <w:numPr>
          <w:ilvl w:val="3"/>
          <w:numId w:val="0"/>
        </w:numPr>
        <w:tabs>
          <w:tab w:val="left" w:pos="0"/>
        </w:tabs>
        <w:spacing w:line="276" w:lineRule="auto"/>
        <w:outlineLvl w:val="3"/>
        <w:rPr>
          <w:rFonts w:ascii="仿宋" w:hAnsi="仿宋" w:eastAsia="仿宋"/>
          <w:sz w:val="24"/>
          <w:szCs w:val="24"/>
        </w:rPr>
      </w:pPr>
      <w:r>
        <w:rPr>
          <w:rFonts w:hint="eastAsia" w:ascii="仿宋" w:hAnsi="仿宋" w:eastAsia="仿宋"/>
          <w:sz w:val="24"/>
          <w:szCs w:val="24"/>
        </w:rPr>
        <w:t>人员要求</w:t>
      </w:r>
    </w:p>
    <w:p>
      <w:pPr>
        <w:rPr>
          <w:rFonts w:ascii="仿宋" w:hAnsi="仿宋" w:eastAsia="仿宋"/>
          <w:sz w:val="24"/>
          <w:szCs w:val="24"/>
        </w:rPr>
      </w:pPr>
      <w:r>
        <w:rPr>
          <w:rFonts w:hint="eastAsia" w:ascii="仿宋" w:hAnsi="仿宋" w:eastAsia="仿宋"/>
          <w:sz w:val="24"/>
          <w:szCs w:val="24"/>
        </w:rPr>
        <w:t>各组别需根据各自业务需求建设完善的人员构成，包括但不限于：</w:t>
      </w:r>
    </w:p>
    <w:tbl>
      <w:tblPr>
        <w:tblStyle w:val="58"/>
        <w:tblW w:w="8784" w:type="dxa"/>
        <w:jc w:val="center"/>
        <w:tblLayout w:type="fixed"/>
        <w:tblCellMar>
          <w:top w:w="0" w:type="dxa"/>
          <w:left w:w="0" w:type="dxa"/>
          <w:bottom w:w="0" w:type="dxa"/>
          <w:right w:w="0" w:type="dxa"/>
        </w:tblCellMar>
      </w:tblPr>
      <w:tblGrid>
        <w:gridCol w:w="988"/>
        <w:gridCol w:w="2268"/>
        <w:gridCol w:w="5528"/>
      </w:tblGrid>
      <w:tr>
        <w:tblPrEx>
          <w:tblCellMar>
            <w:top w:w="0" w:type="dxa"/>
            <w:left w:w="0" w:type="dxa"/>
            <w:bottom w:w="0" w:type="dxa"/>
            <w:right w:w="0" w:type="dxa"/>
          </w:tblCellMar>
        </w:tblPrEx>
        <w:trPr>
          <w:trHeight w:val="322" w:hRule="exact"/>
          <w:tblHeader/>
          <w:jc w:val="center"/>
        </w:trPr>
        <w:tc>
          <w:tcPr>
            <w:tcW w:w="98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cs="宋体"/>
                <w:b/>
                <w:bCs/>
                <w:sz w:val="24"/>
                <w:szCs w:val="24"/>
              </w:rPr>
              <w:t>序号</w:t>
            </w:r>
          </w:p>
        </w:tc>
        <w:tc>
          <w:tcPr>
            <w:tcW w:w="226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cs="宋体"/>
                <w:b/>
                <w:bCs/>
                <w:sz w:val="24"/>
                <w:szCs w:val="24"/>
              </w:rPr>
              <w:t>工作岗位</w:t>
            </w:r>
          </w:p>
        </w:tc>
        <w:tc>
          <w:tcPr>
            <w:tcW w:w="552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rPr>
                <w:rFonts w:ascii="仿宋" w:hAnsi="仿宋" w:eastAsia="仿宋"/>
                <w:sz w:val="24"/>
                <w:szCs w:val="24"/>
              </w:rPr>
            </w:pPr>
            <w:r>
              <w:rPr>
                <w:rFonts w:hint="eastAsia" w:ascii="仿宋" w:hAnsi="仿宋" w:eastAsia="仿宋" w:cs="宋体"/>
                <w:b/>
                <w:bCs/>
                <w:sz w:val="24"/>
                <w:szCs w:val="24"/>
              </w:rPr>
              <w:t>岗位职责</w:t>
            </w:r>
            <w:r>
              <w:rPr>
                <w:rFonts w:ascii="仿宋" w:hAnsi="仿宋" w:eastAsia="仿宋" w:cs="宋体"/>
                <w:b/>
                <w:bCs/>
                <w:w w:val="98"/>
                <w:sz w:val="24"/>
                <w:szCs w:val="24"/>
              </w:rPr>
              <w:t xml:space="preserve"> </w:t>
            </w:r>
          </w:p>
        </w:tc>
      </w:tr>
      <w:tr>
        <w:tblPrEx>
          <w:tblCellMar>
            <w:top w:w="0" w:type="dxa"/>
            <w:left w:w="0" w:type="dxa"/>
            <w:bottom w:w="0" w:type="dxa"/>
            <w:right w:w="0" w:type="dxa"/>
          </w:tblCellMar>
        </w:tblPrEx>
        <w:trPr>
          <w:trHeight w:val="322" w:hRule="exact"/>
          <w:jc w:val="center"/>
        </w:trPr>
        <w:tc>
          <w:tcPr>
            <w:tcW w:w="98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ascii="仿宋" w:hAnsi="仿宋" w:eastAsia="仿宋" w:cs="宋体"/>
                <w:sz w:val="24"/>
                <w:szCs w:val="24"/>
              </w:rPr>
              <w:t>1</w:t>
            </w:r>
          </w:p>
        </w:tc>
        <w:tc>
          <w:tcPr>
            <w:tcW w:w="226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cs="宋体"/>
                <w:sz w:val="24"/>
                <w:szCs w:val="24"/>
              </w:rPr>
              <w:t>场馆成绩主管</w:t>
            </w:r>
          </w:p>
        </w:tc>
        <w:tc>
          <w:tcPr>
            <w:tcW w:w="552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left"/>
              <w:rPr>
                <w:rFonts w:ascii="仿宋" w:hAnsi="仿宋" w:eastAsia="仿宋"/>
                <w:sz w:val="24"/>
                <w:szCs w:val="24"/>
              </w:rPr>
            </w:pPr>
            <w:r>
              <w:rPr>
                <w:rFonts w:hint="eastAsia" w:ascii="仿宋" w:hAnsi="仿宋" w:eastAsia="仿宋" w:cs="宋体"/>
                <w:sz w:val="24"/>
                <w:szCs w:val="24"/>
              </w:rPr>
              <w:t>场馆内成绩系统总负责</w:t>
            </w:r>
            <w:r>
              <w:rPr>
                <w:rFonts w:ascii="仿宋" w:hAnsi="仿宋" w:eastAsia="仿宋" w:cs="宋体"/>
                <w:sz w:val="24"/>
                <w:szCs w:val="24"/>
              </w:rPr>
              <w:t xml:space="preserve"> </w:t>
            </w:r>
          </w:p>
        </w:tc>
      </w:tr>
      <w:tr>
        <w:tblPrEx>
          <w:tblCellMar>
            <w:top w:w="0" w:type="dxa"/>
            <w:left w:w="0" w:type="dxa"/>
            <w:bottom w:w="0" w:type="dxa"/>
            <w:right w:w="0" w:type="dxa"/>
          </w:tblCellMar>
        </w:tblPrEx>
        <w:trPr>
          <w:trHeight w:val="322" w:hRule="exact"/>
          <w:jc w:val="center"/>
        </w:trPr>
        <w:tc>
          <w:tcPr>
            <w:tcW w:w="98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ascii="仿宋" w:hAnsi="仿宋" w:eastAsia="仿宋" w:cs="宋体"/>
                <w:sz w:val="24"/>
                <w:szCs w:val="24"/>
              </w:rPr>
              <w:t>2</w:t>
            </w:r>
          </w:p>
        </w:tc>
        <w:tc>
          <w:tcPr>
            <w:tcW w:w="226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sz w:val="24"/>
                <w:szCs w:val="24"/>
              </w:rPr>
              <w:t>成绩处理工程师</w:t>
            </w:r>
          </w:p>
        </w:tc>
        <w:tc>
          <w:tcPr>
            <w:tcW w:w="552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left"/>
              <w:rPr>
                <w:rFonts w:ascii="仿宋" w:hAnsi="仿宋" w:eastAsia="仿宋"/>
                <w:sz w:val="24"/>
                <w:szCs w:val="24"/>
              </w:rPr>
            </w:pPr>
            <w:r>
              <w:rPr>
                <w:rFonts w:hint="eastAsia" w:ascii="仿宋" w:hAnsi="仿宋" w:eastAsia="仿宋" w:cs="宋体"/>
                <w:sz w:val="24"/>
                <w:szCs w:val="24"/>
              </w:rPr>
              <w:t>负责成绩处理系统运行维护</w:t>
            </w:r>
          </w:p>
        </w:tc>
      </w:tr>
      <w:tr>
        <w:tblPrEx>
          <w:tblCellMar>
            <w:top w:w="0" w:type="dxa"/>
            <w:left w:w="0" w:type="dxa"/>
            <w:bottom w:w="0" w:type="dxa"/>
            <w:right w:w="0" w:type="dxa"/>
          </w:tblCellMar>
        </w:tblPrEx>
        <w:trPr>
          <w:trHeight w:val="322" w:hRule="exact"/>
          <w:jc w:val="center"/>
        </w:trPr>
        <w:tc>
          <w:tcPr>
            <w:tcW w:w="98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ascii="仿宋" w:hAnsi="仿宋" w:eastAsia="仿宋" w:cs="宋体"/>
                <w:sz w:val="24"/>
                <w:szCs w:val="24"/>
              </w:rPr>
              <w:t>3</w:t>
            </w:r>
          </w:p>
        </w:tc>
        <w:tc>
          <w:tcPr>
            <w:tcW w:w="226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sz w:val="24"/>
                <w:szCs w:val="24"/>
              </w:rPr>
              <w:t>技术统计工程师</w:t>
            </w:r>
          </w:p>
        </w:tc>
        <w:tc>
          <w:tcPr>
            <w:tcW w:w="552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left"/>
              <w:rPr>
                <w:rFonts w:ascii="仿宋" w:hAnsi="仿宋" w:eastAsia="仿宋"/>
                <w:sz w:val="24"/>
                <w:szCs w:val="24"/>
              </w:rPr>
            </w:pPr>
            <w:r>
              <w:rPr>
                <w:rFonts w:hint="eastAsia" w:ascii="仿宋" w:hAnsi="仿宋" w:eastAsia="仿宋" w:cs="宋体"/>
                <w:sz w:val="24"/>
                <w:szCs w:val="24"/>
              </w:rPr>
              <w:t>负责技术统计系统运行维护</w:t>
            </w:r>
          </w:p>
        </w:tc>
      </w:tr>
      <w:tr>
        <w:tblPrEx>
          <w:tblCellMar>
            <w:top w:w="0" w:type="dxa"/>
            <w:left w:w="0" w:type="dxa"/>
            <w:bottom w:w="0" w:type="dxa"/>
            <w:right w:w="0" w:type="dxa"/>
          </w:tblCellMar>
        </w:tblPrEx>
        <w:trPr>
          <w:trHeight w:val="325" w:hRule="exact"/>
          <w:jc w:val="center"/>
        </w:trPr>
        <w:tc>
          <w:tcPr>
            <w:tcW w:w="98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ascii="仿宋" w:hAnsi="仿宋" w:eastAsia="仿宋" w:cs="宋体"/>
                <w:sz w:val="24"/>
                <w:szCs w:val="24"/>
              </w:rPr>
              <w:t>4</w:t>
            </w:r>
          </w:p>
        </w:tc>
        <w:tc>
          <w:tcPr>
            <w:tcW w:w="226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sz w:val="24"/>
                <w:szCs w:val="24"/>
              </w:rPr>
              <w:t>公共显示屏控制工程师</w:t>
            </w:r>
          </w:p>
        </w:tc>
        <w:tc>
          <w:tcPr>
            <w:tcW w:w="552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left"/>
              <w:rPr>
                <w:rFonts w:ascii="仿宋" w:hAnsi="仿宋" w:eastAsia="仿宋"/>
                <w:sz w:val="24"/>
                <w:szCs w:val="24"/>
              </w:rPr>
            </w:pPr>
            <w:r>
              <w:rPr>
                <w:rFonts w:hint="eastAsia" w:ascii="仿宋" w:hAnsi="仿宋" w:eastAsia="仿宋" w:cs="宋体"/>
                <w:sz w:val="24"/>
                <w:szCs w:val="24"/>
              </w:rPr>
              <w:t>负责公共显示屏控制系统运行维护</w:t>
            </w:r>
          </w:p>
        </w:tc>
      </w:tr>
      <w:tr>
        <w:tblPrEx>
          <w:tblCellMar>
            <w:top w:w="0" w:type="dxa"/>
            <w:left w:w="0" w:type="dxa"/>
            <w:bottom w:w="0" w:type="dxa"/>
            <w:right w:w="0" w:type="dxa"/>
          </w:tblCellMar>
        </w:tblPrEx>
        <w:trPr>
          <w:trHeight w:val="325" w:hRule="exact"/>
          <w:jc w:val="center"/>
        </w:trPr>
        <w:tc>
          <w:tcPr>
            <w:tcW w:w="98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cs="宋体"/>
                <w:sz w:val="24"/>
                <w:szCs w:val="24"/>
              </w:rPr>
            </w:pPr>
            <w:r>
              <w:rPr>
                <w:rFonts w:hint="eastAsia" w:ascii="仿宋" w:hAnsi="仿宋" w:eastAsia="仿宋" w:cs="宋体"/>
                <w:sz w:val="24"/>
                <w:szCs w:val="24"/>
              </w:rPr>
              <w:t>5</w:t>
            </w:r>
          </w:p>
        </w:tc>
        <w:tc>
          <w:tcPr>
            <w:tcW w:w="226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sz w:val="24"/>
                <w:szCs w:val="24"/>
              </w:rPr>
              <w:t>评论员系统主管</w:t>
            </w:r>
          </w:p>
        </w:tc>
        <w:tc>
          <w:tcPr>
            <w:tcW w:w="552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left"/>
              <w:rPr>
                <w:rFonts w:ascii="仿宋" w:hAnsi="仿宋" w:eastAsia="仿宋" w:cs="宋体"/>
                <w:sz w:val="24"/>
                <w:szCs w:val="24"/>
              </w:rPr>
            </w:pPr>
            <w:r>
              <w:rPr>
                <w:rFonts w:hint="eastAsia" w:ascii="仿宋" w:hAnsi="仿宋" w:eastAsia="仿宋" w:cs="宋体"/>
                <w:sz w:val="24"/>
                <w:szCs w:val="24"/>
              </w:rPr>
              <w:t>场馆内评论员系统总负责</w:t>
            </w:r>
            <w:r>
              <w:rPr>
                <w:rFonts w:ascii="仿宋" w:hAnsi="仿宋" w:eastAsia="仿宋" w:cs="宋体"/>
                <w:sz w:val="24"/>
                <w:szCs w:val="24"/>
              </w:rPr>
              <w:t xml:space="preserve"> </w:t>
            </w:r>
          </w:p>
        </w:tc>
      </w:tr>
      <w:tr>
        <w:tblPrEx>
          <w:tblCellMar>
            <w:top w:w="0" w:type="dxa"/>
            <w:left w:w="0" w:type="dxa"/>
            <w:bottom w:w="0" w:type="dxa"/>
            <w:right w:w="0" w:type="dxa"/>
          </w:tblCellMar>
        </w:tblPrEx>
        <w:trPr>
          <w:trHeight w:val="325" w:hRule="exact"/>
          <w:jc w:val="center"/>
        </w:trPr>
        <w:tc>
          <w:tcPr>
            <w:tcW w:w="98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cs="宋体"/>
                <w:sz w:val="24"/>
                <w:szCs w:val="24"/>
              </w:rPr>
            </w:pPr>
            <w:r>
              <w:rPr>
                <w:rFonts w:hint="eastAsia" w:ascii="仿宋" w:hAnsi="仿宋" w:eastAsia="仿宋" w:cs="宋体"/>
                <w:sz w:val="24"/>
                <w:szCs w:val="24"/>
              </w:rPr>
              <w:t>6</w:t>
            </w:r>
          </w:p>
        </w:tc>
        <w:tc>
          <w:tcPr>
            <w:tcW w:w="226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sz w:val="24"/>
                <w:szCs w:val="24"/>
              </w:rPr>
              <w:t>评论员系统工程师</w:t>
            </w:r>
          </w:p>
        </w:tc>
        <w:tc>
          <w:tcPr>
            <w:tcW w:w="552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left"/>
              <w:rPr>
                <w:rFonts w:ascii="仿宋" w:hAnsi="仿宋" w:eastAsia="仿宋" w:cs="宋体"/>
                <w:sz w:val="24"/>
                <w:szCs w:val="24"/>
              </w:rPr>
            </w:pPr>
            <w:r>
              <w:rPr>
                <w:rFonts w:hint="eastAsia" w:ascii="仿宋" w:hAnsi="仿宋" w:eastAsia="仿宋" w:cs="宋体"/>
                <w:sz w:val="24"/>
                <w:szCs w:val="24"/>
              </w:rPr>
              <w:t>负责评论员系统运行维护</w:t>
            </w:r>
          </w:p>
        </w:tc>
      </w:tr>
      <w:tr>
        <w:tblPrEx>
          <w:tblCellMar>
            <w:top w:w="0" w:type="dxa"/>
            <w:left w:w="0" w:type="dxa"/>
            <w:bottom w:w="0" w:type="dxa"/>
            <w:right w:w="0" w:type="dxa"/>
          </w:tblCellMar>
        </w:tblPrEx>
        <w:trPr>
          <w:trHeight w:val="325" w:hRule="exact"/>
          <w:jc w:val="center"/>
        </w:trPr>
        <w:tc>
          <w:tcPr>
            <w:tcW w:w="98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cs="宋体"/>
                <w:sz w:val="24"/>
                <w:szCs w:val="24"/>
              </w:rPr>
            </w:pPr>
            <w:r>
              <w:rPr>
                <w:rFonts w:hint="eastAsia" w:ascii="仿宋" w:hAnsi="仿宋" w:eastAsia="仿宋" w:cs="宋体"/>
                <w:sz w:val="24"/>
                <w:szCs w:val="24"/>
              </w:rPr>
              <w:t>7</w:t>
            </w:r>
          </w:p>
        </w:tc>
        <w:tc>
          <w:tcPr>
            <w:tcW w:w="226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sz w:val="24"/>
                <w:szCs w:val="24"/>
              </w:rPr>
              <w:t>中央成绩主管</w:t>
            </w:r>
          </w:p>
        </w:tc>
        <w:tc>
          <w:tcPr>
            <w:tcW w:w="552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left"/>
              <w:rPr>
                <w:rFonts w:ascii="仿宋" w:hAnsi="仿宋" w:eastAsia="仿宋" w:cs="宋体"/>
                <w:sz w:val="24"/>
                <w:szCs w:val="24"/>
              </w:rPr>
            </w:pPr>
            <w:r>
              <w:rPr>
                <w:rFonts w:hint="eastAsia" w:ascii="仿宋" w:hAnsi="仿宋" w:eastAsia="仿宋" w:cs="宋体"/>
                <w:sz w:val="24"/>
                <w:szCs w:val="24"/>
              </w:rPr>
              <w:t>场馆内中央系统总负责</w:t>
            </w:r>
            <w:r>
              <w:rPr>
                <w:rFonts w:ascii="仿宋" w:hAnsi="仿宋" w:eastAsia="仿宋" w:cs="宋体"/>
                <w:sz w:val="24"/>
                <w:szCs w:val="24"/>
              </w:rPr>
              <w:t xml:space="preserve"> </w:t>
            </w:r>
          </w:p>
        </w:tc>
      </w:tr>
      <w:tr>
        <w:tblPrEx>
          <w:tblCellMar>
            <w:top w:w="0" w:type="dxa"/>
            <w:left w:w="0" w:type="dxa"/>
            <w:bottom w:w="0" w:type="dxa"/>
            <w:right w:w="0" w:type="dxa"/>
          </w:tblCellMar>
        </w:tblPrEx>
        <w:trPr>
          <w:trHeight w:val="325" w:hRule="exact"/>
          <w:jc w:val="center"/>
        </w:trPr>
        <w:tc>
          <w:tcPr>
            <w:tcW w:w="98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cs="宋体"/>
                <w:sz w:val="24"/>
                <w:szCs w:val="24"/>
              </w:rPr>
            </w:pPr>
            <w:r>
              <w:rPr>
                <w:rFonts w:ascii="仿宋" w:hAnsi="仿宋" w:eastAsia="仿宋" w:cs="宋体"/>
                <w:sz w:val="24"/>
                <w:szCs w:val="24"/>
              </w:rPr>
              <w:t>8</w:t>
            </w:r>
          </w:p>
        </w:tc>
        <w:tc>
          <w:tcPr>
            <w:tcW w:w="226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sz w:val="24"/>
                <w:szCs w:val="24"/>
              </w:rPr>
              <w:t>中央成绩工程师</w:t>
            </w:r>
          </w:p>
        </w:tc>
        <w:tc>
          <w:tcPr>
            <w:tcW w:w="552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left"/>
              <w:rPr>
                <w:rFonts w:ascii="仿宋" w:hAnsi="仿宋" w:eastAsia="仿宋" w:cs="宋体"/>
                <w:sz w:val="24"/>
                <w:szCs w:val="24"/>
              </w:rPr>
            </w:pPr>
            <w:r>
              <w:rPr>
                <w:rFonts w:hint="eastAsia" w:ascii="仿宋" w:hAnsi="仿宋" w:eastAsia="仿宋" w:cs="宋体"/>
                <w:sz w:val="24"/>
                <w:szCs w:val="24"/>
              </w:rPr>
              <w:t>负责中央成绩系统运行维护</w:t>
            </w:r>
            <w:r>
              <w:rPr>
                <w:rFonts w:ascii="仿宋" w:hAnsi="仿宋" w:eastAsia="仿宋" w:cs="宋体"/>
                <w:sz w:val="24"/>
                <w:szCs w:val="24"/>
              </w:rPr>
              <w:t xml:space="preserve"> </w:t>
            </w:r>
          </w:p>
        </w:tc>
      </w:tr>
      <w:tr>
        <w:tblPrEx>
          <w:tblCellMar>
            <w:top w:w="0" w:type="dxa"/>
            <w:left w:w="0" w:type="dxa"/>
            <w:bottom w:w="0" w:type="dxa"/>
            <w:right w:w="0" w:type="dxa"/>
          </w:tblCellMar>
        </w:tblPrEx>
        <w:trPr>
          <w:trHeight w:val="325" w:hRule="exact"/>
          <w:jc w:val="center"/>
        </w:trPr>
        <w:tc>
          <w:tcPr>
            <w:tcW w:w="98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cs="宋体"/>
                <w:sz w:val="24"/>
                <w:szCs w:val="24"/>
              </w:rPr>
            </w:pPr>
            <w:r>
              <w:rPr>
                <w:rFonts w:ascii="仿宋" w:hAnsi="仿宋" w:eastAsia="仿宋" w:cs="宋体"/>
                <w:sz w:val="24"/>
                <w:szCs w:val="24"/>
              </w:rPr>
              <w:t>9</w:t>
            </w:r>
          </w:p>
        </w:tc>
        <w:tc>
          <w:tcPr>
            <w:tcW w:w="226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sz w:val="24"/>
                <w:szCs w:val="24"/>
              </w:rPr>
              <w:t>信息发布主管</w:t>
            </w:r>
          </w:p>
        </w:tc>
        <w:tc>
          <w:tcPr>
            <w:tcW w:w="552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left"/>
              <w:rPr>
                <w:rFonts w:ascii="仿宋" w:hAnsi="仿宋" w:eastAsia="仿宋" w:cs="宋体"/>
                <w:sz w:val="24"/>
                <w:szCs w:val="24"/>
              </w:rPr>
            </w:pPr>
            <w:r>
              <w:rPr>
                <w:rFonts w:hint="eastAsia" w:ascii="仿宋" w:hAnsi="仿宋" w:eastAsia="仿宋" w:cs="宋体"/>
                <w:sz w:val="24"/>
                <w:szCs w:val="24"/>
              </w:rPr>
              <w:t>场馆内信息发布系统总负责</w:t>
            </w:r>
            <w:r>
              <w:rPr>
                <w:rFonts w:ascii="仿宋" w:hAnsi="仿宋" w:eastAsia="仿宋" w:cs="宋体"/>
                <w:sz w:val="24"/>
                <w:szCs w:val="24"/>
              </w:rPr>
              <w:t xml:space="preserve"> </w:t>
            </w:r>
          </w:p>
        </w:tc>
      </w:tr>
      <w:tr>
        <w:tblPrEx>
          <w:tblCellMar>
            <w:top w:w="0" w:type="dxa"/>
            <w:left w:w="0" w:type="dxa"/>
            <w:bottom w:w="0" w:type="dxa"/>
            <w:right w:w="0" w:type="dxa"/>
          </w:tblCellMar>
        </w:tblPrEx>
        <w:trPr>
          <w:trHeight w:val="325" w:hRule="exact"/>
          <w:jc w:val="center"/>
        </w:trPr>
        <w:tc>
          <w:tcPr>
            <w:tcW w:w="98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cs="宋体"/>
                <w:sz w:val="24"/>
                <w:szCs w:val="24"/>
              </w:rPr>
            </w:pPr>
            <w:r>
              <w:rPr>
                <w:rFonts w:ascii="仿宋" w:hAnsi="仿宋" w:eastAsia="仿宋" w:cs="宋体"/>
                <w:sz w:val="24"/>
                <w:szCs w:val="24"/>
              </w:rPr>
              <w:t>10</w:t>
            </w:r>
          </w:p>
        </w:tc>
        <w:tc>
          <w:tcPr>
            <w:tcW w:w="226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sz w:val="24"/>
                <w:szCs w:val="24"/>
              </w:rPr>
              <w:t>信息发布工程师</w:t>
            </w:r>
          </w:p>
        </w:tc>
        <w:tc>
          <w:tcPr>
            <w:tcW w:w="552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left"/>
              <w:rPr>
                <w:rFonts w:ascii="仿宋" w:hAnsi="仿宋" w:eastAsia="仿宋" w:cs="宋体"/>
                <w:sz w:val="24"/>
                <w:szCs w:val="24"/>
              </w:rPr>
            </w:pPr>
            <w:r>
              <w:rPr>
                <w:rFonts w:hint="eastAsia" w:ascii="仿宋" w:hAnsi="仿宋" w:eastAsia="仿宋" w:cs="宋体"/>
                <w:sz w:val="24"/>
                <w:szCs w:val="24"/>
              </w:rPr>
              <w:t>负责信息发布系统运行维护</w:t>
            </w:r>
          </w:p>
        </w:tc>
      </w:tr>
    </w:tbl>
    <w:p>
      <w:pPr>
        <w:spacing w:line="276" w:lineRule="auto"/>
        <w:ind w:firstLine="560"/>
        <w:rPr>
          <w:rFonts w:ascii="仿宋" w:hAnsi="仿宋" w:eastAsia="仿宋"/>
          <w:sz w:val="24"/>
          <w:szCs w:val="24"/>
        </w:rPr>
      </w:pPr>
    </w:p>
    <w:p>
      <w:pPr>
        <w:keepNext/>
        <w:keepLines/>
        <w:numPr>
          <w:ilvl w:val="3"/>
          <w:numId w:val="0"/>
        </w:numPr>
        <w:tabs>
          <w:tab w:val="left" w:pos="0"/>
        </w:tabs>
        <w:spacing w:line="276" w:lineRule="auto"/>
        <w:outlineLvl w:val="3"/>
        <w:rPr>
          <w:rFonts w:ascii="仿宋" w:hAnsi="仿宋" w:eastAsia="仿宋"/>
          <w:sz w:val="24"/>
          <w:szCs w:val="24"/>
        </w:rPr>
      </w:pPr>
      <w:r>
        <w:rPr>
          <w:rFonts w:hint="eastAsia" w:ascii="仿宋" w:hAnsi="仿宋" w:eastAsia="仿宋"/>
          <w:sz w:val="24"/>
          <w:szCs w:val="24"/>
        </w:rPr>
        <w:t>▲</w:t>
      </w:r>
      <w:r>
        <w:rPr>
          <w:rFonts w:hint="eastAsia" w:ascii="仿宋" w:hAnsi="仿宋" w:eastAsia="仿宋"/>
          <w:b/>
          <w:sz w:val="24"/>
          <w:szCs w:val="24"/>
          <w:u w:val="single"/>
        </w:rPr>
        <w:t>到岗时间</w:t>
      </w:r>
      <w:r>
        <w:rPr>
          <w:rFonts w:hint="eastAsia" w:ascii="仿宋" w:hAnsi="仿宋" w:eastAsia="仿宋"/>
          <w:b/>
          <w:sz w:val="24"/>
          <w:szCs w:val="24"/>
        </w:rPr>
        <w:t>▲</w:t>
      </w:r>
    </w:p>
    <w:p>
      <w:pPr>
        <w:spacing w:line="276" w:lineRule="auto"/>
        <w:ind w:firstLine="560"/>
        <w:rPr>
          <w:rFonts w:ascii="仿宋" w:hAnsi="仿宋" w:eastAsia="仿宋"/>
          <w:sz w:val="24"/>
          <w:szCs w:val="24"/>
        </w:rPr>
      </w:pPr>
      <w:r>
        <w:rPr>
          <w:rFonts w:hint="eastAsia" w:ascii="仿宋" w:hAnsi="仿宋" w:eastAsia="仿宋"/>
          <w:sz w:val="24"/>
          <w:szCs w:val="24"/>
        </w:rPr>
        <w:t>前期准备和建设期为自合同签订之日起至2021年3月；赛事运行保障阶段为2021年3月至2021年10月。</w:t>
      </w:r>
    </w:p>
    <w:p>
      <w:pPr>
        <w:spacing w:line="276" w:lineRule="auto"/>
        <w:ind w:firstLine="560"/>
        <w:rPr>
          <w:rFonts w:ascii="仿宋" w:hAnsi="仿宋" w:eastAsia="仿宋"/>
          <w:sz w:val="24"/>
          <w:szCs w:val="24"/>
        </w:rPr>
      </w:pPr>
      <w:r>
        <w:rPr>
          <w:rFonts w:hint="eastAsia" w:ascii="仿宋" w:hAnsi="仿宋" w:eastAsia="仿宋"/>
          <w:sz w:val="24"/>
          <w:szCs w:val="24"/>
        </w:rPr>
        <w:t>合同签订后第二日，系统的项目实施管理人员需到位。</w:t>
      </w:r>
    </w:p>
    <w:p>
      <w:pPr>
        <w:spacing w:line="276" w:lineRule="auto"/>
        <w:ind w:firstLine="560"/>
        <w:rPr>
          <w:rFonts w:ascii="仿宋" w:hAnsi="仿宋" w:eastAsia="仿宋"/>
          <w:sz w:val="24"/>
          <w:szCs w:val="24"/>
        </w:rPr>
      </w:pPr>
      <w:r>
        <w:rPr>
          <w:rFonts w:hint="eastAsia" w:ascii="仿宋" w:hAnsi="仿宋" w:eastAsia="仿宋"/>
          <w:sz w:val="24"/>
          <w:szCs w:val="24"/>
        </w:rPr>
        <w:t>2021年3月至6月为集成测试和测试赛，场馆技术支持人员按照全部岗位编制的 1/3计算到位。</w:t>
      </w:r>
    </w:p>
    <w:p>
      <w:pPr>
        <w:spacing w:line="276" w:lineRule="auto"/>
        <w:ind w:firstLine="560"/>
        <w:rPr>
          <w:rFonts w:ascii="仿宋" w:hAnsi="仿宋" w:eastAsia="仿宋"/>
          <w:sz w:val="24"/>
          <w:szCs w:val="24"/>
        </w:rPr>
      </w:pPr>
      <w:r>
        <w:rPr>
          <w:rFonts w:hint="eastAsia" w:ascii="仿宋" w:hAnsi="仿宋" w:eastAsia="仿宋"/>
          <w:sz w:val="24"/>
          <w:szCs w:val="24"/>
        </w:rPr>
        <w:t>2021年7月，联试联调，场馆人员一半人员到位。</w:t>
      </w:r>
    </w:p>
    <w:p>
      <w:pPr>
        <w:spacing w:line="276" w:lineRule="auto"/>
        <w:ind w:firstLine="560"/>
        <w:rPr>
          <w:rFonts w:ascii="仿宋" w:hAnsi="仿宋" w:eastAsia="仿宋"/>
          <w:sz w:val="24"/>
          <w:szCs w:val="24"/>
        </w:rPr>
      </w:pPr>
      <w:r>
        <w:rPr>
          <w:rFonts w:hint="eastAsia" w:ascii="仿宋" w:hAnsi="仿宋" w:eastAsia="仿宋"/>
          <w:sz w:val="24"/>
          <w:szCs w:val="24"/>
        </w:rPr>
        <w:t>2021年8月，全部场馆技术人员到位，进行全员培训、联试联调、赛事准备等工作。</w:t>
      </w:r>
    </w:p>
    <w:p>
      <w:pPr>
        <w:spacing w:line="276" w:lineRule="auto"/>
        <w:ind w:firstLine="560"/>
        <w:rPr>
          <w:rFonts w:ascii="仿宋" w:hAnsi="仿宋" w:eastAsia="仿宋"/>
          <w:sz w:val="24"/>
          <w:szCs w:val="24"/>
        </w:rPr>
      </w:pPr>
      <w:r>
        <w:rPr>
          <w:rFonts w:hint="eastAsia" w:ascii="仿宋" w:hAnsi="仿宋" w:eastAsia="仿宋"/>
          <w:sz w:val="24"/>
          <w:szCs w:val="24"/>
        </w:rPr>
        <w:t>2021年8月为赛时保障阶段，此时为整个人员使用的高峰，各非竞赛场馆和竞赛场馆人员需全员到位。其中技术运行中心（TOC）在赛时保障期提供7×24时的服务，每天安排两班人员进行倒班。</w:t>
      </w:r>
    </w:p>
    <w:p>
      <w:pPr>
        <w:spacing w:line="276" w:lineRule="auto"/>
        <w:ind w:firstLine="560"/>
        <w:rPr>
          <w:rFonts w:ascii="仿宋" w:hAnsi="仿宋" w:eastAsia="仿宋"/>
          <w:sz w:val="24"/>
          <w:szCs w:val="24"/>
        </w:rPr>
      </w:pPr>
      <w:r>
        <w:rPr>
          <w:rFonts w:hint="eastAsia" w:ascii="仿宋" w:hAnsi="仿宋" w:eastAsia="仿宋"/>
          <w:sz w:val="24"/>
          <w:szCs w:val="24"/>
        </w:rPr>
        <w:t>2021年9月至10月为赛事收尾阶段，完成赛事信息系统服务的后续保障，完成赛事收尾及咨询知识转移，完成总结报告等收尾工作。</w:t>
      </w:r>
    </w:p>
    <w:p>
      <w:pPr>
        <w:spacing w:line="276" w:lineRule="auto"/>
        <w:ind w:firstLine="560"/>
        <w:rPr>
          <w:rFonts w:ascii="仿宋" w:hAnsi="仿宋" w:eastAsia="仿宋"/>
          <w:sz w:val="24"/>
          <w:szCs w:val="24"/>
        </w:rPr>
      </w:pPr>
      <w:r>
        <w:rPr>
          <w:rFonts w:hint="eastAsia" w:ascii="仿宋" w:hAnsi="仿宋" w:eastAsia="仿宋"/>
          <w:sz w:val="24"/>
          <w:szCs w:val="24"/>
        </w:rPr>
        <w:t>服务期内招标方要求人员配置根据实际需求发生变化时，投标人应无条件响应。</w:t>
      </w:r>
    </w:p>
    <w:p>
      <w:pPr>
        <w:keepNext/>
        <w:keepLines/>
        <w:numPr>
          <w:ilvl w:val="0"/>
          <w:numId w:val="42"/>
        </w:numPr>
        <w:tabs>
          <w:tab w:val="left" w:pos="480"/>
        </w:tabs>
        <w:spacing w:before="240" w:beforeLines="100" w:line="276" w:lineRule="auto"/>
        <w:ind w:left="482" w:hanging="482" w:hangingChars="200"/>
        <w:outlineLvl w:val="2"/>
        <w:rPr>
          <w:rFonts w:ascii="仿宋" w:hAnsi="仿宋" w:eastAsia="仿宋"/>
          <w:b/>
          <w:kern w:val="0"/>
          <w:sz w:val="24"/>
          <w:szCs w:val="24"/>
        </w:rPr>
      </w:pPr>
      <w:r>
        <w:rPr>
          <w:rFonts w:hint="eastAsia" w:ascii="仿宋" w:hAnsi="仿宋" w:eastAsia="仿宋"/>
          <w:b/>
          <w:kern w:val="0"/>
          <w:sz w:val="24"/>
          <w:szCs w:val="24"/>
        </w:rPr>
        <w:t>实施管理要求</w:t>
      </w:r>
    </w:p>
    <w:p>
      <w:pPr>
        <w:spacing w:line="276" w:lineRule="auto"/>
        <w:ind w:firstLine="560"/>
        <w:rPr>
          <w:rFonts w:ascii="仿宋" w:hAnsi="仿宋" w:eastAsia="仿宋"/>
          <w:sz w:val="24"/>
          <w:szCs w:val="24"/>
        </w:rPr>
      </w:pPr>
      <w:r>
        <w:rPr>
          <w:rFonts w:hint="eastAsia" w:ascii="仿宋" w:hAnsi="仿宋" w:eastAsia="仿宋"/>
          <w:sz w:val="24"/>
          <w:szCs w:val="24"/>
        </w:rPr>
        <w:t>1、投标人必须对实施完成的系统提供日常维护服务，并根据招标方要求提供服务至运动会结束。</w:t>
      </w:r>
    </w:p>
    <w:p>
      <w:pPr>
        <w:spacing w:line="276" w:lineRule="auto"/>
        <w:ind w:firstLine="560"/>
        <w:rPr>
          <w:rFonts w:ascii="仿宋" w:hAnsi="仿宋" w:eastAsia="仿宋"/>
          <w:sz w:val="24"/>
          <w:szCs w:val="24"/>
        </w:rPr>
      </w:pPr>
      <w:r>
        <w:rPr>
          <w:rFonts w:hint="eastAsia" w:ascii="仿宋" w:hAnsi="仿宋" w:eastAsia="仿宋"/>
          <w:sz w:val="24"/>
          <w:szCs w:val="24"/>
        </w:rPr>
        <w:t>2、投标人须对建设的系统提供运行支持服务，根据合同承诺的内容对系统进行必要的修改、改进，并根据招标方要求提供服务至运动会结束。</w:t>
      </w:r>
    </w:p>
    <w:p>
      <w:pPr>
        <w:spacing w:line="276" w:lineRule="auto"/>
        <w:ind w:firstLine="560"/>
        <w:rPr>
          <w:rFonts w:ascii="仿宋" w:hAnsi="仿宋" w:eastAsia="仿宋"/>
          <w:sz w:val="24"/>
          <w:szCs w:val="24"/>
        </w:rPr>
      </w:pPr>
      <w:r>
        <w:rPr>
          <w:rFonts w:hint="eastAsia" w:ascii="仿宋" w:hAnsi="仿宋" w:eastAsia="仿宋"/>
          <w:sz w:val="24"/>
          <w:szCs w:val="24"/>
        </w:rPr>
        <w:t>3、接到招标方提出的修改建议之后，投标人需在1天内向招标方提供系统修改评估意见。</w:t>
      </w:r>
    </w:p>
    <w:p>
      <w:pPr>
        <w:spacing w:line="276" w:lineRule="auto"/>
        <w:ind w:firstLine="560"/>
        <w:rPr>
          <w:rFonts w:ascii="仿宋" w:hAnsi="仿宋" w:eastAsia="仿宋"/>
          <w:sz w:val="24"/>
          <w:szCs w:val="24"/>
        </w:rPr>
      </w:pPr>
      <w:r>
        <w:rPr>
          <w:rFonts w:hint="eastAsia" w:ascii="仿宋" w:hAnsi="仿宋" w:eastAsia="仿宋"/>
          <w:sz w:val="24"/>
          <w:szCs w:val="24"/>
        </w:rPr>
        <w:t>▲4、</w:t>
      </w:r>
      <w:r>
        <w:rPr>
          <w:rFonts w:hint="eastAsia" w:ascii="仿宋" w:hAnsi="仿宋" w:eastAsia="仿宋"/>
          <w:b/>
          <w:sz w:val="24"/>
          <w:szCs w:val="24"/>
          <w:u w:val="single"/>
        </w:rPr>
        <w:t>中标人应为招标方提供 7×24 小时的技术咨询和维修服务。中标人收到招标方服务要求后1小时内做出响应</w:t>
      </w:r>
      <w:r>
        <w:rPr>
          <w:rFonts w:hint="eastAsia" w:ascii="仿宋" w:hAnsi="仿宋" w:eastAsia="仿宋"/>
          <w:sz w:val="24"/>
          <w:szCs w:val="24"/>
        </w:rPr>
        <w:t>。</w:t>
      </w:r>
      <w:r>
        <w:rPr>
          <w:rFonts w:hint="eastAsia" w:ascii="仿宋" w:hAnsi="仿宋" w:eastAsia="仿宋"/>
          <w:b/>
          <w:sz w:val="24"/>
          <w:szCs w:val="24"/>
        </w:rPr>
        <w:t>▲</w:t>
      </w:r>
    </w:p>
    <w:p>
      <w:pPr>
        <w:spacing w:line="276" w:lineRule="auto"/>
        <w:ind w:firstLine="560"/>
        <w:rPr>
          <w:rFonts w:ascii="仿宋" w:hAnsi="仿宋" w:eastAsia="仿宋"/>
          <w:sz w:val="24"/>
          <w:szCs w:val="24"/>
        </w:rPr>
      </w:pPr>
      <w:r>
        <w:rPr>
          <w:rFonts w:hint="eastAsia" w:ascii="仿宋" w:hAnsi="仿宋" w:eastAsia="仿宋"/>
          <w:sz w:val="24"/>
          <w:szCs w:val="24"/>
        </w:rPr>
        <w:t>5、中标人建设的系统应具备备份方案，保证在运动会比赛期间，如果系统发生故障， 能够不影响比赛的正常进行。</w:t>
      </w:r>
    </w:p>
    <w:p>
      <w:pPr>
        <w:spacing w:line="276" w:lineRule="auto"/>
        <w:ind w:firstLine="560"/>
        <w:rPr>
          <w:rFonts w:ascii="仿宋" w:hAnsi="仿宋" w:eastAsia="仿宋"/>
          <w:sz w:val="24"/>
          <w:szCs w:val="24"/>
        </w:rPr>
      </w:pPr>
      <w:r>
        <w:rPr>
          <w:rFonts w:hint="eastAsia" w:ascii="仿宋" w:hAnsi="仿宋" w:eastAsia="仿宋"/>
          <w:sz w:val="24"/>
          <w:szCs w:val="24"/>
        </w:rPr>
        <w:t>6、运行维护期内，中标人负责对其提供的系统进行维护，不得单列模块维护加以收费。</w:t>
      </w:r>
    </w:p>
    <w:p>
      <w:pPr>
        <w:spacing w:line="276" w:lineRule="auto"/>
        <w:ind w:firstLine="560"/>
        <w:rPr>
          <w:rFonts w:ascii="仿宋" w:hAnsi="仿宋" w:eastAsia="仿宋"/>
          <w:sz w:val="24"/>
          <w:szCs w:val="24"/>
        </w:rPr>
      </w:pPr>
      <w:r>
        <w:rPr>
          <w:rFonts w:hint="eastAsia" w:ascii="仿宋" w:hAnsi="仿宋" w:eastAsia="仿宋"/>
          <w:sz w:val="24"/>
          <w:szCs w:val="24"/>
        </w:rPr>
        <w:t>7、投标人应本着认真负责态度，组织技术队伍，做好书面提出维护、服务以及今后技术支持的措施计划和承诺。</w:t>
      </w:r>
    </w:p>
    <w:p>
      <w:pPr>
        <w:spacing w:line="276" w:lineRule="auto"/>
        <w:ind w:firstLine="560"/>
        <w:rPr>
          <w:rFonts w:ascii="仿宋" w:hAnsi="仿宋" w:eastAsia="仿宋"/>
          <w:sz w:val="24"/>
          <w:szCs w:val="24"/>
        </w:rPr>
      </w:pPr>
      <w:r>
        <w:rPr>
          <w:rFonts w:hint="eastAsia" w:ascii="仿宋" w:hAnsi="仿宋" w:eastAsia="仿宋"/>
          <w:sz w:val="24"/>
          <w:szCs w:val="24"/>
        </w:rPr>
        <w:t>8、本项目中所选用主要设备原则上要求具有大型体育赛事信息系统相关应用案例。</w:t>
      </w:r>
    </w:p>
    <w:p>
      <w:pPr>
        <w:keepNext/>
        <w:keepLines/>
        <w:numPr>
          <w:ilvl w:val="0"/>
          <w:numId w:val="42"/>
        </w:numPr>
        <w:tabs>
          <w:tab w:val="left" w:pos="480"/>
        </w:tabs>
        <w:spacing w:before="240" w:beforeLines="100" w:line="276" w:lineRule="auto"/>
        <w:ind w:left="482" w:hanging="482" w:hangingChars="200"/>
        <w:outlineLvl w:val="2"/>
        <w:rPr>
          <w:rFonts w:ascii="仿宋" w:hAnsi="仿宋" w:eastAsia="仿宋"/>
          <w:b/>
          <w:kern w:val="0"/>
          <w:sz w:val="24"/>
          <w:szCs w:val="24"/>
        </w:rPr>
      </w:pPr>
      <w:r>
        <w:rPr>
          <w:rFonts w:hint="eastAsia" w:ascii="仿宋" w:hAnsi="仿宋" w:eastAsia="仿宋"/>
          <w:b/>
          <w:kern w:val="0"/>
          <w:sz w:val="24"/>
          <w:szCs w:val="24"/>
        </w:rPr>
        <w:t>▲服务期限▲</w:t>
      </w:r>
    </w:p>
    <w:p>
      <w:pPr>
        <w:spacing w:line="276" w:lineRule="auto"/>
        <w:ind w:firstLine="560"/>
        <w:rPr>
          <w:rFonts w:ascii="仿宋" w:hAnsi="仿宋" w:eastAsia="仿宋"/>
          <w:b/>
          <w:sz w:val="24"/>
          <w:szCs w:val="24"/>
        </w:rPr>
      </w:pPr>
      <w:r>
        <w:rPr>
          <w:rFonts w:hint="eastAsia" w:ascii="仿宋" w:hAnsi="仿宋" w:eastAsia="仿宋"/>
          <w:b/>
          <w:sz w:val="24"/>
          <w:szCs w:val="24"/>
        </w:rPr>
        <w:t>服务期限：自合同签订之日起至2021年12月结束。</w:t>
      </w:r>
    </w:p>
    <w:p>
      <w:pPr>
        <w:spacing w:line="276" w:lineRule="auto"/>
        <w:ind w:firstLine="560"/>
        <w:rPr>
          <w:rFonts w:ascii="仿宋" w:hAnsi="仿宋" w:eastAsia="仿宋"/>
          <w:b/>
          <w:sz w:val="24"/>
          <w:szCs w:val="24"/>
        </w:rPr>
      </w:pPr>
      <w:r>
        <w:rPr>
          <w:rFonts w:hint="eastAsia" w:ascii="仿宋" w:hAnsi="仿宋" w:eastAsia="仿宋"/>
          <w:b/>
          <w:sz w:val="24"/>
          <w:szCs w:val="24"/>
        </w:rPr>
        <w:t>1、自合同签订之日起-2021年3月  项目建设（含专项设计）；</w:t>
      </w:r>
    </w:p>
    <w:p>
      <w:pPr>
        <w:spacing w:line="276" w:lineRule="auto"/>
        <w:ind w:firstLine="560"/>
        <w:rPr>
          <w:rFonts w:ascii="仿宋" w:hAnsi="仿宋" w:eastAsia="仿宋"/>
          <w:b/>
          <w:sz w:val="24"/>
          <w:szCs w:val="24"/>
        </w:rPr>
      </w:pPr>
      <w:r>
        <w:rPr>
          <w:rFonts w:hint="eastAsia" w:ascii="仿宋" w:hAnsi="仿宋" w:eastAsia="仿宋"/>
          <w:b/>
          <w:sz w:val="24"/>
          <w:szCs w:val="24"/>
        </w:rPr>
        <w:t>2、2021年3-4月集成测试；</w:t>
      </w:r>
    </w:p>
    <w:p>
      <w:pPr>
        <w:spacing w:line="276" w:lineRule="auto"/>
        <w:ind w:firstLine="560"/>
        <w:rPr>
          <w:rFonts w:ascii="仿宋" w:hAnsi="仿宋" w:eastAsia="仿宋"/>
          <w:b/>
          <w:sz w:val="24"/>
          <w:szCs w:val="24"/>
        </w:rPr>
      </w:pPr>
      <w:r>
        <w:rPr>
          <w:rFonts w:hint="eastAsia" w:ascii="仿宋" w:hAnsi="仿宋" w:eastAsia="仿宋"/>
          <w:b/>
          <w:sz w:val="24"/>
          <w:szCs w:val="24"/>
        </w:rPr>
        <w:t>3、2021年4-6月提供测试赛运行服务；</w:t>
      </w:r>
    </w:p>
    <w:p>
      <w:pPr>
        <w:spacing w:line="276" w:lineRule="auto"/>
        <w:ind w:firstLine="560"/>
        <w:rPr>
          <w:rFonts w:ascii="仿宋" w:hAnsi="仿宋" w:eastAsia="仿宋"/>
          <w:b/>
          <w:sz w:val="24"/>
          <w:szCs w:val="24"/>
        </w:rPr>
      </w:pPr>
      <w:r>
        <w:rPr>
          <w:rFonts w:hint="eastAsia" w:ascii="仿宋" w:hAnsi="仿宋" w:eastAsia="仿宋"/>
          <w:b/>
          <w:sz w:val="24"/>
          <w:szCs w:val="24"/>
        </w:rPr>
        <w:t>4、2021年7月提供联调联试及联合演练服务；</w:t>
      </w:r>
    </w:p>
    <w:p>
      <w:pPr>
        <w:spacing w:line="276" w:lineRule="auto"/>
        <w:ind w:firstLine="560"/>
        <w:rPr>
          <w:rFonts w:ascii="仿宋" w:hAnsi="仿宋" w:eastAsia="仿宋"/>
          <w:b/>
          <w:sz w:val="24"/>
          <w:szCs w:val="24"/>
        </w:rPr>
      </w:pPr>
      <w:r>
        <w:rPr>
          <w:rFonts w:hint="eastAsia" w:ascii="仿宋" w:hAnsi="仿宋" w:eastAsia="仿宋"/>
          <w:b/>
          <w:sz w:val="24"/>
          <w:szCs w:val="24"/>
        </w:rPr>
        <w:t>5、2021年8月</w:t>
      </w:r>
      <w:r>
        <w:rPr>
          <w:rFonts w:hint="eastAsia" w:ascii="仿宋" w:hAnsi="仿宋" w:eastAsia="仿宋"/>
          <w:b/>
          <w:sz w:val="24"/>
          <w:szCs w:val="24"/>
        </w:rPr>
        <w:tab/>
      </w:r>
      <w:r>
        <w:rPr>
          <w:rFonts w:hint="eastAsia" w:ascii="仿宋" w:hAnsi="仿宋" w:eastAsia="仿宋"/>
          <w:b/>
          <w:sz w:val="24"/>
          <w:szCs w:val="24"/>
        </w:rPr>
        <w:t>全面提供赛时运行服务；</w:t>
      </w:r>
    </w:p>
    <w:p>
      <w:pPr>
        <w:spacing w:line="276" w:lineRule="auto"/>
        <w:ind w:firstLine="560"/>
        <w:rPr>
          <w:rFonts w:ascii="仿宋" w:hAnsi="仿宋" w:eastAsia="仿宋"/>
          <w:b/>
          <w:sz w:val="24"/>
          <w:szCs w:val="24"/>
        </w:rPr>
      </w:pPr>
      <w:r>
        <w:rPr>
          <w:rFonts w:hint="eastAsia" w:ascii="仿宋" w:hAnsi="仿宋" w:eastAsia="仿宋"/>
          <w:b/>
          <w:sz w:val="24"/>
          <w:szCs w:val="24"/>
        </w:rPr>
        <w:t>6、2021年9月-2021年12月提供赛事收尾服务。</w:t>
      </w:r>
    </w:p>
    <w:p>
      <w:pPr>
        <w:spacing w:line="276" w:lineRule="auto"/>
        <w:ind w:firstLine="560"/>
        <w:rPr>
          <w:rFonts w:ascii="仿宋" w:hAnsi="仿宋" w:eastAsia="仿宋"/>
          <w:b/>
          <w:sz w:val="24"/>
          <w:szCs w:val="24"/>
        </w:rPr>
      </w:pPr>
      <w:r>
        <w:rPr>
          <w:rFonts w:hint="eastAsia" w:ascii="仿宋" w:hAnsi="仿宋" w:eastAsia="仿宋"/>
          <w:b/>
          <w:sz w:val="24"/>
          <w:szCs w:val="24"/>
        </w:rPr>
        <w:t>以上工期会根据实际情况做适当优化修正。投标人应按照上述总体工期要求制定详细的系统建设计划。</w:t>
      </w:r>
    </w:p>
    <w:p>
      <w:pPr>
        <w:keepNext/>
        <w:keepLines/>
        <w:numPr>
          <w:ilvl w:val="0"/>
          <w:numId w:val="42"/>
        </w:numPr>
        <w:tabs>
          <w:tab w:val="left" w:pos="480"/>
        </w:tabs>
        <w:spacing w:before="240" w:beforeLines="100" w:line="276" w:lineRule="auto"/>
        <w:ind w:left="482" w:hanging="482" w:hangingChars="200"/>
        <w:outlineLvl w:val="2"/>
        <w:rPr>
          <w:rFonts w:ascii="仿宋" w:hAnsi="仿宋" w:eastAsia="仿宋"/>
          <w:b/>
          <w:kern w:val="0"/>
          <w:sz w:val="24"/>
          <w:szCs w:val="24"/>
        </w:rPr>
      </w:pPr>
      <w:r>
        <w:rPr>
          <w:rFonts w:hint="eastAsia" w:ascii="仿宋" w:hAnsi="仿宋" w:eastAsia="仿宋"/>
          <w:b/>
          <w:kern w:val="0"/>
          <w:sz w:val="24"/>
          <w:szCs w:val="24"/>
        </w:rPr>
        <w:t>培训要求</w:t>
      </w:r>
    </w:p>
    <w:p>
      <w:pPr>
        <w:spacing w:line="276" w:lineRule="auto"/>
        <w:ind w:firstLine="560"/>
        <w:rPr>
          <w:rFonts w:ascii="仿宋" w:hAnsi="仿宋" w:eastAsia="仿宋"/>
          <w:sz w:val="24"/>
          <w:szCs w:val="24"/>
        </w:rPr>
      </w:pPr>
      <w:r>
        <w:rPr>
          <w:rFonts w:hint="eastAsia" w:ascii="仿宋" w:hAnsi="仿宋" w:eastAsia="仿宋"/>
          <w:sz w:val="24"/>
          <w:szCs w:val="24"/>
        </w:rPr>
        <w:t>投标人应提供完整的培训方案；赛事信息系统的各分系统紧密联系，在培训时需从全局角度出发对培训进行计划。</w:t>
      </w:r>
    </w:p>
    <w:p>
      <w:pPr>
        <w:keepNext/>
        <w:keepLines/>
        <w:numPr>
          <w:ilvl w:val="3"/>
          <w:numId w:val="0"/>
        </w:numPr>
        <w:tabs>
          <w:tab w:val="left" w:pos="0"/>
        </w:tabs>
        <w:spacing w:line="276" w:lineRule="auto"/>
        <w:outlineLvl w:val="3"/>
        <w:rPr>
          <w:rFonts w:ascii="仿宋" w:hAnsi="仿宋" w:eastAsia="仿宋"/>
          <w:sz w:val="24"/>
          <w:szCs w:val="24"/>
        </w:rPr>
      </w:pPr>
      <w:r>
        <w:rPr>
          <w:rFonts w:hint="eastAsia" w:ascii="仿宋" w:hAnsi="仿宋" w:eastAsia="仿宋"/>
          <w:sz w:val="24"/>
          <w:szCs w:val="24"/>
        </w:rPr>
        <w:t xml:space="preserve">培训目标 </w:t>
      </w:r>
    </w:p>
    <w:p>
      <w:pPr>
        <w:spacing w:line="276" w:lineRule="auto"/>
        <w:ind w:firstLine="560"/>
        <w:rPr>
          <w:rFonts w:ascii="仿宋" w:hAnsi="仿宋" w:eastAsia="仿宋"/>
          <w:sz w:val="24"/>
          <w:szCs w:val="24"/>
        </w:rPr>
      </w:pPr>
      <w:r>
        <w:rPr>
          <w:rFonts w:hint="eastAsia" w:ascii="仿宋" w:hAnsi="仿宋" w:eastAsia="仿宋"/>
          <w:sz w:val="24"/>
          <w:szCs w:val="24"/>
        </w:rPr>
        <w:t>在系统实施过程中，必须加强对员工的培训工作，包括岗位培训、基础知识培训、竞赛业务培训、技术与操作技能培训等。培训人员数量按实际需求量的110 %，关键岗位人员、专业操作人员、技术支持与系统维护人员等应设立人才预备库，避免人员流失风险，提供应急突发事件处理能力。</w:t>
      </w:r>
    </w:p>
    <w:p>
      <w:pPr>
        <w:spacing w:line="276" w:lineRule="auto"/>
        <w:ind w:firstLine="560"/>
        <w:rPr>
          <w:rFonts w:ascii="仿宋" w:hAnsi="仿宋" w:eastAsia="仿宋"/>
          <w:sz w:val="24"/>
          <w:szCs w:val="24"/>
        </w:rPr>
      </w:pPr>
      <w:r>
        <w:rPr>
          <w:rFonts w:hint="eastAsia" w:ascii="仿宋" w:hAnsi="仿宋" w:eastAsia="仿宋"/>
          <w:sz w:val="24"/>
          <w:szCs w:val="24"/>
        </w:rPr>
        <w:t>基础知识和岗位培训将遵循组委会和项目管理安排进行培训，竞赛业务和操作技能培训部分由承包商提供培训资料和培训师。首批参加培训的员工，将担任各场馆主管等关键岗位，并负责场馆技术人员的培训工作。</w:t>
      </w:r>
    </w:p>
    <w:p>
      <w:pPr>
        <w:keepNext/>
        <w:keepLines/>
        <w:numPr>
          <w:ilvl w:val="3"/>
          <w:numId w:val="0"/>
        </w:numPr>
        <w:tabs>
          <w:tab w:val="left" w:pos="0"/>
        </w:tabs>
        <w:spacing w:line="276" w:lineRule="auto"/>
        <w:outlineLvl w:val="3"/>
        <w:rPr>
          <w:rFonts w:ascii="仿宋" w:hAnsi="仿宋" w:eastAsia="仿宋"/>
          <w:sz w:val="24"/>
          <w:szCs w:val="24"/>
        </w:rPr>
      </w:pPr>
      <w:r>
        <w:rPr>
          <w:rFonts w:hint="eastAsia" w:ascii="仿宋" w:hAnsi="仿宋" w:eastAsia="仿宋"/>
          <w:sz w:val="24"/>
          <w:szCs w:val="24"/>
        </w:rPr>
        <w:t xml:space="preserve">培训对象 </w:t>
      </w:r>
    </w:p>
    <w:p>
      <w:pPr>
        <w:spacing w:line="276" w:lineRule="auto"/>
        <w:ind w:firstLine="560"/>
        <w:rPr>
          <w:rFonts w:ascii="仿宋" w:hAnsi="仿宋" w:eastAsia="仿宋"/>
          <w:sz w:val="24"/>
          <w:szCs w:val="24"/>
        </w:rPr>
      </w:pPr>
      <w:r>
        <w:rPr>
          <w:rFonts w:hint="eastAsia" w:ascii="仿宋" w:hAnsi="仿宋" w:eastAsia="仿宋"/>
          <w:sz w:val="24"/>
          <w:szCs w:val="24"/>
        </w:rPr>
        <w:t>针对操作运行人员进行的专业培训，其目的在于使有关人员能够熟悉本届大运会的基本知识和相关业务流程，并通过培训，熟悉设备的安装调试和维护及操作要求和方法，以保障系统安全可靠、高效的运行质量。保障使用对象熟悉基本流程、服务规范，熟练操作各信息系统的各项功能，保证服务质量。掌握各种设备的故障的诊断、定位和排除技能。主要培训对象包括但不限于：管理团队、工作人员、开发人员、技术支持人员和志愿者辅助人员等。</w:t>
      </w:r>
    </w:p>
    <w:p>
      <w:pPr>
        <w:keepNext/>
        <w:keepLines/>
        <w:numPr>
          <w:ilvl w:val="3"/>
          <w:numId w:val="0"/>
        </w:numPr>
        <w:tabs>
          <w:tab w:val="left" w:pos="0"/>
        </w:tabs>
        <w:spacing w:line="276" w:lineRule="auto"/>
        <w:outlineLvl w:val="3"/>
        <w:rPr>
          <w:rFonts w:ascii="仿宋" w:hAnsi="仿宋" w:eastAsia="仿宋"/>
          <w:sz w:val="24"/>
          <w:szCs w:val="24"/>
        </w:rPr>
      </w:pPr>
      <w:r>
        <w:rPr>
          <w:rFonts w:hint="eastAsia" w:ascii="仿宋" w:hAnsi="仿宋" w:eastAsia="仿宋"/>
          <w:sz w:val="24"/>
          <w:szCs w:val="24"/>
        </w:rPr>
        <w:t xml:space="preserve">培训内容与课程要求 </w:t>
      </w:r>
    </w:p>
    <w:p>
      <w:pPr>
        <w:spacing w:line="276" w:lineRule="auto"/>
        <w:ind w:firstLine="560"/>
        <w:rPr>
          <w:rFonts w:ascii="仿宋" w:hAnsi="仿宋" w:eastAsia="仿宋"/>
          <w:sz w:val="24"/>
          <w:szCs w:val="24"/>
        </w:rPr>
      </w:pPr>
      <w:r>
        <w:rPr>
          <w:rFonts w:hint="eastAsia" w:ascii="仿宋" w:hAnsi="仿宋" w:eastAsia="仿宋"/>
          <w:sz w:val="24"/>
          <w:szCs w:val="24"/>
        </w:rPr>
        <w:t>投标人应对项目培训范围提供相应的培训，投标人需详细列明相应的培训课程内容和时间安排。</w:t>
      </w:r>
    </w:p>
    <w:p>
      <w:pPr>
        <w:keepNext/>
        <w:keepLines/>
        <w:numPr>
          <w:ilvl w:val="3"/>
          <w:numId w:val="0"/>
        </w:numPr>
        <w:tabs>
          <w:tab w:val="left" w:pos="0"/>
        </w:tabs>
        <w:spacing w:line="276" w:lineRule="auto"/>
        <w:outlineLvl w:val="3"/>
        <w:rPr>
          <w:rFonts w:ascii="仿宋" w:hAnsi="仿宋" w:eastAsia="仿宋"/>
          <w:sz w:val="24"/>
          <w:szCs w:val="24"/>
        </w:rPr>
      </w:pPr>
      <w:r>
        <w:rPr>
          <w:rFonts w:hint="eastAsia" w:ascii="仿宋" w:hAnsi="仿宋" w:eastAsia="仿宋"/>
          <w:sz w:val="24"/>
          <w:szCs w:val="24"/>
        </w:rPr>
        <w:t xml:space="preserve">培训费用 </w:t>
      </w:r>
    </w:p>
    <w:p>
      <w:pPr>
        <w:spacing w:line="276" w:lineRule="auto"/>
        <w:ind w:firstLine="560"/>
        <w:rPr>
          <w:rFonts w:ascii="仿宋" w:hAnsi="仿宋" w:eastAsia="仿宋"/>
          <w:sz w:val="24"/>
          <w:szCs w:val="24"/>
        </w:rPr>
      </w:pPr>
      <w:r>
        <w:rPr>
          <w:rFonts w:hint="eastAsia" w:ascii="仿宋" w:hAnsi="仿宋" w:eastAsia="仿宋"/>
          <w:sz w:val="24"/>
          <w:szCs w:val="24"/>
        </w:rPr>
        <w:t>所有培训费用及各项支出可包含在各子系统报价中，无需单列。</w:t>
      </w:r>
    </w:p>
    <w:p>
      <w:pPr>
        <w:keepNext/>
        <w:keepLines/>
        <w:numPr>
          <w:ilvl w:val="1"/>
          <w:numId w:val="0"/>
        </w:numPr>
        <w:spacing w:before="240" w:beforeLines="100" w:line="276" w:lineRule="auto"/>
        <w:ind w:right="-29" w:rightChars="-14"/>
        <w:outlineLvl w:val="1"/>
        <w:rPr>
          <w:rFonts w:ascii="仿宋" w:hAnsi="仿宋" w:eastAsia="仿宋"/>
          <w:b/>
          <w:bCs/>
          <w:sz w:val="28"/>
          <w:szCs w:val="24"/>
        </w:rPr>
      </w:pPr>
      <w:r>
        <w:rPr>
          <w:rFonts w:hint="eastAsia" w:ascii="仿宋" w:hAnsi="仿宋" w:eastAsia="仿宋"/>
          <w:b/>
          <w:bCs/>
          <w:sz w:val="28"/>
          <w:szCs w:val="24"/>
        </w:rPr>
        <w:t>1.6服务地点</w:t>
      </w:r>
    </w:p>
    <w:p>
      <w:pPr>
        <w:adjustRightInd w:val="0"/>
        <w:snapToGrid w:val="0"/>
        <w:spacing w:line="276" w:lineRule="auto"/>
        <w:ind w:left="640"/>
        <w:rPr>
          <w:rFonts w:ascii="仿宋" w:hAnsi="仿宋" w:eastAsia="仿宋"/>
          <w:sz w:val="24"/>
          <w:szCs w:val="24"/>
        </w:rPr>
      </w:pPr>
      <w:r>
        <w:rPr>
          <w:rFonts w:hint="eastAsia" w:ascii="仿宋" w:hAnsi="仿宋" w:eastAsia="仿宋"/>
          <w:sz w:val="24"/>
          <w:szCs w:val="24"/>
        </w:rPr>
        <w:t>服务</w:t>
      </w:r>
      <w:r>
        <w:rPr>
          <w:rFonts w:ascii="仿宋" w:hAnsi="仿宋" w:eastAsia="仿宋"/>
          <w:sz w:val="24"/>
          <w:szCs w:val="24"/>
        </w:rPr>
        <w:t>地点：成都</w:t>
      </w:r>
    </w:p>
    <w:p>
      <w:pPr>
        <w:keepNext/>
        <w:keepLines/>
        <w:numPr>
          <w:ilvl w:val="1"/>
          <w:numId w:val="0"/>
        </w:numPr>
        <w:spacing w:before="240" w:beforeLines="100" w:line="276" w:lineRule="auto"/>
        <w:ind w:right="-29" w:rightChars="-14"/>
        <w:outlineLvl w:val="1"/>
        <w:rPr>
          <w:rFonts w:ascii="仿宋" w:hAnsi="仿宋" w:eastAsia="仿宋"/>
          <w:b/>
          <w:bCs/>
          <w:sz w:val="28"/>
          <w:szCs w:val="24"/>
        </w:rPr>
      </w:pPr>
      <w:r>
        <w:rPr>
          <w:rFonts w:hint="eastAsia" w:ascii="仿宋" w:hAnsi="仿宋" w:eastAsia="仿宋"/>
          <w:b/>
          <w:bCs/>
          <w:sz w:val="28"/>
          <w:szCs w:val="24"/>
        </w:rPr>
        <w:t>1.7考核标准和方法</w:t>
      </w:r>
    </w:p>
    <w:p>
      <w:pPr>
        <w:keepNext/>
        <w:keepLines/>
        <w:numPr>
          <w:ilvl w:val="2"/>
          <w:numId w:val="0"/>
        </w:numPr>
        <w:tabs>
          <w:tab w:val="left" w:pos="480"/>
        </w:tabs>
        <w:spacing w:line="276" w:lineRule="auto"/>
        <w:outlineLvl w:val="2"/>
        <w:rPr>
          <w:rFonts w:ascii="仿宋" w:hAnsi="仿宋" w:eastAsia="仿宋"/>
          <w:kern w:val="0"/>
          <w:sz w:val="24"/>
          <w:szCs w:val="24"/>
        </w:rPr>
      </w:pPr>
      <w:r>
        <w:rPr>
          <w:rFonts w:hint="eastAsia" w:ascii="仿宋" w:hAnsi="仿宋" w:eastAsia="仿宋"/>
          <w:kern w:val="0"/>
          <w:sz w:val="24"/>
          <w:szCs w:val="24"/>
        </w:rPr>
        <w:t>考核标准及办法</w:t>
      </w:r>
    </w:p>
    <w:tbl>
      <w:tblPr>
        <w:tblStyle w:val="58"/>
        <w:tblW w:w="9045" w:type="dxa"/>
        <w:tblInd w:w="0" w:type="dxa"/>
        <w:tblLayout w:type="fixed"/>
        <w:tblCellMar>
          <w:top w:w="0" w:type="dxa"/>
          <w:left w:w="108" w:type="dxa"/>
          <w:bottom w:w="0" w:type="dxa"/>
          <w:right w:w="108" w:type="dxa"/>
        </w:tblCellMar>
      </w:tblPr>
      <w:tblGrid>
        <w:gridCol w:w="561"/>
        <w:gridCol w:w="1128"/>
        <w:gridCol w:w="686"/>
        <w:gridCol w:w="2978"/>
        <w:gridCol w:w="3692"/>
      </w:tblGrid>
      <w:tr>
        <w:tblPrEx>
          <w:tblCellMar>
            <w:top w:w="0" w:type="dxa"/>
            <w:left w:w="108" w:type="dxa"/>
            <w:bottom w:w="0" w:type="dxa"/>
            <w:right w:w="108" w:type="dxa"/>
          </w:tblCellMar>
        </w:tblPrEx>
        <w:trPr>
          <w:trHeight w:val="330" w:hRule="atLeast"/>
          <w:tblHeader/>
        </w:trPr>
        <w:tc>
          <w:tcPr>
            <w:tcW w:w="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rPr>
                <w:rFonts w:ascii="仿宋" w:hAnsi="仿宋" w:eastAsia="仿宋" w:cs="宋体"/>
                <w:b/>
                <w:szCs w:val="21"/>
              </w:rPr>
            </w:pPr>
            <w:r>
              <w:rPr>
                <w:rFonts w:hint="eastAsia" w:ascii="仿宋" w:hAnsi="仿宋" w:eastAsia="仿宋" w:cs="宋体"/>
                <w:b/>
                <w:szCs w:val="21"/>
                <w:lang w:bidi="ar"/>
              </w:rPr>
              <w:t>序号</w:t>
            </w:r>
          </w:p>
        </w:tc>
        <w:tc>
          <w:tcPr>
            <w:tcW w:w="112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b/>
                <w:szCs w:val="21"/>
              </w:rPr>
            </w:pPr>
            <w:r>
              <w:rPr>
                <w:rFonts w:hint="eastAsia" w:ascii="仿宋" w:hAnsi="仿宋" w:eastAsia="仿宋" w:cs="宋体"/>
                <w:b/>
                <w:szCs w:val="21"/>
                <w:lang w:bidi="ar"/>
              </w:rPr>
              <w:t>服务阶段</w:t>
            </w:r>
          </w:p>
        </w:tc>
        <w:tc>
          <w:tcPr>
            <w:tcW w:w="686"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b/>
                <w:szCs w:val="21"/>
              </w:rPr>
            </w:pPr>
            <w:r>
              <w:rPr>
                <w:rFonts w:hint="eastAsia" w:ascii="仿宋" w:hAnsi="仿宋" w:eastAsia="仿宋" w:cs="宋体"/>
                <w:b/>
                <w:szCs w:val="21"/>
                <w:lang w:bidi="ar"/>
              </w:rPr>
              <w:t>服务内容</w:t>
            </w:r>
          </w:p>
        </w:tc>
        <w:tc>
          <w:tcPr>
            <w:tcW w:w="297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b/>
                <w:szCs w:val="21"/>
              </w:rPr>
            </w:pPr>
            <w:r>
              <w:rPr>
                <w:rFonts w:hint="eastAsia" w:ascii="仿宋" w:hAnsi="仿宋" w:eastAsia="仿宋" w:cs="宋体"/>
                <w:b/>
                <w:szCs w:val="21"/>
                <w:lang w:bidi="ar"/>
              </w:rPr>
              <w:t>服务说明</w:t>
            </w:r>
          </w:p>
        </w:tc>
        <w:tc>
          <w:tcPr>
            <w:tcW w:w="369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b/>
                <w:szCs w:val="21"/>
              </w:rPr>
            </w:pPr>
            <w:r>
              <w:rPr>
                <w:rFonts w:hint="eastAsia" w:ascii="仿宋" w:hAnsi="仿宋" w:eastAsia="仿宋" w:cs="宋体"/>
                <w:b/>
                <w:szCs w:val="21"/>
                <w:lang w:bidi="ar"/>
              </w:rPr>
              <w:t>扣分说明</w:t>
            </w:r>
          </w:p>
        </w:tc>
      </w:tr>
      <w:tr>
        <w:tblPrEx>
          <w:tblCellMar>
            <w:top w:w="0" w:type="dxa"/>
            <w:left w:w="108" w:type="dxa"/>
            <w:bottom w:w="0" w:type="dxa"/>
            <w:right w:w="108" w:type="dxa"/>
          </w:tblCellMar>
        </w:tblPrEx>
        <w:trPr>
          <w:trHeight w:val="33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1</w:t>
            </w:r>
          </w:p>
        </w:tc>
        <w:tc>
          <w:tcPr>
            <w:tcW w:w="112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招标完成后</w:t>
            </w: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服务团队</w:t>
            </w:r>
          </w:p>
        </w:tc>
        <w:tc>
          <w:tcPr>
            <w:tcW w:w="297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按照用户要求提供相应数量、资质的人员</w:t>
            </w:r>
          </w:p>
        </w:tc>
        <w:tc>
          <w:tcPr>
            <w:tcW w:w="369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项目经理、主管等主要人员缺失的，每缺一人扣0.4分；资质不匹配的，每有一人/项，扣0.2分</w:t>
            </w:r>
          </w:p>
        </w:tc>
      </w:tr>
      <w:tr>
        <w:tblPrEx>
          <w:tblCellMar>
            <w:top w:w="0" w:type="dxa"/>
            <w:left w:w="108" w:type="dxa"/>
            <w:bottom w:w="0" w:type="dxa"/>
            <w:right w:w="108" w:type="dxa"/>
          </w:tblCellMar>
        </w:tblPrEx>
        <w:trPr>
          <w:trHeight w:val="33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2</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Cs w:val="21"/>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方案计划</w:t>
            </w:r>
          </w:p>
        </w:tc>
        <w:tc>
          <w:tcPr>
            <w:tcW w:w="297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依照要求制定、更新服务方案和服务计划</w:t>
            </w:r>
          </w:p>
        </w:tc>
        <w:tc>
          <w:tcPr>
            <w:tcW w:w="369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未提供服务方案服务计划，每有一次扣2分；逾期提供服务方案、服务计划，每逾期一天扣0.2分</w:t>
            </w:r>
          </w:p>
        </w:tc>
      </w:tr>
      <w:tr>
        <w:tblPrEx>
          <w:tblCellMar>
            <w:top w:w="0" w:type="dxa"/>
            <w:left w:w="108" w:type="dxa"/>
            <w:bottom w:w="0" w:type="dxa"/>
            <w:right w:w="108" w:type="dxa"/>
          </w:tblCellMar>
        </w:tblPrEx>
        <w:trPr>
          <w:trHeight w:val="66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3</w:t>
            </w:r>
          </w:p>
        </w:tc>
        <w:tc>
          <w:tcPr>
            <w:tcW w:w="112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项目建设阶段</w:t>
            </w:r>
          </w:p>
        </w:tc>
        <w:tc>
          <w:tcPr>
            <w:tcW w:w="68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方案计划的执行</w:t>
            </w:r>
          </w:p>
        </w:tc>
        <w:tc>
          <w:tcPr>
            <w:tcW w:w="297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根据制定的服务方案、服务计划提供完整、可靠、优质的各类服务</w:t>
            </w:r>
          </w:p>
        </w:tc>
        <w:tc>
          <w:tcPr>
            <w:tcW w:w="369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未按照通过审核的服务方案、服务计划提供服务，每有一项/次扣0.2分</w:t>
            </w:r>
          </w:p>
        </w:tc>
      </w:tr>
      <w:tr>
        <w:tblPrEx>
          <w:tblCellMar>
            <w:top w:w="0" w:type="dxa"/>
            <w:left w:w="108" w:type="dxa"/>
            <w:bottom w:w="0" w:type="dxa"/>
            <w:right w:w="108" w:type="dxa"/>
          </w:tblCellMar>
        </w:tblPrEx>
        <w:trPr>
          <w:trHeight w:val="66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4</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Cs w:val="21"/>
              </w:rPr>
            </w:pPr>
          </w:p>
        </w:tc>
        <w:tc>
          <w:tcPr>
            <w:tcW w:w="686"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Cs w:val="21"/>
              </w:rPr>
            </w:pPr>
          </w:p>
        </w:tc>
        <w:tc>
          <w:tcPr>
            <w:tcW w:w="297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根据制定的建设方案及进度计划进行项目建设</w:t>
            </w:r>
          </w:p>
        </w:tc>
        <w:tc>
          <w:tcPr>
            <w:tcW w:w="369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因建设进度滞后造成恶劣影响、或造成用户单位重大损失的，每有一项/次，扣1分；因建设进度滞后造成不良影响的，每有一项/次扣0.4分；项目建设未按方案进行的，每有一项扣0.2分</w:t>
            </w:r>
          </w:p>
        </w:tc>
      </w:tr>
      <w:tr>
        <w:tblPrEx>
          <w:tblCellMar>
            <w:top w:w="0" w:type="dxa"/>
            <w:left w:w="108" w:type="dxa"/>
            <w:bottom w:w="0" w:type="dxa"/>
            <w:right w:w="108" w:type="dxa"/>
          </w:tblCellMar>
        </w:tblPrEx>
        <w:trPr>
          <w:trHeight w:val="66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5</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Cs w:val="21"/>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服务报告</w:t>
            </w:r>
          </w:p>
        </w:tc>
        <w:tc>
          <w:tcPr>
            <w:tcW w:w="297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定期按照用户要求提交服务报告，不定期按照用户需求提交项目建设进度报告</w:t>
            </w:r>
          </w:p>
        </w:tc>
        <w:tc>
          <w:tcPr>
            <w:tcW w:w="369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未提供报告，每有一次扣0.1分；逾期提交或未达到用户要求的，扣0.04分</w:t>
            </w:r>
          </w:p>
        </w:tc>
      </w:tr>
      <w:tr>
        <w:tblPrEx>
          <w:tblCellMar>
            <w:top w:w="0" w:type="dxa"/>
            <w:left w:w="108" w:type="dxa"/>
            <w:bottom w:w="0" w:type="dxa"/>
            <w:right w:w="108" w:type="dxa"/>
          </w:tblCellMar>
        </w:tblPrEx>
        <w:trPr>
          <w:trHeight w:val="33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6</w:t>
            </w:r>
          </w:p>
        </w:tc>
        <w:tc>
          <w:tcPr>
            <w:tcW w:w="112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赛事运行保障阶段</w:t>
            </w:r>
          </w:p>
        </w:tc>
        <w:tc>
          <w:tcPr>
            <w:tcW w:w="686" w:type="dxa"/>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应急演练</w:t>
            </w:r>
          </w:p>
        </w:tc>
        <w:tc>
          <w:tcPr>
            <w:tcW w:w="297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根据制定的应急预案进行应急演练</w:t>
            </w:r>
          </w:p>
        </w:tc>
        <w:tc>
          <w:tcPr>
            <w:tcW w:w="369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未进行应急演练，每有一次扣0.4分；逾期演练或未达到用户要求的扣0.2分</w:t>
            </w:r>
          </w:p>
        </w:tc>
      </w:tr>
      <w:tr>
        <w:tblPrEx>
          <w:tblCellMar>
            <w:top w:w="0" w:type="dxa"/>
            <w:left w:w="108" w:type="dxa"/>
            <w:bottom w:w="0" w:type="dxa"/>
            <w:right w:w="108" w:type="dxa"/>
          </w:tblCellMar>
        </w:tblPrEx>
        <w:trPr>
          <w:trHeight w:val="66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7</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Cs w:val="21"/>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服务团队</w:t>
            </w:r>
          </w:p>
        </w:tc>
        <w:tc>
          <w:tcPr>
            <w:tcW w:w="297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项目经理、主管、工程师等应按预设规定和用户要求进行日常签到或考勤</w:t>
            </w:r>
          </w:p>
        </w:tc>
        <w:tc>
          <w:tcPr>
            <w:tcW w:w="369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每有一人/次人员无故缺勤旷工扣0.06分；每有一人/次人员无故迟到早退扣0.04分</w:t>
            </w:r>
          </w:p>
        </w:tc>
      </w:tr>
      <w:tr>
        <w:tblPrEx>
          <w:tblCellMar>
            <w:top w:w="0" w:type="dxa"/>
            <w:left w:w="108" w:type="dxa"/>
            <w:bottom w:w="0" w:type="dxa"/>
            <w:right w:w="108" w:type="dxa"/>
          </w:tblCellMar>
        </w:tblPrEx>
        <w:trPr>
          <w:trHeight w:val="99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8</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Cs w:val="21"/>
              </w:rPr>
            </w:pPr>
          </w:p>
        </w:tc>
        <w:tc>
          <w:tcPr>
            <w:tcW w:w="68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安全管理</w:t>
            </w:r>
          </w:p>
        </w:tc>
        <w:tc>
          <w:tcPr>
            <w:tcW w:w="297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服务期间，应尽量避免系统出现安全问题；系统出现安全问题后应及时按照预设流程或应急方案进行处置，做好记录；事后应进行专题分析，提交专题报告，并优化系统</w:t>
            </w:r>
          </w:p>
        </w:tc>
        <w:tc>
          <w:tcPr>
            <w:tcW w:w="369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系统出现安全问题后，响应不及时或未按规定流程处置的，每有一次扣0.06分；问题记录、处置记录缺失或未达到用户要求，每有一次扣0.04分</w:t>
            </w:r>
          </w:p>
        </w:tc>
      </w:tr>
      <w:tr>
        <w:tblPrEx>
          <w:tblCellMar>
            <w:top w:w="0" w:type="dxa"/>
            <w:left w:w="108" w:type="dxa"/>
            <w:bottom w:w="0" w:type="dxa"/>
            <w:right w:w="108" w:type="dxa"/>
          </w:tblCellMar>
        </w:tblPrEx>
        <w:trPr>
          <w:trHeight w:val="99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9</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Cs w:val="21"/>
              </w:rPr>
            </w:pPr>
          </w:p>
        </w:tc>
        <w:tc>
          <w:tcPr>
            <w:tcW w:w="686"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Cs w:val="21"/>
              </w:rPr>
            </w:pPr>
          </w:p>
        </w:tc>
        <w:tc>
          <w:tcPr>
            <w:tcW w:w="297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服务期间，应尽量避免设备设施出现安全问题；设备设施出现安全问题后应及时按照预设流程或应急方案采取补救措施，做好记录；事后应进行专题分析，提交专题报告</w:t>
            </w:r>
          </w:p>
        </w:tc>
        <w:tc>
          <w:tcPr>
            <w:tcW w:w="369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设备设施出现安全问题后，响应不及时、未按规定流程处置或未采取有效补救措施的，每有一次扣0.06分；问题记录、处置记录缺失或未达到用户要求，每有一次扣0.04分</w:t>
            </w:r>
          </w:p>
        </w:tc>
      </w:tr>
      <w:tr>
        <w:tblPrEx>
          <w:tblCellMar>
            <w:top w:w="0" w:type="dxa"/>
            <w:left w:w="108" w:type="dxa"/>
            <w:bottom w:w="0" w:type="dxa"/>
            <w:right w:w="108" w:type="dxa"/>
          </w:tblCellMar>
        </w:tblPrEx>
        <w:trPr>
          <w:trHeight w:val="132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10</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Cs w:val="21"/>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服务响应</w:t>
            </w:r>
          </w:p>
        </w:tc>
        <w:tc>
          <w:tcPr>
            <w:tcW w:w="297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服务期间，应及时响应用户需求，积极应对系统、设备故障。有特殊规定响应时间的，应在规定时间内响应；无特殊规定响应时间的，应在收到请求或发现问题之时2小时内给予明确响应。同时，应进行相应处置。</w:t>
            </w:r>
          </w:p>
        </w:tc>
        <w:tc>
          <w:tcPr>
            <w:tcW w:w="369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对有特殊规定响应时间的，按照相关约定扣分；对无特殊规定响应时间，且超过2小时再予以响应的，每超过1小时，扣0.04分</w:t>
            </w:r>
          </w:p>
        </w:tc>
      </w:tr>
      <w:tr>
        <w:tblPrEx>
          <w:tblCellMar>
            <w:top w:w="0" w:type="dxa"/>
            <w:left w:w="108" w:type="dxa"/>
            <w:bottom w:w="0" w:type="dxa"/>
            <w:right w:w="108" w:type="dxa"/>
          </w:tblCellMar>
        </w:tblPrEx>
        <w:trPr>
          <w:trHeight w:val="33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11</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Cs w:val="21"/>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用户投诉</w:t>
            </w:r>
          </w:p>
        </w:tc>
        <w:tc>
          <w:tcPr>
            <w:tcW w:w="297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受到用户单位接待对象、用户上级单位或用户投诉</w:t>
            </w:r>
          </w:p>
        </w:tc>
        <w:tc>
          <w:tcPr>
            <w:tcW w:w="369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受到用户接待对象或用户上级单位投诉的，每有一次扣0.2分；受到用户投诉，每有一次扣0.04分</w:t>
            </w:r>
          </w:p>
        </w:tc>
      </w:tr>
      <w:tr>
        <w:tblPrEx>
          <w:tblCellMar>
            <w:top w:w="0" w:type="dxa"/>
            <w:left w:w="108" w:type="dxa"/>
            <w:bottom w:w="0" w:type="dxa"/>
            <w:right w:w="108" w:type="dxa"/>
          </w:tblCellMar>
        </w:tblPrEx>
        <w:trPr>
          <w:trHeight w:val="66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12</w:t>
            </w:r>
          </w:p>
        </w:tc>
        <w:tc>
          <w:tcPr>
            <w:tcW w:w="1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赛事收尾阶段</w:t>
            </w: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赛事收尾</w:t>
            </w:r>
          </w:p>
        </w:tc>
        <w:tc>
          <w:tcPr>
            <w:tcW w:w="297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按照用户要求进行赛后资料收集整理、相关系统及数据移交、配合项目审计等相关工作</w:t>
            </w:r>
          </w:p>
        </w:tc>
        <w:tc>
          <w:tcPr>
            <w:tcW w:w="369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Cs w:val="21"/>
              </w:rPr>
            </w:pPr>
            <w:r>
              <w:rPr>
                <w:rFonts w:hint="eastAsia" w:ascii="仿宋" w:hAnsi="仿宋" w:eastAsia="仿宋" w:cs="宋体"/>
                <w:szCs w:val="21"/>
                <w:lang w:bidi="ar"/>
              </w:rPr>
              <w:t>按时间要求提交相关资料，每逾期一次扣0.2分；按时间要求提交相关系统及数据移交，每逾期一次扣0.2分；按用户要求配合项目审计相关工作，每缺少一项扣0.2分</w:t>
            </w:r>
          </w:p>
        </w:tc>
      </w:tr>
    </w:tbl>
    <w:p>
      <w:pPr>
        <w:spacing w:line="276" w:lineRule="auto"/>
        <w:ind w:firstLine="560"/>
        <w:rPr>
          <w:rFonts w:ascii="仿宋" w:hAnsi="仿宋" w:eastAsia="仿宋"/>
          <w:bCs/>
          <w:sz w:val="24"/>
          <w:szCs w:val="24"/>
        </w:rPr>
      </w:pPr>
      <w:r>
        <w:rPr>
          <w:rFonts w:hint="eastAsia" w:ascii="仿宋" w:hAnsi="仿宋" w:eastAsia="仿宋"/>
          <w:bCs/>
          <w:sz w:val="24"/>
          <w:szCs w:val="24"/>
        </w:rPr>
        <w:t>本次服务招标项目的服务考核分为四个阶段，每个阶段按不同的服务内容进行服务考核，按照每阶段考核得分进行服务扣款。</w:t>
      </w:r>
    </w:p>
    <w:p>
      <w:pPr>
        <w:spacing w:line="276" w:lineRule="auto"/>
        <w:ind w:firstLine="560"/>
        <w:rPr>
          <w:rFonts w:ascii="仿宋" w:hAnsi="仿宋" w:eastAsia="仿宋"/>
          <w:bCs/>
          <w:sz w:val="24"/>
          <w:szCs w:val="24"/>
        </w:rPr>
      </w:pPr>
      <w:r>
        <w:rPr>
          <w:rFonts w:hint="eastAsia" w:ascii="仿宋" w:hAnsi="仿宋" w:eastAsia="仿宋"/>
          <w:bCs/>
          <w:sz w:val="24"/>
          <w:szCs w:val="24"/>
        </w:rPr>
        <w:t>按合同金额的5%作为考核款。其中招标完成后以项目的</w:t>
      </w:r>
      <w:r>
        <w:rPr>
          <w:rFonts w:ascii="仿宋" w:hAnsi="仿宋" w:eastAsia="仿宋"/>
          <w:bCs/>
          <w:sz w:val="24"/>
          <w:szCs w:val="24"/>
        </w:rPr>
        <w:t>1</w:t>
      </w:r>
      <w:r>
        <w:rPr>
          <w:rFonts w:hint="eastAsia" w:ascii="仿宋" w:hAnsi="仿宋" w:eastAsia="仿宋"/>
          <w:bCs/>
          <w:sz w:val="24"/>
          <w:szCs w:val="24"/>
        </w:rPr>
        <w:t>%合同金额作为考核款，项目建设阶段以项目的</w:t>
      </w:r>
      <w:r>
        <w:rPr>
          <w:rFonts w:ascii="仿宋" w:hAnsi="仿宋" w:eastAsia="仿宋"/>
          <w:bCs/>
          <w:sz w:val="24"/>
          <w:szCs w:val="24"/>
        </w:rPr>
        <w:t>1</w:t>
      </w:r>
      <w:r>
        <w:rPr>
          <w:rFonts w:hint="eastAsia" w:ascii="仿宋" w:hAnsi="仿宋" w:eastAsia="仿宋"/>
          <w:bCs/>
          <w:sz w:val="24"/>
          <w:szCs w:val="24"/>
        </w:rPr>
        <w:t>%合同金额作为考核款，赛事运行保障阶段以项目的</w:t>
      </w:r>
      <w:r>
        <w:rPr>
          <w:rFonts w:ascii="仿宋" w:hAnsi="仿宋" w:eastAsia="仿宋"/>
          <w:bCs/>
          <w:sz w:val="24"/>
          <w:szCs w:val="24"/>
        </w:rPr>
        <w:t>2</w:t>
      </w:r>
      <w:r>
        <w:rPr>
          <w:rFonts w:hint="eastAsia" w:ascii="仿宋" w:hAnsi="仿宋" w:eastAsia="仿宋"/>
          <w:bCs/>
          <w:sz w:val="24"/>
          <w:szCs w:val="24"/>
        </w:rPr>
        <w:t>%合同金额作为考核款，赛事收尾阶段以项目的</w:t>
      </w:r>
      <w:r>
        <w:rPr>
          <w:rFonts w:ascii="仿宋" w:hAnsi="仿宋" w:eastAsia="仿宋"/>
          <w:bCs/>
          <w:sz w:val="24"/>
          <w:szCs w:val="24"/>
        </w:rPr>
        <w:t>1</w:t>
      </w:r>
      <w:r>
        <w:rPr>
          <w:rFonts w:hint="eastAsia" w:ascii="仿宋" w:hAnsi="仿宋" w:eastAsia="仿宋"/>
          <w:bCs/>
          <w:sz w:val="24"/>
          <w:szCs w:val="24"/>
        </w:rPr>
        <w:t>%合同金额作为考核款。</w:t>
      </w:r>
    </w:p>
    <w:p>
      <w:pPr>
        <w:spacing w:line="276" w:lineRule="auto"/>
        <w:ind w:firstLine="560"/>
        <w:rPr>
          <w:rFonts w:ascii="仿宋" w:hAnsi="仿宋" w:eastAsia="仿宋"/>
          <w:bCs/>
          <w:sz w:val="24"/>
          <w:szCs w:val="24"/>
        </w:rPr>
      </w:pPr>
      <w:r>
        <w:rPr>
          <w:rFonts w:hint="eastAsia" w:ascii="仿宋" w:hAnsi="仿宋" w:eastAsia="仿宋"/>
          <w:bCs/>
          <w:sz w:val="24"/>
          <w:szCs w:val="24"/>
        </w:rPr>
        <w:t>第一档：考核得分在</w:t>
      </w:r>
      <w:r>
        <w:rPr>
          <w:rFonts w:ascii="仿宋" w:hAnsi="仿宋" w:eastAsia="仿宋"/>
          <w:bCs/>
          <w:sz w:val="24"/>
          <w:szCs w:val="24"/>
        </w:rPr>
        <w:t>85</w:t>
      </w:r>
      <w:r>
        <w:rPr>
          <w:rFonts w:hint="eastAsia" w:ascii="仿宋" w:hAnsi="仿宋" w:eastAsia="仿宋"/>
          <w:bCs/>
          <w:sz w:val="24"/>
          <w:szCs w:val="24"/>
        </w:rPr>
        <w:t>分及以上，则视为考核通过，按全额支付考核款；</w:t>
      </w:r>
    </w:p>
    <w:p>
      <w:pPr>
        <w:spacing w:line="276" w:lineRule="auto"/>
        <w:ind w:firstLine="560"/>
        <w:rPr>
          <w:rFonts w:ascii="仿宋" w:hAnsi="仿宋" w:eastAsia="仿宋"/>
          <w:color w:val="FF0000"/>
          <w:sz w:val="24"/>
          <w:szCs w:val="24"/>
        </w:rPr>
      </w:pPr>
      <w:r>
        <w:rPr>
          <w:rFonts w:hint="eastAsia" w:ascii="仿宋" w:hAnsi="仿宋" w:eastAsia="仿宋"/>
          <w:bCs/>
          <w:sz w:val="24"/>
          <w:szCs w:val="24"/>
        </w:rPr>
        <w:t>第二档：考核得分小于</w:t>
      </w:r>
      <w:r>
        <w:rPr>
          <w:rFonts w:ascii="仿宋" w:hAnsi="仿宋" w:eastAsia="仿宋"/>
          <w:bCs/>
          <w:sz w:val="24"/>
          <w:szCs w:val="24"/>
        </w:rPr>
        <w:t>85</w:t>
      </w:r>
      <w:r>
        <w:rPr>
          <w:rFonts w:hint="eastAsia" w:ascii="仿宋" w:hAnsi="仿宋" w:eastAsia="仿宋"/>
          <w:bCs/>
          <w:sz w:val="24"/>
          <w:szCs w:val="24"/>
        </w:rPr>
        <w:t>分，则按照考核款*(实际分数)%支付考核款</w:t>
      </w:r>
      <w:r>
        <w:rPr>
          <w:rFonts w:hint="eastAsia" w:ascii="仿宋" w:hAnsi="仿宋" w:eastAsia="仿宋"/>
          <w:color w:val="FF0000"/>
          <w:sz w:val="24"/>
          <w:szCs w:val="24"/>
        </w:rPr>
        <w:t xml:space="preserve">。 </w:t>
      </w:r>
    </w:p>
    <w:p>
      <w:pPr>
        <w:keepNext/>
        <w:keepLines/>
        <w:numPr>
          <w:ilvl w:val="1"/>
          <w:numId w:val="0"/>
        </w:numPr>
        <w:spacing w:before="240" w:beforeLines="100" w:line="276" w:lineRule="auto"/>
        <w:ind w:right="-29" w:rightChars="-14"/>
        <w:outlineLvl w:val="1"/>
        <w:rPr>
          <w:rFonts w:ascii="仿宋" w:hAnsi="仿宋" w:eastAsia="仿宋"/>
          <w:b/>
          <w:bCs/>
          <w:sz w:val="28"/>
          <w:szCs w:val="24"/>
        </w:rPr>
      </w:pPr>
      <w:r>
        <w:rPr>
          <w:rFonts w:hint="eastAsia" w:ascii="仿宋" w:hAnsi="仿宋" w:eastAsia="仿宋"/>
          <w:b/>
          <w:bCs/>
          <w:sz w:val="28"/>
          <w:szCs w:val="24"/>
        </w:rPr>
        <w:t>1.8 付款方式</w:t>
      </w:r>
    </w:p>
    <w:p>
      <w:pPr>
        <w:spacing w:line="276" w:lineRule="auto"/>
        <w:ind w:firstLine="560"/>
        <w:rPr>
          <w:rFonts w:ascii="仿宋" w:hAnsi="仿宋" w:eastAsia="仿宋"/>
          <w:sz w:val="24"/>
          <w:szCs w:val="24"/>
        </w:rPr>
      </w:pPr>
      <w:r>
        <w:rPr>
          <w:rFonts w:hint="eastAsia" w:ascii="仿宋" w:hAnsi="仿宋" w:eastAsia="仿宋"/>
          <w:bCs/>
          <w:sz w:val="24"/>
          <w:szCs w:val="24"/>
        </w:rPr>
        <w:t>按照合同约定执行。</w:t>
      </w:r>
    </w:p>
    <w:p>
      <w:pPr>
        <w:keepNext/>
        <w:keepLines/>
        <w:numPr>
          <w:ilvl w:val="1"/>
          <w:numId w:val="0"/>
        </w:numPr>
        <w:spacing w:before="240" w:beforeLines="100" w:line="276" w:lineRule="auto"/>
        <w:ind w:right="-29" w:rightChars="-14"/>
        <w:outlineLvl w:val="1"/>
        <w:rPr>
          <w:rFonts w:ascii="仿宋" w:hAnsi="仿宋" w:eastAsia="仿宋"/>
          <w:b/>
          <w:bCs/>
          <w:sz w:val="28"/>
          <w:szCs w:val="24"/>
        </w:rPr>
      </w:pPr>
      <w:r>
        <w:rPr>
          <w:rFonts w:hint="eastAsia" w:ascii="仿宋" w:hAnsi="仿宋" w:eastAsia="仿宋"/>
          <w:b/>
          <w:bCs/>
          <w:sz w:val="28"/>
          <w:szCs w:val="24"/>
        </w:rPr>
        <w:t>1.9 违约责任</w:t>
      </w:r>
    </w:p>
    <w:p>
      <w:pPr>
        <w:spacing w:line="276" w:lineRule="auto"/>
        <w:ind w:firstLine="560"/>
        <w:rPr>
          <w:rFonts w:ascii="仿宋" w:hAnsi="仿宋" w:eastAsia="仿宋"/>
          <w:sz w:val="24"/>
          <w:szCs w:val="24"/>
        </w:rPr>
      </w:pPr>
      <w:r>
        <w:rPr>
          <w:rFonts w:hint="eastAsia" w:ascii="仿宋" w:hAnsi="仿宋" w:eastAsia="仿宋"/>
          <w:sz w:val="24"/>
          <w:szCs w:val="24"/>
        </w:rPr>
        <w:t>一、甲乙双方应遵守并执行合同中的各项规定，保证合同的正常履行。</w:t>
      </w:r>
    </w:p>
    <w:p>
      <w:pPr>
        <w:spacing w:line="276" w:lineRule="auto"/>
        <w:ind w:firstLine="560"/>
        <w:rPr>
          <w:rFonts w:ascii="仿宋" w:hAnsi="仿宋" w:eastAsia="仿宋"/>
          <w:sz w:val="24"/>
          <w:szCs w:val="24"/>
        </w:rPr>
      </w:pPr>
      <w:r>
        <w:rPr>
          <w:rFonts w:hint="eastAsia" w:ascii="仿宋" w:hAnsi="仿宋" w:eastAsia="仿宋"/>
          <w:sz w:val="24"/>
          <w:szCs w:val="24"/>
        </w:rPr>
        <w:t>二、如因乙方工作人员在履行职务过程中出现影响甲方正常交易的情况，应当按照合同考核方式执行。由此而导致的甲方对任何第三方的法律责任等，乙方对此均应承担全部的赔偿责任。</w:t>
      </w:r>
    </w:p>
    <w:p>
      <w:pPr>
        <w:spacing w:line="276" w:lineRule="auto"/>
        <w:ind w:firstLine="560"/>
        <w:rPr>
          <w:rFonts w:ascii="仿宋" w:hAnsi="仿宋" w:eastAsia="仿宋"/>
          <w:sz w:val="24"/>
          <w:szCs w:val="24"/>
        </w:rPr>
      </w:pPr>
    </w:p>
    <w:p>
      <w:pPr>
        <w:keepNext/>
        <w:keepLines/>
        <w:numPr>
          <w:ilvl w:val="1"/>
          <w:numId w:val="0"/>
        </w:numPr>
        <w:spacing w:line="276" w:lineRule="auto"/>
        <w:ind w:right="-29" w:rightChars="-14"/>
        <w:outlineLvl w:val="1"/>
        <w:rPr>
          <w:rFonts w:ascii="仿宋" w:hAnsi="仿宋" w:eastAsia="仿宋"/>
          <w:b/>
          <w:bCs/>
          <w:sz w:val="28"/>
          <w:szCs w:val="28"/>
          <w:u w:val="single"/>
        </w:rPr>
      </w:pPr>
      <w:r>
        <w:rPr>
          <w:rFonts w:ascii="仿宋" w:hAnsi="仿宋" w:eastAsia="仿宋"/>
          <w:b/>
          <w:bCs/>
          <w:sz w:val="28"/>
          <w:szCs w:val="28"/>
        </w:rPr>
        <w:t>1.10</w:t>
      </w:r>
      <w:r>
        <w:rPr>
          <w:rFonts w:ascii="仿宋" w:hAnsi="仿宋" w:eastAsia="仿宋"/>
          <w:bCs/>
          <w:sz w:val="28"/>
          <w:szCs w:val="28"/>
        </w:rPr>
        <w:t xml:space="preserve"> </w:t>
      </w:r>
      <w:r>
        <w:rPr>
          <w:rFonts w:hint="eastAsia" w:ascii="仿宋" w:hAnsi="仿宋" w:eastAsia="仿宋"/>
          <w:bCs/>
          <w:sz w:val="28"/>
          <w:szCs w:val="28"/>
        </w:rPr>
        <w:t>▲</w:t>
      </w:r>
      <w:r>
        <w:rPr>
          <w:rFonts w:hint="eastAsia" w:ascii="仿宋" w:hAnsi="仿宋" w:eastAsia="仿宋"/>
          <w:b/>
          <w:sz w:val="28"/>
          <w:szCs w:val="28"/>
          <w:u w:val="single"/>
        </w:rPr>
        <w:t>投标人须对以下要求单独做出承诺函（承诺函格式自拟）</w:t>
      </w:r>
    </w:p>
    <w:p>
      <w:pPr>
        <w:spacing w:line="276" w:lineRule="auto"/>
        <w:ind w:firstLine="560"/>
        <w:rPr>
          <w:rFonts w:ascii="仿宋" w:hAnsi="仿宋" w:eastAsia="仿宋"/>
          <w:b/>
          <w:sz w:val="24"/>
          <w:szCs w:val="24"/>
        </w:rPr>
      </w:pPr>
      <w:r>
        <w:rPr>
          <w:rFonts w:hint="eastAsia" w:ascii="仿宋" w:hAnsi="仿宋" w:eastAsia="仿宋"/>
          <w:b/>
          <w:sz w:val="24"/>
          <w:szCs w:val="24"/>
        </w:rPr>
        <w:t>一、投标人应承诺为本项目提供的所有服务符合现行的强制性国家相关标准、行业标准。</w:t>
      </w:r>
    </w:p>
    <w:p>
      <w:pPr>
        <w:spacing w:line="276" w:lineRule="auto"/>
        <w:ind w:firstLine="560"/>
        <w:rPr>
          <w:rFonts w:ascii="仿宋" w:hAnsi="仿宋" w:eastAsia="仿宋"/>
          <w:b/>
          <w:sz w:val="24"/>
          <w:szCs w:val="24"/>
        </w:rPr>
      </w:pPr>
      <w:r>
        <w:rPr>
          <w:rFonts w:hint="eastAsia" w:ascii="仿宋" w:hAnsi="仿宋" w:eastAsia="仿宋"/>
          <w:b/>
          <w:sz w:val="24"/>
          <w:szCs w:val="24"/>
        </w:rPr>
        <w:t>二、投标人对本项目所提供内容进行总负责、总兜底（对招标范围内的项目规模与数量进行总负责、总兜底）。</w:t>
      </w:r>
    </w:p>
    <w:p>
      <w:pPr>
        <w:spacing w:line="276" w:lineRule="auto"/>
        <w:ind w:firstLine="560"/>
        <w:rPr>
          <w:rFonts w:ascii="仿宋" w:hAnsi="仿宋" w:eastAsia="仿宋"/>
          <w:b/>
          <w:sz w:val="24"/>
          <w:szCs w:val="24"/>
        </w:rPr>
      </w:pPr>
      <w:r>
        <w:rPr>
          <w:rFonts w:hint="eastAsia" w:ascii="仿宋" w:hAnsi="仿宋" w:eastAsia="仿宋"/>
          <w:b/>
          <w:sz w:val="24"/>
          <w:szCs w:val="24"/>
        </w:rPr>
        <w:t>三、投标人提供服务的基础软件应合法取得软件使用权。</w:t>
      </w:r>
    </w:p>
    <w:p>
      <w:pPr>
        <w:spacing w:line="276" w:lineRule="auto"/>
        <w:ind w:firstLine="560"/>
        <w:rPr>
          <w:rFonts w:ascii="仿宋" w:hAnsi="仿宋" w:eastAsia="仿宋"/>
          <w:b/>
          <w:sz w:val="24"/>
          <w:szCs w:val="24"/>
        </w:rPr>
      </w:pPr>
      <w:r>
        <w:rPr>
          <w:rFonts w:hint="eastAsia" w:ascii="仿宋" w:hAnsi="仿宋" w:eastAsia="仿宋"/>
          <w:b/>
          <w:sz w:val="24"/>
          <w:szCs w:val="24"/>
        </w:rPr>
        <w:t>四、投标人将系统数据进行留存及移交，并负责本项目中综合运行管理（M</w:t>
      </w:r>
      <w:r>
        <w:rPr>
          <w:rFonts w:ascii="仿宋" w:hAnsi="仿宋" w:eastAsia="仿宋"/>
          <w:b/>
          <w:sz w:val="24"/>
          <w:szCs w:val="24"/>
        </w:rPr>
        <w:t>OC</w:t>
      </w:r>
      <w:r>
        <w:rPr>
          <w:rFonts w:hint="eastAsia" w:ascii="仿宋" w:hAnsi="仿宋" w:eastAsia="仿宋"/>
          <w:b/>
          <w:sz w:val="24"/>
          <w:szCs w:val="24"/>
        </w:rPr>
        <w:t>）系统的数据对接工作。</w:t>
      </w:r>
    </w:p>
    <w:p>
      <w:pPr>
        <w:spacing w:line="276" w:lineRule="auto"/>
        <w:ind w:firstLine="560"/>
        <w:rPr>
          <w:rFonts w:ascii="仿宋" w:hAnsi="仿宋" w:eastAsia="仿宋"/>
          <w:b/>
          <w:sz w:val="24"/>
          <w:szCs w:val="24"/>
        </w:rPr>
      </w:pPr>
      <w:r>
        <w:rPr>
          <w:rFonts w:hint="eastAsia" w:ascii="仿宋" w:hAnsi="仿宋" w:eastAsia="仿宋"/>
          <w:b/>
          <w:sz w:val="24"/>
          <w:szCs w:val="24"/>
        </w:rPr>
        <w:t>五、投标人应配合第三方安全厂家进行网络信息安全建设。</w:t>
      </w:r>
    </w:p>
    <w:p>
      <w:pPr>
        <w:spacing w:line="276" w:lineRule="auto"/>
        <w:ind w:firstLine="560"/>
        <w:rPr>
          <w:rFonts w:ascii="仿宋" w:hAnsi="仿宋" w:eastAsia="仿宋"/>
          <w:b/>
          <w:sz w:val="24"/>
          <w:szCs w:val="24"/>
        </w:rPr>
      </w:pPr>
      <w:r>
        <w:rPr>
          <w:rFonts w:hint="eastAsia" w:ascii="仿宋" w:hAnsi="仿宋" w:eastAsia="仿宋"/>
          <w:b/>
          <w:sz w:val="24"/>
          <w:szCs w:val="24"/>
        </w:rPr>
        <w:t>六、投标人应承诺为本项目提供服务所需的产品（属于节能产品政府采购品目清单的）应具有国家确定的认证机构出具的处于有效期之内的节能产品认证证书。</w:t>
      </w:r>
    </w:p>
    <w:p>
      <w:pPr>
        <w:spacing w:line="276" w:lineRule="auto"/>
        <w:ind w:firstLine="560"/>
        <w:rPr>
          <w:rFonts w:ascii="仿宋" w:hAnsi="仿宋" w:eastAsia="仿宋"/>
          <w:b/>
          <w:sz w:val="24"/>
          <w:szCs w:val="24"/>
        </w:rPr>
      </w:pPr>
      <w:r>
        <w:rPr>
          <w:rFonts w:hint="eastAsia" w:ascii="仿宋" w:hAnsi="仿宋" w:eastAsia="仿宋"/>
          <w:b/>
          <w:sz w:val="24"/>
          <w:szCs w:val="24"/>
        </w:rPr>
        <w:t>七、投标人应承诺为本项目提供服务的所需的所有产品、辅材中属于《国家强制性产品认证目录》范围内的，均通过国家强制性产品认证并取得认证证书。</w:t>
      </w:r>
    </w:p>
    <w:p>
      <w:pPr>
        <w:spacing w:line="276" w:lineRule="auto"/>
        <w:ind w:firstLine="560"/>
        <w:rPr>
          <w:rFonts w:ascii="仿宋" w:hAnsi="仿宋" w:eastAsia="仿宋"/>
          <w:b/>
          <w:sz w:val="24"/>
          <w:szCs w:val="24"/>
        </w:rPr>
      </w:pPr>
      <w:r>
        <w:rPr>
          <w:rFonts w:hint="eastAsia" w:ascii="仿宋" w:hAnsi="仿宋" w:eastAsia="仿宋"/>
          <w:b/>
          <w:sz w:val="24"/>
          <w:szCs w:val="24"/>
        </w:rPr>
        <w:t>八、投标人承诺如果因最终用户原因导致交付不能按时进行，将按延期时间顺延交付。</w:t>
      </w:r>
    </w:p>
    <w:p>
      <w:pPr>
        <w:spacing w:line="276" w:lineRule="auto"/>
        <w:ind w:firstLine="560"/>
        <w:rPr>
          <w:rFonts w:ascii="仿宋" w:hAnsi="仿宋" w:eastAsia="仿宋"/>
          <w:b/>
          <w:sz w:val="24"/>
          <w:szCs w:val="24"/>
        </w:rPr>
      </w:pPr>
    </w:p>
    <w:p>
      <w:pPr>
        <w:spacing w:line="276" w:lineRule="auto"/>
        <w:ind w:firstLine="560"/>
        <w:rPr>
          <w:rFonts w:ascii="仿宋" w:hAnsi="仿宋" w:eastAsia="仿宋"/>
          <w:b/>
          <w:sz w:val="24"/>
          <w:szCs w:val="24"/>
        </w:rPr>
      </w:pPr>
    </w:p>
    <w:p>
      <w:pPr>
        <w:rPr>
          <w:rFonts w:ascii="仿宋" w:hAnsi="仿宋" w:eastAsia="仿宋"/>
          <w:color w:val="000000" w:themeColor="text1"/>
          <w:sz w:val="28"/>
          <w:szCs w:val="28"/>
          <w14:textFill>
            <w14:solidFill>
              <w14:schemeClr w14:val="tx1"/>
            </w14:solidFill>
          </w14:textFill>
        </w:rPr>
      </w:pPr>
    </w:p>
    <w:p>
      <w:pPr>
        <w:pStyle w:val="54"/>
        <w:jc w:val="left"/>
        <w:rPr>
          <w:rFonts w:ascii="宋体" w:hAnsi="宋体"/>
          <w:color w:val="000000" w:themeColor="text1"/>
          <w14:textFill>
            <w14:solidFill>
              <w14:schemeClr w14:val="tx1"/>
            </w14:solidFill>
          </w14:textFill>
        </w:rPr>
      </w:pPr>
      <w:r>
        <w:rPr>
          <w:rFonts w:hint="eastAsia" w:hAnsi="宋体"/>
          <w:b w:val="0"/>
          <w:color w:val="000000" w:themeColor="text1"/>
          <w:sz w:val="36"/>
          <w:szCs w:val="36"/>
          <w14:textFill>
            <w14:solidFill>
              <w14:schemeClr w14:val="tx1"/>
            </w14:solidFill>
          </w14:textFill>
        </w:rPr>
        <w:t xml:space="preserve">        </w:t>
      </w:r>
      <w:bookmarkStart w:id="40" w:name="_Toc51935131"/>
      <w:r>
        <w:rPr>
          <w:rFonts w:hAnsi="宋体"/>
          <w:color w:val="000000" w:themeColor="text1"/>
          <w:sz w:val="36"/>
          <w:szCs w:val="36"/>
          <w14:textFill>
            <w14:solidFill>
              <w14:schemeClr w14:val="tx1"/>
            </w14:solidFill>
          </w14:textFill>
        </w:rPr>
        <w:t xml:space="preserve"> </w:t>
      </w:r>
      <w:bookmarkStart w:id="41" w:name="_Toc51935132"/>
      <w:r>
        <w:rPr>
          <w:rFonts w:hint="eastAsia" w:hAnsi="宋体"/>
          <w:color w:val="000000" w:themeColor="text1"/>
          <w:sz w:val="36"/>
          <w:szCs w:val="36"/>
          <w14:textFill>
            <w14:solidFill>
              <w14:schemeClr w14:val="tx1"/>
            </w14:solidFill>
          </w14:textFill>
        </w:rPr>
        <w:t xml:space="preserve">    </w:t>
      </w:r>
      <w:r>
        <w:rPr>
          <w:rFonts w:hint="eastAsia" w:ascii="仿宋" w:hAnsi="仿宋" w:eastAsia="仿宋"/>
          <w:color w:val="000000" w:themeColor="text1"/>
          <w:sz w:val="36"/>
          <w:szCs w:val="36"/>
          <w14:textFill>
            <w14:solidFill>
              <w14:schemeClr w14:val="tx1"/>
            </w14:solidFill>
          </w14:textFill>
        </w:rPr>
        <w:t xml:space="preserve">第五章  </w:t>
      </w:r>
      <w:r>
        <w:rPr>
          <w:rFonts w:hint="eastAsia" w:ascii="宋体" w:hAnsi="宋体"/>
          <w:color w:val="000000" w:themeColor="text1"/>
          <w14:textFill>
            <w14:solidFill>
              <w14:schemeClr w14:val="tx1"/>
            </w14:solidFill>
          </w14:textFill>
        </w:rPr>
        <w:t>采购合同</w:t>
      </w:r>
      <w:bookmarkEnd w:id="40"/>
      <w:bookmarkEnd w:id="41"/>
    </w:p>
    <w:p>
      <w:pPr>
        <w:spacing w:line="360" w:lineRule="auto"/>
        <w:rPr>
          <w:rFonts w:ascii="宋体" w:hAnsi="宋体"/>
          <w:b/>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hint="eastAsia" w:ascii="宋体" w:hAnsi="宋体"/>
          <w:b/>
          <w:color w:val="000000" w:themeColor="text1"/>
          <w14:textFill>
            <w14:solidFill>
              <w14:schemeClr w14:val="tx1"/>
            </w14:solidFill>
          </w14:textFill>
        </w:rPr>
        <w:t>合同编号：</w:t>
      </w:r>
    </w:p>
    <w:p>
      <w:pPr>
        <w:spacing w:line="440" w:lineRule="exact"/>
        <w:rPr>
          <w:rFonts w:ascii="宋体" w:hAnsi="宋体"/>
          <w:b/>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甲方</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采购单位</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w:t>
      </w:r>
    </w:p>
    <w:p>
      <w:pPr>
        <w:spacing w:line="44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乙方</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中标单位</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w:t>
      </w:r>
    </w:p>
    <w:p>
      <w:pPr>
        <w:spacing w:line="44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 xml:space="preserve">为了保证本合同项目的顺利进行，根据《中华人民共和国政府采购法》、《中华人民共和国合同法》等相关法律、法规的规定及甲方关于“     </w:t>
      </w:r>
      <w:r>
        <w:rPr>
          <w:rFonts w:hint="eastAsia" w:ascii="宋体" w:hAnsi="宋体" w:cs="宋体"/>
          <w:bCs/>
          <w:color w:val="000000" w:themeColor="text1"/>
          <w:u w:val="single"/>
          <w14:textFill>
            <w14:solidFill>
              <w14:schemeClr w14:val="tx1"/>
            </w14:solidFill>
          </w14:textFill>
        </w:rPr>
        <w:t>”</w:t>
      </w:r>
      <w:r>
        <w:rPr>
          <w:rFonts w:hint="eastAsia" w:ascii="宋体" w:hAnsi="宋体" w:cs="宋体"/>
          <w:bCs/>
          <w:color w:val="000000" w:themeColor="text1"/>
          <w14:textFill>
            <w14:solidFill>
              <w14:schemeClr w14:val="tx1"/>
            </w14:solidFill>
          </w14:textFill>
        </w:rPr>
        <w:t>项目的招标结果和招标文件</w:t>
      </w:r>
      <w:r>
        <w:rPr>
          <w:rFonts w:ascii="宋体" w:hAnsi="宋体" w:cs="宋体"/>
          <w:bCs/>
          <w:color w:val="000000" w:themeColor="text1"/>
          <w14:textFill>
            <w14:solidFill>
              <w14:schemeClr w14:val="tx1"/>
            </w14:solidFill>
          </w14:textFill>
        </w:rPr>
        <w:t>(</w:t>
      </w:r>
      <w:r>
        <w:rPr>
          <w:rFonts w:hint="eastAsia" w:ascii="宋体" w:hAnsi="宋体" w:cs="宋体"/>
          <w:bCs/>
          <w:color w:val="000000" w:themeColor="text1"/>
          <w:u w:val="single"/>
          <w14:textFill>
            <w14:solidFill>
              <w14:schemeClr w14:val="tx1"/>
            </w14:solidFill>
          </w14:textFill>
        </w:rPr>
        <w:t>招标编号：ZB2021-03</w:t>
      </w:r>
      <w:r>
        <w:rPr>
          <w:rFonts w:ascii="宋体" w:hAnsi="宋体" w:cs="宋体"/>
          <w:bCs/>
          <w:color w:val="000000" w:themeColor="text1"/>
          <w14:textFill>
            <w14:solidFill>
              <w14:schemeClr w14:val="tx1"/>
            </w14:solidFill>
          </w14:textFill>
        </w:rPr>
        <w:t>)</w:t>
      </w:r>
      <w:r>
        <w:rPr>
          <w:rFonts w:hint="eastAsia" w:ascii="宋体" w:hAnsi="宋体" w:cs="宋体"/>
          <w:bCs/>
          <w:color w:val="000000" w:themeColor="text1"/>
          <w14:textFill>
            <w14:solidFill>
              <w14:schemeClr w14:val="tx1"/>
            </w14:solidFill>
          </w14:textFill>
        </w:rPr>
        <w:t>的要求，经甲乙双方协商一致，签订本合同，共同遵守。</w:t>
      </w:r>
    </w:p>
    <w:p>
      <w:pPr>
        <w:tabs>
          <w:tab w:val="left" w:pos="900"/>
        </w:tabs>
        <w:spacing w:line="440" w:lineRule="exact"/>
        <w:ind w:firstLine="474" w:firstLineChars="225"/>
        <w:rPr>
          <w:rFonts w:ascii="宋体" w:hAnsi="宋体" w:cs="宋体"/>
          <w:b/>
          <w:color w:val="000000" w:themeColor="text1"/>
          <w14:textFill>
            <w14:solidFill>
              <w14:schemeClr w14:val="tx1"/>
            </w14:solidFill>
          </w14:textFill>
        </w:rPr>
      </w:pPr>
      <w:bookmarkStart w:id="42" w:name="_Toc24810"/>
      <w:bookmarkStart w:id="43" w:name="_Toc16824"/>
      <w:r>
        <w:rPr>
          <w:rFonts w:ascii="宋体" w:hAnsi="宋体" w:cs="宋体"/>
          <w:b/>
          <w:color w:val="000000" w:themeColor="text1"/>
          <w14:textFill>
            <w14:solidFill>
              <w14:schemeClr w14:val="tx1"/>
            </w14:solidFill>
          </w14:textFill>
        </w:rPr>
        <w:t>1.</w:t>
      </w:r>
      <w:r>
        <w:rPr>
          <w:rFonts w:hint="eastAsia" w:ascii="宋体" w:hAnsi="宋体" w:cs="宋体"/>
          <w:b/>
          <w:color w:val="000000" w:themeColor="text1"/>
          <w14:textFill>
            <w14:solidFill>
              <w14:schemeClr w14:val="tx1"/>
            </w14:solidFill>
          </w14:textFill>
        </w:rPr>
        <w:t>定义</w:t>
      </w:r>
      <w:bookmarkEnd w:id="42"/>
      <w:bookmarkEnd w:id="43"/>
    </w:p>
    <w:p>
      <w:pPr>
        <w:tabs>
          <w:tab w:val="left" w:pos="900"/>
        </w:tabs>
        <w:spacing w:line="440" w:lineRule="exact"/>
        <w:ind w:firstLine="472" w:firstLineChars="22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本合同中的下列术语应解释为：</w:t>
      </w:r>
    </w:p>
    <w:p>
      <w:pPr>
        <w:spacing w:line="440" w:lineRule="exact"/>
        <w:ind w:firstLine="472" w:firstLineChars="225"/>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1.1 </w:t>
      </w:r>
      <w:r>
        <w:rPr>
          <w:rFonts w:hint="eastAsia" w:ascii="宋体" w:hAnsi="宋体" w:cs="宋体"/>
          <w:color w:val="000000" w:themeColor="text1"/>
          <w14:textFill>
            <w14:solidFill>
              <w14:schemeClr w14:val="tx1"/>
            </w14:solidFill>
          </w14:textFill>
        </w:rPr>
        <w:t>“合同”系指本合同，包括本合同附带的所有附件、附录和构成合同的其它文件，除非另有特别说明或限定。</w:t>
      </w:r>
    </w:p>
    <w:p>
      <w:pPr>
        <w:spacing w:line="440" w:lineRule="exact"/>
        <w:ind w:firstLine="472" w:firstLineChars="225"/>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1.2 </w:t>
      </w:r>
      <w:r>
        <w:rPr>
          <w:rFonts w:hint="eastAsia" w:ascii="宋体" w:hAnsi="宋体" w:cs="宋体"/>
          <w:color w:val="000000" w:themeColor="text1"/>
          <w14:textFill>
            <w14:solidFill>
              <w14:schemeClr w14:val="tx1"/>
            </w14:solidFill>
          </w14:textFill>
        </w:rPr>
        <w:t>“合同款”系指根据本合同约定，甲方需就乙方提供的服务内容向乙方支付的款项。</w:t>
      </w:r>
    </w:p>
    <w:p>
      <w:pPr>
        <w:spacing w:line="440" w:lineRule="exact"/>
        <w:ind w:firstLine="472" w:firstLineChars="225"/>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1.3 </w:t>
      </w:r>
      <w:r>
        <w:rPr>
          <w:rFonts w:hint="eastAsia" w:ascii="宋体" w:hAnsi="宋体" w:cs="宋体"/>
          <w:color w:val="000000" w:themeColor="text1"/>
          <w14:textFill>
            <w14:solidFill>
              <w14:schemeClr w14:val="tx1"/>
            </w14:solidFill>
          </w14:textFill>
        </w:rPr>
        <w:t>“人员”系指作为雇员由乙方雇佣并被分配执行本合同服务内容的人员。</w:t>
      </w:r>
    </w:p>
    <w:p>
      <w:pPr>
        <w:spacing w:line="440" w:lineRule="exact"/>
        <w:ind w:firstLine="472" w:firstLineChars="225"/>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1.4 </w:t>
      </w:r>
      <w:r>
        <w:rPr>
          <w:rFonts w:hint="eastAsia" w:ascii="宋体" w:hAnsi="宋体" w:cs="宋体"/>
          <w:color w:val="000000" w:themeColor="text1"/>
          <w14:textFill>
            <w14:solidFill>
              <w14:schemeClr w14:val="tx1"/>
            </w14:solidFill>
          </w14:textFill>
        </w:rPr>
        <w:t>“服务”系指由乙方根据本合同服务内容要求所实施的工作。</w:t>
      </w:r>
    </w:p>
    <w:p>
      <w:pPr>
        <w:spacing w:line="440" w:lineRule="exact"/>
        <w:ind w:firstLine="472" w:firstLineChars="225"/>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1.5 </w:t>
      </w:r>
      <w:r>
        <w:rPr>
          <w:rFonts w:hint="eastAsia" w:ascii="宋体" w:hAnsi="宋体" w:cs="宋体"/>
          <w:color w:val="000000" w:themeColor="text1"/>
          <w14:textFill>
            <w14:solidFill>
              <w14:schemeClr w14:val="tx1"/>
            </w14:solidFill>
          </w14:textFill>
        </w:rPr>
        <w:t>“甲方”系指与供应单位签署服务合同的单位（含最终用户），即买方。</w:t>
      </w:r>
    </w:p>
    <w:p>
      <w:pPr>
        <w:spacing w:line="440" w:lineRule="exact"/>
        <w:ind w:firstLine="472" w:firstLineChars="225"/>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1.6 </w:t>
      </w:r>
      <w:r>
        <w:rPr>
          <w:rFonts w:hint="eastAsia" w:ascii="宋体" w:hAnsi="宋体" w:cs="宋体"/>
          <w:color w:val="000000" w:themeColor="text1"/>
          <w14:textFill>
            <w14:solidFill>
              <w14:schemeClr w14:val="tx1"/>
            </w14:solidFill>
          </w14:textFill>
        </w:rPr>
        <w:t>“乙方”系指根据合同约定提供服务的供应单位，即卖方。</w:t>
      </w:r>
    </w:p>
    <w:p>
      <w:pPr>
        <w:spacing w:line="440" w:lineRule="exact"/>
        <w:ind w:firstLine="472" w:firstLineChars="225"/>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1.7 </w:t>
      </w:r>
      <w:r>
        <w:rPr>
          <w:rFonts w:hint="eastAsia" w:ascii="宋体" w:hAnsi="宋体" w:cs="宋体"/>
          <w:color w:val="000000" w:themeColor="text1"/>
          <w14:textFill>
            <w14:solidFill>
              <w14:schemeClr w14:val="tx1"/>
            </w14:solidFill>
          </w14:textFill>
        </w:rPr>
        <w:t>“现场”系指合同约定服务内容实施地点。</w:t>
      </w:r>
    </w:p>
    <w:p>
      <w:pPr>
        <w:snapToGrid w:val="0"/>
        <w:spacing w:line="440" w:lineRule="exact"/>
        <w:ind w:firstLine="472" w:firstLineChars="225"/>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1.8 </w:t>
      </w:r>
      <w:r>
        <w:rPr>
          <w:rFonts w:hint="eastAsia" w:ascii="宋体" w:hAnsi="宋体" w:cs="宋体"/>
          <w:color w:val="000000" w:themeColor="text1"/>
          <w14:textFill>
            <w14:solidFill>
              <w14:schemeClr w14:val="tx1"/>
            </w14:solidFill>
          </w14:textFill>
        </w:rPr>
        <w:t>“必要的支持”系为保证乙方执行合同项下的服务所必须，甲方免费提供的数据、服务、设备以及便利。</w:t>
      </w:r>
    </w:p>
    <w:p>
      <w:pPr>
        <w:snapToGrid w:val="0"/>
        <w:spacing w:line="440" w:lineRule="exact"/>
        <w:ind w:firstLine="472" w:firstLineChars="225"/>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1.9</w:t>
      </w:r>
      <w:r>
        <w:rPr>
          <w:rFonts w:hint="eastAsia" w:ascii="宋体" w:hAnsi="宋体" w:cs="宋体"/>
          <w:color w:val="000000" w:themeColor="text1"/>
          <w14:textFill>
            <w14:solidFill>
              <w14:schemeClr w14:val="tx1"/>
            </w14:solidFill>
          </w14:textFill>
        </w:rPr>
        <w:t>“项目”系指“”项目。</w:t>
      </w:r>
    </w:p>
    <w:p>
      <w:pPr>
        <w:tabs>
          <w:tab w:val="left" w:pos="851"/>
        </w:tabs>
        <w:spacing w:line="440" w:lineRule="exact"/>
        <w:ind w:firstLine="422" w:firstLineChars="200"/>
        <w:rPr>
          <w:rFonts w:ascii="宋体" w:hAnsi="宋体" w:cs="宋体"/>
          <w:b/>
          <w:color w:val="000000" w:themeColor="text1"/>
          <w14:textFill>
            <w14:solidFill>
              <w14:schemeClr w14:val="tx1"/>
            </w14:solidFill>
          </w14:textFill>
        </w:rPr>
      </w:pPr>
      <w:bookmarkStart w:id="44" w:name="_Toc2368"/>
      <w:bookmarkStart w:id="45" w:name="_Toc32760"/>
      <w:r>
        <w:rPr>
          <w:rFonts w:hint="eastAsia" w:ascii="宋体" w:hAnsi="宋体" w:cs="宋体"/>
          <w:b/>
          <w:color w:val="000000" w:themeColor="text1"/>
          <w:kern w:val="0"/>
          <w14:textFill>
            <w14:solidFill>
              <w14:schemeClr w14:val="tx1"/>
            </w14:solidFill>
          </w14:textFill>
        </w:rPr>
        <w:t>2.</w:t>
      </w:r>
      <w:r>
        <w:rPr>
          <w:rFonts w:hint="eastAsia" w:ascii="宋体" w:hAnsi="宋体" w:cs="宋体"/>
          <w:b/>
          <w:color w:val="000000" w:themeColor="text1"/>
          <w14:textFill>
            <w14:solidFill>
              <w14:schemeClr w14:val="tx1"/>
            </w14:solidFill>
          </w14:textFill>
        </w:rPr>
        <w:t>项目概况：</w:t>
      </w:r>
    </w:p>
    <w:p>
      <w:pPr>
        <w:tabs>
          <w:tab w:val="left" w:pos="851"/>
        </w:tabs>
        <w:spacing w:line="440" w:lineRule="exact"/>
        <w:ind w:firstLine="422" w:firstLineChars="200"/>
        <w:rPr>
          <w:rFonts w:ascii="宋体" w:hAnsi="宋体" w:cs="宋体"/>
          <w:b/>
          <w:color w:val="000000" w:themeColor="text1"/>
          <w:kern w:val="0"/>
          <w14:textFill>
            <w14:solidFill>
              <w14:schemeClr w14:val="tx1"/>
            </w14:solidFill>
          </w14:textFill>
        </w:rPr>
      </w:pPr>
      <w:r>
        <w:rPr>
          <w:rFonts w:hint="eastAsia" w:ascii="宋体" w:hAnsi="宋体" w:cs="宋体"/>
          <w:b/>
          <w:color w:val="000000" w:themeColor="text1"/>
          <w:kern w:val="0"/>
          <w14:textFill>
            <w14:solidFill>
              <w14:schemeClr w14:val="tx1"/>
            </w14:solidFill>
          </w14:textFill>
        </w:rPr>
        <w:t>3.服务内容：</w:t>
      </w:r>
    </w:p>
    <w:p>
      <w:pPr>
        <w:tabs>
          <w:tab w:val="left" w:pos="851"/>
        </w:tabs>
        <w:spacing w:line="440" w:lineRule="exact"/>
        <w:ind w:firstLine="422" w:firstLineChars="200"/>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4. 项目服务要求，详见本合同附件。</w:t>
      </w:r>
    </w:p>
    <w:bookmarkEnd w:id="44"/>
    <w:bookmarkEnd w:id="45"/>
    <w:p>
      <w:pPr>
        <w:tabs>
          <w:tab w:val="left" w:pos="5865"/>
        </w:tabs>
        <w:spacing w:line="440" w:lineRule="exact"/>
        <w:ind w:firstLine="422" w:firstLineChars="200"/>
        <w:rPr>
          <w:rFonts w:ascii="宋体" w:hAnsi="宋体" w:cs="宋体"/>
          <w:b/>
          <w:color w:val="000000" w:themeColor="text1"/>
          <w14:textFill>
            <w14:solidFill>
              <w14:schemeClr w14:val="tx1"/>
            </w14:solidFill>
          </w14:textFill>
        </w:rPr>
      </w:pPr>
      <w:bookmarkStart w:id="46" w:name="_Toc2258"/>
      <w:bookmarkStart w:id="47" w:name="_Toc14579"/>
      <w:r>
        <w:rPr>
          <w:rFonts w:ascii="宋体" w:hAnsi="宋体" w:cs="宋体"/>
          <w:b/>
          <w:color w:val="000000" w:themeColor="text1"/>
          <w14:textFill>
            <w14:solidFill>
              <w14:schemeClr w14:val="tx1"/>
            </w14:solidFill>
          </w14:textFill>
        </w:rPr>
        <w:t xml:space="preserve">5. </w:t>
      </w:r>
      <w:r>
        <w:rPr>
          <w:rFonts w:hint="eastAsia" w:ascii="宋体" w:hAnsi="宋体" w:cs="宋体"/>
          <w:b/>
          <w:color w:val="000000" w:themeColor="text1"/>
          <w14:textFill>
            <w14:solidFill>
              <w14:schemeClr w14:val="tx1"/>
            </w14:solidFill>
          </w14:textFill>
        </w:rPr>
        <w:t>双方权利和义务</w:t>
      </w:r>
      <w:bookmarkEnd w:id="46"/>
      <w:bookmarkEnd w:id="47"/>
      <w:r>
        <w:rPr>
          <w:rFonts w:ascii="宋体" w:hAnsi="宋体" w:cs="宋体"/>
          <w:b/>
          <w:color w:val="000000" w:themeColor="text1"/>
          <w14:textFill>
            <w14:solidFill>
              <w14:schemeClr w14:val="tx1"/>
            </w14:solidFill>
          </w14:textFill>
        </w:rPr>
        <w:tab/>
      </w:r>
    </w:p>
    <w:p>
      <w:pPr>
        <w:tabs>
          <w:tab w:val="left" w:pos="5865"/>
        </w:tabs>
        <w:spacing w:line="440" w:lineRule="exact"/>
        <w:ind w:firstLine="420" w:firstLineChars="200"/>
        <w:rPr>
          <w:rFonts w:ascii="宋体" w:hAnsi="宋体" w:cs="宋体"/>
          <w:b/>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5.1</w:t>
      </w:r>
      <w:r>
        <w:rPr>
          <w:rFonts w:hint="eastAsia" w:ascii="宋体" w:hAnsi="宋体" w:cs="宋体"/>
          <w:b/>
          <w:color w:val="000000" w:themeColor="text1"/>
          <w14:textFill>
            <w14:solidFill>
              <w14:schemeClr w14:val="tx1"/>
            </w14:solidFill>
          </w14:textFill>
        </w:rPr>
        <w:t>甲方权利与义务：</w:t>
      </w:r>
    </w:p>
    <w:p>
      <w:pPr>
        <w:tabs>
          <w:tab w:val="left" w:pos="720"/>
        </w:tabs>
        <w:spacing w:line="440" w:lineRule="exact"/>
        <w:ind w:firstLine="420" w:firstLineChars="20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5.1.1 </w:t>
      </w:r>
      <w:r>
        <w:rPr>
          <w:rFonts w:hint="eastAsia" w:ascii="宋体" w:hAnsi="宋体" w:cs="宋体"/>
          <w:color w:val="000000" w:themeColor="text1"/>
          <w14:textFill>
            <w14:solidFill>
              <w14:schemeClr w14:val="tx1"/>
            </w14:solidFill>
          </w14:textFill>
        </w:rPr>
        <w:t>甲方有权利对项目活动的相关细节进行监督及了解，决定项目的实施方案。</w:t>
      </w:r>
    </w:p>
    <w:p>
      <w:pPr>
        <w:tabs>
          <w:tab w:val="left" w:pos="720"/>
        </w:tabs>
        <w:spacing w:line="440" w:lineRule="exact"/>
        <w:ind w:firstLine="420" w:firstLineChars="20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5.1.2 </w:t>
      </w:r>
      <w:r>
        <w:rPr>
          <w:rFonts w:hint="eastAsia" w:ascii="宋体" w:hAnsi="宋体" w:cs="宋体"/>
          <w:color w:val="000000" w:themeColor="text1"/>
          <w14:textFill>
            <w14:solidFill>
              <w14:schemeClr w14:val="tx1"/>
            </w14:solidFill>
          </w14:textFill>
        </w:rPr>
        <w:t>甲方有权利根据临时情况向乙方提出活动修改意见，经双方协商后实施。</w:t>
      </w:r>
    </w:p>
    <w:p>
      <w:pPr>
        <w:tabs>
          <w:tab w:val="left" w:pos="720"/>
        </w:tabs>
        <w:spacing w:line="440" w:lineRule="exact"/>
        <w:ind w:firstLine="420" w:firstLineChars="20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5.1.3</w:t>
      </w:r>
      <w:r>
        <w:rPr>
          <w:rFonts w:hint="eastAsia" w:ascii="宋体" w:hAnsi="宋体" w:cs="宋体"/>
          <w:color w:val="000000" w:themeColor="text1"/>
          <w14:textFill>
            <w14:solidFill>
              <w14:schemeClr w14:val="tx1"/>
            </w14:solidFill>
          </w14:textFill>
        </w:rPr>
        <w:t>甲方非因不可抗力因素如需延期开展项目活动，应提前</w:t>
      </w:r>
      <w:r>
        <w:rPr>
          <w:rFonts w:ascii="宋体" w:hAnsi="宋体" w:cs="宋体"/>
          <w:color w:val="000000" w:themeColor="text1"/>
          <w:u w:val="single"/>
          <w14:textFill>
            <w14:solidFill>
              <w14:schemeClr w14:val="tx1"/>
            </w14:solidFill>
          </w14:textFill>
        </w:rPr>
        <w:t xml:space="preserve"> 30</w:t>
      </w:r>
      <w:r>
        <w:rPr>
          <w:rFonts w:hint="eastAsia" w:ascii="宋体" w:hAnsi="宋体" w:cs="宋体"/>
          <w:color w:val="000000" w:themeColor="text1"/>
          <w14:textFill>
            <w14:solidFill>
              <w14:schemeClr w14:val="tx1"/>
            </w14:solidFill>
          </w14:textFill>
        </w:rPr>
        <w:t>日告知乙方，双方协商修改活动安排。</w:t>
      </w:r>
    </w:p>
    <w:p>
      <w:pPr>
        <w:spacing w:line="440" w:lineRule="exact"/>
        <w:ind w:firstLine="420" w:firstLineChars="20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5.1.4</w:t>
      </w:r>
      <w:r>
        <w:rPr>
          <w:rFonts w:hint="eastAsia" w:ascii="宋体" w:hAnsi="宋体" w:cs="宋体"/>
          <w:color w:val="000000" w:themeColor="text1"/>
          <w14:textFill>
            <w14:solidFill>
              <w14:schemeClr w14:val="tx1"/>
            </w14:solidFill>
          </w14:textFill>
        </w:rPr>
        <w:t>甲方应按照合同约定，积极配合乙方开展工作。</w:t>
      </w:r>
    </w:p>
    <w:p>
      <w:pPr>
        <w:tabs>
          <w:tab w:val="left" w:pos="720"/>
        </w:tabs>
        <w:spacing w:line="440" w:lineRule="exact"/>
        <w:ind w:firstLine="420" w:firstLineChars="20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5.1.5</w:t>
      </w:r>
      <w:r>
        <w:rPr>
          <w:rFonts w:hint="eastAsia" w:ascii="宋体" w:hAnsi="宋体" w:cs="宋体"/>
          <w:color w:val="000000" w:themeColor="text1"/>
          <w14:textFill>
            <w14:solidFill>
              <w14:schemeClr w14:val="tx1"/>
            </w14:solidFill>
          </w14:textFill>
        </w:rPr>
        <w:t>甲方应按合同约定履行付款的义务。</w:t>
      </w:r>
    </w:p>
    <w:p>
      <w:pPr>
        <w:tabs>
          <w:tab w:val="left" w:pos="720"/>
        </w:tabs>
        <w:spacing w:line="440" w:lineRule="exact"/>
        <w:ind w:firstLine="420" w:firstLineChars="20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5.1.6</w:t>
      </w:r>
      <w:r>
        <w:rPr>
          <w:rFonts w:hint="eastAsia" w:ascii="宋体" w:hAnsi="宋体" w:cs="宋体"/>
          <w:color w:val="000000" w:themeColor="text1"/>
          <w14:textFill>
            <w14:solidFill>
              <w14:schemeClr w14:val="tx1"/>
            </w14:solidFill>
          </w14:textFill>
        </w:rPr>
        <w:t>甲方应按合同约定履行其他的相应义务。</w:t>
      </w:r>
    </w:p>
    <w:p>
      <w:pPr>
        <w:spacing w:line="440" w:lineRule="exact"/>
        <w:ind w:firstLine="422" w:firstLineChars="200"/>
        <w:rPr>
          <w:rFonts w:ascii="宋体" w:hAnsi="宋体" w:cs="宋体"/>
          <w:b/>
          <w:color w:val="000000" w:themeColor="text1"/>
          <w14:textFill>
            <w14:solidFill>
              <w14:schemeClr w14:val="tx1"/>
            </w14:solidFill>
          </w14:textFill>
        </w:rPr>
      </w:pPr>
      <w:r>
        <w:rPr>
          <w:rFonts w:ascii="宋体" w:hAnsi="宋体" w:cs="宋体"/>
          <w:b/>
          <w:color w:val="000000" w:themeColor="text1"/>
          <w14:textFill>
            <w14:solidFill>
              <w14:schemeClr w14:val="tx1"/>
            </w14:solidFill>
          </w14:textFill>
        </w:rPr>
        <w:t xml:space="preserve">5.2 </w:t>
      </w:r>
      <w:r>
        <w:rPr>
          <w:rFonts w:hint="eastAsia" w:ascii="宋体" w:hAnsi="宋体" w:cs="宋体"/>
          <w:b/>
          <w:color w:val="000000" w:themeColor="text1"/>
          <w14:textFill>
            <w14:solidFill>
              <w14:schemeClr w14:val="tx1"/>
            </w14:solidFill>
          </w14:textFill>
        </w:rPr>
        <w:t>乙方权利与义务：</w:t>
      </w:r>
    </w:p>
    <w:p>
      <w:pPr>
        <w:spacing w:line="440" w:lineRule="exact"/>
        <w:ind w:firstLine="420" w:firstLineChars="20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5.2.1</w:t>
      </w:r>
      <w:r>
        <w:rPr>
          <w:rFonts w:hint="eastAsia" w:ascii="宋体" w:hAnsi="宋体" w:cs="宋体"/>
          <w:color w:val="000000" w:themeColor="text1"/>
          <w14:textFill>
            <w14:solidFill>
              <w14:schemeClr w14:val="tx1"/>
            </w14:solidFill>
          </w14:textFill>
        </w:rPr>
        <w:t>乙方负责全部项目的相关策划、组织、实施、调度，确保证项目活动的顺利进行。</w:t>
      </w:r>
    </w:p>
    <w:p>
      <w:pPr>
        <w:spacing w:line="440" w:lineRule="exact"/>
        <w:ind w:firstLine="420" w:firstLineChars="20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5.2.2</w:t>
      </w:r>
      <w:r>
        <w:rPr>
          <w:rFonts w:hint="eastAsia" w:ascii="宋体" w:hAnsi="宋体" w:cs="宋体"/>
          <w:color w:val="000000" w:themeColor="text1"/>
          <w14:textFill>
            <w14:solidFill>
              <w14:schemeClr w14:val="tx1"/>
            </w14:solidFill>
          </w14:textFill>
        </w:rPr>
        <w:t>乙方应具备符合提供服务的专业资格，并保证选派的工作人员具备相关的专业能力及较高的素质。</w:t>
      </w:r>
    </w:p>
    <w:p>
      <w:pPr>
        <w:tabs>
          <w:tab w:val="left" w:pos="720"/>
        </w:tabs>
        <w:spacing w:line="440" w:lineRule="exact"/>
        <w:ind w:firstLine="420" w:firstLineChars="20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5.2.</w:t>
      </w:r>
      <w:r>
        <w:rPr>
          <w:rFonts w:hint="eastAsia" w:ascii="宋体" w:hAnsi="宋体" w:cs="宋体"/>
          <w:color w:val="000000" w:themeColor="text1"/>
          <w14:textFill>
            <w14:solidFill>
              <w14:schemeClr w14:val="tx1"/>
            </w14:solidFill>
          </w14:textFill>
        </w:rPr>
        <w:t>3 乙方应按合同约定履行其他的相应义务。</w:t>
      </w:r>
    </w:p>
    <w:p>
      <w:pPr>
        <w:snapToGrid w:val="0"/>
        <w:spacing w:line="440" w:lineRule="exact"/>
        <w:rPr>
          <w:rFonts w:ascii="宋体" w:hAnsi="宋体" w:cs="宋体"/>
          <w:color w:val="000000" w:themeColor="text1"/>
          <w14:textFill>
            <w14:solidFill>
              <w14:schemeClr w14:val="tx1"/>
            </w14:solidFill>
          </w14:textFill>
        </w:rPr>
      </w:pPr>
      <w:bookmarkStart w:id="48" w:name="_Toc27234"/>
      <w:bookmarkStart w:id="49" w:name="_Toc23580"/>
      <w:r>
        <w:rPr>
          <w:rFonts w:ascii="宋体" w:hAnsi="宋体" w:cs="宋体"/>
          <w:b/>
          <w:bCs/>
          <w:color w:val="000000" w:themeColor="text1"/>
          <w14:textFill>
            <w14:solidFill>
              <w14:schemeClr w14:val="tx1"/>
            </w14:solidFill>
          </w14:textFill>
        </w:rPr>
        <w:t>6.</w:t>
      </w:r>
      <w:r>
        <w:rPr>
          <w:rFonts w:hint="eastAsia" w:ascii="宋体" w:hAnsi="宋体" w:cs="宋体"/>
          <w:b/>
          <w:bCs/>
          <w:color w:val="000000" w:themeColor="text1"/>
          <w14:textFill>
            <w14:solidFill>
              <w14:schemeClr w14:val="tx1"/>
            </w14:solidFill>
          </w14:textFill>
        </w:rPr>
        <w:t>服务费及资金付款进度</w:t>
      </w:r>
      <w:bookmarkEnd w:id="48"/>
      <w:bookmarkEnd w:id="49"/>
    </w:p>
    <w:p>
      <w:pPr>
        <w:snapToGrid w:val="0"/>
        <w:spacing w:line="440" w:lineRule="exac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    6.1 </w:t>
      </w:r>
      <w:r>
        <w:rPr>
          <w:rFonts w:hint="eastAsia" w:ascii="宋体" w:hAnsi="宋体" w:cs="宋体"/>
          <w:color w:val="000000" w:themeColor="text1"/>
          <w14:textFill>
            <w14:solidFill>
              <w14:schemeClr w14:val="tx1"/>
            </w14:solidFill>
          </w14:textFill>
        </w:rPr>
        <w:t>本次项目的费用为人民币     万元，包括但不限于执行该项目所产生的赛事信息服务费用、人员费用、差旅费等所有费用。</w:t>
      </w:r>
    </w:p>
    <w:p>
      <w:pPr>
        <w:pStyle w:val="157"/>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6.2合同签署生效后，在15个工作日内支付合同总价的40%。支付依据：项目合同。</w:t>
      </w:r>
    </w:p>
    <w:p>
      <w:pPr>
        <w:pStyle w:val="157"/>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6.3正式比赛顺利完成后，在15个工作日内支付合同总价的50%。支付依据：服务总结报告、验收证明。</w:t>
      </w:r>
    </w:p>
    <w:p>
      <w:pPr>
        <w:pStyle w:val="157"/>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6.4赛事收尾终验通过后，在15个工作日内支付</w:t>
      </w:r>
      <w:r>
        <w:rPr>
          <w:rFonts w:hint="eastAsia" w:ascii="宋体" w:hAnsi="宋体" w:cs="宋体"/>
          <w:color w:val="000000" w:themeColor="text1"/>
          <w14:textFill>
            <w14:solidFill>
              <w14:schemeClr w14:val="tx1"/>
            </w14:solidFill>
          </w14:textFill>
        </w:rPr>
        <w:t>合同总价的</w:t>
      </w:r>
      <w:r>
        <w:rPr>
          <w:rFonts w:ascii="宋体" w:hAnsi="宋体" w:cs="宋体"/>
          <w:color w:val="000000" w:themeColor="text1"/>
          <w14:textFill>
            <w14:solidFill>
              <w14:schemeClr w14:val="tx1"/>
            </w14:solidFill>
          </w14:textFill>
        </w:rPr>
        <w:t>10%。支付依据：资料移交报告、验收证明。</w:t>
      </w:r>
    </w:p>
    <w:p>
      <w:pPr>
        <w:snapToGrid w:val="0"/>
        <w:spacing w:line="440" w:lineRule="exac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    6.</w:t>
      </w:r>
      <w:r>
        <w:rPr>
          <w:rFonts w:hint="eastAsia" w:ascii="宋体" w:hAnsi="宋体" w:cs="宋体"/>
          <w:color w:val="000000" w:themeColor="text1"/>
          <w14:textFill>
            <w14:solidFill>
              <w14:schemeClr w14:val="tx1"/>
            </w14:solidFill>
          </w14:textFill>
        </w:rPr>
        <w:t>5银行信息：甲方应将本合同项下所有费用付至乙方以下银行账户。</w:t>
      </w:r>
    </w:p>
    <w:p>
      <w:pPr>
        <w:snapToGrid w:val="0"/>
        <w:spacing w:line="440" w:lineRule="exact"/>
        <w:ind w:left="420" w:left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账户名称：XXX</w:t>
      </w:r>
      <w:r>
        <w:rPr>
          <w:rFonts w:ascii="宋体" w:hAnsi="宋体" w:cs="宋体"/>
          <w:color w:val="000000" w:themeColor="text1"/>
          <w14:textFill>
            <w14:solidFill>
              <w14:schemeClr w14:val="tx1"/>
            </w14:solidFill>
          </w14:textFill>
        </w:rPr>
        <w:br w:type="textWrapping"/>
      </w:r>
      <w:r>
        <w:rPr>
          <w:rFonts w:hint="eastAsia" w:ascii="宋体" w:hAnsi="宋体" w:cs="宋体"/>
          <w:color w:val="000000" w:themeColor="text1"/>
          <w14:textFill>
            <w14:solidFill>
              <w14:schemeClr w14:val="tx1"/>
            </w14:solidFill>
          </w14:textFill>
        </w:rPr>
        <w:t>账号：XXX</w:t>
      </w:r>
    </w:p>
    <w:p>
      <w:pPr>
        <w:snapToGrid w:val="0"/>
        <w:spacing w:line="44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开户行： XXX</w:t>
      </w:r>
    </w:p>
    <w:p>
      <w:pPr>
        <w:snapToGrid w:val="0"/>
        <w:spacing w:line="440" w:lineRule="exact"/>
        <w:rPr>
          <w:rFonts w:ascii="宋体" w:hAnsi="宋体" w:cs="宋体"/>
          <w:color w:val="000000" w:themeColor="text1"/>
          <w14:textFill>
            <w14:solidFill>
              <w14:schemeClr w14:val="tx1"/>
            </w14:solidFill>
          </w14:textFill>
        </w:rPr>
      </w:pPr>
      <w:bookmarkStart w:id="50" w:name="_Toc4212"/>
      <w:bookmarkStart w:id="51" w:name="_Toc23438"/>
      <w:r>
        <w:rPr>
          <w:rFonts w:ascii="宋体" w:hAnsi="宋体" w:cs="宋体"/>
          <w:b/>
          <w:bCs/>
          <w:color w:val="000000" w:themeColor="text1"/>
          <w14:textFill>
            <w14:solidFill>
              <w14:schemeClr w14:val="tx1"/>
            </w14:solidFill>
          </w14:textFill>
        </w:rPr>
        <w:t>7.</w:t>
      </w:r>
      <w:r>
        <w:rPr>
          <w:rFonts w:hint="eastAsia" w:ascii="宋体" w:hAnsi="宋体" w:cs="宋体"/>
          <w:b/>
          <w:bCs/>
          <w:color w:val="000000" w:themeColor="text1"/>
          <w14:textFill>
            <w14:solidFill>
              <w14:schemeClr w14:val="tx1"/>
            </w14:solidFill>
          </w14:textFill>
        </w:rPr>
        <w:t>合同终止和违约责任</w:t>
      </w:r>
      <w:bookmarkEnd w:id="50"/>
      <w:bookmarkEnd w:id="51"/>
    </w:p>
    <w:p>
      <w:pPr>
        <w:snapToGrid w:val="0"/>
        <w:spacing w:line="44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在下述条件下，本合同书可提前终止：</w:t>
      </w:r>
    </w:p>
    <w:p>
      <w:pPr>
        <w:snapToGrid w:val="0"/>
        <w:spacing w:line="440" w:lineRule="exac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    7.1 </w:t>
      </w:r>
      <w:r>
        <w:rPr>
          <w:rFonts w:hint="eastAsia" w:ascii="宋体" w:hAnsi="宋体" w:cs="宋体"/>
          <w:color w:val="000000" w:themeColor="text1"/>
          <w14:textFill>
            <w14:solidFill>
              <w14:schemeClr w14:val="tx1"/>
            </w14:solidFill>
          </w14:textFill>
        </w:rPr>
        <w:t>如果一方破产，或正在进行清算程序，或其财产的实质性部分被没收或扣押，则另一方可经书面通知该方而立即终止本合同，并有权要求其赔偿由此造成的损失；</w:t>
      </w:r>
    </w:p>
    <w:p>
      <w:pPr>
        <w:snapToGrid w:val="0"/>
        <w:spacing w:line="440" w:lineRule="exac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    7.2 </w:t>
      </w:r>
      <w:r>
        <w:rPr>
          <w:rFonts w:hint="eastAsia" w:ascii="宋体" w:hAnsi="宋体" w:cs="宋体"/>
          <w:color w:val="000000" w:themeColor="text1"/>
          <w14:textFill>
            <w14:solidFill>
              <w14:schemeClr w14:val="tx1"/>
            </w14:solidFill>
          </w14:textFill>
        </w:rPr>
        <w:t>如果一方的所有权、组织结构、控制与管理发生重大变化，而导致其不能履行本合同的，则另一方可经书面通知该方而立即终止本合同，并有权要求其赔偿由此造成的损失；</w:t>
      </w:r>
    </w:p>
    <w:p>
      <w:pPr>
        <w:snapToGrid w:val="0"/>
        <w:spacing w:line="440" w:lineRule="exac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    7.3 </w:t>
      </w:r>
      <w:r>
        <w:rPr>
          <w:rFonts w:hint="eastAsia" w:ascii="宋体" w:hAnsi="宋体" w:cs="宋体"/>
          <w:color w:val="000000" w:themeColor="text1"/>
          <w14:textFill>
            <w14:solidFill>
              <w14:schemeClr w14:val="tx1"/>
            </w14:solidFill>
          </w14:textFill>
        </w:rPr>
        <w:t>除本合同另有约定外，如果一方违反本合同书任何约定并在收到另一方向其发出的书面通知后十五天内仍不纠正违约行为，则另一方可经书面通知该方而立即终止本合同，并有权要求其赔偿由此造成的损失。</w:t>
      </w:r>
    </w:p>
    <w:p>
      <w:pPr>
        <w:snapToGrid w:val="0"/>
        <w:spacing w:line="440" w:lineRule="exac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    7.4 </w:t>
      </w:r>
      <w:r>
        <w:rPr>
          <w:rFonts w:hint="eastAsia" w:ascii="宋体" w:hAnsi="宋体" w:cs="宋体"/>
          <w:color w:val="000000" w:themeColor="text1"/>
          <w14:textFill>
            <w14:solidFill>
              <w14:schemeClr w14:val="tx1"/>
            </w14:solidFill>
          </w14:textFill>
        </w:rPr>
        <w:t>如果本合同一方不按照合同约定履行义务，则应按照下述规定承担违约责任：</w:t>
      </w:r>
    </w:p>
    <w:p>
      <w:pPr>
        <w:snapToGrid w:val="0"/>
        <w:spacing w:line="440" w:lineRule="exact"/>
        <w:ind w:firstLine="472" w:firstLineChars="225"/>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7.4.1 </w:t>
      </w:r>
      <w:r>
        <w:rPr>
          <w:rFonts w:hint="eastAsia" w:ascii="宋体" w:hAnsi="宋体" w:cs="宋体"/>
          <w:color w:val="000000" w:themeColor="text1"/>
          <w14:textFill>
            <w14:solidFill>
              <w14:schemeClr w14:val="tx1"/>
            </w14:solidFill>
          </w14:textFill>
        </w:rPr>
        <w:t>如果乙方未能履行合同或履行合同不符合约定，甲方应就此向乙方发出书面通知，指出乙方没有适当履行的合同条款，并要求纠正。如果乙方确属违约，并且乙方在收到甲方书面通知之日起十日内仍不纠正违约行为或已无法纠正，甲方有权要求乙方承担金额最高不超过服务费总额</w:t>
      </w:r>
      <w:r>
        <w:rPr>
          <w:rFonts w:ascii="宋体" w:hAnsi="宋体" w:cs="宋体"/>
          <w:color w:val="000000" w:themeColor="text1"/>
          <w14:textFill>
            <w14:solidFill>
              <w14:schemeClr w14:val="tx1"/>
            </w14:solidFill>
          </w14:textFill>
        </w:rPr>
        <w:t>30</w:t>
      </w:r>
      <w:r>
        <w:rPr>
          <w:rFonts w:hint="eastAsia" w:ascii="宋体" w:hAnsi="宋体" w:cs="宋体"/>
          <w:color w:val="000000" w:themeColor="text1"/>
          <w14:textFill>
            <w14:solidFill>
              <w14:schemeClr w14:val="tx1"/>
            </w14:solidFill>
          </w14:textFill>
        </w:rPr>
        <w:t>％的违约金。</w:t>
      </w:r>
    </w:p>
    <w:p>
      <w:pPr>
        <w:snapToGrid w:val="0"/>
        <w:spacing w:line="440" w:lineRule="exact"/>
        <w:ind w:firstLine="472" w:firstLineChars="225"/>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7.4.2 </w:t>
      </w:r>
      <w:r>
        <w:rPr>
          <w:rFonts w:hint="eastAsia" w:ascii="宋体" w:hAnsi="宋体" w:cs="宋体"/>
          <w:color w:val="000000" w:themeColor="text1"/>
          <w14:textFill>
            <w14:solidFill>
              <w14:schemeClr w14:val="tx1"/>
            </w14:solidFill>
          </w14:textFill>
        </w:rPr>
        <w:t>甲方应当根据本合同约定按时向乙方付款，无正当理由迟延付款的，每迟延支付一日，应支付迟延付款金额</w:t>
      </w:r>
      <w:r>
        <w:rPr>
          <w:rFonts w:ascii="宋体" w:hAnsi="宋体" w:cs="宋体"/>
          <w:color w:val="000000" w:themeColor="text1"/>
          <w14:textFill>
            <w14:solidFill>
              <w14:schemeClr w14:val="tx1"/>
            </w14:solidFill>
          </w14:textFill>
        </w:rPr>
        <w:t>0.1</w:t>
      </w:r>
      <w:r>
        <w:rPr>
          <w:rFonts w:hint="eastAsia" w:ascii="宋体" w:hAnsi="宋体" w:cs="宋体"/>
          <w:color w:val="000000" w:themeColor="text1"/>
          <w14:textFill>
            <w14:solidFill>
              <w14:schemeClr w14:val="tx1"/>
            </w14:solidFill>
          </w14:textFill>
        </w:rPr>
        <w:t>‰的违约金。</w:t>
      </w:r>
    </w:p>
    <w:p>
      <w:pPr>
        <w:snapToGrid w:val="0"/>
        <w:spacing w:line="440" w:lineRule="exact"/>
        <w:rPr>
          <w:rFonts w:ascii="宋体" w:hAnsi="宋体" w:cs="宋体"/>
          <w:b/>
          <w:bCs/>
          <w:color w:val="000000" w:themeColor="text1"/>
          <w14:textFill>
            <w14:solidFill>
              <w14:schemeClr w14:val="tx1"/>
            </w14:solidFill>
          </w14:textFill>
        </w:rPr>
      </w:pPr>
      <w:bookmarkStart w:id="52" w:name="_Toc29778"/>
      <w:bookmarkStart w:id="53" w:name="_Toc27960"/>
      <w:r>
        <w:rPr>
          <w:rFonts w:ascii="宋体" w:hAnsi="宋体" w:cs="宋体"/>
          <w:b/>
          <w:bCs/>
          <w:color w:val="000000" w:themeColor="text1"/>
          <w14:textFill>
            <w14:solidFill>
              <w14:schemeClr w14:val="tx1"/>
            </w14:solidFill>
          </w14:textFill>
        </w:rPr>
        <w:t>8.</w:t>
      </w:r>
      <w:r>
        <w:rPr>
          <w:rFonts w:hint="eastAsia" w:ascii="宋体" w:hAnsi="宋体" w:cs="宋体"/>
          <w:b/>
          <w:bCs/>
          <w:color w:val="000000" w:themeColor="text1"/>
          <w14:textFill>
            <w14:solidFill>
              <w14:schemeClr w14:val="tx1"/>
            </w14:solidFill>
          </w14:textFill>
        </w:rPr>
        <w:t>不可抗力</w:t>
      </w:r>
      <w:bookmarkEnd w:id="52"/>
      <w:bookmarkEnd w:id="53"/>
    </w:p>
    <w:p>
      <w:pPr>
        <w:snapToGrid w:val="0"/>
        <w:spacing w:line="440" w:lineRule="exac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    8.1 </w:t>
      </w:r>
      <w:r>
        <w:rPr>
          <w:rFonts w:hint="eastAsia" w:ascii="宋体" w:hAnsi="宋体" w:cs="宋体"/>
          <w:color w:val="000000" w:themeColor="text1"/>
          <w14:textFill>
            <w14:solidFill>
              <w14:schemeClr w14:val="tx1"/>
            </w14:solidFill>
          </w14:textFill>
        </w:rPr>
        <w:t>“不可抗力”是指本合同签订后不可预见并且其发生和后果是双方无法避免和克服的事件，该等事件在合同签署后发生，并造成一方不能履行其在合同书项下的全部或部分义务。该等事件包括地震、台风、洪水、火灾、战争、瘟疫、流行病（包括非典型肺炎或类似流行传染病）、动乱、罢工以及法律规定为“不可抗力”的其他事件。</w:t>
      </w:r>
    </w:p>
    <w:p>
      <w:pPr>
        <w:snapToGrid w:val="0"/>
        <w:spacing w:line="440" w:lineRule="exac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    8.2 </w:t>
      </w:r>
      <w:r>
        <w:rPr>
          <w:rFonts w:hint="eastAsia" w:ascii="宋体" w:hAnsi="宋体" w:cs="宋体"/>
          <w:color w:val="000000" w:themeColor="text1"/>
          <w14:textFill>
            <w14:solidFill>
              <w14:schemeClr w14:val="tx1"/>
            </w14:solidFill>
          </w14:textFill>
        </w:rPr>
        <w:t>如一项不可抗力事件发生并因此影响任何一方履行其在本合同项下的义务，则该项义务的履行在不可抗力事件导致的延迟期内可暂时中止，且该等不履行不视为对合同的违反。受到不可抗力事件影响的一方应当立即以书面形式将该不可抗力事件的发生通知另一方，并在此后十五日内提供该不可抗力事件发生和持续时间的充分证据。</w:t>
      </w:r>
    </w:p>
    <w:p>
      <w:pPr>
        <w:snapToGrid w:val="0"/>
        <w:spacing w:line="440" w:lineRule="exac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    8.3 </w:t>
      </w:r>
      <w:r>
        <w:rPr>
          <w:rFonts w:hint="eastAsia" w:ascii="宋体" w:hAnsi="宋体" w:cs="宋体"/>
          <w:color w:val="000000" w:themeColor="text1"/>
          <w14:textFill>
            <w14:solidFill>
              <w14:schemeClr w14:val="tx1"/>
            </w14:solidFill>
          </w14:textFill>
        </w:rPr>
        <w:t>发生不可抗力事件后，双方应相互协商以寻求公平的解决方法并应尽力将不可抗力所造成的影响减至最低。如果不可抗力的发生严重阻碍了合同的履行，且自不可抗力发生之日起三十日内双方仍无法找到公平的解决方法，则任何一方可提前终止本合同书。在此情况下，乙方应当退还甲方已经支付的款项（扣除乙方为本项目所已经实际支付的必要成本）。</w:t>
      </w:r>
    </w:p>
    <w:p>
      <w:pPr>
        <w:autoSpaceDE w:val="0"/>
        <w:autoSpaceDN w:val="0"/>
        <w:adjustRightInd w:val="0"/>
        <w:spacing w:line="440" w:lineRule="exact"/>
        <w:ind w:firstLine="413" w:firstLineChars="196"/>
        <w:rPr>
          <w:rFonts w:ascii="宋体" w:hAnsi="宋体"/>
          <w:b/>
          <w:bCs/>
          <w:color w:val="000000" w:themeColor="text1"/>
          <w:kern w:val="0"/>
          <w14:textFill>
            <w14:solidFill>
              <w14:schemeClr w14:val="tx1"/>
            </w14:solidFill>
          </w14:textFill>
        </w:rPr>
      </w:pPr>
      <w:bookmarkStart w:id="54" w:name="_Toc7221"/>
      <w:bookmarkStart w:id="55" w:name="_Toc12058"/>
      <w:r>
        <w:rPr>
          <w:rFonts w:ascii="宋体" w:hAnsi="宋体" w:cs="宋体"/>
          <w:b/>
          <w:bCs/>
          <w:color w:val="000000" w:themeColor="text1"/>
          <w:kern w:val="0"/>
          <w:lang w:val="zh-CN"/>
          <w14:textFill>
            <w14:solidFill>
              <w14:schemeClr w14:val="tx1"/>
            </w14:solidFill>
          </w14:textFill>
        </w:rPr>
        <w:t>9.</w:t>
      </w:r>
      <w:r>
        <w:rPr>
          <w:rFonts w:hint="eastAsia" w:ascii="宋体" w:hAnsi="宋体" w:cs="宋体"/>
          <w:b/>
          <w:bCs/>
          <w:color w:val="000000" w:themeColor="text1"/>
          <w:kern w:val="0"/>
          <w:lang w:val="zh-CN"/>
          <w14:textFill>
            <w14:solidFill>
              <w14:schemeClr w14:val="tx1"/>
            </w14:solidFill>
          </w14:textFill>
        </w:rPr>
        <w:t>知识产权、保密</w:t>
      </w:r>
      <w:bookmarkEnd w:id="54"/>
      <w:bookmarkEnd w:id="55"/>
    </w:p>
    <w:p>
      <w:pPr>
        <w:autoSpaceDE w:val="0"/>
        <w:autoSpaceDN w:val="0"/>
        <w:adjustRightInd w:val="0"/>
        <w:spacing w:line="440" w:lineRule="exact"/>
        <w:ind w:firstLine="560"/>
        <w:rPr>
          <w:rFonts w:ascii="宋体" w:hAnsi="宋体" w:cs="宋体"/>
          <w:color w:val="000000" w:themeColor="text1"/>
          <w:kern w:val="0"/>
          <w:lang w:val="zh-CN"/>
          <w14:textFill>
            <w14:solidFill>
              <w14:schemeClr w14:val="tx1"/>
            </w14:solidFill>
          </w14:textFill>
        </w:rPr>
      </w:pPr>
      <w:r>
        <w:rPr>
          <w:rFonts w:ascii="宋体" w:hAnsi="宋体" w:cs="宋体"/>
          <w:color w:val="000000" w:themeColor="text1"/>
          <w:kern w:val="0"/>
          <w:lang w:val="zh-CN"/>
          <w14:textFill>
            <w14:solidFill>
              <w14:schemeClr w14:val="tx1"/>
            </w14:solidFill>
          </w14:textFill>
        </w:rPr>
        <w:t>9.1</w:t>
      </w:r>
      <w:r>
        <w:rPr>
          <w:rFonts w:hint="eastAsia" w:ascii="宋体" w:hAnsi="宋体" w:cs="宋体"/>
          <w:color w:val="000000" w:themeColor="text1"/>
          <w:kern w:val="0"/>
          <w:lang w:val="zh-CN"/>
          <w14:textFill>
            <w14:solidFill>
              <w14:schemeClr w14:val="tx1"/>
            </w14:solidFill>
          </w14:textFill>
        </w:rPr>
        <w:t>合同双方保证，一方向另一方提供的文件、资料不会侵犯任何第三方的知识产权或其他合法权益，若因此给另一方造成损失的，由提供方依法承担相应法律责任。</w:t>
      </w:r>
    </w:p>
    <w:p>
      <w:pPr>
        <w:autoSpaceDE w:val="0"/>
        <w:autoSpaceDN w:val="0"/>
        <w:adjustRightInd w:val="0"/>
        <w:spacing w:line="440" w:lineRule="exact"/>
        <w:ind w:firstLine="560"/>
        <w:rPr>
          <w:rFonts w:ascii="宋体" w:hAnsi="宋体" w:cs="宋体"/>
          <w:color w:val="000000" w:themeColor="text1"/>
          <w:kern w:val="0"/>
          <w:lang w:val="zh-CN"/>
          <w14:textFill>
            <w14:solidFill>
              <w14:schemeClr w14:val="tx1"/>
            </w14:solidFill>
          </w14:textFill>
        </w:rPr>
      </w:pPr>
      <w:r>
        <w:rPr>
          <w:rFonts w:ascii="宋体" w:hAnsi="宋体" w:cs="宋体"/>
          <w:color w:val="000000" w:themeColor="text1"/>
          <w:kern w:val="0"/>
          <w:lang w:val="zh-CN"/>
          <w14:textFill>
            <w14:solidFill>
              <w14:schemeClr w14:val="tx1"/>
            </w14:solidFill>
          </w14:textFill>
        </w:rPr>
        <w:t xml:space="preserve">9.2 </w:t>
      </w:r>
      <w:r>
        <w:rPr>
          <w:rFonts w:hint="eastAsia" w:ascii="宋体" w:hAnsi="宋体" w:cs="宋体"/>
          <w:color w:val="000000" w:themeColor="text1"/>
          <w:kern w:val="0"/>
          <w:lang w:val="zh-CN"/>
          <w14:textFill>
            <w14:solidFill>
              <w14:schemeClr w14:val="tx1"/>
            </w14:solidFill>
          </w14:textFill>
        </w:rPr>
        <w:t>甲方享有本合同项下</w:t>
      </w:r>
      <w:r>
        <w:rPr>
          <w:rFonts w:hint="eastAsia" w:ascii="宋体" w:hAnsi="宋体"/>
          <w:b/>
          <w:color w:val="000000" w:themeColor="text1"/>
          <w14:textFill>
            <w14:solidFill>
              <w14:schemeClr w14:val="tx1"/>
            </w14:solidFill>
          </w14:textFill>
        </w:rPr>
        <w:t>所涉及到的技术成果、开发平台、关键技术、秘密信息、技术资料、文件</w:t>
      </w:r>
      <w:r>
        <w:rPr>
          <w:rFonts w:hint="eastAsia" w:ascii="宋体" w:hAnsi="宋体" w:cs="宋体"/>
          <w:color w:val="000000" w:themeColor="text1"/>
          <w:kern w:val="0"/>
          <w:lang w:val="zh-CN"/>
          <w14:textFill>
            <w14:solidFill>
              <w14:schemeClr w14:val="tx1"/>
            </w14:solidFill>
          </w14:textFill>
        </w:rPr>
        <w:t>等内容的完整的知识产权，未经甲方书面确认，乙方不得转让、许可或以其他方式提供给任何第三方使用；否则，甲方有权解除合同并依法追究乙方违约责任。</w:t>
      </w:r>
    </w:p>
    <w:p>
      <w:pPr>
        <w:autoSpaceDE w:val="0"/>
        <w:autoSpaceDN w:val="0"/>
        <w:adjustRightInd w:val="0"/>
        <w:spacing w:line="440" w:lineRule="exact"/>
        <w:ind w:firstLine="630"/>
        <w:rPr>
          <w:rFonts w:ascii="宋体" w:hAnsi="宋体"/>
          <w:color w:val="000000" w:themeColor="text1"/>
          <w:kern w:val="0"/>
          <w14:textFill>
            <w14:solidFill>
              <w14:schemeClr w14:val="tx1"/>
            </w14:solidFill>
          </w14:textFill>
        </w:rPr>
      </w:pPr>
      <w:r>
        <w:rPr>
          <w:rFonts w:ascii="宋体" w:hAnsi="宋体" w:cs="宋体"/>
          <w:color w:val="000000" w:themeColor="text1"/>
          <w:kern w:val="0"/>
          <w:lang w:val="zh-CN"/>
          <w14:textFill>
            <w14:solidFill>
              <w14:schemeClr w14:val="tx1"/>
            </w14:solidFill>
          </w14:textFill>
        </w:rPr>
        <w:t>9.3</w:t>
      </w:r>
      <w:r>
        <w:rPr>
          <w:rFonts w:hint="eastAsia" w:ascii="宋体" w:hAnsi="宋体" w:cs="宋体"/>
          <w:color w:val="000000" w:themeColor="text1"/>
          <w:kern w:val="0"/>
          <w:lang w:val="zh-CN"/>
          <w14:textFill>
            <w14:solidFill>
              <w14:schemeClr w14:val="tx1"/>
            </w14:solidFill>
          </w14:textFill>
        </w:rPr>
        <w:t>本合同涉及的文件、资料内容属于甲方商业秘密，除为履行本合同所必须外，未经甲方授权乙方无权向第三方公开。</w:t>
      </w:r>
    </w:p>
    <w:p>
      <w:pPr>
        <w:autoSpaceDE w:val="0"/>
        <w:autoSpaceDN w:val="0"/>
        <w:adjustRightInd w:val="0"/>
        <w:spacing w:line="440" w:lineRule="exact"/>
        <w:ind w:firstLine="630"/>
        <w:rPr>
          <w:rFonts w:ascii="宋体" w:hAnsi="宋体"/>
          <w:color w:val="000000" w:themeColor="text1"/>
          <w:kern w:val="0"/>
          <w14:textFill>
            <w14:solidFill>
              <w14:schemeClr w14:val="tx1"/>
            </w14:solidFill>
          </w14:textFill>
        </w:rPr>
      </w:pPr>
      <w:r>
        <w:rPr>
          <w:rFonts w:ascii="宋体" w:hAnsi="宋体" w:cs="宋体"/>
          <w:color w:val="000000" w:themeColor="text1"/>
          <w:kern w:val="0"/>
          <w:lang w:val="zh-CN"/>
          <w14:textFill>
            <w14:solidFill>
              <w14:schemeClr w14:val="tx1"/>
            </w14:solidFill>
          </w14:textFill>
        </w:rPr>
        <w:t>9.4</w:t>
      </w:r>
      <w:r>
        <w:rPr>
          <w:rFonts w:hint="eastAsia" w:ascii="宋体" w:hAnsi="宋体" w:cs="宋体"/>
          <w:color w:val="000000" w:themeColor="text1"/>
          <w:kern w:val="0"/>
          <w:lang w:val="zh-CN"/>
          <w14:textFill>
            <w14:solidFill>
              <w14:schemeClr w14:val="tx1"/>
            </w14:solidFill>
          </w14:textFill>
        </w:rPr>
        <w:t>合同双方对因签署和履行本合同而获得的本合同各项条款、有关本合同的谈判、合同一方提供给对方的涉及提供方专属的或保密的信息和数据等属于商业秘密，仅在下列情况下，合同双方才可披露商业秘密条款信息：</w:t>
      </w:r>
    </w:p>
    <w:p>
      <w:pPr>
        <w:autoSpaceDE w:val="0"/>
        <w:autoSpaceDN w:val="0"/>
        <w:adjustRightInd w:val="0"/>
        <w:spacing w:line="440" w:lineRule="exact"/>
        <w:ind w:firstLine="630"/>
        <w:rPr>
          <w:rFonts w:ascii="宋体" w:hAnsi="宋体"/>
          <w:color w:val="000000" w:themeColor="text1"/>
          <w:kern w:val="0"/>
          <w14:textFill>
            <w14:solidFill>
              <w14:schemeClr w14:val="tx1"/>
            </w14:solidFill>
          </w14:textFill>
        </w:rPr>
      </w:pPr>
      <w:r>
        <w:rPr>
          <w:rFonts w:ascii="宋体" w:hAnsi="宋体" w:cs="宋体"/>
          <w:color w:val="000000" w:themeColor="text1"/>
          <w:kern w:val="0"/>
          <w:lang w:val="zh-CN"/>
          <w14:textFill>
            <w14:solidFill>
              <w14:schemeClr w14:val="tx1"/>
            </w14:solidFill>
          </w14:textFill>
        </w:rPr>
        <w:t>9.4.1</w:t>
      </w:r>
      <w:r>
        <w:rPr>
          <w:rFonts w:hint="eastAsia" w:ascii="宋体" w:hAnsi="宋体" w:cs="宋体"/>
          <w:color w:val="000000" w:themeColor="text1"/>
          <w:kern w:val="0"/>
          <w:lang w:val="zh-CN"/>
          <w14:textFill>
            <w14:solidFill>
              <w14:schemeClr w14:val="tx1"/>
            </w14:solidFill>
          </w14:textFill>
        </w:rPr>
        <w:t>依法律法规的规定；</w:t>
      </w:r>
    </w:p>
    <w:p>
      <w:pPr>
        <w:autoSpaceDE w:val="0"/>
        <w:autoSpaceDN w:val="0"/>
        <w:adjustRightInd w:val="0"/>
        <w:spacing w:line="440" w:lineRule="exact"/>
        <w:ind w:firstLine="630"/>
        <w:rPr>
          <w:rFonts w:ascii="宋体" w:hAnsi="宋体"/>
          <w:color w:val="000000" w:themeColor="text1"/>
          <w:kern w:val="0"/>
          <w14:textFill>
            <w14:solidFill>
              <w14:schemeClr w14:val="tx1"/>
            </w14:solidFill>
          </w14:textFill>
        </w:rPr>
      </w:pPr>
      <w:r>
        <w:rPr>
          <w:rFonts w:ascii="宋体" w:hAnsi="宋体" w:cs="宋体"/>
          <w:color w:val="000000" w:themeColor="text1"/>
          <w:kern w:val="0"/>
          <w:lang w:val="zh-CN"/>
          <w14:textFill>
            <w14:solidFill>
              <w14:schemeClr w14:val="tx1"/>
            </w14:solidFill>
          </w14:textFill>
        </w:rPr>
        <w:t xml:space="preserve">9.4.2 </w:t>
      </w:r>
      <w:r>
        <w:rPr>
          <w:rFonts w:hint="eastAsia" w:ascii="宋体" w:hAnsi="宋体" w:cs="宋体"/>
          <w:color w:val="000000" w:themeColor="text1"/>
          <w:kern w:val="0"/>
          <w:lang w:val="zh-CN"/>
          <w14:textFill>
            <w14:solidFill>
              <w14:schemeClr w14:val="tx1"/>
            </w14:solidFill>
          </w14:textFill>
        </w:rPr>
        <w:t>依任何有管辖权的政府机关、监管机构或自律组织的要求；</w:t>
      </w:r>
    </w:p>
    <w:p>
      <w:pPr>
        <w:autoSpaceDE w:val="0"/>
        <w:autoSpaceDN w:val="0"/>
        <w:adjustRightInd w:val="0"/>
        <w:spacing w:line="440" w:lineRule="exact"/>
        <w:ind w:firstLine="630"/>
        <w:rPr>
          <w:rFonts w:ascii="宋体" w:hAnsi="宋体"/>
          <w:color w:val="000000" w:themeColor="text1"/>
          <w:kern w:val="0"/>
          <w14:textFill>
            <w14:solidFill>
              <w14:schemeClr w14:val="tx1"/>
            </w14:solidFill>
          </w14:textFill>
        </w:rPr>
      </w:pPr>
      <w:r>
        <w:rPr>
          <w:rFonts w:ascii="宋体" w:hAnsi="宋体" w:cs="宋体"/>
          <w:color w:val="000000" w:themeColor="text1"/>
          <w:kern w:val="0"/>
          <w:lang w:val="zh-CN"/>
          <w14:textFill>
            <w14:solidFill>
              <w14:schemeClr w14:val="tx1"/>
            </w14:solidFill>
          </w14:textFill>
        </w:rPr>
        <w:t>9.4.3</w:t>
      </w:r>
      <w:r>
        <w:rPr>
          <w:rFonts w:hint="eastAsia" w:ascii="宋体" w:hAnsi="宋体" w:cs="宋体"/>
          <w:color w:val="000000" w:themeColor="text1"/>
          <w:kern w:val="0"/>
          <w:lang w:val="zh-CN"/>
          <w14:textFill>
            <w14:solidFill>
              <w14:schemeClr w14:val="tx1"/>
            </w14:solidFill>
          </w14:textFill>
        </w:rPr>
        <w:t>在收到对方披露的保密信息之时或之前已从对该保密信息无保密义务的第三方合法知悉该信息；</w:t>
      </w:r>
    </w:p>
    <w:p>
      <w:pPr>
        <w:autoSpaceDE w:val="0"/>
        <w:autoSpaceDN w:val="0"/>
        <w:adjustRightInd w:val="0"/>
        <w:spacing w:line="440" w:lineRule="exact"/>
        <w:ind w:firstLine="630"/>
        <w:rPr>
          <w:rFonts w:ascii="宋体" w:hAnsi="宋体"/>
          <w:color w:val="000000" w:themeColor="text1"/>
          <w:kern w:val="0"/>
          <w14:textFill>
            <w14:solidFill>
              <w14:schemeClr w14:val="tx1"/>
            </w14:solidFill>
          </w14:textFill>
        </w:rPr>
      </w:pPr>
      <w:r>
        <w:rPr>
          <w:rFonts w:ascii="宋体" w:hAnsi="宋体" w:cs="宋体"/>
          <w:color w:val="000000" w:themeColor="text1"/>
          <w:kern w:val="0"/>
          <w:lang w:val="zh-CN"/>
          <w14:textFill>
            <w14:solidFill>
              <w14:schemeClr w14:val="tx1"/>
            </w14:solidFill>
          </w14:textFill>
        </w:rPr>
        <w:t xml:space="preserve">9.4.4 </w:t>
      </w:r>
      <w:r>
        <w:rPr>
          <w:rFonts w:hint="eastAsia" w:ascii="宋体" w:hAnsi="宋体" w:cs="宋体"/>
          <w:color w:val="000000" w:themeColor="text1"/>
          <w:kern w:val="0"/>
          <w:lang w:val="zh-CN"/>
          <w14:textFill>
            <w14:solidFill>
              <w14:schemeClr w14:val="tx1"/>
            </w14:solidFill>
          </w14:textFill>
        </w:rPr>
        <w:t>非因乙方过错，而使信息已经公开；</w:t>
      </w:r>
    </w:p>
    <w:p>
      <w:pPr>
        <w:autoSpaceDE w:val="0"/>
        <w:autoSpaceDN w:val="0"/>
        <w:adjustRightInd w:val="0"/>
        <w:spacing w:line="440" w:lineRule="exact"/>
        <w:ind w:firstLine="630"/>
        <w:rPr>
          <w:rFonts w:ascii="宋体" w:hAnsi="宋体"/>
          <w:color w:val="000000" w:themeColor="text1"/>
          <w:kern w:val="0"/>
          <w14:textFill>
            <w14:solidFill>
              <w14:schemeClr w14:val="tx1"/>
            </w14:solidFill>
          </w14:textFill>
        </w:rPr>
      </w:pPr>
      <w:r>
        <w:rPr>
          <w:rFonts w:ascii="宋体" w:hAnsi="宋体" w:cs="宋体"/>
          <w:color w:val="000000" w:themeColor="text1"/>
          <w:kern w:val="0"/>
          <w:lang w:val="zh-CN"/>
          <w14:textFill>
            <w14:solidFill>
              <w14:schemeClr w14:val="tx1"/>
            </w14:solidFill>
          </w14:textFill>
        </w:rPr>
        <w:t>9.4.5</w:t>
      </w:r>
      <w:r>
        <w:rPr>
          <w:rFonts w:hint="eastAsia" w:ascii="宋体" w:hAnsi="宋体" w:cs="宋体"/>
          <w:color w:val="000000" w:themeColor="text1"/>
          <w:kern w:val="0"/>
          <w:lang w:val="zh-CN"/>
          <w14:textFill>
            <w14:solidFill>
              <w14:schemeClr w14:val="tx1"/>
            </w14:solidFill>
          </w14:textFill>
        </w:rPr>
        <w:t>合同双方事先达成书面认可；</w:t>
      </w:r>
    </w:p>
    <w:p>
      <w:pPr>
        <w:autoSpaceDE w:val="0"/>
        <w:autoSpaceDN w:val="0"/>
        <w:adjustRightInd w:val="0"/>
        <w:spacing w:line="440" w:lineRule="exact"/>
        <w:ind w:firstLine="630"/>
        <w:rPr>
          <w:rFonts w:ascii="宋体" w:hAnsi="宋体"/>
          <w:color w:val="000000" w:themeColor="text1"/>
          <w:kern w:val="0"/>
          <w14:textFill>
            <w14:solidFill>
              <w14:schemeClr w14:val="tx1"/>
            </w14:solidFill>
          </w14:textFill>
        </w:rPr>
      </w:pPr>
      <w:r>
        <w:rPr>
          <w:rFonts w:ascii="宋体" w:hAnsi="宋体" w:cs="宋体"/>
          <w:color w:val="000000" w:themeColor="text1"/>
          <w:kern w:val="0"/>
          <w:lang w:val="zh-CN"/>
          <w14:textFill>
            <w14:solidFill>
              <w14:schemeClr w14:val="tx1"/>
            </w14:solidFill>
          </w14:textFill>
        </w:rPr>
        <w:t>9.5</w:t>
      </w:r>
      <w:r>
        <w:rPr>
          <w:rFonts w:hint="eastAsia" w:ascii="宋体" w:hAnsi="宋体" w:cs="宋体"/>
          <w:color w:val="000000" w:themeColor="text1"/>
          <w:kern w:val="0"/>
          <w:lang w:val="zh-CN"/>
          <w14:textFill>
            <w14:solidFill>
              <w14:schemeClr w14:val="tx1"/>
            </w14:solidFill>
          </w14:textFill>
        </w:rPr>
        <w:t>本条款的使用不因本合同的终止而失效；自其中某项秘密信息依法被公开披露、丧失保密性之日起，本合同约定的保密义务对该信息不再适用。</w:t>
      </w:r>
    </w:p>
    <w:p>
      <w:pPr>
        <w:snapToGrid w:val="0"/>
        <w:spacing w:line="440" w:lineRule="exact"/>
        <w:ind w:firstLine="474" w:firstLineChars="225"/>
        <w:rPr>
          <w:rFonts w:ascii="宋体" w:hAnsi="宋体" w:cs="宋体"/>
          <w:color w:val="000000" w:themeColor="text1"/>
          <w14:textFill>
            <w14:solidFill>
              <w14:schemeClr w14:val="tx1"/>
            </w14:solidFill>
          </w14:textFill>
        </w:rPr>
      </w:pPr>
      <w:bookmarkStart w:id="56" w:name="_Toc20922"/>
      <w:bookmarkStart w:id="57" w:name="_Toc26449"/>
      <w:r>
        <w:rPr>
          <w:rFonts w:ascii="宋体" w:hAnsi="宋体" w:cs="宋体"/>
          <w:b/>
          <w:bCs/>
          <w:color w:val="000000" w:themeColor="text1"/>
          <w14:textFill>
            <w14:solidFill>
              <w14:schemeClr w14:val="tx1"/>
            </w14:solidFill>
          </w14:textFill>
        </w:rPr>
        <w:t>10.</w:t>
      </w:r>
      <w:r>
        <w:rPr>
          <w:rFonts w:hint="eastAsia" w:ascii="宋体" w:hAnsi="宋体" w:cs="宋体"/>
          <w:b/>
          <w:bCs/>
          <w:color w:val="000000" w:themeColor="text1"/>
          <w14:textFill>
            <w14:solidFill>
              <w14:schemeClr w14:val="tx1"/>
            </w14:solidFill>
          </w14:textFill>
        </w:rPr>
        <w:t>争议解决</w:t>
      </w:r>
      <w:bookmarkEnd w:id="56"/>
      <w:bookmarkEnd w:id="57"/>
    </w:p>
    <w:p>
      <w:pPr>
        <w:snapToGrid w:val="0"/>
        <w:spacing w:line="440" w:lineRule="exact"/>
        <w:ind w:firstLine="472" w:firstLineChars="225"/>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10.1 </w:t>
      </w:r>
      <w:r>
        <w:rPr>
          <w:rFonts w:hint="eastAsia" w:ascii="宋体" w:hAnsi="宋体" w:cs="宋体"/>
          <w:color w:val="000000" w:themeColor="text1"/>
          <w14:textFill>
            <w14:solidFill>
              <w14:schemeClr w14:val="tx1"/>
            </w14:solidFill>
          </w14:textFill>
        </w:rPr>
        <w:t>如果甲乙双方就本合同的履行发生任何争议，双方应首先通过友好协商解决该等争议。如果在协商开始的</w:t>
      </w:r>
      <w:r>
        <w:rPr>
          <w:rFonts w:ascii="宋体" w:hAnsi="宋体" w:cs="宋体"/>
          <w:color w:val="000000" w:themeColor="text1"/>
          <w14:textFill>
            <w14:solidFill>
              <w14:schemeClr w14:val="tx1"/>
            </w14:solidFill>
          </w14:textFill>
        </w:rPr>
        <w:t>30</w:t>
      </w:r>
      <w:r>
        <w:rPr>
          <w:rFonts w:hint="eastAsia" w:ascii="宋体" w:hAnsi="宋体" w:cs="宋体"/>
          <w:color w:val="000000" w:themeColor="text1"/>
          <w14:textFill>
            <w14:solidFill>
              <w14:schemeClr w14:val="tx1"/>
            </w14:solidFill>
          </w14:textFill>
        </w:rPr>
        <w:t>日内双方无法解决争议，则提交给位于北京市的中国国际经济贸易仲裁委员会，依据委员会实施的仲裁规则进行仲裁。该仲裁裁决是终局性的并对三方具有约束力。</w:t>
      </w:r>
    </w:p>
    <w:p>
      <w:pPr>
        <w:snapToGrid w:val="0"/>
        <w:spacing w:line="440" w:lineRule="exact"/>
        <w:ind w:firstLine="474" w:firstLineChars="225"/>
        <w:rPr>
          <w:rFonts w:ascii="宋体" w:hAnsi="宋体" w:cs="宋体"/>
          <w:color w:val="000000" w:themeColor="text1"/>
          <w14:textFill>
            <w14:solidFill>
              <w14:schemeClr w14:val="tx1"/>
            </w14:solidFill>
          </w14:textFill>
        </w:rPr>
      </w:pPr>
      <w:bookmarkStart w:id="58" w:name="_Toc2658"/>
      <w:bookmarkStart w:id="59" w:name="_Toc17905"/>
      <w:r>
        <w:rPr>
          <w:rFonts w:ascii="宋体" w:hAnsi="宋体" w:cs="宋体"/>
          <w:b/>
          <w:color w:val="000000" w:themeColor="text1"/>
          <w:kern w:val="0"/>
          <w14:textFill>
            <w14:solidFill>
              <w14:schemeClr w14:val="tx1"/>
            </w14:solidFill>
          </w14:textFill>
        </w:rPr>
        <w:t>11.</w:t>
      </w:r>
      <w:r>
        <w:rPr>
          <w:rFonts w:hint="eastAsia" w:ascii="宋体" w:hAnsi="宋体" w:cs="宋体"/>
          <w:b/>
          <w:color w:val="000000" w:themeColor="text1"/>
          <w:kern w:val="0"/>
          <w14:textFill>
            <w14:solidFill>
              <w14:schemeClr w14:val="tx1"/>
            </w14:solidFill>
          </w14:textFill>
        </w:rPr>
        <w:t>通知</w:t>
      </w:r>
      <w:bookmarkEnd w:id="58"/>
      <w:bookmarkEnd w:id="59"/>
    </w:p>
    <w:p>
      <w:pPr>
        <w:snapToGrid w:val="0"/>
        <w:spacing w:line="440" w:lineRule="exact"/>
        <w:ind w:firstLine="472" w:firstLineChars="225"/>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11.1</w:t>
      </w:r>
      <w:r>
        <w:rPr>
          <w:rFonts w:hint="eastAsia" w:ascii="宋体" w:hAnsi="宋体" w:cs="宋体"/>
          <w:color w:val="000000" w:themeColor="text1"/>
          <w14:textFill>
            <w14:solidFill>
              <w14:schemeClr w14:val="tx1"/>
            </w14:solidFill>
          </w14:textFill>
        </w:rPr>
        <w:t>本合同任何一方给另一方的通知都应以书面或电传、电报、传真的形式发送，而另一方应以书面形式确认并发送到对方明确的地址。</w:t>
      </w:r>
    </w:p>
    <w:p>
      <w:pPr>
        <w:snapToGrid w:val="0"/>
        <w:spacing w:line="440" w:lineRule="exact"/>
        <w:ind w:firstLine="474" w:firstLineChars="225"/>
        <w:rPr>
          <w:rFonts w:ascii="宋体" w:hAnsi="宋体" w:cs="宋体"/>
          <w:color w:val="000000" w:themeColor="text1"/>
          <w14:textFill>
            <w14:solidFill>
              <w14:schemeClr w14:val="tx1"/>
            </w14:solidFill>
          </w14:textFill>
        </w:rPr>
      </w:pPr>
      <w:bookmarkStart w:id="60" w:name="_Toc29310"/>
      <w:bookmarkStart w:id="61" w:name="_Toc20904"/>
      <w:r>
        <w:rPr>
          <w:rFonts w:ascii="宋体" w:hAnsi="宋体" w:cs="宋体"/>
          <w:b/>
          <w:color w:val="000000" w:themeColor="text1"/>
          <w:kern w:val="0"/>
          <w14:textFill>
            <w14:solidFill>
              <w14:schemeClr w14:val="tx1"/>
            </w14:solidFill>
          </w14:textFill>
        </w:rPr>
        <w:t>12.</w:t>
      </w:r>
      <w:r>
        <w:rPr>
          <w:rFonts w:hint="eastAsia" w:ascii="宋体" w:hAnsi="宋体" w:cs="宋体"/>
          <w:b/>
          <w:color w:val="000000" w:themeColor="text1"/>
          <w:kern w:val="0"/>
          <w14:textFill>
            <w14:solidFill>
              <w14:schemeClr w14:val="tx1"/>
            </w14:solidFill>
          </w14:textFill>
        </w:rPr>
        <w:t>合同生效及其它</w:t>
      </w:r>
      <w:bookmarkEnd w:id="60"/>
      <w:bookmarkEnd w:id="61"/>
    </w:p>
    <w:p>
      <w:pPr>
        <w:snapToGrid w:val="0"/>
        <w:spacing w:line="440" w:lineRule="exact"/>
        <w:ind w:firstLine="472" w:firstLineChars="225"/>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12.1 </w:t>
      </w:r>
      <w:r>
        <w:rPr>
          <w:rFonts w:hint="eastAsia" w:ascii="宋体" w:hAnsi="宋体" w:cs="宋体"/>
          <w:color w:val="000000" w:themeColor="text1"/>
          <w14:textFill>
            <w14:solidFill>
              <w14:schemeClr w14:val="tx1"/>
            </w14:solidFill>
          </w14:textFill>
        </w:rPr>
        <w:t>三方本着善意和合作的目的，同意就本项目组织中发生的不可预见的变化进行友好协商，并签署书面确认，以修正并取代本合同的约定。如没有签署书面确认，双方以本合同为准。</w:t>
      </w:r>
    </w:p>
    <w:p>
      <w:pPr>
        <w:snapToGrid w:val="0"/>
        <w:spacing w:line="440" w:lineRule="exact"/>
        <w:ind w:firstLine="472" w:firstLineChars="225"/>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12.2</w:t>
      </w:r>
      <w:r>
        <w:rPr>
          <w:rFonts w:hint="eastAsia" w:ascii="宋体" w:hAnsi="宋体" w:cs="宋体"/>
          <w:color w:val="000000" w:themeColor="text1"/>
          <w14:textFill>
            <w14:solidFill>
              <w14:schemeClr w14:val="tx1"/>
            </w14:solidFill>
          </w14:textFill>
        </w:rPr>
        <w:t>本合同一式七份，甲方持五份、乙方持二份，经双方签字盖章后即发生法律效力，且均具有同等法律效力。</w:t>
      </w:r>
    </w:p>
    <w:p>
      <w:pPr>
        <w:snapToGrid w:val="0"/>
        <w:spacing w:line="440" w:lineRule="exact"/>
        <w:ind w:firstLine="472" w:firstLineChars="22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附件：1、服务方案</w:t>
      </w:r>
    </w:p>
    <w:p>
      <w:pPr>
        <w:snapToGrid w:val="0"/>
        <w:spacing w:line="440" w:lineRule="exact"/>
        <w:ind w:firstLine="472" w:firstLineChars="22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2、费用明细单</w:t>
      </w:r>
    </w:p>
    <w:p>
      <w:pPr>
        <w:spacing w:line="44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甲方（采购单位）：</w:t>
      </w:r>
    </w:p>
    <w:p>
      <w:pPr>
        <w:spacing w:line="440" w:lineRule="exact"/>
        <w:ind w:firstLine="472" w:firstLineChars="22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（公章）</w:t>
      </w:r>
      <w:r>
        <w:rPr>
          <w:rFonts w:ascii="宋体" w:hAnsi="宋体" w:cs="宋体"/>
          <w:color w:val="000000" w:themeColor="text1"/>
          <w14:textFill>
            <w14:solidFill>
              <w14:schemeClr w14:val="tx1"/>
            </w14:solidFill>
          </w14:textFill>
        </w:rPr>
        <w:tab/>
      </w:r>
    </w:p>
    <w:p>
      <w:pPr>
        <w:spacing w:line="440" w:lineRule="exact"/>
        <w:ind w:firstLine="472" w:firstLineChars="225"/>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法定代表或授权代表：　　　　　　</w:t>
      </w:r>
      <w:r>
        <w:rPr>
          <w:rFonts w:ascii="宋体" w:hAnsi="宋体" w:cs="宋体"/>
          <w:color w:val="000000" w:themeColor="text1"/>
          <w14:textFill>
            <w14:solidFill>
              <w14:schemeClr w14:val="tx1"/>
            </w14:solidFill>
          </w14:textFill>
        </w:rPr>
        <w:tab/>
      </w:r>
    </w:p>
    <w:p>
      <w:pPr>
        <w:spacing w:line="440" w:lineRule="exact"/>
        <w:ind w:firstLine="472" w:firstLineChars="22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签订时间：  年 月 日</w:t>
      </w:r>
    </w:p>
    <w:p>
      <w:pPr>
        <w:spacing w:line="44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乙方（中标单位）：</w:t>
      </w:r>
    </w:p>
    <w:p>
      <w:pPr>
        <w:spacing w:line="440" w:lineRule="exact"/>
        <w:ind w:firstLine="472" w:firstLineChars="22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（公章）</w:t>
      </w:r>
    </w:p>
    <w:p>
      <w:pPr>
        <w:spacing w:line="440" w:lineRule="exact"/>
        <w:ind w:firstLine="472" w:firstLineChars="22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法定代表或授权代表：</w:t>
      </w:r>
    </w:p>
    <w:p>
      <w:pPr>
        <w:spacing w:line="440" w:lineRule="exact"/>
        <w:ind w:firstLine="472" w:firstLineChars="22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签订时间：   年 月 日 </w:t>
      </w:r>
    </w:p>
    <w:p>
      <w:pPr>
        <w:pStyle w:val="31"/>
        <w:spacing w:before="120" w:after="120" w:line="360" w:lineRule="auto"/>
        <w:jc w:val="center"/>
        <w:outlineLvl w:val="0"/>
        <w:rPr>
          <w:rFonts w:ascii="仿宋" w:hAnsi="仿宋" w:eastAsia="仿宋"/>
          <w:b/>
          <w:color w:val="000000" w:themeColor="text1"/>
          <w:sz w:val="36"/>
          <w:szCs w:val="36"/>
          <w14:textFill>
            <w14:solidFill>
              <w14:schemeClr w14:val="tx1"/>
            </w14:solidFill>
          </w14:textFill>
        </w:rPr>
      </w:pPr>
      <w:r>
        <w:rPr>
          <w:rFonts w:ascii="仿宋_GB2312" w:eastAsia="仿宋_GB2312"/>
          <w:snapToGrid w:val="0"/>
          <w:color w:val="000000" w:themeColor="text1"/>
          <w:kern w:val="0"/>
          <w:sz w:val="30"/>
          <w:szCs w:val="30"/>
          <w14:textFill>
            <w14:solidFill>
              <w14:schemeClr w14:val="tx1"/>
            </w14:solidFill>
          </w14:textFill>
        </w:rPr>
        <w:br w:type="page"/>
      </w:r>
      <w:bookmarkStart w:id="62" w:name="_Toc51935133"/>
      <w:r>
        <w:rPr>
          <w:rFonts w:hint="eastAsia" w:ascii="仿宋" w:hAnsi="仿宋" w:eastAsia="仿宋"/>
          <w:b/>
          <w:color w:val="000000" w:themeColor="text1"/>
          <w:sz w:val="36"/>
          <w:szCs w:val="36"/>
          <w14:textFill>
            <w14:solidFill>
              <w14:schemeClr w14:val="tx1"/>
            </w14:solidFill>
          </w14:textFill>
        </w:rPr>
        <w:t>第六章</w:t>
      </w:r>
      <w:r>
        <w:rPr>
          <w:rFonts w:ascii="仿宋" w:hAnsi="仿宋" w:eastAsia="仿宋"/>
          <w:b/>
          <w:color w:val="000000" w:themeColor="text1"/>
          <w:sz w:val="36"/>
          <w:szCs w:val="36"/>
          <w14:textFill>
            <w14:solidFill>
              <w14:schemeClr w14:val="tx1"/>
            </w14:solidFill>
          </w14:textFill>
        </w:rPr>
        <w:t xml:space="preserve">  </w:t>
      </w:r>
      <w:r>
        <w:rPr>
          <w:rFonts w:hint="eastAsia" w:ascii="仿宋" w:hAnsi="仿宋" w:eastAsia="仿宋"/>
          <w:b/>
          <w:color w:val="000000" w:themeColor="text1"/>
          <w:sz w:val="36"/>
          <w:szCs w:val="36"/>
          <w14:textFill>
            <w14:solidFill>
              <w14:schemeClr w14:val="tx1"/>
            </w14:solidFill>
          </w14:textFill>
        </w:rPr>
        <w:t>投标文件格式附件</w:t>
      </w:r>
      <w:bookmarkEnd w:id="62"/>
    </w:p>
    <w:p>
      <w:pPr>
        <w:pStyle w:val="31"/>
        <w:spacing w:before="120" w:after="120" w:line="360" w:lineRule="auto"/>
        <w:jc w:val="center"/>
        <w:rPr>
          <w:rFonts w:ascii="仿宋" w:hAnsi="仿宋" w:eastAsia="仿宋"/>
          <w:b/>
          <w:color w:val="000000" w:themeColor="text1"/>
          <w:sz w:val="36"/>
          <w:szCs w:val="36"/>
          <w14:textFill>
            <w14:solidFill>
              <w14:schemeClr w14:val="tx1"/>
            </w14:solidFill>
          </w14:textFill>
        </w:rPr>
      </w:pPr>
    </w:p>
    <w:p>
      <w:pPr>
        <w:pStyle w:val="7"/>
        <w:numPr>
          <w:ilvl w:val="5"/>
          <w:numId w:val="0"/>
        </w:numPr>
        <w:jc w:val="center"/>
        <w:rPr>
          <w:rFonts w:ascii="仿宋" w:hAnsi="仿宋" w:eastAsia="仿宋"/>
          <w:color w:val="000000" w:themeColor="text1"/>
          <w:sz w:val="30"/>
          <w14:textFill>
            <w14:solidFill>
              <w14:schemeClr w14:val="tx1"/>
            </w14:solidFill>
          </w14:textFill>
        </w:rPr>
      </w:pPr>
      <w:bookmarkStart w:id="63" w:name="_Toc125713437"/>
      <w:bookmarkStart w:id="64" w:name="_Toc32581647"/>
      <w:r>
        <w:rPr>
          <w:rFonts w:hint="eastAsia" w:ascii="仿宋" w:hAnsi="仿宋" w:eastAsia="仿宋"/>
          <w:color w:val="000000" w:themeColor="text1"/>
          <w14:textFill>
            <w14:solidFill>
              <w14:schemeClr w14:val="tx1"/>
            </w14:solidFill>
          </w14:textFill>
        </w:rPr>
        <w:t>投标人提交文件须知</w:t>
      </w:r>
      <w:bookmarkEnd w:id="63"/>
      <w:bookmarkEnd w:id="64"/>
    </w:p>
    <w:p>
      <w:pPr>
        <w:spacing w:line="360" w:lineRule="auto"/>
        <w:ind w:left="210" w:hanging="210" w:hangingChars="10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1.投标人应严格按照以下顺序填写和提交下述规定的全部格式文件，招标文件规定提交的其他有关资料未给出格式文件的，由投标人自行设计编写。混乱的编排导致投标文件被误读或查找不到，后果由投标人承担。</w:t>
      </w:r>
    </w:p>
    <w:p>
      <w:pPr>
        <w:spacing w:line="360" w:lineRule="auto"/>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2.所附表格中要求回答的全部问题和信息都必须正面回答。</w:t>
      </w:r>
    </w:p>
    <w:p>
      <w:pPr>
        <w:spacing w:line="360" w:lineRule="auto"/>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3.</w:t>
      </w:r>
      <w:r>
        <w:rPr>
          <w:rFonts w:hint="eastAsia" w:ascii="仿宋" w:hAnsi="仿宋" w:eastAsia="仿宋"/>
          <w:color w:val="000000" w:themeColor="text1"/>
          <w14:textFill>
            <w14:solidFill>
              <w14:schemeClr w14:val="tx1"/>
            </w14:solidFill>
          </w14:textFill>
        </w:rPr>
        <w:t>本资格声明的签字人应保证全部声明和问题的回答是真实的和准确的。</w:t>
      </w:r>
    </w:p>
    <w:p>
      <w:pPr>
        <w:spacing w:line="360" w:lineRule="auto"/>
        <w:ind w:left="210" w:hanging="210" w:hangingChars="10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4.评标委员会将应用投标人提交的资料并根据自己的判断，决定投标人履行合同的合格性及能力。</w:t>
      </w:r>
    </w:p>
    <w:p>
      <w:pPr>
        <w:adjustRightInd w:val="0"/>
        <w:snapToGrid w:val="0"/>
        <w:spacing w:before="120" w:after="120" w:line="360" w:lineRule="auto"/>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5.投标人提交的材料将被保密保存，但不退还。</w:t>
      </w:r>
    </w:p>
    <w:p>
      <w:pPr>
        <w:adjustRightInd w:val="0"/>
        <w:snapToGrid w:val="0"/>
        <w:spacing w:before="120" w:after="120" w:line="360" w:lineRule="auto"/>
        <w:rPr>
          <w:rFonts w:ascii="仿宋" w:hAnsi="仿宋" w:eastAsia="仿宋"/>
          <w:b/>
          <w:color w:val="000000" w:themeColor="text1"/>
          <w:sz w:val="36"/>
          <w:szCs w:val="36"/>
          <w14:textFill>
            <w14:solidFill>
              <w14:schemeClr w14:val="tx1"/>
            </w14:solidFill>
          </w14:textFill>
        </w:rPr>
      </w:pPr>
      <w:r>
        <w:rPr>
          <w:rFonts w:ascii="仿宋" w:hAnsi="仿宋" w:eastAsia="仿宋"/>
          <w:color w:val="000000" w:themeColor="text1"/>
          <w14:textFill>
            <w14:solidFill>
              <w14:schemeClr w14:val="tx1"/>
            </w14:solidFill>
          </w14:textFill>
        </w:rPr>
        <w:t>6.</w:t>
      </w:r>
      <w:r>
        <w:rPr>
          <w:rFonts w:hint="eastAsia" w:ascii="仿宋" w:hAnsi="仿宋" w:eastAsia="仿宋"/>
          <w:color w:val="000000" w:themeColor="text1"/>
          <w14:textFill>
            <w14:solidFill>
              <w14:schemeClr w14:val="tx1"/>
            </w14:solidFill>
          </w14:textFill>
        </w:rPr>
        <w:t>全部文件应按投标人须知中规定的语言和份数提交。</w:t>
      </w: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snapToGrid w:val="0"/>
        <w:spacing w:before="120" w:beforeLines="50" w:line="460" w:lineRule="exact"/>
        <w:ind w:firstLine="588" w:firstLineChars="196"/>
        <w:jc w:val="left"/>
        <w:rPr>
          <w:rFonts w:ascii="仿宋" w:hAnsi="仿宋" w:eastAsia="仿宋"/>
          <w:b/>
          <w:color w:val="000000" w:themeColor="text1"/>
          <w:sz w:val="28"/>
          <w:szCs w:val="28"/>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附件1</w:t>
      </w:r>
      <w:r>
        <w:rPr>
          <w:rFonts w:hint="eastAsia" w:ascii="仿宋" w:hAnsi="仿宋" w:eastAsia="仿宋"/>
          <w:b/>
          <w:color w:val="000000" w:themeColor="text1"/>
          <w:sz w:val="28"/>
          <w:szCs w:val="28"/>
          <w14:textFill>
            <w14:solidFill>
              <w14:schemeClr w14:val="tx1"/>
            </w14:solidFill>
          </w14:textFill>
        </w:rPr>
        <w:t xml:space="preserve"> </w:t>
      </w:r>
    </w:p>
    <w:p>
      <w:pPr>
        <w:ind w:right="-110"/>
        <w:rPr>
          <w:rFonts w:ascii="仿宋" w:hAnsi="仿宋" w:eastAsia="仿宋"/>
          <w:color w:val="000000" w:themeColor="text1"/>
          <w:spacing w:val="40"/>
          <w:sz w:val="52"/>
          <w:szCs w:val="52"/>
          <w14:textFill>
            <w14:solidFill>
              <w14:schemeClr w14:val="tx1"/>
            </w14:solidFill>
          </w14:textFill>
        </w:rPr>
      </w:pPr>
    </w:p>
    <w:p>
      <w:pPr>
        <w:ind w:right="-110"/>
        <w:jc w:val="center"/>
        <w:rPr>
          <w:rFonts w:ascii="仿宋" w:hAnsi="仿宋" w:eastAsia="仿宋"/>
          <w:color w:val="000000" w:themeColor="text1"/>
          <w:spacing w:val="40"/>
          <w:sz w:val="52"/>
          <w:szCs w:val="52"/>
          <w14:textFill>
            <w14:solidFill>
              <w14:schemeClr w14:val="tx1"/>
            </w14:solidFill>
          </w14:textFill>
        </w:rPr>
      </w:pPr>
      <w:r>
        <w:rPr>
          <w:rFonts w:hint="eastAsia" w:ascii="仿宋" w:hAnsi="仿宋" w:eastAsia="仿宋"/>
          <w:color w:val="000000" w:themeColor="text1"/>
          <w:spacing w:val="40"/>
          <w:sz w:val="52"/>
          <w:szCs w:val="52"/>
          <w14:textFill>
            <w14:solidFill>
              <w14:schemeClr w14:val="tx1"/>
            </w14:solidFill>
          </w14:textFill>
        </w:rPr>
        <w:t>项目名称</w:t>
      </w:r>
    </w:p>
    <w:p>
      <w:pPr>
        <w:spacing w:before="240" w:beforeLines="100" w:line="240" w:lineRule="atLeast"/>
        <w:jc w:val="center"/>
        <w:rPr>
          <w:rFonts w:hint="eastAsia" w:ascii="仿宋" w:hAnsi="仿宋" w:eastAsia="仿宋"/>
          <w:color w:val="000000" w:themeColor="text1"/>
          <w:sz w:val="36"/>
          <w:szCs w:val="36"/>
          <w:lang w:eastAsia="zh-CN"/>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项目编号：</w:t>
      </w:r>
      <w:r>
        <w:rPr>
          <w:rFonts w:ascii="仿宋" w:hAnsi="仿宋" w:eastAsia="仿宋"/>
          <w:color w:val="000000" w:themeColor="text1"/>
          <w:sz w:val="36"/>
          <w:szCs w:val="36"/>
          <w14:textFill>
            <w14:solidFill>
              <w14:schemeClr w14:val="tx1"/>
            </w14:solidFill>
          </w14:textFill>
        </w:rPr>
        <w:t>ZB2021-03</w:t>
      </w:r>
      <w:r>
        <w:rPr>
          <w:rFonts w:hint="eastAsia" w:ascii="仿宋" w:hAnsi="仿宋" w:eastAsia="仿宋"/>
          <w:color w:val="000000" w:themeColor="text1"/>
          <w:sz w:val="36"/>
          <w:szCs w:val="36"/>
          <w:lang w:eastAsia="zh-CN"/>
          <w14:textFill>
            <w14:solidFill>
              <w14:schemeClr w14:val="tx1"/>
            </w14:solidFill>
          </w14:textFill>
        </w:rPr>
        <w:t>（</w:t>
      </w:r>
      <w:r>
        <w:rPr>
          <w:rFonts w:hint="eastAsia" w:ascii="仿宋" w:hAnsi="仿宋" w:eastAsia="仿宋"/>
          <w:color w:val="000000" w:themeColor="text1"/>
          <w:sz w:val="36"/>
          <w:szCs w:val="36"/>
          <w:lang w:val="en-US" w:eastAsia="zh-CN"/>
          <w14:textFill>
            <w14:solidFill>
              <w14:schemeClr w14:val="tx1"/>
            </w14:solidFill>
          </w14:textFill>
        </w:rPr>
        <w:t xml:space="preserve">标项 </w:t>
      </w:r>
      <w:r>
        <w:rPr>
          <w:rFonts w:hint="eastAsia" w:ascii="仿宋" w:hAnsi="仿宋" w:eastAsia="仿宋"/>
          <w:color w:val="000000" w:themeColor="text1"/>
          <w:sz w:val="36"/>
          <w:szCs w:val="36"/>
          <w:lang w:eastAsia="zh-CN"/>
          <w14:textFill>
            <w14:solidFill>
              <w14:schemeClr w14:val="tx1"/>
            </w14:solidFill>
          </w14:textFill>
        </w:rPr>
        <w:t>）</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开标一览表</w:t>
      </w:r>
    </w:p>
    <w:p>
      <w:pPr>
        <w:snapToGrid w:val="0"/>
        <w:spacing w:before="120" w:beforeLines="50" w:line="460" w:lineRule="exact"/>
        <w:ind w:firstLine="551" w:firstLineChars="196"/>
        <w:jc w:val="left"/>
        <w:rPr>
          <w:rFonts w:ascii="仿宋" w:hAnsi="仿宋" w:eastAsia="仿宋"/>
          <w:b/>
          <w:color w:val="000000" w:themeColor="text1"/>
          <w:sz w:val="28"/>
          <w:szCs w:val="28"/>
          <w14:textFill>
            <w14:solidFill>
              <w14:schemeClr w14:val="tx1"/>
            </w14:solidFill>
          </w14:textFill>
        </w:rPr>
      </w:pPr>
    </w:p>
    <w:tbl>
      <w:tblPr>
        <w:tblStyle w:val="58"/>
        <w:tblpPr w:leftFromText="180" w:rightFromText="180" w:vertAnchor="text" w:horzAnchor="margin" w:tblpXSpec="center" w:tblpY="2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61"/>
        <w:gridCol w:w="4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0" w:hRule="exact"/>
        </w:trPr>
        <w:tc>
          <w:tcPr>
            <w:tcW w:w="4361" w:type="dxa"/>
          </w:tcPr>
          <w:p>
            <w:pPr>
              <w:spacing w:before="120"/>
              <w:jc w:val="cente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服务投标总价（已优惠或折扣后）</w:t>
            </w:r>
          </w:p>
        </w:tc>
        <w:tc>
          <w:tcPr>
            <w:tcW w:w="4102" w:type="dxa"/>
            <w:vAlign w:val="center"/>
          </w:tcPr>
          <w:p>
            <w:pPr>
              <w:spacing w:before="120" w:line="360" w:lineRule="auto"/>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提供服务时间完全响应采购人要求的时间,（填写“是”或“否”）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4" w:hRule="exact"/>
        </w:trPr>
        <w:tc>
          <w:tcPr>
            <w:tcW w:w="4361" w:type="dxa"/>
          </w:tcPr>
          <w:p>
            <w:pPr>
              <w:jc w:val="center"/>
              <w:rPr>
                <w:color w:val="000000" w:themeColor="text1"/>
                <w:szCs w:val="21"/>
                <w14:textFill>
                  <w14:solidFill>
                    <w14:schemeClr w14:val="tx1"/>
                  </w14:solidFill>
                </w14:textFill>
              </w:rPr>
            </w:pPr>
          </w:p>
        </w:tc>
        <w:tc>
          <w:tcPr>
            <w:tcW w:w="4102" w:type="dxa"/>
          </w:tcPr>
          <w:p>
            <w:pPr>
              <w:jc w:val="center"/>
              <w:rPr>
                <w:color w:val="000000" w:themeColor="text1"/>
                <w:szCs w:val="21"/>
                <w14:textFill>
                  <w14:solidFill>
                    <w14:schemeClr w14:val="tx1"/>
                  </w14:solidFill>
                </w14:textFill>
              </w:rPr>
            </w:pPr>
          </w:p>
        </w:tc>
      </w:tr>
    </w:tbl>
    <w:p>
      <w:pPr>
        <w:spacing w:before="120" w:beforeLines="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说明：开标一览表中的“服务投标总价”应是本项目投标服务的全部费用的报价，包括但不限于以下费用：</w:t>
      </w:r>
      <w:r>
        <w:rPr>
          <w:rFonts w:hint="eastAsia"/>
          <w:color w:val="000000" w:themeColor="text1"/>
          <w14:textFill>
            <w14:solidFill>
              <w14:schemeClr w14:val="tx1"/>
            </w14:solidFill>
          </w14:textFill>
        </w:rPr>
        <w:t>人工费用、系统服务费、设备使用费用、食宿费、交通费、劳务费、税金</w:t>
      </w:r>
      <w:r>
        <w:rPr>
          <w:rFonts w:hint="eastAsia" w:ascii="宋体" w:hAnsi="宋体"/>
          <w:color w:val="000000" w:themeColor="text1"/>
          <w:szCs w:val="21"/>
          <w14:textFill>
            <w14:solidFill>
              <w14:schemeClr w14:val="tx1"/>
            </w14:solidFill>
          </w14:textFill>
        </w:rPr>
        <w:t>及其他所有相关费用的总和。</w:t>
      </w:r>
    </w:p>
    <w:p>
      <w:pPr>
        <w:spacing w:before="120" w:beforeLines="50"/>
        <w:rPr>
          <w:color w:val="000000" w:themeColor="text1"/>
          <w:szCs w:val="21"/>
          <w14:textFill>
            <w14:solidFill>
              <w14:schemeClr w14:val="tx1"/>
            </w14:solidFill>
          </w14:textFill>
        </w:rPr>
      </w:pPr>
    </w:p>
    <w:p>
      <w:pPr>
        <w:spacing w:before="120" w:beforeLines="50"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投标总价大写金额：</w:t>
      </w:r>
      <w:r>
        <w:rPr>
          <w:color w:val="000000" w:themeColor="text1"/>
          <w:szCs w:val="21"/>
          <w:u w:val="single"/>
          <w14:textFill>
            <w14:solidFill>
              <w14:schemeClr w14:val="tx1"/>
            </w14:solidFill>
          </w14:textFill>
        </w:rPr>
        <w:t xml:space="preserve">                                        </w:t>
      </w:r>
    </w:p>
    <w:p>
      <w:pPr>
        <w:spacing w:line="360" w:lineRule="auto"/>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特别说明事项：</w:t>
      </w:r>
      <w:r>
        <w:rPr>
          <w:color w:val="000000" w:themeColor="text1"/>
          <w:szCs w:val="21"/>
          <w:u w:val="single"/>
          <w14:textFill>
            <w14:solidFill>
              <w14:schemeClr w14:val="tx1"/>
            </w14:solidFill>
          </w14:textFill>
        </w:rPr>
        <w:t xml:space="preserve">                                            </w:t>
      </w:r>
    </w:p>
    <w:p>
      <w:pPr>
        <w:spacing w:line="360" w:lineRule="auto"/>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投标人全称（公章）：</w:t>
      </w:r>
      <w:r>
        <w:rPr>
          <w:color w:val="000000" w:themeColor="text1"/>
          <w:szCs w:val="21"/>
          <w:u w:val="single"/>
          <w14:textFill>
            <w14:solidFill>
              <w14:schemeClr w14:val="tx1"/>
            </w14:solidFill>
          </w14:textFill>
        </w:rPr>
        <w:t xml:space="preserve">                                       </w:t>
      </w:r>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法定代表人或授权的投标人代表签字：</w:t>
      </w:r>
      <w:r>
        <w:rPr>
          <w:color w:val="000000" w:themeColor="text1"/>
          <w:szCs w:val="21"/>
          <w:u w:val="single"/>
          <w14:textFill>
            <w14:solidFill>
              <w14:schemeClr w14:val="tx1"/>
            </w14:solidFill>
          </w14:textFill>
        </w:rPr>
        <w:t xml:space="preserve">                        </w:t>
      </w:r>
      <w:r>
        <w:rPr>
          <w:color w:val="000000" w:themeColor="text1"/>
          <w14:textFill>
            <w14:solidFill>
              <w14:schemeClr w14:val="tx1"/>
            </w14:solidFill>
          </w14:textFill>
        </w:rPr>
        <w:t xml:space="preserve">                              </w:t>
      </w:r>
    </w:p>
    <w:p>
      <w:pPr>
        <w:pStyle w:val="31"/>
        <w:adjustRightInd w:val="0"/>
        <w:snapToGrid w:val="0"/>
        <w:spacing w:before="120" w:after="120" w:line="460" w:lineRule="exact"/>
        <w:ind w:left="1" w:firstLine="511" w:firstLineChars="213"/>
        <w:jc w:val="center"/>
        <w:rPr>
          <w:rFonts w:hAnsi="宋体" w:eastAsia="仿宋_GB2312"/>
          <w:b/>
          <w:color w:val="000000" w:themeColor="text1"/>
          <w:sz w:val="36"/>
          <w:szCs w:val="36"/>
          <w14:textFill>
            <w14:solidFill>
              <w14:schemeClr w14:val="tx1"/>
            </w14:solidFill>
          </w14:textFill>
        </w:rPr>
      </w:pPr>
      <w:r>
        <w:rPr>
          <w:color w:val="000000" w:themeColor="text1"/>
          <w14:textFill>
            <w14:solidFill>
              <w14:schemeClr w14:val="tx1"/>
            </w14:solidFill>
          </w14:textFill>
        </w:rPr>
        <w:t>日期：</w:t>
      </w:r>
      <w:r>
        <w:rPr>
          <w:color w:val="000000" w:themeColor="text1"/>
          <w:szCs w:val="21"/>
          <w:u w:val="single"/>
          <w14:textFill>
            <w14:solidFill>
              <w14:schemeClr w14:val="tx1"/>
            </w14:solidFill>
          </w14:textFill>
        </w:rPr>
        <w:t xml:space="preserve">                                      </w:t>
      </w:r>
      <w:r>
        <w:rPr>
          <w:color w:val="000000" w:themeColor="text1"/>
          <w14:textFill>
            <w14:solidFill>
              <w14:schemeClr w14:val="tx1"/>
            </w14:solidFill>
          </w14:textFill>
        </w:rPr>
        <w:t xml:space="preserve">   </w:t>
      </w: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snapToGrid w:val="0"/>
        <w:spacing w:before="120" w:beforeLines="50" w:after="50"/>
        <w:rPr>
          <w:rFonts w:ascii="仿宋" w:hAnsi="仿宋" w:eastAsia="仿宋"/>
          <w:color w:val="000000" w:themeColor="text1"/>
          <w:sz w:val="30"/>
          <w:szCs w:val="30"/>
          <w14:textFill>
            <w14:solidFill>
              <w14:schemeClr w14:val="tx1"/>
            </w14:solidFill>
          </w14:textFill>
        </w:rPr>
      </w:pPr>
    </w:p>
    <w:p>
      <w:pPr>
        <w:snapToGrid w:val="0"/>
        <w:spacing w:before="120" w:beforeLines="50" w:after="50"/>
        <w:rPr>
          <w:rFonts w:ascii="仿宋" w:hAnsi="仿宋" w:eastAsia="仿宋"/>
          <w:b/>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附件2</w:t>
      </w:r>
      <w:r>
        <w:rPr>
          <w:rFonts w:hint="eastAsia" w:ascii="仿宋" w:hAnsi="仿宋" w:eastAsia="仿宋"/>
          <w:b/>
          <w:color w:val="000000" w:themeColor="text1"/>
          <w:sz w:val="30"/>
          <w:szCs w:val="30"/>
          <w14:textFill>
            <w14:solidFill>
              <w14:schemeClr w14:val="tx1"/>
            </w14:solidFill>
          </w14:textFill>
        </w:rPr>
        <w:t xml:space="preserve">：                                       </w:t>
      </w:r>
      <w:r>
        <w:rPr>
          <w:rFonts w:hint="eastAsia" w:ascii="仿宋" w:hAnsi="仿宋" w:eastAsia="仿宋"/>
          <w:bCs/>
          <w:color w:val="000000" w:themeColor="text1"/>
          <w:sz w:val="30"/>
          <w:szCs w:val="30"/>
          <w14:textFill>
            <w14:solidFill>
              <w14:schemeClr w14:val="tx1"/>
            </w14:solidFill>
          </w14:textFill>
        </w:rPr>
        <w:t>正本或副本</w:t>
      </w:r>
    </w:p>
    <w:p>
      <w:pPr>
        <w:snapToGrid w:val="0"/>
        <w:spacing w:before="120" w:beforeLines="50" w:after="50"/>
        <w:jc w:val="right"/>
        <w:rPr>
          <w:rFonts w:ascii="仿宋" w:hAnsi="仿宋" w:eastAsia="仿宋"/>
          <w:bCs/>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w:t>
      </w:r>
    </w:p>
    <w:p>
      <w:pPr>
        <w:ind w:right="-110"/>
        <w:jc w:val="center"/>
        <w:rPr>
          <w:rFonts w:ascii="仿宋" w:hAnsi="仿宋" w:eastAsia="仿宋"/>
          <w:color w:val="000000" w:themeColor="text1"/>
          <w:spacing w:val="40"/>
          <w:sz w:val="52"/>
          <w:szCs w:val="52"/>
          <w14:textFill>
            <w14:solidFill>
              <w14:schemeClr w14:val="tx1"/>
            </w14:solidFill>
          </w14:textFill>
        </w:rPr>
      </w:pPr>
      <w:r>
        <w:rPr>
          <w:rFonts w:hint="eastAsia" w:ascii="仿宋" w:hAnsi="仿宋" w:eastAsia="仿宋"/>
          <w:color w:val="000000" w:themeColor="text1"/>
          <w:spacing w:val="40"/>
          <w:sz w:val="52"/>
          <w:szCs w:val="52"/>
          <w14:textFill>
            <w14:solidFill>
              <w14:schemeClr w14:val="tx1"/>
            </w14:solidFill>
          </w14:textFill>
        </w:rPr>
        <w:t>项目名称</w:t>
      </w:r>
    </w:p>
    <w:p>
      <w:pPr>
        <w:spacing w:before="240" w:beforeLines="100" w:line="240" w:lineRule="atLeast"/>
        <w:jc w:val="center"/>
        <w:rPr>
          <w:rFonts w:hint="eastAsia" w:ascii="仿宋" w:hAnsi="仿宋" w:eastAsia="仿宋"/>
          <w:color w:val="000000" w:themeColor="text1"/>
          <w:sz w:val="36"/>
          <w:szCs w:val="36"/>
          <w:lang w:eastAsia="zh-CN"/>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项目编号：</w:t>
      </w:r>
      <w:r>
        <w:rPr>
          <w:rFonts w:ascii="仿宋" w:hAnsi="仿宋" w:eastAsia="仿宋"/>
          <w:color w:val="000000" w:themeColor="text1"/>
          <w:sz w:val="36"/>
          <w:szCs w:val="36"/>
          <w14:textFill>
            <w14:solidFill>
              <w14:schemeClr w14:val="tx1"/>
            </w14:solidFill>
          </w14:textFill>
        </w:rPr>
        <w:t>ZB2021-03</w:t>
      </w:r>
      <w:r>
        <w:rPr>
          <w:rFonts w:hint="eastAsia" w:ascii="仿宋" w:hAnsi="仿宋" w:eastAsia="仿宋"/>
          <w:color w:val="000000" w:themeColor="text1"/>
          <w:sz w:val="36"/>
          <w:szCs w:val="36"/>
          <w:lang w:eastAsia="zh-CN"/>
          <w14:textFill>
            <w14:solidFill>
              <w14:schemeClr w14:val="tx1"/>
            </w14:solidFill>
          </w14:textFill>
        </w:rPr>
        <w:t>（</w:t>
      </w:r>
      <w:r>
        <w:rPr>
          <w:rFonts w:hint="eastAsia" w:ascii="仿宋" w:hAnsi="仿宋" w:eastAsia="仿宋"/>
          <w:color w:val="000000" w:themeColor="text1"/>
          <w:sz w:val="36"/>
          <w:szCs w:val="36"/>
          <w:lang w:val="en-US" w:eastAsia="zh-CN"/>
          <w14:textFill>
            <w14:solidFill>
              <w14:schemeClr w14:val="tx1"/>
            </w14:solidFill>
          </w14:textFill>
        </w:rPr>
        <w:t xml:space="preserve">标项 </w:t>
      </w:r>
      <w:r>
        <w:rPr>
          <w:rFonts w:hint="eastAsia" w:ascii="仿宋" w:hAnsi="仿宋" w:eastAsia="仿宋"/>
          <w:color w:val="000000" w:themeColor="text1"/>
          <w:sz w:val="36"/>
          <w:szCs w:val="36"/>
          <w:lang w:eastAsia="zh-CN"/>
          <w14:textFill>
            <w14:solidFill>
              <w14:schemeClr w14:val="tx1"/>
            </w14:solidFill>
          </w14:textFill>
        </w:rPr>
        <w:t>）</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资</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质</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文</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件</w:t>
      </w:r>
    </w:p>
    <w:p>
      <w:pPr>
        <w:spacing w:line="500" w:lineRule="exact"/>
        <w:ind w:right="532"/>
        <w:rPr>
          <w:rFonts w:ascii="仿宋" w:hAnsi="仿宋" w:eastAsia="仿宋"/>
          <w:color w:val="000000" w:themeColor="text1"/>
          <w:sz w:val="36"/>
          <w:szCs w:val="36"/>
          <w14:textFill>
            <w14:solidFill>
              <w14:schemeClr w14:val="tx1"/>
            </w14:solidFill>
          </w14:textFill>
        </w:rPr>
      </w:pPr>
    </w:p>
    <w:p>
      <w:pPr>
        <w:pStyle w:val="486"/>
        <w:spacing w:line="360" w:lineRule="auto"/>
        <w:rPr>
          <w:rFonts w:ascii="宋体" w:hAnsi="宋体"/>
          <w:color w:val="000000" w:themeColor="text1"/>
          <w:sz w:val="28"/>
          <w:u w:val="single"/>
          <w14:textFill>
            <w14:solidFill>
              <w14:schemeClr w14:val="tx1"/>
            </w14:solidFill>
          </w14:textFill>
        </w:rPr>
      </w:pPr>
      <w:r>
        <w:rPr>
          <w:rFonts w:hint="eastAsia" w:ascii="宋体" w:hAnsi="宋体"/>
          <w:color w:val="000000" w:themeColor="text1"/>
          <w:sz w:val="28"/>
          <w14:textFill>
            <w14:solidFill>
              <w14:schemeClr w14:val="tx1"/>
            </w14:solidFill>
          </w14:textFill>
        </w:rPr>
        <w:t>投标人全称：</w:t>
      </w:r>
      <w:r>
        <w:rPr>
          <w:rFonts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u w:val="single"/>
          <w14:textFill>
            <w14:solidFill>
              <w14:schemeClr w14:val="tx1"/>
            </w14:solidFill>
          </w14:textFill>
        </w:rPr>
        <w:t xml:space="preserve">           </w:t>
      </w:r>
    </w:p>
    <w:p>
      <w:pPr>
        <w:pStyle w:val="486"/>
        <w:spacing w:line="360" w:lineRule="auto"/>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（加盖单位公章）</w:t>
      </w:r>
    </w:p>
    <w:p>
      <w:pPr>
        <w:pStyle w:val="486"/>
        <w:spacing w:line="360" w:lineRule="auto"/>
        <w:rPr>
          <w:rFonts w:ascii="宋体" w:hAnsi="宋体"/>
          <w:color w:val="000000" w:themeColor="text1"/>
          <w:sz w:val="28"/>
          <w:u w:val="single"/>
          <w14:textFill>
            <w14:solidFill>
              <w14:schemeClr w14:val="tx1"/>
            </w14:solidFill>
          </w14:textFill>
        </w:rPr>
      </w:pPr>
      <w:r>
        <w:rPr>
          <w:rFonts w:hint="eastAsia" w:ascii="宋体" w:hAnsi="宋体"/>
          <w:color w:val="000000" w:themeColor="text1"/>
          <w:sz w:val="28"/>
          <w14:textFill>
            <w14:solidFill>
              <w14:schemeClr w14:val="tx1"/>
            </w14:solidFill>
          </w14:textFill>
        </w:rPr>
        <w:t>法定代表人印刷体姓名：</w:t>
      </w:r>
      <w:r>
        <w:rPr>
          <w:rFonts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14:textFill>
            <w14:solidFill>
              <w14:schemeClr w14:val="tx1"/>
            </w14:solidFill>
          </w14:textFill>
        </w:rPr>
        <w:t xml:space="preserve">  签字：</w:t>
      </w:r>
      <w:r>
        <w:rPr>
          <w:rFonts w:hint="eastAsia" w:ascii="宋体" w:hAnsi="宋体"/>
          <w:color w:val="000000" w:themeColor="text1"/>
          <w:sz w:val="28"/>
          <w:u w:val="single"/>
          <w14:textFill>
            <w14:solidFill>
              <w14:schemeClr w14:val="tx1"/>
            </w14:solidFill>
          </w14:textFill>
        </w:rPr>
        <w:t xml:space="preserve">              </w:t>
      </w:r>
    </w:p>
    <w:p>
      <w:pPr>
        <w:pStyle w:val="486"/>
        <w:spacing w:line="360" w:lineRule="auto"/>
        <w:rPr>
          <w:rFonts w:ascii="宋体" w:hAnsi="宋体"/>
          <w:color w:val="000000" w:themeColor="text1"/>
          <w:sz w:val="28"/>
          <w:u w:val="single"/>
          <w14:textFill>
            <w14:solidFill>
              <w14:schemeClr w14:val="tx1"/>
            </w14:solidFill>
          </w14:textFill>
        </w:rPr>
      </w:pPr>
      <w:r>
        <w:rPr>
          <w:rFonts w:hint="eastAsia" w:ascii="宋体" w:hAnsi="宋体"/>
          <w:color w:val="000000" w:themeColor="text1"/>
          <w:sz w:val="28"/>
          <w14:textFill>
            <w14:solidFill>
              <w14:schemeClr w14:val="tx1"/>
            </w14:solidFill>
          </w14:textFill>
        </w:rPr>
        <w:t>授权投标代表印刷体姓名：</w:t>
      </w:r>
      <w:r>
        <w:rPr>
          <w:rFonts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14:textFill>
            <w14:solidFill>
              <w14:schemeClr w14:val="tx1"/>
            </w14:solidFill>
          </w14:textFill>
        </w:rPr>
        <w:t xml:space="preserve">  签字：</w:t>
      </w:r>
      <w:r>
        <w:rPr>
          <w:rFonts w:hint="eastAsia" w:ascii="宋体" w:hAnsi="宋体"/>
          <w:color w:val="000000" w:themeColor="text1"/>
          <w:sz w:val="28"/>
          <w:u w:val="single"/>
          <w14:textFill>
            <w14:solidFill>
              <w14:schemeClr w14:val="tx1"/>
            </w14:solidFill>
          </w14:textFill>
        </w:rPr>
        <w:t xml:space="preserve">              </w:t>
      </w:r>
    </w:p>
    <w:p>
      <w:pPr>
        <w:pStyle w:val="486"/>
        <w:spacing w:line="360" w:lineRule="auto"/>
        <w:rPr>
          <w:rFonts w:ascii="宋体" w:hAnsi="宋体"/>
          <w:color w:val="000000" w:themeColor="text1"/>
          <w:sz w:val="28"/>
          <w:u w:val="single"/>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投标人地址：   </w:t>
      </w:r>
      <w:r>
        <w:rPr>
          <w:rFonts w:ascii="宋体" w:hAnsi="宋体"/>
          <w:color w:val="000000" w:themeColor="text1"/>
          <w:sz w:val="28"/>
          <w:u w:val="single"/>
          <w14:textFill>
            <w14:solidFill>
              <w14:schemeClr w14:val="tx1"/>
            </w14:solidFill>
          </w14:textFill>
        </w:rPr>
        <w:t xml:space="preserve">                                         </w:t>
      </w:r>
    </w:p>
    <w:p>
      <w:pPr>
        <w:pStyle w:val="486"/>
        <w:spacing w:line="360" w:lineRule="auto"/>
        <w:rPr>
          <w:rFonts w:ascii="宋体" w:hAnsi="宋体"/>
          <w:color w:val="000000" w:themeColor="text1"/>
          <w:sz w:val="28"/>
          <w:u w:val="single"/>
          <w14:textFill>
            <w14:solidFill>
              <w14:schemeClr w14:val="tx1"/>
            </w14:solidFill>
          </w14:textFill>
        </w:rPr>
      </w:pPr>
      <w:r>
        <w:rPr>
          <w:rFonts w:hint="eastAsia" w:ascii="宋体" w:hAnsi="宋体"/>
          <w:color w:val="000000" w:themeColor="text1"/>
          <w:sz w:val="28"/>
          <w14:textFill>
            <w14:solidFill>
              <w14:schemeClr w14:val="tx1"/>
            </w14:solidFill>
          </w14:textFill>
        </w:rPr>
        <w:t>邮编：</w:t>
      </w:r>
      <w:r>
        <w:rPr>
          <w:rFonts w:hint="eastAsia" w:ascii="宋体" w:hAnsi="宋体"/>
          <w:color w:val="000000" w:themeColor="text1"/>
          <w:sz w:val="28"/>
          <w:u w:val="single"/>
          <w14:textFill>
            <w14:solidFill>
              <w14:schemeClr w14:val="tx1"/>
            </w14:solidFill>
          </w14:textFill>
        </w:rPr>
        <w:t xml:space="preserve">                                                  </w:t>
      </w:r>
    </w:p>
    <w:p>
      <w:pPr>
        <w:pStyle w:val="486"/>
        <w:spacing w:line="360" w:lineRule="auto"/>
        <w:rPr>
          <w:rFonts w:ascii="宋体" w:hAnsi="宋体"/>
          <w:color w:val="000000" w:themeColor="text1"/>
          <w:sz w:val="28"/>
          <w:u w:val="single"/>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联系电话：  </w:t>
      </w:r>
      <w:r>
        <w:rPr>
          <w:rFonts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u w:val="single"/>
          <w14:textFill>
            <w14:solidFill>
              <w14:schemeClr w14:val="tx1"/>
            </w14:solidFill>
          </w14:textFill>
        </w:rPr>
        <w:t xml:space="preserve">                 </w:t>
      </w:r>
    </w:p>
    <w:p>
      <w:pPr>
        <w:pStyle w:val="486"/>
        <w:spacing w:line="360" w:lineRule="auto"/>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开标时间：  </w:t>
      </w:r>
      <w:r>
        <w:rPr>
          <w:rFonts w:hint="eastAsia" w:ascii="宋体" w:hAnsi="宋体"/>
          <w:color w:val="000000" w:themeColor="text1"/>
          <w:sz w:val="28"/>
          <w:u w:val="single"/>
          <w14:textFill>
            <w14:solidFill>
              <w14:schemeClr w14:val="tx1"/>
            </w14:solidFill>
          </w14:textFill>
        </w:rPr>
        <w:t xml:space="preserve">                    </w:t>
      </w:r>
      <w:r>
        <w:rPr>
          <w:rFonts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u w:val="single"/>
          <w14:textFill>
            <w14:solidFill>
              <w14:schemeClr w14:val="tx1"/>
            </w14:solidFill>
          </w14:textFill>
        </w:rPr>
        <w:t xml:space="preserve">            </w:t>
      </w:r>
    </w:p>
    <w:p>
      <w:pPr>
        <w:snapToGrid w:val="0"/>
        <w:spacing w:before="50" w:after="50"/>
        <w:rPr>
          <w:rFonts w:ascii="仿宋" w:hAnsi="仿宋" w:eastAsia="仿宋"/>
          <w:b/>
          <w:bCs/>
          <w:color w:val="000000" w:themeColor="text1"/>
          <w:sz w:val="36"/>
          <w:szCs w:val="36"/>
          <w14:textFill>
            <w14:solidFill>
              <w14:schemeClr w14:val="tx1"/>
            </w14:solidFill>
          </w14:textFill>
        </w:rPr>
      </w:pPr>
      <w:r>
        <w:rPr>
          <w:rFonts w:ascii="仿宋" w:hAnsi="仿宋" w:eastAsia="仿宋"/>
          <w:b/>
          <w:color w:val="000000" w:themeColor="text1"/>
          <w:sz w:val="36"/>
          <w:szCs w:val="36"/>
          <w14:textFill>
            <w14:solidFill>
              <w14:schemeClr w14:val="tx1"/>
            </w14:solidFill>
          </w14:textFill>
        </w:rPr>
        <w:br w:type="page"/>
      </w:r>
      <w:r>
        <w:rPr>
          <w:rFonts w:hint="eastAsia" w:ascii="仿宋" w:hAnsi="仿宋" w:eastAsia="仿宋"/>
          <w:b/>
          <w:color w:val="000000" w:themeColor="text1"/>
          <w:sz w:val="36"/>
          <w:szCs w:val="36"/>
          <w14:textFill>
            <w14:solidFill>
              <w14:schemeClr w14:val="tx1"/>
            </w14:solidFill>
          </w14:textFill>
        </w:rPr>
        <w:t>1、</w:t>
      </w:r>
      <w:r>
        <w:rPr>
          <w:rFonts w:hint="eastAsia" w:ascii="仿宋" w:hAnsi="仿宋" w:eastAsia="仿宋"/>
          <w:b/>
          <w:bCs/>
          <w:color w:val="000000" w:themeColor="text1"/>
          <w:sz w:val="36"/>
          <w:szCs w:val="36"/>
          <w14:textFill>
            <w14:solidFill>
              <w14:schemeClr w14:val="tx1"/>
            </w14:solidFill>
          </w14:textFill>
        </w:rPr>
        <w:t>资质文件目录</w:t>
      </w:r>
    </w:p>
    <w:p>
      <w:pPr>
        <w:snapToGrid w:val="0"/>
        <w:spacing w:before="50" w:after="50"/>
        <w:rPr>
          <w:rFonts w:ascii="仿宋" w:hAnsi="仿宋" w:eastAsia="仿宋"/>
          <w:color w:val="000000" w:themeColor="text1"/>
          <w:sz w:val="30"/>
          <w:szCs w:val="30"/>
          <w14:textFill>
            <w14:solidFill>
              <w14:schemeClr w14:val="tx1"/>
            </w14:solidFill>
          </w14:textFill>
        </w:rPr>
      </w:pPr>
    </w:p>
    <w:p>
      <w:pPr>
        <w:snapToGrid w:val="0"/>
        <w:spacing w:line="460" w:lineRule="exact"/>
        <w:ind w:firstLine="588" w:firstLineChars="196"/>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（1）投标声明书 (格式见附件，含重大违法记录声明)；</w:t>
      </w:r>
    </w:p>
    <w:p>
      <w:pPr>
        <w:snapToGrid w:val="0"/>
        <w:spacing w:line="460" w:lineRule="exact"/>
        <w:ind w:firstLine="588" w:firstLineChars="196"/>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（2）法定代表人证明书或授权委托书(格式见附件)；</w:t>
      </w:r>
    </w:p>
    <w:p>
      <w:pPr>
        <w:snapToGrid w:val="0"/>
        <w:spacing w:line="460" w:lineRule="exact"/>
        <w:ind w:firstLine="588" w:firstLineChars="196"/>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（4）提供有效的依法缴纳税收证明（至投标文件递交截止日一年内一年内任意一个月的完税凭证或税务部门出具的证明），依法免税的投标人须提供相应文件证明其依法免税；</w:t>
      </w:r>
    </w:p>
    <w:p>
      <w:pPr>
        <w:snapToGrid w:val="0"/>
        <w:spacing w:line="460" w:lineRule="exact"/>
        <w:ind w:firstLine="588" w:firstLineChars="196"/>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5）提供有效的依法缴纳社会保障资金证明（至投标文件递交截止日一年内任意一个月的缴纳凭证或人社部门出具的证明），依法不需要缴纳社会保障资金的投标人，须提供相应文件证明其不需要缴纳社会保障资金；</w:t>
      </w:r>
    </w:p>
    <w:p>
      <w:pPr>
        <w:snapToGrid w:val="0"/>
        <w:spacing w:line="460" w:lineRule="exact"/>
        <w:ind w:firstLine="588" w:firstLineChars="196"/>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6）投标人基本开户银行出具的资信证明，或参与本采购项目两年内经审计的财务报告复印件，须包括“四表一注”：资产负债表、利润表、现金流量表、所有者权益变动表及其附注（如“四表一注”在合法合规前提下有缺少的情况，须提供审计机构出具的加盖其公章的说明），或财政部门认可的专业担保机构出具的针对本项目的投标担保函；</w:t>
      </w:r>
    </w:p>
    <w:p>
      <w:pPr>
        <w:snapToGrid w:val="0"/>
        <w:spacing w:line="460" w:lineRule="exact"/>
        <w:ind w:firstLine="588" w:firstLineChars="196"/>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（7）联合投标协议书（若需要）;</w:t>
      </w:r>
    </w:p>
    <w:p>
      <w:pPr>
        <w:snapToGrid w:val="0"/>
        <w:spacing w:line="460" w:lineRule="exact"/>
        <w:ind w:firstLine="588" w:firstLineChars="196"/>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（8）联合投标授权委托书（若需要）;</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（9）提供采购公告中符合</w:t>
      </w:r>
      <w:r>
        <w:rPr>
          <w:rFonts w:hint="eastAsia" w:ascii="仿宋" w:hAnsi="仿宋" w:eastAsia="仿宋"/>
          <w:bCs/>
          <w:color w:val="000000" w:themeColor="text1"/>
          <w:sz w:val="30"/>
          <w:szCs w:val="30"/>
          <w14:textFill>
            <w14:solidFill>
              <w14:schemeClr w14:val="tx1"/>
            </w14:solidFill>
          </w14:textFill>
        </w:rPr>
        <w:t>投标人特定条件要求的有效的</w:t>
      </w:r>
      <w:r>
        <w:rPr>
          <w:rFonts w:hint="eastAsia" w:ascii="仿宋" w:hAnsi="仿宋" w:eastAsia="仿宋"/>
          <w:color w:val="000000" w:themeColor="text1"/>
          <w:sz w:val="30"/>
          <w:szCs w:val="30"/>
          <w14:textFill>
            <w14:solidFill>
              <w14:schemeClr w14:val="tx1"/>
            </w14:solidFill>
          </w14:textFill>
        </w:rPr>
        <w:t>其他资质复印件并加盖公司公章及需要说明的资料。</w:t>
      </w:r>
    </w:p>
    <w:p>
      <w:pPr>
        <w:pStyle w:val="34"/>
        <w:snapToGrid w:val="0"/>
        <w:spacing w:line="460" w:lineRule="exact"/>
        <w:ind w:left="5250" w:firstLine="600" w:firstLineChars="200"/>
        <w:rPr>
          <w:rFonts w:ascii="仿宋" w:hAnsi="仿宋" w:eastAsia="仿宋"/>
          <w:color w:val="000000" w:themeColor="text1"/>
          <w:sz w:val="30"/>
          <w:szCs w:val="30"/>
          <w14:textFill>
            <w14:solidFill>
              <w14:schemeClr w14:val="tx1"/>
            </w14:solidFill>
          </w14:textFill>
        </w:rPr>
      </w:pPr>
    </w:p>
    <w:p>
      <w:pPr>
        <w:snapToGrid w:val="0"/>
        <w:spacing w:line="460" w:lineRule="exact"/>
        <w:ind w:firstLine="588" w:firstLineChars="196"/>
        <w:jc w:val="left"/>
        <w:rPr>
          <w:rFonts w:ascii="仿宋" w:hAnsi="仿宋" w:eastAsia="仿宋"/>
          <w:color w:val="000000" w:themeColor="text1"/>
          <w:sz w:val="30"/>
          <w:szCs w:val="30"/>
          <w14:textFill>
            <w14:solidFill>
              <w14:schemeClr w14:val="tx1"/>
            </w14:solidFill>
          </w14:textFill>
        </w:rPr>
      </w:pPr>
    </w:p>
    <w:p>
      <w:pPr>
        <w:snapToGrid w:val="0"/>
        <w:spacing w:before="50" w:after="120" w:afterLines="50" w:line="460" w:lineRule="exact"/>
        <w:jc w:val="left"/>
        <w:rPr>
          <w:rFonts w:ascii="仿宋" w:hAnsi="仿宋" w:eastAsia="仿宋"/>
          <w:color w:val="000000" w:themeColor="text1"/>
          <w:sz w:val="30"/>
          <w:szCs w:val="30"/>
          <w14:textFill>
            <w14:solidFill>
              <w14:schemeClr w14:val="tx1"/>
            </w14:solidFill>
          </w14:textFill>
        </w:rPr>
      </w:pPr>
    </w:p>
    <w:p>
      <w:pPr>
        <w:pStyle w:val="31"/>
        <w:snapToGrid w:val="0"/>
        <w:spacing w:before="120" w:after="120" w:line="240" w:lineRule="auto"/>
        <w:rPr>
          <w:rFonts w:ascii="仿宋" w:hAnsi="仿宋" w:eastAsia="仿宋"/>
          <w:color w:val="000000" w:themeColor="text1"/>
          <w:sz w:val="30"/>
          <w:szCs w:val="30"/>
          <w14:textFill>
            <w14:solidFill>
              <w14:schemeClr w14:val="tx1"/>
            </w14:solidFill>
          </w14:textFill>
        </w:rPr>
      </w:pPr>
    </w:p>
    <w:p>
      <w:pPr>
        <w:pStyle w:val="31"/>
        <w:snapToGrid w:val="0"/>
        <w:spacing w:before="120" w:after="120" w:line="240" w:lineRule="auto"/>
        <w:rPr>
          <w:rFonts w:ascii="仿宋" w:hAnsi="仿宋" w:eastAsia="仿宋"/>
          <w:color w:val="000000" w:themeColor="text1"/>
          <w:sz w:val="30"/>
          <w:szCs w:val="30"/>
          <w14:textFill>
            <w14:solidFill>
              <w14:schemeClr w14:val="tx1"/>
            </w14:solidFill>
          </w14:textFill>
        </w:rPr>
      </w:pPr>
    </w:p>
    <w:p>
      <w:pPr>
        <w:pStyle w:val="31"/>
        <w:snapToGrid w:val="0"/>
        <w:spacing w:before="120" w:after="120" w:line="240" w:lineRule="auto"/>
        <w:rPr>
          <w:rFonts w:ascii="仿宋" w:hAnsi="仿宋" w:eastAsia="仿宋"/>
          <w:color w:val="000000" w:themeColor="text1"/>
          <w:sz w:val="30"/>
          <w:szCs w:val="30"/>
          <w14:textFill>
            <w14:solidFill>
              <w14:schemeClr w14:val="tx1"/>
            </w14:solidFill>
          </w14:textFill>
        </w:rPr>
      </w:pP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附件3：</w:t>
      </w:r>
    </w:p>
    <w:p>
      <w:pPr>
        <w:snapToGrid w:val="0"/>
        <w:spacing w:before="50" w:after="5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声 明 书</w:t>
      </w:r>
    </w:p>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致国家体育总局体育器材装备中心：</w:t>
      </w:r>
    </w:p>
    <w:p>
      <w:pPr>
        <w:snapToGrid w:val="0"/>
        <w:spacing w:before="120" w:beforeLines="50" w:after="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u w:val="single"/>
          <w14:textFill>
            <w14:solidFill>
              <w14:schemeClr w14:val="tx1"/>
            </w14:solidFill>
          </w14:textFill>
        </w:rPr>
        <w:t>（投标人名称）</w:t>
      </w:r>
      <w:r>
        <w:rPr>
          <w:rFonts w:hint="eastAsia" w:ascii="仿宋" w:hAnsi="仿宋" w:eastAsia="仿宋"/>
          <w:color w:val="000000" w:themeColor="text1"/>
          <w:sz w:val="30"/>
          <w:szCs w:val="30"/>
          <w14:textFill>
            <w14:solidFill>
              <w14:schemeClr w14:val="tx1"/>
            </w14:solidFill>
          </w14:textFill>
        </w:rPr>
        <w:t>系中华人民共和国合法企业，经营地址</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w:t>
      </w:r>
    </w:p>
    <w:p>
      <w:pPr>
        <w:snapToGrid w:val="0"/>
        <w:spacing w:before="120" w:beforeLines="50" w:after="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我</w:t>
      </w:r>
      <w:r>
        <w:rPr>
          <w:rFonts w:hint="eastAsia" w:ascii="仿宋" w:hAnsi="仿宋" w:eastAsia="仿宋"/>
          <w:color w:val="000000" w:themeColor="text1"/>
          <w:sz w:val="30"/>
          <w:szCs w:val="30"/>
          <w:u w:val="single"/>
          <w14:textFill>
            <w14:solidFill>
              <w14:schemeClr w14:val="tx1"/>
            </w14:solidFill>
          </w14:textFill>
        </w:rPr>
        <w:t>（姓名）</w:t>
      </w:r>
      <w:r>
        <w:rPr>
          <w:rFonts w:hint="eastAsia" w:ascii="仿宋" w:hAnsi="仿宋" w:eastAsia="仿宋"/>
          <w:color w:val="000000" w:themeColor="text1"/>
          <w:sz w:val="30"/>
          <w:szCs w:val="30"/>
          <w14:textFill>
            <w14:solidFill>
              <w14:schemeClr w14:val="tx1"/>
            </w14:solidFill>
          </w14:textFill>
        </w:rPr>
        <w:t>系</w:t>
      </w:r>
      <w:r>
        <w:rPr>
          <w:rFonts w:hint="eastAsia" w:ascii="仿宋" w:hAnsi="仿宋" w:eastAsia="仿宋"/>
          <w:color w:val="000000" w:themeColor="text1"/>
          <w:sz w:val="30"/>
          <w:szCs w:val="30"/>
          <w:u w:val="single"/>
          <w14:textFill>
            <w14:solidFill>
              <w14:schemeClr w14:val="tx1"/>
            </w14:solidFill>
          </w14:textFill>
        </w:rPr>
        <w:t>（投标人名称）</w:t>
      </w:r>
      <w:r>
        <w:rPr>
          <w:rFonts w:hint="eastAsia" w:ascii="仿宋" w:hAnsi="仿宋" w:eastAsia="仿宋"/>
          <w:color w:val="000000" w:themeColor="text1"/>
          <w:sz w:val="30"/>
          <w:szCs w:val="30"/>
          <w14:textFill>
            <w14:solidFill>
              <w14:schemeClr w14:val="tx1"/>
            </w14:solidFill>
          </w14:textFill>
        </w:rPr>
        <w:t>的法定代表人，我方愿意参加贵方组织的</w:t>
      </w:r>
      <w:r>
        <w:rPr>
          <w:rFonts w:hint="eastAsia" w:ascii="仿宋" w:hAnsi="仿宋" w:eastAsia="仿宋"/>
          <w:color w:val="000000" w:themeColor="text1"/>
          <w:sz w:val="30"/>
          <w:szCs w:val="30"/>
          <w:u w:val="single"/>
          <w14:textFill>
            <w14:solidFill>
              <w14:schemeClr w14:val="tx1"/>
            </w14:solidFill>
          </w14:textFill>
        </w:rPr>
        <w:t>（招标项目名称）（编号为</w:t>
      </w:r>
      <w:r>
        <w:rPr>
          <w:rFonts w:ascii="仿宋" w:hAnsi="仿宋" w:eastAsia="仿宋"/>
          <w:color w:val="000000" w:themeColor="text1"/>
          <w:sz w:val="30"/>
          <w:szCs w:val="30"/>
          <w:u w:val="single"/>
          <w14:textFill>
            <w14:solidFill>
              <w14:schemeClr w14:val="tx1"/>
            </w14:solidFill>
          </w14:textFill>
        </w:rPr>
        <w:t>ZB2021-03</w:t>
      </w:r>
      <w:r>
        <w:rPr>
          <w:rFonts w:hint="eastAsia" w:ascii="仿宋" w:hAnsi="仿宋" w:eastAsia="仿宋"/>
          <w:color w:val="000000" w:themeColor="text1"/>
          <w:sz w:val="30"/>
          <w:szCs w:val="30"/>
          <w:u w:val="single"/>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的投标，为此，我方就本次投标有关事项郑重声明如下：</w:t>
      </w:r>
    </w:p>
    <w:p>
      <w:pPr>
        <w:snapToGrid w:val="0"/>
        <w:spacing w:before="120" w:beforeLines="50" w:after="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1、我方已详细审查全部招标文件，同意招标文件的各项要求。</w:t>
      </w:r>
    </w:p>
    <w:p>
      <w:pPr>
        <w:snapToGrid w:val="0"/>
        <w:spacing w:before="120" w:beforeLines="50" w:after="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3、若中标，我方将按招标文件规定履行合同责任和义务。</w:t>
      </w:r>
    </w:p>
    <w:p>
      <w:pPr>
        <w:snapToGrid w:val="0"/>
        <w:spacing w:before="120" w:beforeLines="50" w:after="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5、投标文件自开标日起有效期为90天。</w:t>
      </w:r>
    </w:p>
    <w:p>
      <w:pPr>
        <w:snapToGrid w:val="0"/>
        <w:spacing w:line="460" w:lineRule="exact"/>
        <w:ind w:firstLine="590" w:firstLineChars="196"/>
        <w:jc w:val="left"/>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6、我方参与本项目前3年内的经营活动中没有重大违法记录；</w:t>
      </w:r>
    </w:p>
    <w:p>
      <w:pPr>
        <w:snapToGrid w:val="0"/>
        <w:spacing w:before="120" w:beforeLines="50" w:after="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法定代表人签名（或签名章）：</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  日 期：</w:t>
      </w:r>
      <w:r>
        <w:rPr>
          <w:rFonts w:hint="eastAsia" w:ascii="仿宋" w:hAnsi="仿宋" w:eastAsia="仿宋"/>
          <w:color w:val="000000" w:themeColor="text1"/>
          <w:sz w:val="30"/>
          <w:szCs w:val="30"/>
          <w:u w:val="single"/>
          <w14:textFill>
            <w14:solidFill>
              <w14:schemeClr w14:val="tx1"/>
            </w14:solidFill>
          </w14:textFill>
        </w:rPr>
        <w:t xml:space="preserve">          </w:t>
      </w:r>
    </w:p>
    <w:p>
      <w:pPr>
        <w:snapToGrid w:val="0"/>
        <w:spacing w:before="120" w:beforeLines="50" w:line="460" w:lineRule="exact"/>
        <w:ind w:firstLine="200"/>
        <w:rPr>
          <w:rFonts w:ascii="仿宋" w:hAnsi="仿宋" w:eastAsia="仿宋"/>
          <w:color w:val="000000" w:themeColor="text1"/>
          <w:sz w:val="30"/>
          <w:szCs w:val="30"/>
          <w:u w:val="single"/>
          <w14:textFill>
            <w14:solidFill>
              <w14:schemeClr w14:val="tx1"/>
            </w14:solidFill>
          </w14:textFill>
        </w:rPr>
      </w:pPr>
    </w:p>
    <w:p>
      <w:pPr>
        <w:snapToGrid w:val="0"/>
        <w:spacing w:before="120" w:beforeLines="50" w:after="50" w:line="460" w:lineRule="exact"/>
        <w:ind w:firstLine="150" w:firstLineChars="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       </w:t>
      </w:r>
    </w:p>
    <w:p>
      <w:pPr>
        <w:snapToGrid w:val="0"/>
        <w:spacing w:before="120" w:beforeLines="50" w:after="50" w:line="460" w:lineRule="exact"/>
        <w:ind w:right="600" w:firstLine="2700" w:firstLineChars="900"/>
        <w:rPr>
          <w:rFonts w:ascii="仿宋" w:hAnsi="仿宋" w:eastAsia="仿宋"/>
          <w:color w:val="000000" w:themeColor="text1"/>
          <w:sz w:val="30"/>
          <w:szCs w:val="30"/>
          <w14:textFill>
            <w14:solidFill>
              <w14:schemeClr w14:val="tx1"/>
            </w14:solidFill>
          </w14:textFill>
        </w:rPr>
      </w:pPr>
    </w:p>
    <w:p>
      <w:pPr>
        <w:snapToGrid w:val="0"/>
        <w:spacing w:before="50" w:after="5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br w:type="page"/>
      </w:r>
      <w:r>
        <w:rPr>
          <w:rFonts w:hint="eastAsia" w:ascii="仿宋" w:hAnsi="仿宋" w:eastAsia="仿宋"/>
          <w:b/>
          <w:color w:val="000000" w:themeColor="text1"/>
          <w:sz w:val="36"/>
          <w:szCs w:val="36"/>
          <w14:textFill>
            <w14:solidFill>
              <w14:schemeClr w14:val="tx1"/>
            </w14:solidFill>
          </w14:textFill>
        </w:rPr>
        <w:t>附件4：法定代表人证明书</w:t>
      </w:r>
    </w:p>
    <w:p>
      <w:pPr>
        <w:spacing w:line="360" w:lineRule="auto"/>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国家体育总局体育器材装备中心：</w:t>
      </w:r>
    </w:p>
    <w:p>
      <w:pPr>
        <w:spacing w:line="500" w:lineRule="exact"/>
        <w:ind w:firstLine="3315" w:firstLineChars="1105"/>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236855</wp:posOffset>
                </wp:positionV>
                <wp:extent cx="1028700" cy="0"/>
                <wp:effectExtent l="0" t="0" r="0" b="0"/>
                <wp:wrapNone/>
                <wp:docPr id="1" name="直线 3"/>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wps:spPr>
                      <wps:bodyPr/>
                    </wps:wsp>
                  </a:graphicData>
                </a:graphic>
              </wp:anchor>
            </w:drawing>
          </mc:Choice>
          <mc:Fallback>
            <w:pict>
              <v:line id="直线 3" o:spid="_x0000_s1026" o:spt="20" style="position:absolute;left:0pt;margin-left:27pt;margin-top:18.65pt;height:0pt;width:81pt;z-index:251660288;mso-width-relative:page;mso-height-relative:page;" filled="f" stroked="t" coordsize="21600,21600" o:gfxdata="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DhjztUAAAAIAQAADwAAAAAAAAABACAA&#10;AAAiAAAAZHJzL2Rvd25yZXYueG1sUEsBAhQAFAAAAAgAh07iQIFNf77XAQAAoQMAAA4AAAAAAAAA&#10;AQAgAAAAJAEAAGRycy9lMm9Eb2MueG1sUEsFBgAAAAAGAAYAWQEAAG0FAAAAAA==&#10;">
                <v:fill on="f" focussize="0,0"/>
                <v:stroke color="#000000" joinstyle="round"/>
                <v:imagedata o:title=""/>
                <o:lock v:ext="edit" aspectratio="f"/>
              </v:line>
            </w:pict>
          </mc:Fallback>
        </mc:AlternateContent>
      </w:r>
      <w:r>
        <w:rPr>
          <w:rFonts w:ascii="仿宋" w:hAnsi="仿宋" w:eastAsia="仿宋"/>
          <w:color w:val="000000" w:themeColor="text1"/>
          <w:sz w:val="30"/>
          <w:szCs w:val="30"/>
          <w14:textFill>
            <w14:solidFill>
              <w14:schemeClr w14:val="tx1"/>
            </w14:solidFill>
          </w14:textFill>
        </w:rPr>
        <w:t>（姓名、性别、年龄）在我</w:t>
      </w:r>
      <w:r>
        <w:rPr>
          <w:rFonts w:hint="eastAsia" w:ascii="仿宋" w:hAnsi="仿宋" w:eastAsia="仿宋"/>
          <w:color w:val="000000" w:themeColor="text1"/>
          <w:sz w:val="30"/>
          <w:szCs w:val="30"/>
          <w14:textFill>
            <w14:solidFill>
              <w14:schemeClr w14:val="tx1"/>
            </w14:solidFill>
          </w14:textFill>
        </w:rPr>
        <w:t>单位</w:t>
      </w:r>
      <w:r>
        <w:rPr>
          <w:rFonts w:ascii="仿宋" w:hAnsi="仿宋" w:eastAsia="仿宋"/>
          <w:color w:val="000000" w:themeColor="text1"/>
          <w:sz w:val="30"/>
          <w:szCs w:val="30"/>
          <w14:textFill>
            <w14:solidFill>
              <w14:schemeClr w14:val="tx1"/>
            </w14:solidFill>
          </w14:textFill>
        </w:rPr>
        <w:t>任</w:t>
      </w:r>
      <w:r>
        <w:rPr>
          <w:rFonts w:ascii="仿宋" w:hAnsi="仿宋" w:eastAsia="仿宋"/>
          <w:color w:val="000000" w:themeColor="text1"/>
          <w:sz w:val="30"/>
          <w:szCs w:val="30"/>
          <w:u w:val="single"/>
          <w14:textFill>
            <w14:solidFill>
              <w14:schemeClr w14:val="tx1"/>
            </w14:solidFill>
          </w14:textFill>
        </w:rPr>
        <w:t xml:space="preserve">       </w:t>
      </w:r>
      <w:r>
        <w:rPr>
          <w:rFonts w:ascii="仿宋" w:hAnsi="仿宋" w:eastAsia="仿宋"/>
          <w:color w:val="000000" w:themeColor="text1"/>
          <w:sz w:val="30"/>
          <w:szCs w:val="30"/>
          <w14:textFill>
            <w14:solidFill>
              <w14:schemeClr w14:val="tx1"/>
            </w14:solidFill>
          </w14:textFill>
        </w:rPr>
        <w:t>（职务</w:t>
      </w:r>
      <w:r>
        <w:rPr>
          <w:rFonts w:hint="eastAsia" w:ascii="仿宋" w:hAnsi="仿宋" w:eastAsia="仿宋"/>
          <w:color w:val="000000" w:themeColor="text1"/>
          <w:sz w:val="30"/>
          <w:szCs w:val="30"/>
          <w14:textFill>
            <w14:solidFill>
              <w14:schemeClr w14:val="tx1"/>
            </w14:solidFill>
          </w14:textFill>
        </w:rPr>
        <w:t>名称）职务</w:t>
      </w:r>
      <w:r>
        <w:rPr>
          <w:rFonts w:ascii="仿宋" w:hAnsi="仿宋" w:eastAsia="仿宋"/>
          <w:color w:val="000000" w:themeColor="text1"/>
          <w:sz w:val="30"/>
          <w:szCs w:val="30"/>
          <w14:textFill>
            <w14:solidFill>
              <w14:schemeClr w14:val="tx1"/>
            </w14:solidFill>
          </w14:textFill>
        </w:rPr>
        <w:t>，是我单位的法定代表人。</w:t>
      </w:r>
      <w:r>
        <w:rPr>
          <w:rFonts w:ascii="仿宋" w:hAnsi="仿宋" w:eastAsia="仿宋"/>
          <w:color w:val="000000" w:themeColor="text1"/>
          <w:sz w:val="30"/>
          <w:szCs w:val="30"/>
          <w14:textFill>
            <w14:solidFill>
              <w14:schemeClr w14:val="tx1"/>
            </w14:solidFill>
          </w14:textFill>
        </w:rPr>
        <w:br w:type="textWrapping"/>
      </w:r>
      <w:r>
        <w:rPr>
          <w:rFonts w:ascii="仿宋" w:hAnsi="仿宋" w:eastAsia="仿宋"/>
          <w:color w:val="000000" w:themeColor="text1"/>
          <w:sz w:val="30"/>
          <w:szCs w:val="30"/>
          <w14:textFill>
            <w14:solidFill>
              <w14:schemeClr w14:val="tx1"/>
            </w14:solidFill>
          </w14:textFill>
        </w:rPr>
        <w:t>　　特此证明。</w:t>
      </w:r>
    </w:p>
    <w:p>
      <w:pPr>
        <w:spacing w:line="500" w:lineRule="exact"/>
        <w:ind w:firstLine="900" w:firstLineChars="300"/>
        <w:rPr>
          <w:rFonts w:ascii="仿宋" w:hAnsi="仿宋" w:eastAsia="仿宋"/>
          <w:color w:val="000000" w:themeColor="text1"/>
          <w:sz w:val="30"/>
          <w:szCs w:val="30"/>
          <w14:textFill>
            <w14:solidFill>
              <w14:schemeClr w14:val="tx1"/>
            </w14:solidFill>
          </w14:textFill>
        </w:rPr>
      </w:pPr>
    </w:p>
    <w:p>
      <w:pPr>
        <w:spacing w:line="50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法定代表人住址：</w:t>
      </w:r>
      <w:r>
        <w:rPr>
          <w:rFonts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法定代表人身份证号：</w:t>
      </w:r>
      <w:r>
        <w:rPr>
          <w:rFonts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身份证复印件附后）</w:t>
      </w:r>
    </w:p>
    <w:p>
      <w:pPr>
        <w:spacing w:line="500" w:lineRule="exact"/>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法定代表人电话：</w:t>
      </w:r>
      <w:r>
        <w:rPr>
          <w:rFonts w:ascii="仿宋" w:hAnsi="仿宋" w:eastAsia="仿宋"/>
          <w:color w:val="000000" w:themeColor="text1"/>
          <w:sz w:val="30"/>
          <w:szCs w:val="30"/>
          <w:u w:val="single"/>
          <w14:textFill>
            <w14:solidFill>
              <w14:schemeClr w14:val="tx1"/>
            </w14:solidFill>
          </w14:textFill>
        </w:rPr>
        <w:t xml:space="preserve">                </w:t>
      </w:r>
      <w:r>
        <w:rPr>
          <w:rFonts w:ascii="仿宋" w:hAnsi="仿宋" w:eastAsia="仿宋"/>
          <w:color w:val="000000" w:themeColor="text1"/>
          <w:sz w:val="30"/>
          <w:szCs w:val="30"/>
          <w14:textFill>
            <w14:solidFill>
              <w14:schemeClr w14:val="tx1"/>
            </w14:solidFill>
          </w14:textFill>
        </w:rPr>
        <w:br w:type="textWrapping"/>
      </w:r>
      <w:r>
        <w:rPr>
          <w:rFonts w:hint="eastAsia" w:ascii="仿宋" w:hAnsi="仿宋" w:eastAsia="仿宋"/>
          <w:color w:val="000000" w:themeColor="text1"/>
          <w:sz w:val="30"/>
          <w:szCs w:val="30"/>
          <w14:textFill>
            <w14:solidFill>
              <w14:schemeClr w14:val="tx1"/>
            </w14:solidFill>
          </w14:textFill>
        </w:rPr>
        <w:t>投标人全称（公章）：</w:t>
      </w:r>
      <w:r>
        <w:rPr>
          <w:rFonts w:ascii="仿宋" w:hAnsi="仿宋" w:eastAsia="仿宋"/>
          <w:color w:val="000000" w:themeColor="text1"/>
          <w:sz w:val="30"/>
          <w:szCs w:val="30"/>
          <w:u w:val="single"/>
          <w14:textFill>
            <w14:solidFill>
              <w14:schemeClr w14:val="tx1"/>
            </w14:solidFill>
          </w14:textFill>
        </w:rPr>
        <w:t xml:space="preserve">                                       </w:t>
      </w:r>
    </w:p>
    <w:p>
      <w:pPr>
        <w:spacing w:line="50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日期：</w:t>
      </w:r>
      <w:r>
        <w:rPr>
          <w:rFonts w:ascii="仿宋" w:hAnsi="仿宋" w:eastAsia="仿宋"/>
          <w:color w:val="000000" w:themeColor="text1"/>
          <w:sz w:val="30"/>
          <w:szCs w:val="30"/>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年</w:t>
      </w:r>
      <w:r>
        <w:rPr>
          <w:rFonts w:ascii="仿宋" w:hAnsi="仿宋" w:eastAsia="仿宋"/>
          <w:color w:val="000000" w:themeColor="text1"/>
          <w:sz w:val="30"/>
          <w:szCs w:val="30"/>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月</w:t>
      </w:r>
      <w:r>
        <w:rPr>
          <w:rFonts w:ascii="仿宋" w:hAnsi="仿宋" w:eastAsia="仿宋"/>
          <w:color w:val="000000" w:themeColor="text1"/>
          <w:sz w:val="30"/>
          <w:szCs w:val="30"/>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日</w:t>
      </w:r>
    </w:p>
    <w:p>
      <w:pPr>
        <w:snapToGrid w:val="0"/>
        <w:spacing w:before="120" w:beforeLines="50" w:after="50" w:line="460" w:lineRule="exact"/>
        <w:rPr>
          <w:rFonts w:ascii="仿宋" w:hAnsi="仿宋" w:eastAsia="仿宋"/>
          <w:color w:val="000000" w:themeColor="text1"/>
          <w:sz w:val="24"/>
          <w:szCs w:val="24"/>
          <w14:textFill>
            <w14:solidFill>
              <w14:schemeClr w14:val="tx1"/>
            </w14:solidFill>
          </w14:textFill>
        </w:rPr>
      </w:pPr>
    </w:p>
    <w:p>
      <w:pPr>
        <w:snapToGrid w:val="0"/>
        <w:spacing w:before="50" w:after="5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法定代表人授权委托书</w:t>
      </w:r>
    </w:p>
    <w:p>
      <w:pPr>
        <w:snapToGrid w:val="0"/>
        <w:spacing w:before="120" w:beforeLines="50" w:after="50"/>
        <w:jc w:val="center"/>
        <w:rPr>
          <w:rFonts w:ascii="仿宋" w:hAnsi="仿宋" w:eastAsia="仿宋"/>
          <w:b/>
          <w:color w:val="000000" w:themeColor="text1"/>
          <w:sz w:val="30"/>
          <w:szCs w:val="30"/>
          <w14:textFill>
            <w14:solidFill>
              <w14:schemeClr w14:val="tx1"/>
            </w14:solidFill>
          </w14:textFill>
        </w:rPr>
      </w:pPr>
    </w:p>
    <w:p>
      <w:pPr>
        <w:snapToGrid w:val="0"/>
        <w:spacing w:before="120" w:beforeLines="50" w:after="50" w:line="460" w:lineRule="exact"/>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国家体育总局体育器材装备中心：</w:t>
      </w:r>
    </w:p>
    <w:p>
      <w:pPr>
        <w:snapToGrid w:val="0"/>
        <w:spacing w:before="120" w:beforeLines="50" w:after="50" w:line="460" w:lineRule="exact"/>
        <w:ind w:firstLine="900" w:firstLineChars="3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我</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（姓名）系</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（投标人名称）的法定代表人，现授权委托本单位在职职工 </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（姓名）为授权代表，以我方的名义参加项目编号：</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项目名称</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授权代表无转委托权，特此委托。</w:t>
      </w:r>
    </w:p>
    <w:p>
      <w:pPr>
        <w:spacing w:line="500" w:lineRule="exact"/>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法定代表人印刷体姓名：</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签字：</w:t>
      </w:r>
      <w:r>
        <w:rPr>
          <w:rFonts w:hint="eastAsia" w:ascii="宋体" w:hAnsi="宋体"/>
          <w:color w:val="000000" w:themeColor="text1"/>
          <w:u w:val="single"/>
          <w14:textFill>
            <w14:solidFill>
              <w14:schemeClr w14:val="tx1"/>
            </w14:solidFill>
          </w14:textFill>
        </w:rPr>
        <w:t xml:space="preserve">           </w:t>
      </w:r>
    </w:p>
    <w:p>
      <w:pPr>
        <w:spacing w:line="500" w:lineRule="exact"/>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投标人代表印刷体姓名：</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签字：</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职务：</w:t>
      </w:r>
      <w:r>
        <w:rPr>
          <w:rFonts w:hint="eastAsia" w:ascii="宋体" w:hAnsi="宋体"/>
          <w:color w:val="000000" w:themeColor="text1"/>
          <w:u w:val="single"/>
          <w14:textFill>
            <w14:solidFill>
              <w14:schemeClr w14:val="tx1"/>
            </w14:solidFill>
          </w14:textFill>
        </w:rPr>
        <w:t xml:space="preserve">           </w:t>
      </w:r>
    </w:p>
    <w:p>
      <w:pPr>
        <w:spacing w:line="5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投标人代表身份证号：</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（身份证复印件附后）</w:t>
      </w:r>
    </w:p>
    <w:p>
      <w:pPr>
        <w:spacing w:line="500" w:lineRule="exact"/>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投标人全称（公章）：</w:t>
      </w:r>
      <w:r>
        <w:rPr>
          <w:rFonts w:hint="eastAsia" w:ascii="宋体" w:hAnsi="宋体"/>
          <w:color w:val="000000" w:themeColor="text1"/>
          <w:u w:val="single"/>
          <w14:textFill>
            <w14:solidFill>
              <w14:schemeClr w14:val="tx1"/>
            </w14:solidFill>
          </w14:textFill>
        </w:rPr>
        <w:t xml:space="preserve">                                       </w:t>
      </w:r>
    </w:p>
    <w:p>
      <w:pPr>
        <w:widowControl/>
        <w:jc w:val="left"/>
        <w:rPr>
          <w:rFonts w:ascii="仿宋" w:hAnsi="仿宋" w:eastAsia="仿宋"/>
          <w:color w:val="000000" w:themeColor="text1"/>
          <w:sz w:val="30"/>
          <w:szCs w:val="30"/>
          <w:u w:val="single"/>
          <w14:textFill>
            <w14:solidFill>
              <w14:schemeClr w14:val="tx1"/>
            </w14:solidFill>
          </w14:textFill>
        </w:rPr>
        <w:sectPr>
          <w:pgSz w:w="11906" w:h="16838"/>
          <w:pgMar w:top="1558" w:right="1531" w:bottom="468" w:left="1531" w:header="851" w:footer="851" w:gutter="0"/>
          <w:pgNumType w:chapStyle="1" w:chapSep="colon"/>
          <w:cols w:space="720" w:num="1"/>
          <w:docGrid w:linePitch="286" w:charSpace="0"/>
        </w:sectPr>
      </w:pPr>
    </w:p>
    <w:p>
      <w:pPr>
        <w:tabs>
          <w:tab w:val="left" w:pos="606"/>
        </w:tabs>
        <w:rPr>
          <w:rFonts w:ascii="仿宋" w:hAnsi="仿宋" w:eastAsia="仿宋"/>
          <w:color w:val="000000" w:themeColor="text1"/>
          <w:spacing w:val="2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附件5：</w:t>
      </w:r>
    </w:p>
    <w:p>
      <w:pPr>
        <w:pStyle w:val="17"/>
        <w:overflowPunct w:val="0"/>
        <w:spacing w:line="360" w:lineRule="auto"/>
        <w:ind w:firstLine="0"/>
        <w:jc w:val="center"/>
        <w:rPr>
          <w:rFonts w:ascii="仿宋" w:hAnsi="仿宋" w:eastAsia="仿宋"/>
          <w:b/>
          <w:color w:val="000000" w:themeColor="text1"/>
          <w:spacing w:val="40"/>
          <w:kern w:val="0"/>
          <w:sz w:val="30"/>
          <w:szCs w:val="30"/>
          <w14:textFill>
            <w14:solidFill>
              <w14:schemeClr w14:val="tx1"/>
            </w14:solidFill>
          </w14:textFill>
        </w:rPr>
      </w:pPr>
      <w:r>
        <w:rPr>
          <w:rFonts w:hint="eastAsia" w:ascii="仿宋" w:hAnsi="仿宋" w:eastAsia="仿宋"/>
          <w:b/>
          <w:color w:val="000000" w:themeColor="text1"/>
          <w:spacing w:val="40"/>
          <w:kern w:val="0"/>
          <w:sz w:val="30"/>
          <w:szCs w:val="30"/>
          <w14:textFill>
            <w14:solidFill>
              <w14:schemeClr w14:val="tx1"/>
            </w14:solidFill>
          </w14:textFill>
        </w:rPr>
        <w:t>联合投标协议书</w:t>
      </w:r>
    </w:p>
    <w:p>
      <w:pPr>
        <w:pStyle w:val="17"/>
        <w:overflowPunct w:val="0"/>
        <w:spacing w:line="460" w:lineRule="exact"/>
        <w:ind w:firstLine="642" w:firstLineChars="214"/>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甲方：</w:t>
      </w:r>
    </w:p>
    <w:p>
      <w:pPr>
        <w:pStyle w:val="17"/>
        <w:overflowPunct w:val="0"/>
        <w:spacing w:line="460" w:lineRule="exact"/>
        <w:ind w:firstLine="642" w:firstLineChars="214"/>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乙方：</w:t>
      </w:r>
    </w:p>
    <w:p>
      <w:pPr>
        <w:pStyle w:val="17"/>
        <w:overflowPunct w:val="0"/>
        <w:spacing w:line="460" w:lineRule="exact"/>
        <w:ind w:firstLine="642" w:firstLineChars="214"/>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（如果有的话，可按甲、乙、丙、丁…序列增加）</w:t>
      </w:r>
    </w:p>
    <w:p>
      <w:pPr>
        <w:pStyle w:val="17"/>
        <w:overflowPunct w:val="0"/>
        <w:spacing w:line="460" w:lineRule="exact"/>
        <w:ind w:firstLine="642" w:firstLineChars="214"/>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各方经协商，就响应 </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组织实施的编号为</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号的招标活动联合进行投标之事宜，达成如下协议：</w:t>
      </w:r>
    </w:p>
    <w:p>
      <w:pPr>
        <w:pStyle w:val="17"/>
        <w:overflowPunct w:val="0"/>
        <w:spacing w:line="460" w:lineRule="exact"/>
        <w:ind w:firstLine="642" w:firstLineChars="214"/>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一、各方一致决定，以 </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 为主办人进行投标，并按照招标文件的规定分别提交资格文件。</w:t>
      </w:r>
    </w:p>
    <w:p>
      <w:pPr>
        <w:pStyle w:val="17"/>
        <w:overflowPunct w:val="0"/>
        <w:spacing w:line="460" w:lineRule="exact"/>
        <w:ind w:firstLine="642" w:firstLineChars="214"/>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四、本次联合投标中，甲方承担的工作和义务为:</w:t>
      </w:r>
    </w:p>
    <w:p>
      <w:pPr>
        <w:pStyle w:val="17"/>
        <w:overflowPunct w:val="0"/>
        <w:spacing w:line="460" w:lineRule="exact"/>
        <w:ind w:firstLine="642" w:firstLineChars="214"/>
        <w:rPr>
          <w:rFonts w:ascii="仿宋" w:hAnsi="仿宋" w:eastAsia="仿宋"/>
          <w:color w:val="000000" w:themeColor="text1"/>
          <w:sz w:val="30"/>
          <w:szCs w:val="30"/>
          <w:u w:val="single"/>
          <w14:textFill>
            <w14:solidFill>
              <w14:schemeClr w14:val="tx1"/>
            </w14:solidFill>
          </w14:textFill>
        </w:rPr>
      </w:pPr>
    </w:p>
    <w:p>
      <w:pPr>
        <w:pStyle w:val="17"/>
        <w:overflowPunct w:val="0"/>
        <w:spacing w:line="460" w:lineRule="exact"/>
        <w:ind w:firstLine="642" w:firstLineChars="214"/>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乙方承担的工作和义务为：</w:t>
      </w:r>
    </w:p>
    <w:p>
      <w:pPr>
        <w:pStyle w:val="17"/>
        <w:overflowPunct w:val="0"/>
        <w:spacing w:line="460" w:lineRule="exact"/>
        <w:ind w:firstLine="642" w:firstLineChars="214"/>
        <w:rPr>
          <w:rFonts w:ascii="仿宋" w:hAnsi="仿宋" w:eastAsia="仿宋"/>
          <w:color w:val="000000" w:themeColor="text1"/>
          <w:sz w:val="30"/>
          <w:szCs w:val="30"/>
          <w14:textFill>
            <w14:solidFill>
              <w14:schemeClr w14:val="tx1"/>
            </w14:solidFill>
          </w14:textFill>
        </w:rPr>
      </w:pPr>
    </w:p>
    <w:p>
      <w:pPr>
        <w:pStyle w:val="17"/>
        <w:overflowPunct w:val="0"/>
        <w:spacing w:line="460" w:lineRule="exact"/>
        <w:ind w:firstLine="642" w:firstLineChars="214"/>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五、有关本次联合投标的其他事宜：</w:t>
      </w:r>
    </w:p>
    <w:p>
      <w:pPr>
        <w:pStyle w:val="17"/>
        <w:overflowPunct w:val="0"/>
        <w:spacing w:line="460" w:lineRule="exact"/>
        <w:ind w:firstLine="642" w:firstLineChars="214"/>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七、本协议签约各方各持一份，并作为投标文件的一部分。</w:t>
      </w:r>
    </w:p>
    <w:tbl>
      <w:tblPr>
        <w:tblStyle w:val="58"/>
        <w:tblW w:w="0" w:type="auto"/>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甲方单位：       （公章）</w:t>
            </w:r>
          </w:p>
          <w:p>
            <w:pPr>
              <w:pStyle w:val="17"/>
              <w:overflowPunct w:val="0"/>
              <w:spacing w:line="460" w:lineRule="exact"/>
              <w:ind w:firstLine="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法定代表人：     （签章）</w:t>
            </w:r>
          </w:p>
          <w:p>
            <w:pPr>
              <w:pStyle w:val="17"/>
              <w:overflowPunct w:val="0"/>
              <w:spacing w:line="460" w:lineRule="exact"/>
              <w:ind w:firstLine="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日  期：  年  月   日</w:t>
            </w:r>
          </w:p>
        </w:tc>
        <w:tc>
          <w:tcPr>
            <w:tcW w:w="4264" w:type="dxa"/>
          </w:tcPr>
          <w:p>
            <w:pPr>
              <w:pStyle w:val="17"/>
              <w:overflowPunct w:val="0"/>
              <w:spacing w:line="460" w:lineRule="exact"/>
              <w:ind w:firstLine="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乙方单位：       （公章）</w:t>
            </w:r>
          </w:p>
          <w:p>
            <w:pPr>
              <w:pStyle w:val="17"/>
              <w:overflowPunct w:val="0"/>
              <w:spacing w:line="460" w:lineRule="exact"/>
              <w:ind w:firstLine="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法定代表人：     （签章）</w:t>
            </w:r>
          </w:p>
          <w:p>
            <w:pPr>
              <w:pStyle w:val="17"/>
              <w:overflowPunct w:val="0"/>
              <w:spacing w:line="460" w:lineRule="exact"/>
              <w:ind w:firstLine="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日  期：  年  月   日</w:t>
            </w:r>
          </w:p>
        </w:tc>
      </w:tr>
    </w:tbl>
    <w:p>
      <w:pPr>
        <w:pStyle w:val="17"/>
        <w:overflowPunct w:val="0"/>
        <w:spacing w:line="460" w:lineRule="exact"/>
        <w:ind w:firstLine="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附件6：</w:t>
      </w:r>
    </w:p>
    <w:p>
      <w:pPr>
        <w:pStyle w:val="17"/>
        <w:overflowPunct w:val="0"/>
        <w:spacing w:line="460" w:lineRule="exact"/>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联合投标授权委托书</w:t>
      </w:r>
    </w:p>
    <w:p>
      <w:pPr>
        <w:pStyle w:val="17"/>
        <w:overflowPunct w:val="0"/>
        <w:spacing w:line="460" w:lineRule="exact"/>
        <w:rPr>
          <w:rFonts w:ascii="仿宋" w:hAnsi="仿宋" w:eastAsia="仿宋"/>
          <w:color w:val="000000" w:themeColor="text1"/>
          <w:sz w:val="30"/>
          <w:szCs w:val="30"/>
          <w14:textFill>
            <w14:solidFill>
              <w14:schemeClr w14:val="tx1"/>
            </w14:solidFill>
          </w14:textFill>
        </w:rPr>
      </w:pPr>
    </w:p>
    <w:p>
      <w:pPr>
        <w:pStyle w:val="17"/>
        <w:overflowPunct w:val="0"/>
        <w:spacing w:line="46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本授权委托书声明：根据 </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与</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签订的《联合投标协议书》的内容，主办人</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的法定代表人</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现授权 </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为联合投标代理人，代理人在投标、开标、评标、合同谈判过程中所签署的一切文件和处理与这有关的一切事务， 联合投标各方均予以认可并遵守。</w:t>
      </w:r>
    </w:p>
    <w:p>
      <w:pPr>
        <w:pStyle w:val="17"/>
        <w:overflowPunct w:val="0"/>
        <w:spacing w:line="46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特此委托。</w:t>
      </w:r>
    </w:p>
    <w:p>
      <w:pPr>
        <w:pStyle w:val="17"/>
        <w:overflowPunct w:val="0"/>
        <w:spacing w:line="46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w:t>
      </w:r>
    </w:p>
    <w:p>
      <w:pPr>
        <w:pStyle w:val="17"/>
        <w:overflowPunct w:val="0"/>
        <w:spacing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授权人（签名）：</w:t>
      </w:r>
    </w:p>
    <w:p>
      <w:pPr>
        <w:pStyle w:val="17"/>
        <w:overflowPunct w:val="0"/>
        <w:spacing w:line="460" w:lineRule="exact"/>
        <w:ind w:firstLine="600" w:firstLineChars="200"/>
        <w:rPr>
          <w:rFonts w:ascii="仿宋" w:hAnsi="仿宋" w:eastAsia="仿宋"/>
          <w:color w:val="000000" w:themeColor="text1"/>
          <w:sz w:val="30"/>
          <w:szCs w:val="30"/>
          <w14:textFill>
            <w14:solidFill>
              <w14:schemeClr w14:val="tx1"/>
            </w14:solidFill>
          </w14:textFill>
        </w:rPr>
      </w:pPr>
    </w:p>
    <w:p>
      <w:pPr>
        <w:pStyle w:val="17"/>
        <w:overflowPunct w:val="0"/>
        <w:spacing w:line="460" w:lineRule="exact"/>
        <w:ind w:left="420" w:leftChars="200" w:firstLine="150" w:firstLineChars="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日期：    年  月  日</w:t>
      </w:r>
    </w:p>
    <w:p>
      <w:pPr>
        <w:pStyle w:val="17"/>
        <w:overflowPunct w:val="0"/>
        <w:spacing w:line="460" w:lineRule="exact"/>
        <w:rPr>
          <w:rFonts w:ascii="仿宋" w:hAnsi="仿宋" w:eastAsia="仿宋"/>
          <w:color w:val="000000" w:themeColor="text1"/>
          <w:sz w:val="30"/>
          <w:szCs w:val="30"/>
          <w14:textFill>
            <w14:solidFill>
              <w14:schemeClr w14:val="tx1"/>
            </w14:solidFill>
          </w14:textFill>
        </w:rPr>
      </w:pPr>
    </w:p>
    <w:p>
      <w:pPr>
        <w:pStyle w:val="17"/>
        <w:overflowPunct w:val="0"/>
        <w:spacing w:line="460" w:lineRule="exact"/>
        <w:ind w:firstLine="570" w:firstLineChars="19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授权代表（签名）；</w:t>
      </w:r>
    </w:p>
    <w:p>
      <w:pPr>
        <w:pStyle w:val="17"/>
        <w:overflowPunct w:val="0"/>
        <w:spacing w:line="460" w:lineRule="exact"/>
        <w:ind w:firstLine="570" w:firstLineChars="190"/>
        <w:rPr>
          <w:rFonts w:ascii="仿宋" w:hAnsi="仿宋" w:eastAsia="仿宋"/>
          <w:color w:val="000000" w:themeColor="text1"/>
          <w:sz w:val="30"/>
          <w:szCs w:val="30"/>
          <w14:textFill>
            <w14:solidFill>
              <w14:schemeClr w14:val="tx1"/>
            </w14:solidFill>
          </w14:textFill>
        </w:rPr>
      </w:pPr>
    </w:p>
    <w:p>
      <w:pPr>
        <w:pStyle w:val="17"/>
        <w:overflowPunct w:val="0"/>
        <w:spacing w:line="460" w:lineRule="exact"/>
        <w:ind w:firstLine="570" w:firstLineChars="19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日期：    年  月  日</w:t>
      </w:r>
    </w:p>
    <w:p>
      <w:pPr>
        <w:tabs>
          <w:tab w:val="left" w:pos="606"/>
        </w:tabs>
        <w:spacing w:line="460" w:lineRule="exact"/>
        <w:rPr>
          <w:rFonts w:ascii="仿宋" w:hAnsi="仿宋" w:eastAsia="仿宋"/>
          <w:color w:val="000000" w:themeColor="text1"/>
          <w:spacing w:val="20"/>
          <w:sz w:val="30"/>
          <w:szCs w:val="30"/>
          <w14:textFill>
            <w14:solidFill>
              <w14:schemeClr w14:val="tx1"/>
            </w14:solidFill>
          </w14:textFill>
        </w:rPr>
      </w:pPr>
    </w:p>
    <w:p>
      <w:pPr>
        <w:tabs>
          <w:tab w:val="left" w:pos="606"/>
        </w:tabs>
        <w:spacing w:line="460" w:lineRule="exact"/>
        <w:rPr>
          <w:rFonts w:ascii="仿宋" w:hAnsi="仿宋" w:eastAsia="仿宋"/>
          <w:color w:val="000000" w:themeColor="text1"/>
          <w:spacing w:val="20"/>
          <w:sz w:val="30"/>
          <w:szCs w:val="30"/>
          <w14:textFill>
            <w14:solidFill>
              <w14:schemeClr w14:val="tx1"/>
            </w14:solidFill>
          </w14:textFill>
        </w:rPr>
      </w:pPr>
    </w:p>
    <w:tbl>
      <w:tblPr>
        <w:tblStyle w:val="58"/>
        <w:tblW w:w="0" w:type="auto"/>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color w:val="000000" w:themeColor="text1"/>
                <w:sz w:val="30"/>
                <w:szCs w:val="30"/>
                <w14:textFill>
                  <w14:solidFill>
                    <w14:schemeClr w14:val="tx1"/>
                  </w14:solidFill>
                </w14:textFill>
              </w:rPr>
            </w:pPr>
          </w:p>
          <w:p>
            <w:pPr>
              <w:pStyle w:val="17"/>
              <w:overflowPunct w:val="0"/>
              <w:spacing w:line="460" w:lineRule="exact"/>
              <w:ind w:firstLine="0"/>
              <w:rPr>
                <w:rFonts w:ascii="仿宋" w:hAnsi="仿宋" w:eastAsia="仿宋"/>
                <w:color w:val="000000" w:themeColor="text1"/>
                <w:sz w:val="30"/>
                <w:szCs w:val="30"/>
                <w14:textFill>
                  <w14:solidFill>
                    <w14:schemeClr w14:val="tx1"/>
                  </w14:solidFill>
                </w14:textFill>
              </w:rPr>
            </w:pPr>
          </w:p>
          <w:p>
            <w:pPr>
              <w:pStyle w:val="17"/>
              <w:overflowPunct w:val="0"/>
              <w:spacing w:line="460" w:lineRule="exact"/>
              <w:ind w:firstLine="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联合体甲方单位：   （公章）</w:t>
            </w:r>
          </w:p>
          <w:p>
            <w:pPr>
              <w:pStyle w:val="17"/>
              <w:overflowPunct w:val="0"/>
              <w:spacing w:line="460" w:lineRule="exact"/>
              <w:ind w:firstLine="0"/>
              <w:rPr>
                <w:rFonts w:ascii="仿宋" w:hAnsi="仿宋" w:eastAsia="仿宋"/>
                <w:color w:val="000000" w:themeColor="text1"/>
                <w:sz w:val="30"/>
                <w:szCs w:val="30"/>
                <w14:textFill>
                  <w14:solidFill>
                    <w14:schemeClr w14:val="tx1"/>
                  </w14:solidFill>
                </w14:textFill>
              </w:rPr>
            </w:pPr>
          </w:p>
          <w:p>
            <w:pPr>
              <w:pStyle w:val="17"/>
              <w:overflowPunct w:val="0"/>
              <w:spacing w:line="460" w:lineRule="exact"/>
              <w:ind w:firstLine="0"/>
              <w:rPr>
                <w:rFonts w:ascii="仿宋" w:hAnsi="仿宋" w:eastAsia="仿宋"/>
                <w:color w:val="000000" w:themeColor="text1"/>
                <w:sz w:val="30"/>
                <w:szCs w:val="30"/>
                <w14:textFill>
                  <w14:solidFill>
                    <w14:schemeClr w14:val="tx1"/>
                  </w14:solidFill>
                </w14:textFill>
              </w:rPr>
            </w:pPr>
          </w:p>
          <w:p>
            <w:pPr>
              <w:pStyle w:val="17"/>
              <w:overflowPunct w:val="0"/>
              <w:spacing w:line="460" w:lineRule="exact"/>
              <w:ind w:firstLine="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法定代表人：     （签章）</w:t>
            </w:r>
          </w:p>
          <w:p>
            <w:pPr>
              <w:pStyle w:val="17"/>
              <w:overflowPunct w:val="0"/>
              <w:spacing w:line="460" w:lineRule="exact"/>
              <w:ind w:firstLine="0"/>
              <w:rPr>
                <w:rFonts w:ascii="仿宋" w:hAnsi="仿宋" w:eastAsia="仿宋"/>
                <w:color w:val="000000" w:themeColor="text1"/>
                <w:sz w:val="30"/>
                <w:szCs w:val="30"/>
                <w14:textFill>
                  <w14:solidFill>
                    <w14:schemeClr w14:val="tx1"/>
                  </w14:solidFill>
                </w14:textFill>
              </w:rPr>
            </w:pPr>
          </w:p>
          <w:p>
            <w:pPr>
              <w:pStyle w:val="17"/>
              <w:overflowPunct w:val="0"/>
              <w:spacing w:line="460" w:lineRule="exact"/>
              <w:ind w:firstLine="0"/>
              <w:rPr>
                <w:rFonts w:ascii="仿宋" w:hAnsi="仿宋" w:eastAsia="仿宋"/>
                <w:color w:val="000000" w:themeColor="text1"/>
                <w:sz w:val="30"/>
                <w:szCs w:val="30"/>
                <w14:textFill>
                  <w14:solidFill>
                    <w14:schemeClr w14:val="tx1"/>
                  </w14:solidFill>
                </w14:textFill>
              </w:rPr>
            </w:pPr>
          </w:p>
          <w:p>
            <w:pPr>
              <w:pStyle w:val="17"/>
              <w:overflowPunct w:val="0"/>
              <w:spacing w:line="460" w:lineRule="exact"/>
              <w:ind w:firstLine="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日  期：  年  月   日</w:t>
            </w:r>
          </w:p>
        </w:tc>
        <w:tc>
          <w:tcPr>
            <w:tcW w:w="4264" w:type="dxa"/>
          </w:tcPr>
          <w:p>
            <w:pPr>
              <w:pStyle w:val="17"/>
              <w:overflowPunct w:val="0"/>
              <w:spacing w:line="460" w:lineRule="exact"/>
              <w:ind w:firstLine="0"/>
              <w:rPr>
                <w:rFonts w:ascii="仿宋" w:hAnsi="仿宋" w:eastAsia="仿宋"/>
                <w:color w:val="000000" w:themeColor="text1"/>
                <w:sz w:val="30"/>
                <w:szCs w:val="30"/>
                <w14:textFill>
                  <w14:solidFill>
                    <w14:schemeClr w14:val="tx1"/>
                  </w14:solidFill>
                </w14:textFill>
              </w:rPr>
            </w:pPr>
          </w:p>
          <w:p>
            <w:pPr>
              <w:pStyle w:val="17"/>
              <w:overflowPunct w:val="0"/>
              <w:spacing w:line="460" w:lineRule="exact"/>
              <w:ind w:firstLine="0"/>
              <w:rPr>
                <w:rFonts w:ascii="仿宋" w:hAnsi="仿宋" w:eastAsia="仿宋"/>
                <w:color w:val="000000" w:themeColor="text1"/>
                <w:sz w:val="30"/>
                <w:szCs w:val="30"/>
                <w14:textFill>
                  <w14:solidFill>
                    <w14:schemeClr w14:val="tx1"/>
                  </w14:solidFill>
                </w14:textFill>
              </w:rPr>
            </w:pPr>
          </w:p>
          <w:p>
            <w:pPr>
              <w:pStyle w:val="17"/>
              <w:overflowPunct w:val="0"/>
              <w:spacing w:line="460" w:lineRule="exact"/>
              <w:ind w:firstLine="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联合体乙方单位：   （公章）</w:t>
            </w:r>
          </w:p>
          <w:p>
            <w:pPr>
              <w:pStyle w:val="17"/>
              <w:overflowPunct w:val="0"/>
              <w:spacing w:line="460" w:lineRule="exact"/>
              <w:ind w:firstLine="0"/>
              <w:rPr>
                <w:rFonts w:ascii="仿宋" w:hAnsi="仿宋" w:eastAsia="仿宋"/>
                <w:color w:val="000000" w:themeColor="text1"/>
                <w:sz w:val="30"/>
                <w:szCs w:val="30"/>
                <w14:textFill>
                  <w14:solidFill>
                    <w14:schemeClr w14:val="tx1"/>
                  </w14:solidFill>
                </w14:textFill>
              </w:rPr>
            </w:pPr>
          </w:p>
          <w:p>
            <w:pPr>
              <w:pStyle w:val="17"/>
              <w:overflowPunct w:val="0"/>
              <w:spacing w:line="460" w:lineRule="exact"/>
              <w:ind w:firstLine="0"/>
              <w:rPr>
                <w:rFonts w:ascii="仿宋" w:hAnsi="仿宋" w:eastAsia="仿宋"/>
                <w:color w:val="000000" w:themeColor="text1"/>
                <w:sz w:val="30"/>
                <w:szCs w:val="30"/>
                <w14:textFill>
                  <w14:solidFill>
                    <w14:schemeClr w14:val="tx1"/>
                  </w14:solidFill>
                </w14:textFill>
              </w:rPr>
            </w:pPr>
          </w:p>
          <w:p>
            <w:pPr>
              <w:pStyle w:val="17"/>
              <w:overflowPunct w:val="0"/>
              <w:spacing w:line="460" w:lineRule="exact"/>
              <w:ind w:firstLine="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法定代表人：     （签章）</w:t>
            </w:r>
          </w:p>
          <w:p>
            <w:pPr>
              <w:pStyle w:val="17"/>
              <w:overflowPunct w:val="0"/>
              <w:spacing w:line="460" w:lineRule="exact"/>
              <w:ind w:firstLine="0"/>
              <w:rPr>
                <w:rFonts w:ascii="仿宋" w:hAnsi="仿宋" w:eastAsia="仿宋"/>
                <w:color w:val="000000" w:themeColor="text1"/>
                <w:sz w:val="30"/>
                <w:szCs w:val="30"/>
                <w14:textFill>
                  <w14:solidFill>
                    <w14:schemeClr w14:val="tx1"/>
                  </w14:solidFill>
                </w14:textFill>
              </w:rPr>
            </w:pPr>
          </w:p>
          <w:p>
            <w:pPr>
              <w:pStyle w:val="17"/>
              <w:overflowPunct w:val="0"/>
              <w:spacing w:line="460" w:lineRule="exact"/>
              <w:ind w:firstLine="0"/>
              <w:rPr>
                <w:rFonts w:ascii="仿宋" w:hAnsi="仿宋" w:eastAsia="仿宋"/>
                <w:color w:val="000000" w:themeColor="text1"/>
                <w:sz w:val="30"/>
                <w:szCs w:val="30"/>
                <w14:textFill>
                  <w14:solidFill>
                    <w14:schemeClr w14:val="tx1"/>
                  </w14:solidFill>
                </w14:textFill>
              </w:rPr>
            </w:pPr>
          </w:p>
          <w:p>
            <w:pPr>
              <w:pStyle w:val="17"/>
              <w:overflowPunct w:val="0"/>
              <w:spacing w:line="460" w:lineRule="exact"/>
              <w:ind w:firstLine="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日  期：  年  月   日</w:t>
            </w:r>
          </w:p>
        </w:tc>
      </w:tr>
    </w:tbl>
    <w:p>
      <w:pPr>
        <w:snapToGrid w:val="0"/>
        <w:spacing w:before="120" w:beforeLines="50" w:after="50"/>
        <w:rPr>
          <w:rFonts w:ascii="仿宋" w:hAnsi="仿宋" w:eastAsia="仿宋"/>
          <w:b/>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附件7</w:t>
      </w:r>
      <w:r>
        <w:rPr>
          <w:rFonts w:hint="eastAsia" w:ascii="仿宋" w:hAnsi="仿宋" w:eastAsia="仿宋"/>
          <w:b/>
          <w:color w:val="000000" w:themeColor="text1"/>
          <w:sz w:val="30"/>
          <w:szCs w:val="30"/>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正本或副本</w:t>
      </w:r>
    </w:p>
    <w:p>
      <w:pPr>
        <w:ind w:right="-110"/>
        <w:jc w:val="center"/>
        <w:rPr>
          <w:rFonts w:ascii="仿宋" w:hAnsi="仿宋" w:eastAsia="仿宋"/>
          <w:color w:val="000000" w:themeColor="text1"/>
          <w:spacing w:val="40"/>
          <w:sz w:val="52"/>
          <w:szCs w:val="52"/>
          <w14:textFill>
            <w14:solidFill>
              <w14:schemeClr w14:val="tx1"/>
            </w14:solidFill>
          </w14:textFill>
        </w:rPr>
      </w:pPr>
      <w:r>
        <w:rPr>
          <w:rFonts w:hint="eastAsia" w:ascii="仿宋" w:hAnsi="仿宋" w:eastAsia="仿宋"/>
          <w:color w:val="000000" w:themeColor="text1"/>
          <w:spacing w:val="40"/>
          <w:sz w:val="52"/>
          <w:szCs w:val="52"/>
          <w14:textFill>
            <w14:solidFill>
              <w14:schemeClr w14:val="tx1"/>
            </w14:solidFill>
          </w14:textFill>
        </w:rPr>
        <w:t>项目名称</w:t>
      </w:r>
    </w:p>
    <w:p>
      <w:pPr>
        <w:spacing w:before="240" w:beforeLines="100" w:line="240" w:lineRule="atLeast"/>
        <w:jc w:val="center"/>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项目编号：</w:t>
      </w:r>
      <w:r>
        <w:rPr>
          <w:rFonts w:ascii="仿宋" w:hAnsi="仿宋" w:eastAsia="仿宋"/>
          <w:color w:val="000000" w:themeColor="text1"/>
          <w:sz w:val="36"/>
          <w:szCs w:val="36"/>
          <w14:textFill>
            <w14:solidFill>
              <w14:schemeClr w14:val="tx1"/>
            </w14:solidFill>
          </w14:textFill>
        </w:rPr>
        <w:t>ZB2021-03</w:t>
      </w:r>
      <w:r>
        <w:rPr>
          <w:rFonts w:hint="eastAsia" w:ascii="仿宋" w:hAnsi="仿宋" w:eastAsia="仿宋"/>
          <w:color w:val="000000" w:themeColor="text1"/>
          <w:sz w:val="36"/>
          <w:szCs w:val="36"/>
          <w14:textFill>
            <w14:solidFill>
              <w14:schemeClr w14:val="tx1"/>
            </w14:solidFill>
          </w14:textFill>
        </w:rPr>
        <w:t>（标项）</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技</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术</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及</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商</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务</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文</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件</w:t>
      </w:r>
    </w:p>
    <w:p>
      <w:pPr>
        <w:pStyle w:val="486"/>
        <w:spacing w:line="360" w:lineRule="auto"/>
        <w:rPr>
          <w:rFonts w:ascii="宋体" w:hAnsi="宋体"/>
          <w:color w:val="000000" w:themeColor="text1"/>
          <w:sz w:val="28"/>
          <w:u w:val="single"/>
          <w14:textFill>
            <w14:solidFill>
              <w14:schemeClr w14:val="tx1"/>
            </w14:solidFill>
          </w14:textFill>
        </w:rPr>
      </w:pPr>
      <w:r>
        <w:rPr>
          <w:rFonts w:hint="eastAsia" w:ascii="宋体" w:hAnsi="宋体"/>
          <w:color w:val="000000" w:themeColor="text1"/>
          <w:sz w:val="28"/>
          <w14:textFill>
            <w14:solidFill>
              <w14:schemeClr w14:val="tx1"/>
            </w14:solidFill>
          </w14:textFill>
        </w:rPr>
        <w:t>投标人全称：</w:t>
      </w:r>
      <w:r>
        <w:rPr>
          <w:rFonts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14:textFill>
            <w14:solidFill>
              <w14:schemeClr w14:val="tx1"/>
            </w14:solidFill>
          </w14:textFill>
        </w:rPr>
        <w:t>（加盖单位公章）</w:t>
      </w:r>
    </w:p>
    <w:p>
      <w:pPr>
        <w:pStyle w:val="486"/>
        <w:spacing w:line="360" w:lineRule="auto"/>
        <w:rPr>
          <w:rFonts w:ascii="宋体" w:hAnsi="宋体"/>
          <w:color w:val="000000" w:themeColor="text1"/>
          <w:sz w:val="28"/>
          <w:u w:val="single"/>
          <w14:textFill>
            <w14:solidFill>
              <w14:schemeClr w14:val="tx1"/>
            </w14:solidFill>
          </w14:textFill>
        </w:rPr>
      </w:pPr>
      <w:r>
        <w:rPr>
          <w:rFonts w:hint="eastAsia" w:ascii="宋体" w:hAnsi="宋体"/>
          <w:color w:val="000000" w:themeColor="text1"/>
          <w:sz w:val="28"/>
          <w14:textFill>
            <w14:solidFill>
              <w14:schemeClr w14:val="tx1"/>
            </w14:solidFill>
          </w14:textFill>
        </w:rPr>
        <w:t>法定代表人印刷体姓名：</w:t>
      </w:r>
      <w:r>
        <w:rPr>
          <w:rFonts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14:textFill>
            <w14:solidFill>
              <w14:schemeClr w14:val="tx1"/>
            </w14:solidFill>
          </w14:textFill>
        </w:rPr>
        <w:t xml:space="preserve">  签字：</w:t>
      </w:r>
      <w:r>
        <w:rPr>
          <w:rFonts w:hint="eastAsia" w:ascii="宋体" w:hAnsi="宋体"/>
          <w:color w:val="000000" w:themeColor="text1"/>
          <w:sz w:val="28"/>
          <w:u w:val="single"/>
          <w14:textFill>
            <w14:solidFill>
              <w14:schemeClr w14:val="tx1"/>
            </w14:solidFill>
          </w14:textFill>
        </w:rPr>
        <w:t xml:space="preserve">              </w:t>
      </w:r>
    </w:p>
    <w:p>
      <w:pPr>
        <w:pStyle w:val="486"/>
        <w:spacing w:line="360" w:lineRule="auto"/>
        <w:rPr>
          <w:rFonts w:ascii="宋体" w:hAnsi="宋体"/>
          <w:color w:val="000000" w:themeColor="text1"/>
          <w:sz w:val="28"/>
          <w:u w:val="single"/>
          <w14:textFill>
            <w14:solidFill>
              <w14:schemeClr w14:val="tx1"/>
            </w14:solidFill>
          </w14:textFill>
        </w:rPr>
      </w:pPr>
      <w:r>
        <w:rPr>
          <w:rFonts w:hint="eastAsia" w:ascii="宋体" w:hAnsi="宋体"/>
          <w:color w:val="000000" w:themeColor="text1"/>
          <w:sz w:val="28"/>
          <w14:textFill>
            <w14:solidFill>
              <w14:schemeClr w14:val="tx1"/>
            </w14:solidFill>
          </w14:textFill>
        </w:rPr>
        <w:t>授权投标代表印刷体姓名：</w:t>
      </w:r>
      <w:r>
        <w:rPr>
          <w:rFonts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14:textFill>
            <w14:solidFill>
              <w14:schemeClr w14:val="tx1"/>
            </w14:solidFill>
          </w14:textFill>
        </w:rPr>
        <w:t xml:space="preserve">  签字：</w:t>
      </w:r>
      <w:r>
        <w:rPr>
          <w:rFonts w:hint="eastAsia" w:ascii="宋体" w:hAnsi="宋体"/>
          <w:color w:val="000000" w:themeColor="text1"/>
          <w:sz w:val="28"/>
          <w:u w:val="single"/>
          <w14:textFill>
            <w14:solidFill>
              <w14:schemeClr w14:val="tx1"/>
            </w14:solidFill>
          </w14:textFill>
        </w:rPr>
        <w:t xml:space="preserve">              </w:t>
      </w:r>
    </w:p>
    <w:p>
      <w:pPr>
        <w:pStyle w:val="486"/>
        <w:spacing w:line="360" w:lineRule="auto"/>
        <w:rPr>
          <w:rFonts w:ascii="宋体" w:hAnsi="宋体"/>
          <w:color w:val="000000" w:themeColor="text1"/>
          <w:sz w:val="28"/>
          <w:u w:val="single"/>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投标人地址：   </w:t>
      </w:r>
      <w:r>
        <w:rPr>
          <w:rFonts w:ascii="宋体" w:hAnsi="宋体"/>
          <w:color w:val="000000" w:themeColor="text1"/>
          <w:sz w:val="28"/>
          <w:u w:val="single"/>
          <w14:textFill>
            <w14:solidFill>
              <w14:schemeClr w14:val="tx1"/>
            </w14:solidFill>
          </w14:textFill>
        </w:rPr>
        <w:t xml:space="preserve">                                         </w:t>
      </w:r>
    </w:p>
    <w:p>
      <w:pPr>
        <w:pStyle w:val="486"/>
        <w:spacing w:line="360" w:lineRule="auto"/>
        <w:rPr>
          <w:rFonts w:ascii="宋体" w:hAnsi="宋体"/>
          <w:color w:val="000000" w:themeColor="text1"/>
          <w:sz w:val="28"/>
          <w:u w:val="single"/>
          <w14:textFill>
            <w14:solidFill>
              <w14:schemeClr w14:val="tx1"/>
            </w14:solidFill>
          </w14:textFill>
        </w:rPr>
      </w:pPr>
      <w:r>
        <w:rPr>
          <w:rFonts w:hint="eastAsia" w:ascii="宋体" w:hAnsi="宋体"/>
          <w:color w:val="000000" w:themeColor="text1"/>
          <w:sz w:val="28"/>
          <w14:textFill>
            <w14:solidFill>
              <w14:schemeClr w14:val="tx1"/>
            </w14:solidFill>
          </w14:textFill>
        </w:rPr>
        <w:t>邮编：</w:t>
      </w:r>
      <w:r>
        <w:rPr>
          <w:rFonts w:hint="eastAsia" w:ascii="宋体" w:hAnsi="宋体"/>
          <w:color w:val="000000" w:themeColor="text1"/>
          <w:sz w:val="28"/>
          <w:u w:val="single"/>
          <w14:textFill>
            <w14:solidFill>
              <w14:schemeClr w14:val="tx1"/>
            </w14:solidFill>
          </w14:textFill>
        </w:rPr>
        <w:t xml:space="preserve">                                                  </w:t>
      </w:r>
    </w:p>
    <w:p>
      <w:pPr>
        <w:pStyle w:val="486"/>
        <w:spacing w:line="360" w:lineRule="auto"/>
        <w:rPr>
          <w:rFonts w:ascii="宋体" w:hAnsi="宋体"/>
          <w:color w:val="000000" w:themeColor="text1"/>
          <w:sz w:val="28"/>
          <w:u w:val="single"/>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联系电话：  </w:t>
      </w:r>
      <w:r>
        <w:rPr>
          <w:rFonts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u w:val="single"/>
          <w14:textFill>
            <w14:solidFill>
              <w14:schemeClr w14:val="tx1"/>
            </w14:solidFill>
          </w14:textFill>
        </w:rPr>
        <w:t xml:space="preserve">                 </w:t>
      </w:r>
    </w:p>
    <w:p>
      <w:pPr>
        <w:pStyle w:val="486"/>
        <w:spacing w:line="360" w:lineRule="auto"/>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开标时间：  </w:t>
      </w:r>
      <w:r>
        <w:rPr>
          <w:rFonts w:hint="eastAsia" w:ascii="宋体" w:hAnsi="宋体"/>
          <w:color w:val="000000" w:themeColor="text1"/>
          <w:sz w:val="28"/>
          <w:u w:val="single"/>
          <w14:textFill>
            <w14:solidFill>
              <w14:schemeClr w14:val="tx1"/>
            </w14:solidFill>
          </w14:textFill>
        </w:rPr>
        <w:t xml:space="preserve">                    </w:t>
      </w:r>
      <w:r>
        <w:rPr>
          <w:rFonts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u w:val="single"/>
          <w14:textFill>
            <w14:solidFill>
              <w14:schemeClr w14:val="tx1"/>
            </w14:solidFill>
          </w14:textFill>
        </w:rPr>
        <w:t xml:space="preserve">            </w:t>
      </w:r>
    </w:p>
    <w:p>
      <w:pPr>
        <w:snapToGrid w:val="0"/>
        <w:spacing w:before="50" w:after="50"/>
        <w:rPr>
          <w:rFonts w:ascii="仿宋" w:hAnsi="仿宋" w:eastAsia="仿宋"/>
          <w:b/>
          <w:bCs/>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2、</w:t>
      </w:r>
      <w:r>
        <w:rPr>
          <w:rFonts w:hint="eastAsia" w:ascii="仿宋" w:hAnsi="仿宋" w:eastAsia="仿宋"/>
          <w:b/>
          <w:bCs/>
          <w:color w:val="000000" w:themeColor="text1"/>
          <w:sz w:val="36"/>
          <w:szCs w:val="36"/>
          <w14:textFill>
            <w14:solidFill>
              <w14:schemeClr w14:val="tx1"/>
            </w14:solidFill>
          </w14:textFill>
        </w:rPr>
        <w:t>技术及商务文件目录</w:t>
      </w:r>
    </w:p>
    <w:p>
      <w:pPr>
        <w:snapToGrid w:val="0"/>
        <w:spacing w:before="5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（1）评分对应表（格式见附件，主要用于评委对应评分内容）</w:t>
      </w:r>
    </w:p>
    <w:p>
      <w:pPr>
        <w:snapToGrid w:val="0"/>
        <w:spacing w:before="5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（2）投标项目明细清单（含货物、服务等）；</w:t>
      </w:r>
    </w:p>
    <w:p>
      <w:pPr>
        <w:snapToGrid w:val="0"/>
        <w:spacing w:before="5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（3）技术响应表（格式见附件）；</w:t>
      </w:r>
    </w:p>
    <w:p>
      <w:pPr>
        <w:snapToGrid w:val="0"/>
        <w:spacing w:before="5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（4）项目总体解决方案（可包含且不限于对项目总体要求的理解、项目总体架构及技术解决方案等，须包含项目需求的各类方案）；</w:t>
      </w:r>
    </w:p>
    <w:p>
      <w:pPr>
        <w:snapToGrid w:val="0"/>
        <w:spacing w:before="5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（5）项目实施计划（可包含且不限于保证工期的组织方案及人力资源安排、项目组人员清单等，须包含项目需求的各类计划和预案）；</w:t>
      </w:r>
    </w:p>
    <w:p>
      <w:pPr>
        <w:snapToGrid w:val="0"/>
        <w:spacing w:before="5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（6）列入政府采购节能环保清单的证明资料（若有）；</w:t>
      </w:r>
    </w:p>
    <w:p>
      <w:pPr>
        <w:snapToGrid w:val="0"/>
        <w:spacing w:before="5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（7）商务响应表（格式见附件）；</w:t>
      </w:r>
    </w:p>
    <w:p>
      <w:pPr>
        <w:snapToGrid w:val="0"/>
        <w:spacing w:before="5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（8）售后服务计划（可包含且不限于对用户故障的响应、处理、定期巡检、备品备件、常用耗材提供、驻点人员情况等）；</w:t>
      </w:r>
    </w:p>
    <w:p>
      <w:pPr>
        <w:snapToGrid w:val="0"/>
        <w:spacing w:before="5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（9）技术培训计划（若有）；</w:t>
      </w:r>
    </w:p>
    <w:p>
      <w:pPr>
        <w:snapToGrid w:val="0"/>
        <w:spacing w:before="5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（10）投标人履约能力（可包含且不限于技术力量情况、投标人各项能力证书）；</w:t>
      </w:r>
    </w:p>
    <w:p>
      <w:pPr>
        <w:snapToGrid w:val="0"/>
        <w:spacing w:before="5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（11）案例的业绩证明（投标人业绩情况一览表、合同复印件、合同履行证明等）；</w:t>
      </w:r>
    </w:p>
    <w:p>
      <w:pPr>
        <w:snapToGrid w:val="0"/>
        <w:spacing w:before="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（12）投标方认为需要的其他文件资料。</w:t>
      </w:r>
      <w:r>
        <w:rPr>
          <w:rFonts w:hint="eastAsia" w:ascii="仿宋" w:hAnsi="仿宋" w:eastAsia="仿宋"/>
          <w:color w:val="000000" w:themeColor="text1"/>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附件8：</w:t>
      </w:r>
    </w:p>
    <w:p>
      <w:pPr>
        <w:snapToGrid w:val="0"/>
        <w:spacing w:before="50" w:after="5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评分对应表</w:t>
      </w:r>
    </w:p>
    <w:p>
      <w:pPr>
        <w:snapToGrid w:val="0"/>
        <w:spacing w:before="50"/>
        <w:jc w:val="center"/>
        <w:rPr>
          <w:rFonts w:ascii="仿宋" w:hAnsi="仿宋" w:eastAsia="仿宋"/>
          <w:b/>
          <w:color w:val="000000" w:themeColor="text1"/>
          <w:sz w:val="32"/>
          <w:szCs w:val="32"/>
          <w14:textFill>
            <w14:solidFill>
              <w14:schemeClr w14:val="tx1"/>
            </w14:solidFill>
          </w14:textFill>
        </w:rPr>
      </w:pPr>
    </w:p>
    <w:p>
      <w:pPr>
        <w:pStyle w:val="18"/>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              标项：</w:t>
      </w:r>
      <w:r>
        <w:rPr>
          <w:rFonts w:hint="eastAsia" w:ascii="仿宋" w:hAnsi="仿宋" w:eastAsia="仿宋"/>
          <w:color w:val="000000" w:themeColor="text1"/>
          <w:sz w:val="30"/>
          <w:szCs w:val="30"/>
          <w:u w:val="single"/>
          <w14:textFill>
            <w14:solidFill>
              <w14:schemeClr w14:val="tx1"/>
            </w14:solidFill>
          </w14:textFill>
        </w:rPr>
        <w:t xml:space="preserve">       </w:t>
      </w:r>
    </w:p>
    <w:tbl>
      <w:tblPr>
        <w:tblStyle w:val="5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bl>
    <w:p>
      <w:pPr>
        <w:snapToGrid w:val="0"/>
        <w:spacing w:before="120" w:beforeLines="5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授权代表签名：</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               日期：</w:t>
      </w:r>
      <w:r>
        <w:rPr>
          <w:rFonts w:hint="eastAsia" w:ascii="仿宋" w:hAnsi="仿宋" w:eastAsia="仿宋"/>
          <w:color w:val="000000" w:themeColor="text1"/>
          <w:sz w:val="30"/>
          <w:szCs w:val="30"/>
          <w:u w:val="single"/>
          <w14:textFill>
            <w14:solidFill>
              <w14:schemeClr w14:val="tx1"/>
            </w14:solidFill>
          </w14:textFill>
        </w:rPr>
        <w:t xml:space="preserve">         </w:t>
      </w: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附件9：</w:t>
      </w:r>
    </w:p>
    <w:p>
      <w:pPr>
        <w:snapToGrid w:val="0"/>
        <w:spacing w:before="50" w:after="120" w:afterLines="50"/>
        <w:jc w:val="center"/>
        <w:rPr>
          <w:rFonts w:ascii="仿宋" w:hAnsi="仿宋" w:eastAsia="仿宋"/>
          <w:b/>
          <w:color w:val="000000" w:themeColor="text1"/>
          <w:spacing w:val="40"/>
          <w:kern w:val="0"/>
          <w:sz w:val="36"/>
          <w:szCs w:val="36"/>
          <w14:textFill>
            <w14:solidFill>
              <w14:schemeClr w14:val="tx1"/>
            </w14:solidFill>
          </w14:textFill>
        </w:rPr>
      </w:pPr>
      <w:r>
        <w:rPr>
          <w:rFonts w:hint="eastAsia" w:ascii="仿宋" w:hAnsi="仿宋" w:eastAsia="仿宋"/>
          <w:b/>
          <w:color w:val="000000" w:themeColor="text1"/>
          <w:spacing w:val="40"/>
          <w:kern w:val="0"/>
          <w:sz w:val="36"/>
          <w:szCs w:val="36"/>
          <w14:textFill>
            <w14:solidFill>
              <w14:schemeClr w14:val="tx1"/>
            </w14:solidFill>
          </w14:textFill>
        </w:rPr>
        <w:t>投标项目明细清单</w:t>
      </w:r>
    </w:p>
    <w:p>
      <w:pPr>
        <w:snapToGrid w:val="0"/>
        <w:spacing w:before="50" w:after="120" w:afterLines="50"/>
        <w:jc w:val="center"/>
        <w:rPr>
          <w:rFonts w:ascii="仿宋" w:hAnsi="仿宋" w:eastAsia="仿宋"/>
          <w:b/>
          <w:color w:val="000000" w:themeColor="text1"/>
          <w:spacing w:val="40"/>
          <w:kern w:val="0"/>
          <w:sz w:val="36"/>
          <w:szCs w:val="36"/>
          <w14:textFill>
            <w14:solidFill>
              <w14:schemeClr w14:val="tx1"/>
            </w14:solidFill>
          </w14:textFill>
        </w:rPr>
      </w:pPr>
    </w:p>
    <w:p>
      <w:pPr>
        <w:pStyle w:val="18"/>
        <w:snapToGrid w:val="0"/>
        <w:rPr>
          <w:rFonts w:ascii="仿宋" w:hAnsi="仿宋" w:eastAsia="仿宋"/>
          <w:color w:val="000000" w:themeColor="text1"/>
          <w:kern w:val="0"/>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                标项：</w:t>
      </w:r>
      <w:r>
        <w:rPr>
          <w:rFonts w:hint="eastAsia" w:ascii="仿宋" w:hAnsi="仿宋" w:eastAsia="仿宋"/>
          <w:color w:val="000000" w:themeColor="text1"/>
          <w:sz w:val="30"/>
          <w:szCs w:val="30"/>
          <w:u w:val="single"/>
          <w14:textFill>
            <w14:solidFill>
              <w14:schemeClr w14:val="tx1"/>
            </w14:solidFill>
          </w14:textFill>
        </w:rPr>
        <w:t xml:space="preserve">    </w:t>
      </w:r>
    </w:p>
    <w:p>
      <w:pPr>
        <w:pStyle w:val="18"/>
        <w:snapToGrid w:val="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货物类</w:t>
      </w:r>
    </w:p>
    <w:tbl>
      <w:tblPr>
        <w:tblStyle w:val="5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规格</w:t>
            </w:r>
          </w:p>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单位及</w:t>
            </w:r>
          </w:p>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themeColor="text1"/>
                <w:sz w:val="30"/>
                <w:szCs w:val="30"/>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themeColor="text1"/>
                <w:sz w:val="30"/>
                <w:szCs w:val="30"/>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r>
    </w:tbl>
    <w:p>
      <w:pPr>
        <w:snapToGrid w:val="0"/>
        <w:spacing w:before="120" w:beforeLines="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服务类</w:t>
      </w:r>
    </w:p>
    <w:tbl>
      <w:tblPr>
        <w:tblStyle w:val="5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themeColor="text1"/>
                <w:sz w:val="30"/>
                <w:szCs w:val="30"/>
                <w14:textFill>
                  <w14:solidFill>
                    <w14:schemeClr w14:val="tx1"/>
                  </w14:solidFill>
                </w14:textFill>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themeColor="text1"/>
                <w:sz w:val="30"/>
                <w:szCs w:val="30"/>
                <w14:textFill>
                  <w14:solidFill>
                    <w14:schemeClr w14:val="tx1"/>
                  </w14:solidFill>
                </w14:textFill>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r>
    </w:tbl>
    <w:p>
      <w:pPr>
        <w:snapToGrid w:val="0"/>
        <w:spacing w:before="120" w:beforeLines="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注：在填写时，如上表不适合本项目的实际情况，可在确保投标明细内容完整的情况下，根据上表格式自行划表填写。</w:t>
      </w:r>
    </w:p>
    <w:p>
      <w:pPr>
        <w:snapToGrid w:val="0"/>
        <w:spacing w:before="120" w:beforeLines="50"/>
        <w:rPr>
          <w:rFonts w:ascii="仿宋" w:hAnsi="仿宋" w:eastAsia="仿宋"/>
          <w:color w:val="000000" w:themeColor="text1"/>
          <w:sz w:val="30"/>
          <w:szCs w:val="30"/>
          <w14:textFill>
            <w14:solidFill>
              <w14:schemeClr w14:val="tx1"/>
            </w14:solidFill>
          </w14:textFill>
        </w:rPr>
      </w:pPr>
    </w:p>
    <w:p>
      <w:pPr>
        <w:snapToGrid w:val="0"/>
        <w:spacing w:before="120" w:beforeLines="5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授权代表签名：</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               日期：</w:t>
      </w:r>
      <w:r>
        <w:rPr>
          <w:rFonts w:hint="eastAsia" w:ascii="仿宋" w:hAnsi="仿宋" w:eastAsia="仿宋"/>
          <w:color w:val="000000" w:themeColor="text1"/>
          <w:sz w:val="30"/>
          <w:szCs w:val="30"/>
          <w:u w:val="single"/>
          <w14:textFill>
            <w14:solidFill>
              <w14:schemeClr w14:val="tx1"/>
            </w14:solidFill>
          </w14:textFill>
        </w:rPr>
        <w:t xml:space="preserve">         </w:t>
      </w:r>
    </w:p>
    <w:p>
      <w:pPr>
        <w:snapToGrid w:val="0"/>
        <w:spacing w:before="50" w:after="50"/>
        <w:rPr>
          <w:rFonts w:ascii="仿宋" w:hAnsi="仿宋" w:eastAsia="仿宋"/>
          <w:color w:val="000000" w:themeColor="text1"/>
          <w:spacing w:val="20"/>
          <w:sz w:val="30"/>
          <w:szCs w:val="30"/>
          <w14:textFill>
            <w14:solidFill>
              <w14:schemeClr w14:val="tx1"/>
            </w14:solidFill>
          </w14:textFill>
        </w:rPr>
      </w:pPr>
    </w:p>
    <w:p>
      <w:pPr>
        <w:snapToGrid w:val="0"/>
        <w:spacing w:before="50" w:after="50"/>
        <w:rPr>
          <w:rFonts w:ascii="仿宋" w:hAnsi="仿宋" w:eastAsia="仿宋"/>
          <w:color w:val="000000" w:themeColor="text1"/>
          <w:spacing w:val="20"/>
          <w:sz w:val="30"/>
          <w:szCs w:val="30"/>
          <w14:textFill>
            <w14:solidFill>
              <w14:schemeClr w14:val="tx1"/>
            </w14:solidFill>
          </w14:textFill>
        </w:rPr>
      </w:pPr>
    </w:p>
    <w:p>
      <w:pPr>
        <w:snapToGrid w:val="0"/>
        <w:spacing w:before="50" w:after="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pacing w:val="2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附件10：</w:t>
      </w:r>
    </w:p>
    <w:p>
      <w:pPr>
        <w:snapToGrid w:val="0"/>
        <w:spacing w:before="50" w:after="120" w:afterLines="50"/>
        <w:jc w:val="center"/>
        <w:rPr>
          <w:rFonts w:ascii="仿宋" w:hAnsi="仿宋" w:eastAsia="仿宋"/>
          <w:b/>
          <w:color w:val="000000" w:themeColor="text1"/>
          <w:spacing w:val="40"/>
          <w:kern w:val="0"/>
          <w:sz w:val="36"/>
          <w:szCs w:val="36"/>
          <w14:textFill>
            <w14:solidFill>
              <w14:schemeClr w14:val="tx1"/>
            </w14:solidFill>
          </w14:textFill>
        </w:rPr>
      </w:pPr>
      <w:r>
        <w:rPr>
          <w:rFonts w:hint="eastAsia" w:ascii="仿宋" w:hAnsi="仿宋" w:eastAsia="仿宋"/>
          <w:b/>
          <w:color w:val="000000" w:themeColor="text1"/>
          <w:spacing w:val="40"/>
          <w:kern w:val="0"/>
          <w:sz w:val="36"/>
          <w:szCs w:val="36"/>
          <w14:textFill>
            <w14:solidFill>
              <w14:schemeClr w14:val="tx1"/>
            </w14:solidFill>
          </w14:textFill>
        </w:rPr>
        <w:t>技 术 响 应 表</w:t>
      </w:r>
    </w:p>
    <w:p>
      <w:pPr>
        <w:snapToGrid w:val="0"/>
        <w:spacing w:before="50" w:after="120" w:afterLines="50"/>
        <w:jc w:val="center"/>
        <w:rPr>
          <w:rFonts w:ascii="仿宋" w:hAnsi="仿宋" w:eastAsia="仿宋"/>
          <w:b/>
          <w:color w:val="000000" w:themeColor="text1"/>
          <w:sz w:val="32"/>
          <w:szCs w:val="32"/>
          <w14:textFill>
            <w14:solidFill>
              <w14:schemeClr w14:val="tx1"/>
            </w14:solidFill>
          </w14:textFill>
        </w:rPr>
      </w:pPr>
    </w:p>
    <w:p>
      <w:pPr>
        <w:pStyle w:val="18"/>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            标项：</w:t>
      </w:r>
      <w:r>
        <w:rPr>
          <w:rFonts w:hint="eastAsia" w:ascii="仿宋" w:hAnsi="仿宋" w:eastAsia="仿宋"/>
          <w:color w:val="000000" w:themeColor="text1"/>
          <w:sz w:val="30"/>
          <w:szCs w:val="30"/>
          <w:u w:val="single"/>
          <w14:textFill>
            <w14:solidFill>
              <w14:schemeClr w14:val="tx1"/>
            </w14:solidFill>
          </w14:textFill>
        </w:rPr>
        <w:t xml:space="preserve">       </w:t>
      </w:r>
    </w:p>
    <w:tbl>
      <w:tblPr>
        <w:tblStyle w:val="5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27"/>
        <w:gridCol w:w="2878"/>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trPr>
        <w:tc>
          <w:tcPr>
            <w:tcW w:w="3227"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招标文件要求</w:t>
            </w:r>
          </w:p>
        </w:tc>
        <w:tc>
          <w:tcPr>
            <w:tcW w:w="2878"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284" w:hRule="atLeast"/>
        </w:trPr>
        <w:tc>
          <w:tcPr>
            <w:tcW w:w="3227"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878"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227"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878"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227"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878"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227"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878"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nil"/>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227"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878"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227"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878"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r>
    </w:tbl>
    <w:p>
      <w:pPr>
        <w:pStyle w:val="23"/>
        <w:rPr>
          <w:rFonts w:ascii="仿宋" w:hAnsi="仿宋" w:eastAsia="仿宋"/>
          <w:color w:val="000000"/>
          <w:spacing w:val="20"/>
          <w:kern w:val="0"/>
          <w:sz w:val="30"/>
          <w:szCs w:val="30"/>
        </w:rPr>
      </w:pPr>
      <w:r>
        <w:rPr>
          <w:rFonts w:hint="eastAsia" w:ascii="仿宋" w:hAnsi="仿宋" w:eastAsia="仿宋"/>
          <w:color w:val="000000" w:themeColor="text1"/>
          <w:sz w:val="30"/>
          <w:szCs w:val="30"/>
          <w14:textFill>
            <w14:solidFill>
              <w14:schemeClr w14:val="tx1"/>
            </w14:solidFill>
          </w14:textFill>
        </w:rPr>
        <w:t>注：</w:t>
      </w:r>
      <w:r>
        <w:rPr>
          <w:rFonts w:hint="eastAsia" w:ascii="仿宋" w:hAnsi="仿宋" w:eastAsia="仿宋"/>
          <w:color w:val="000000"/>
          <w:sz w:val="30"/>
          <w:szCs w:val="30"/>
        </w:rPr>
        <w:t>投标人应根据招标文件中所采购服务的内容和要求逐项响应并在“偏离情况”栏注明“正偏离”、“负偏离”或“无偏离”</w:t>
      </w:r>
    </w:p>
    <w:p>
      <w:pPr>
        <w:pStyle w:val="23"/>
        <w:rPr>
          <w:rFonts w:ascii="仿宋" w:hAnsi="仿宋" w:eastAsia="仿宋"/>
          <w:color w:val="000000" w:themeColor="text1"/>
          <w:spacing w:val="20"/>
          <w:kern w:val="0"/>
          <w:sz w:val="30"/>
          <w:szCs w:val="30"/>
          <w14:textFill>
            <w14:solidFill>
              <w14:schemeClr w14:val="tx1"/>
            </w14:solidFill>
          </w14:textFill>
        </w:rPr>
      </w:pPr>
    </w:p>
    <w:p>
      <w:pPr>
        <w:snapToGrid w:val="0"/>
        <w:spacing w:before="50" w:after="50"/>
        <w:rPr>
          <w:rFonts w:ascii="仿宋" w:hAnsi="仿宋" w:eastAsia="仿宋"/>
          <w:color w:val="000000" w:themeColor="text1"/>
          <w:spacing w:val="20"/>
          <w:sz w:val="30"/>
          <w:szCs w:val="30"/>
          <w14:textFill>
            <w14:solidFill>
              <w14:schemeClr w14:val="tx1"/>
            </w14:solidFill>
          </w14:textFill>
        </w:rPr>
      </w:pPr>
    </w:p>
    <w:p>
      <w:pPr>
        <w:snapToGrid w:val="0"/>
        <w:spacing w:before="50" w:after="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pacing w:val="20"/>
          <w:sz w:val="30"/>
          <w:szCs w:val="30"/>
          <w14:textFill>
            <w14:solidFill>
              <w14:schemeClr w14:val="tx1"/>
            </w14:solidFill>
          </w14:textFill>
        </w:rPr>
        <w:t>授权代表签名：</w:t>
      </w:r>
      <w:r>
        <w:rPr>
          <w:rFonts w:hint="eastAsia" w:ascii="仿宋" w:hAnsi="仿宋" w:eastAsia="仿宋"/>
          <w:color w:val="000000" w:themeColor="text1"/>
          <w:spacing w:val="20"/>
          <w:sz w:val="30"/>
          <w:szCs w:val="30"/>
          <w:u w:val="single"/>
          <w14:textFill>
            <w14:solidFill>
              <w14:schemeClr w14:val="tx1"/>
            </w14:solidFill>
          </w14:textFill>
        </w:rPr>
        <w:t xml:space="preserve">        </w:t>
      </w:r>
      <w:r>
        <w:rPr>
          <w:rFonts w:hint="eastAsia" w:ascii="仿宋" w:hAnsi="仿宋" w:eastAsia="仿宋"/>
          <w:color w:val="000000" w:themeColor="text1"/>
          <w:spacing w:val="20"/>
          <w:sz w:val="30"/>
          <w:szCs w:val="30"/>
          <w14:textFill>
            <w14:solidFill>
              <w14:schemeClr w14:val="tx1"/>
            </w14:solidFill>
          </w14:textFill>
        </w:rPr>
        <w:t xml:space="preserve">          日 期：</w:t>
      </w:r>
      <w:r>
        <w:rPr>
          <w:rFonts w:hint="eastAsia" w:ascii="仿宋" w:hAnsi="仿宋" w:eastAsia="仿宋"/>
          <w:color w:val="000000" w:themeColor="text1"/>
          <w:spacing w:val="20"/>
          <w:sz w:val="30"/>
          <w:szCs w:val="30"/>
          <w:u w:val="single"/>
          <w14:textFill>
            <w14:solidFill>
              <w14:schemeClr w14:val="tx1"/>
            </w14:solidFill>
          </w14:textFill>
        </w:rPr>
        <w:t xml:space="preserve">       </w:t>
      </w: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p>
    <w:p>
      <w:pPr>
        <w:snapToGrid w:val="0"/>
        <w:spacing w:before="50" w:after="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附件11：</w:t>
      </w:r>
    </w:p>
    <w:p>
      <w:pPr>
        <w:snapToGrid w:val="0"/>
        <w:spacing w:before="50" w:after="120" w:afterLines="50"/>
        <w:jc w:val="center"/>
        <w:rPr>
          <w:rFonts w:ascii="仿宋" w:hAnsi="仿宋" w:eastAsia="仿宋"/>
          <w:b/>
          <w:color w:val="000000" w:themeColor="text1"/>
          <w:kern w:val="0"/>
          <w:sz w:val="36"/>
          <w:szCs w:val="36"/>
          <w14:textFill>
            <w14:solidFill>
              <w14:schemeClr w14:val="tx1"/>
            </w14:solidFill>
          </w14:textFill>
        </w:rPr>
      </w:pPr>
      <w:r>
        <w:rPr>
          <w:rFonts w:hint="eastAsia" w:ascii="仿宋" w:hAnsi="仿宋" w:eastAsia="仿宋"/>
          <w:b/>
          <w:color w:val="000000" w:themeColor="text1"/>
          <w:kern w:val="0"/>
          <w:sz w:val="36"/>
          <w:szCs w:val="36"/>
          <w14:textFill>
            <w14:solidFill>
              <w14:schemeClr w14:val="tx1"/>
            </w14:solidFill>
          </w14:textFill>
        </w:rPr>
        <w:t>项目组人员清单</w:t>
      </w:r>
    </w:p>
    <w:p>
      <w:pPr>
        <w:snapToGrid w:val="0"/>
        <w:spacing w:before="120" w:beforeLines="50" w:after="50"/>
        <w:jc w:val="center"/>
        <w:rPr>
          <w:rFonts w:ascii="仿宋" w:hAnsi="仿宋" w:eastAsia="仿宋"/>
          <w:b/>
          <w:color w:val="000000" w:themeColor="text1"/>
          <w:sz w:val="30"/>
          <w:szCs w:val="30"/>
          <w14:textFill>
            <w14:solidFill>
              <w14:schemeClr w14:val="tx1"/>
            </w14:solidFill>
          </w14:textFill>
        </w:rPr>
      </w:pPr>
    </w:p>
    <w:p>
      <w:pPr>
        <w:pStyle w:val="18"/>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              标项：</w:t>
      </w:r>
      <w:r>
        <w:rPr>
          <w:rFonts w:hint="eastAsia" w:ascii="仿宋" w:hAnsi="仿宋" w:eastAsia="仿宋"/>
          <w:color w:val="000000" w:themeColor="text1"/>
          <w:sz w:val="30"/>
          <w:szCs w:val="30"/>
          <w:u w:val="single"/>
          <w14:textFill>
            <w14:solidFill>
              <w14:schemeClr w14:val="tx1"/>
            </w14:solidFill>
          </w14:textFill>
        </w:rPr>
        <w:t xml:space="preserve">       </w:t>
      </w:r>
    </w:p>
    <w:tbl>
      <w:tblPr>
        <w:tblStyle w:val="58"/>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专业技</w:t>
            </w:r>
          </w:p>
          <w:p>
            <w:pPr>
              <w:snapToGrid w:val="0"/>
              <w:spacing w:before="120" w:beforeLines="50" w:after="50" w:line="46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证书</w:t>
            </w:r>
          </w:p>
          <w:p>
            <w:pPr>
              <w:snapToGrid w:val="0"/>
              <w:spacing w:before="120" w:beforeLines="50" w:after="50" w:line="46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color w:val="000000" w:themeColor="text1"/>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color w:val="000000" w:themeColor="text1"/>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劳动合</w:t>
            </w:r>
          </w:p>
          <w:p>
            <w:pPr>
              <w:snapToGrid w:val="0"/>
              <w:spacing w:before="120" w:beforeLines="50" w:after="50" w:line="460" w:lineRule="exact"/>
              <w:jc w:val="center"/>
              <w:rPr>
                <w:rFonts w:ascii="仿宋" w:hAnsi="仿宋" w:eastAsia="仿宋"/>
                <w:bCs/>
                <w:color w:val="000000" w:themeColor="text1"/>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pStyle w:val="34"/>
              <w:snapToGrid w:val="0"/>
              <w:spacing w:before="120" w:beforeLines="50" w:after="50" w:line="460" w:lineRule="exact"/>
              <w:ind w:left="5250"/>
              <w:rPr>
                <w:rFonts w:ascii="仿宋" w:hAnsi="仿宋" w:eastAsia="仿宋"/>
                <w:color w:val="000000" w:themeColor="text1"/>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r>
    </w:tbl>
    <w:p>
      <w:pPr>
        <w:snapToGrid w:val="0"/>
        <w:spacing w:before="50" w:after="120" w:afterLines="50" w:line="460" w:lineRule="exact"/>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olor w:val="000000" w:themeColor="text1"/>
          <w:sz w:val="30"/>
          <w:szCs w:val="30"/>
          <w14:textFill>
            <w14:solidFill>
              <w14:schemeClr w14:val="tx1"/>
            </w14:solidFill>
          </w14:textFill>
        </w:rPr>
      </w:pPr>
    </w:p>
    <w:p>
      <w:pPr>
        <w:snapToGrid w:val="0"/>
        <w:spacing w:before="50" w:after="50" w:line="460" w:lineRule="exact"/>
        <w:rPr>
          <w:rFonts w:ascii="仿宋" w:hAnsi="仿宋" w:eastAsia="仿宋"/>
          <w:color w:val="000000" w:themeColor="text1"/>
          <w:spacing w:val="20"/>
          <w:sz w:val="30"/>
          <w:szCs w:val="30"/>
          <w:u w:val="single"/>
          <w14:textFill>
            <w14:solidFill>
              <w14:schemeClr w14:val="tx1"/>
            </w14:solidFill>
          </w14:textFill>
        </w:rPr>
      </w:pPr>
      <w:r>
        <w:rPr>
          <w:rFonts w:hint="eastAsia" w:ascii="仿宋" w:hAnsi="仿宋" w:eastAsia="仿宋"/>
          <w:color w:val="000000" w:themeColor="text1"/>
          <w:spacing w:val="20"/>
          <w:sz w:val="30"/>
          <w:szCs w:val="30"/>
          <w14:textFill>
            <w14:solidFill>
              <w14:schemeClr w14:val="tx1"/>
            </w14:solidFill>
          </w14:textFill>
        </w:rPr>
        <w:t>授权代表签名：</w:t>
      </w:r>
      <w:r>
        <w:rPr>
          <w:rFonts w:hint="eastAsia" w:ascii="仿宋" w:hAnsi="仿宋" w:eastAsia="仿宋"/>
          <w:color w:val="000000" w:themeColor="text1"/>
          <w:spacing w:val="20"/>
          <w:sz w:val="30"/>
          <w:szCs w:val="30"/>
          <w:u w:val="single"/>
          <w14:textFill>
            <w14:solidFill>
              <w14:schemeClr w14:val="tx1"/>
            </w14:solidFill>
          </w14:textFill>
        </w:rPr>
        <w:t xml:space="preserve">              </w:t>
      </w:r>
      <w:r>
        <w:rPr>
          <w:rFonts w:hint="eastAsia" w:ascii="仿宋" w:hAnsi="仿宋" w:eastAsia="仿宋"/>
          <w:color w:val="000000" w:themeColor="text1"/>
          <w:spacing w:val="20"/>
          <w:sz w:val="30"/>
          <w:szCs w:val="30"/>
          <w14:textFill>
            <w14:solidFill>
              <w14:schemeClr w14:val="tx1"/>
            </w14:solidFill>
          </w14:textFill>
        </w:rPr>
        <w:t xml:space="preserve"> 日  期：</w:t>
      </w:r>
      <w:r>
        <w:rPr>
          <w:rFonts w:hint="eastAsia" w:ascii="仿宋" w:hAnsi="仿宋" w:eastAsia="仿宋"/>
          <w:color w:val="000000" w:themeColor="text1"/>
          <w:spacing w:val="20"/>
          <w:sz w:val="30"/>
          <w:szCs w:val="30"/>
          <w:u w:val="single"/>
          <w14:textFill>
            <w14:solidFill>
              <w14:schemeClr w14:val="tx1"/>
            </w14:solidFill>
          </w14:textFill>
        </w:rPr>
        <w:t xml:space="preserve">        </w:t>
      </w:r>
    </w:p>
    <w:p>
      <w:pPr>
        <w:snapToGrid w:val="0"/>
        <w:spacing w:before="50" w:after="120" w:afterLines="50" w:line="460" w:lineRule="exact"/>
        <w:jc w:val="left"/>
        <w:rPr>
          <w:rFonts w:ascii="仿宋" w:hAnsi="仿宋" w:eastAsia="仿宋"/>
          <w:color w:val="000000" w:themeColor="text1"/>
          <w:sz w:val="30"/>
          <w:szCs w:val="30"/>
          <w14:textFill>
            <w14:solidFill>
              <w14:schemeClr w14:val="tx1"/>
            </w14:solidFill>
          </w14:textFill>
        </w:rPr>
      </w:pPr>
    </w:p>
    <w:p>
      <w:pPr>
        <w:pStyle w:val="31"/>
        <w:snapToGrid w:val="0"/>
        <w:spacing w:before="120" w:after="120" w:line="460" w:lineRule="exact"/>
        <w:rPr>
          <w:rFonts w:ascii="仿宋" w:hAnsi="仿宋" w:eastAsia="仿宋"/>
          <w:color w:val="000000" w:themeColor="text1"/>
          <w:sz w:val="30"/>
          <w:szCs w:val="30"/>
          <w14:textFill>
            <w14:solidFill>
              <w14:schemeClr w14:val="tx1"/>
            </w14:solidFill>
          </w14:textFill>
        </w:rPr>
      </w:pPr>
    </w:p>
    <w:p>
      <w:pPr>
        <w:snapToGrid w:val="0"/>
        <w:spacing w:before="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附件12：</w:t>
      </w:r>
    </w:p>
    <w:p>
      <w:pPr>
        <w:snapToGrid w:val="0"/>
        <w:spacing w:before="50" w:after="5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商务响应表</w:t>
      </w:r>
    </w:p>
    <w:p>
      <w:pPr>
        <w:snapToGrid w:val="0"/>
        <w:spacing w:before="50"/>
        <w:jc w:val="center"/>
        <w:rPr>
          <w:rFonts w:ascii="仿宋" w:hAnsi="仿宋" w:eastAsia="仿宋"/>
          <w:b/>
          <w:color w:val="000000" w:themeColor="text1"/>
          <w:sz w:val="32"/>
          <w:szCs w:val="32"/>
          <w14:textFill>
            <w14:solidFill>
              <w14:schemeClr w14:val="tx1"/>
            </w14:solidFill>
          </w14:textFill>
        </w:rPr>
      </w:pPr>
    </w:p>
    <w:p>
      <w:pPr>
        <w:pStyle w:val="18"/>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              标项：</w:t>
      </w:r>
      <w:r>
        <w:rPr>
          <w:rFonts w:hint="eastAsia" w:ascii="仿宋" w:hAnsi="仿宋" w:eastAsia="仿宋"/>
          <w:color w:val="000000" w:themeColor="text1"/>
          <w:sz w:val="30"/>
          <w:szCs w:val="30"/>
          <w:u w:val="single"/>
          <w14:textFill>
            <w14:solidFill>
              <w14:schemeClr w14:val="tx1"/>
            </w14:solidFill>
          </w14:textFill>
        </w:rPr>
        <w:t xml:space="preserve">       </w:t>
      </w:r>
    </w:p>
    <w:tbl>
      <w:tblPr>
        <w:tblStyle w:val="58"/>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35"/>
        <w:gridCol w:w="2249"/>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23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项目</w:t>
            </w:r>
          </w:p>
        </w:tc>
        <w:tc>
          <w:tcPr>
            <w:tcW w:w="224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是否</w:t>
            </w:r>
          </w:p>
          <w:p>
            <w:pPr>
              <w:snapToGrid w:val="0"/>
              <w:spacing w:before="120" w:before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22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rPr>
              <w:t>投标人业绩</w:t>
            </w:r>
          </w:p>
        </w:tc>
        <w:tc>
          <w:tcPr>
            <w:tcW w:w="224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22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rPr>
              <w:t>投标人实力</w:t>
            </w:r>
          </w:p>
        </w:tc>
        <w:tc>
          <w:tcPr>
            <w:tcW w:w="224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themeColor="text1"/>
                <w:sz w:val="30"/>
                <w:szCs w:val="3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22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rPr>
              <w:t>...</w:t>
            </w:r>
          </w:p>
        </w:tc>
        <w:tc>
          <w:tcPr>
            <w:tcW w:w="224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themeColor="text1"/>
                <w:sz w:val="30"/>
                <w:szCs w:val="3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22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p>
        </w:tc>
        <w:tc>
          <w:tcPr>
            <w:tcW w:w="224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themeColor="text1"/>
                <w:sz w:val="30"/>
                <w:szCs w:val="3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2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p>
        </w:tc>
        <w:tc>
          <w:tcPr>
            <w:tcW w:w="224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p>
        </w:tc>
        <w:tc>
          <w:tcPr>
            <w:tcW w:w="224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p>
        </w:tc>
        <w:tc>
          <w:tcPr>
            <w:tcW w:w="224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p>
        </w:tc>
        <w:tc>
          <w:tcPr>
            <w:tcW w:w="224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p>
        </w:tc>
        <w:tc>
          <w:tcPr>
            <w:tcW w:w="224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35"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224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bl>
    <w:p>
      <w:pPr>
        <w:snapToGrid w:val="0"/>
        <w:spacing w:before="120" w:beforeLines="5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授权代表签名：</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               日期：</w:t>
      </w:r>
      <w:r>
        <w:rPr>
          <w:rFonts w:hint="eastAsia" w:ascii="仿宋" w:hAnsi="仿宋" w:eastAsia="仿宋"/>
          <w:color w:val="000000" w:themeColor="text1"/>
          <w:sz w:val="30"/>
          <w:szCs w:val="30"/>
          <w:u w:val="single"/>
          <w14:textFill>
            <w14:solidFill>
              <w14:schemeClr w14:val="tx1"/>
            </w14:solidFill>
          </w14:textFill>
        </w:rPr>
        <w:t xml:space="preserve">         </w:t>
      </w: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p>
    <w:p>
      <w:pPr>
        <w:snapToGrid w:val="0"/>
        <w:spacing w:before="50" w:after="120" w:afterLines="50"/>
        <w:jc w:val="left"/>
        <w:rPr>
          <w:rFonts w:ascii="仿宋" w:hAnsi="仿宋" w:eastAsia="仿宋"/>
          <w:b/>
          <w:color w:val="000000"/>
          <w:sz w:val="30"/>
          <w:szCs w:val="30"/>
        </w:rPr>
      </w:pPr>
      <w:r>
        <w:rPr>
          <w:rFonts w:hint="eastAsia" w:ascii="仿宋" w:hAnsi="仿宋" w:eastAsia="仿宋"/>
          <w:b/>
          <w:color w:val="000000"/>
          <w:sz w:val="30"/>
          <w:szCs w:val="30"/>
        </w:rPr>
        <w:t>注：投标人应对照招标文件要求逐项填写。</w:t>
      </w:r>
    </w:p>
    <w:p>
      <w:pPr>
        <w:snapToGrid w:val="0"/>
        <w:spacing w:before="50" w:after="120" w:afterLines="50"/>
        <w:jc w:val="left"/>
        <w:rPr>
          <w:rFonts w:ascii="仿宋" w:hAnsi="仿宋" w:eastAsia="仿宋"/>
          <w:b/>
          <w:color w:val="000000" w:themeColor="text1"/>
          <w:sz w:val="30"/>
          <w:szCs w:val="30"/>
          <w14:textFill>
            <w14:solidFill>
              <w14:schemeClr w14:val="tx1"/>
            </w14:solidFill>
          </w14:textFill>
        </w:rPr>
      </w:pP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p>
    <w:p>
      <w:pPr>
        <w:widowControl/>
        <w:jc w:val="left"/>
        <w:rPr>
          <w:rFonts w:ascii="仿宋" w:hAnsi="仿宋" w:eastAsia="仿宋"/>
          <w:color w:val="000000" w:themeColor="text1"/>
          <w:sz w:val="30"/>
          <w:szCs w:val="30"/>
          <w14:textFill>
            <w14:solidFill>
              <w14:schemeClr w14:val="tx1"/>
            </w14:solidFill>
          </w14:textFill>
        </w:rPr>
        <w:sectPr>
          <w:pgSz w:w="11906" w:h="16838"/>
          <w:pgMar w:top="1474" w:right="1797" w:bottom="1247" w:left="1797" w:header="851" w:footer="851" w:gutter="0"/>
          <w:cols w:space="720" w:num="1"/>
        </w:sectPr>
      </w:pP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附件13：</w:t>
      </w:r>
    </w:p>
    <w:p>
      <w:pPr>
        <w:snapToGrid w:val="0"/>
        <w:spacing w:before="50" w:after="5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投标人业绩情况一览表</w:t>
      </w:r>
    </w:p>
    <w:p>
      <w:pPr>
        <w:pStyle w:val="18"/>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w:t>
      </w:r>
      <w:r>
        <w:rPr>
          <w:rFonts w:hint="eastAsia" w:ascii="仿宋" w:hAnsi="仿宋" w:eastAsia="仿宋"/>
          <w:color w:val="000000" w:themeColor="text1"/>
          <w:sz w:val="30"/>
          <w:szCs w:val="30"/>
          <w:u w:val="single"/>
          <w14:textFill>
            <w14:solidFill>
              <w14:schemeClr w14:val="tx1"/>
            </w14:solidFill>
          </w14:textFill>
        </w:rPr>
        <w:t xml:space="preserve">          </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3420"/>
        <w:gridCol w:w="1080"/>
        <w:gridCol w:w="1080"/>
        <w:gridCol w:w="1080"/>
        <w:gridCol w:w="108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2628" w:type="dxa"/>
            <w:vMerge w:val="restart"/>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采购单位名称</w:t>
            </w:r>
          </w:p>
        </w:tc>
        <w:tc>
          <w:tcPr>
            <w:tcW w:w="3420" w:type="dxa"/>
            <w:vMerge w:val="restart"/>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设备或项目名称</w:t>
            </w:r>
          </w:p>
        </w:tc>
        <w:tc>
          <w:tcPr>
            <w:tcW w:w="1080" w:type="dxa"/>
            <w:vMerge w:val="restart"/>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采购</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数量</w:t>
            </w:r>
          </w:p>
        </w:tc>
        <w:tc>
          <w:tcPr>
            <w:tcW w:w="1080" w:type="dxa"/>
            <w:vMerge w:val="restart"/>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单价</w:t>
            </w:r>
          </w:p>
        </w:tc>
        <w:tc>
          <w:tcPr>
            <w:tcW w:w="2160" w:type="dxa"/>
            <w:gridSpan w:val="2"/>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附件页码</w:t>
            </w:r>
          </w:p>
        </w:tc>
        <w:tc>
          <w:tcPr>
            <w:tcW w:w="2160" w:type="dxa"/>
            <w:vMerge w:val="restart"/>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采购单位联系人及</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5" w:hRule="atLeast"/>
        </w:trPr>
        <w:tc>
          <w:tcPr>
            <w:tcW w:w="2628" w:type="dxa"/>
            <w:vMerge w:val="continue"/>
            <w:vAlign w:val="center"/>
          </w:tcPr>
          <w:p>
            <w:pPr>
              <w:widowControl/>
              <w:jc w:val="left"/>
              <w:rPr>
                <w:rFonts w:ascii="仿宋" w:hAnsi="仿宋" w:eastAsia="仿宋"/>
                <w:color w:val="000000" w:themeColor="text1"/>
                <w:sz w:val="30"/>
                <w:szCs w:val="30"/>
                <w14:textFill>
                  <w14:solidFill>
                    <w14:schemeClr w14:val="tx1"/>
                  </w14:solidFill>
                </w14:textFill>
              </w:rPr>
            </w:pPr>
          </w:p>
        </w:tc>
        <w:tc>
          <w:tcPr>
            <w:tcW w:w="3420" w:type="dxa"/>
            <w:vMerge w:val="continue"/>
            <w:vAlign w:val="center"/>
          </w:tcPr>
          <w:p>
            <w:pPr>
              <w:widowControl/>
              <w:jc w:val="left"/>
              <w:rPr>
                <w:rFonts w:ascii="仿宋" w:hAnsi="仿宋" w:eastAsia="仿宋"/>
                <w:color w:val="000000" w:themeColor="text1"/>
                <w:sz w:val="30"/>
                <w:szCs w:val="30"/>
                <w14:textFill>
                  <w14:solidFill>
                    <w14:schemeClr w14:val="tx1"/>
                  </w14:solidFill>
                </w14:textFill>
              </w:rPr>
            </w:pPr>
          </w:p>
        </w:tc>
        <w:tc>
          <w:tcPr>
            <w:tcW w:w="1080" w:type="dxa"/>
            <w:vMerge w:val="continue"/>
            <w:vAlign w:val="center"/>
          </w:tcPr>
          <w:p>
            <w:pPr>
              <w:widowControl/>
              <w:jc w:val="left"/>
              <w:rPr>
                <w:rFonts w:ascii="仿宋" w:hAnsi="仿宋" w:eastAsia="仿宋"/>
                <w:color w:val="000000" w:themeColor="text1"/>
                <w:sz w:val="30"/>
                <w:szCs w:val="30"/>
                <w14:textFill>
                  <w14:solidFill>
                    <w14:schemeClr w14:val="tx1"/>
                  </w14:solidFill>
                </w14:textFill>
              </w:rPr>
            </w:pPr>
          </w:p>
        </w:tc>
        <w:tc>
          <w:tcPr>
            <w:tcW w:w="1080" w:type="dxa"/>
            <w:vMerge w:val="continue"/>
            <w:vAlign w:val="center"/>
          </w:tcPr>
          <w:p>
            <w:pPr>
              <w:widowControl/>
              <w:jc w:val="left"/>
              <w:rPr>
                <w:rFonts w:ascii="仿宋" w:hAnsi="仿宋" w:eastAsia="仿宋"/>
                <w:color w:val="000000" w:themeColor="text1"/>
                <w:sz w:val="30"/>
                <w:szCs w:val="30"/>
                <w14:textFill>
                  <w14:solidFill>
                    <w14:schemeClr w14:val="tx1"/>
                  </w14:solidFill>
                </w14:textFill>
              </w:rPr>
            </w:pPr>
          </w:p>
        </w:tc>
        <w:tc>
          <w:tcPr>
            <w:tcW w:w="1080" w:type="dxa"/>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合</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同</w:t>
            </w:r>
          </w:p>
        </w:tc>
        <w:tc>
          <w:tcPr>
            <w:tcW w:w="1080" w:type="dxa"/>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验收</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报告</w:t>
            </w:r>
          </w:p>
        </w:tc>
        <w:tc>
          <w:tcPr>
            <w:tcW w:w="2160" w:type="dxa"/>
            <w:vMerge w:val="continue"/>
            <w:vAlign w:val="center"/>
          </w:tcPr>
          <w:p>
            <w:pPr>
              <w:widowControl/>
              <w:jc w:val="left"/>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28"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3420"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2160"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628"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3420"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2160"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3420"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2160"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3420"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2160" w:type="dxa"/>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6"/>
          <w:wAfter w:w="9900" w:type="dxa"/>
        </w:trPr>
        <w:tc>
          <w:tcPr>
            <w:tcW w:w="2628" w:type="dxa"/>
          </w:tcPr>
          <w:p>
            <w:pPr>
              <w:snapToGrid w:val="0"/>
              <w:spacing w:before="50" w:after="120" w:afterLines="50" w:line="40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备注</w:t>
            </w:r>
          </w:p>
        </w:tc>
      </w:tr>
    </w:tbl>
    <w:p>
      <w:pPr>
        <w:pStyle w:val="18"/>
        <w:snapToGrid w:val="0"/>
        <w:spacing w:before="240"/>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授权代表签名：</w:t>
      </w:r>
      <w:r>
        <w:rPr>
          <w:rFonts w:hint="eastAsia" w:ascii="仿宋" w:hAnsi="仿宋" w:eastAsia="仿宋"/>
          <w:color w:val="000000" w:themeColor="text1"/>
          <w:sz w:val="30"/>
          <w:szCs w:val="30"/>
          <w:u w:val="single"/>
          <w14:textFill>
            <w14:solidFill>
              <w14:schemeClr w14:val="tx1"/>
            </w14:solidFill>
          </w14:textFill>
        </w:rPr>
        <w:t>　　　　　</w:t>
      </w:r>
      <w:r>
        <w:rPr>
          <w:rFonts w:hint="eastAsia" w:ascii="仿宋" w:hAnsi="仿宋" w:eastAsia="仿宋"/>
          <w:color w:val="000000" w:themeColor="text1"/>
          <w:sz w:val="30"/>
          <w:szCs w:val="30"/>
          <w14:textFill>
            <w14:solidFill>
              <w14:schemeClr w14:val="tx1"/>
            </w14:solidFill>
          </w14:textFill>
        </w:rPr>
        <w:t xml:space="preserve">                                            时  间：</w:t>
      </w:r>
      <w:r>
        <w:rPr>
          <w:rFonts w:hint="eastAsia" w:ascii="仿宋" w:hAnsi="仿宋" w:eastAsia="仿宋"/>
          <w:color w:val="000000" w:themeColor="text1"/>
          <w:sz w:val="30"/>
          <w:szCs w:val="30"/>
          <w:u w:val="single"/>
          <w14:textFill>
            <w14:solidFill>
              <w14:schemeClr w14:val="tx1"/>
            </w14:solidFill>
          </w14:textFill>
        </w:rPr>
        <w:t xml:space="preserve">            </w:t>
      </w:r>
    </w:p>
    <w:p>
      <w:pPr>
        <w:widowControl/>
        <w:jc w:val="left"/>
        <w:rPr>
          <w:rFonts w:ascii="仿宋" w:hAnsi="仿宋" w:eastAsia="仿宋"/>
          <w:color w:val="000000" w:themeColor="text1"/>
          <w:sz w:val="30"/>
          <w:szCs w:val="30"/>
          <w14:textFill>
            <w14:solidFill>
              <w14:schemeClr w14:val="tx1"/>
            </w14:solidFill>
          </w14:textFill>
        </w:rPr>
        <w:sectPr>
          <w:pgSz w:w="16838" w:h="11906" w:orient="landscape"/>
          <w:pgMar w:top="1797" w:right="1474" w:bottom="1797" w:left="1247" w:header="851" w:footer="851" w:gutter="0"/>
          <w:cols w:space="720" w:num="1"/>
        </w:sectPr>
      </w:pPr>
    </w:p>
    <w:p>
      <w:pPr>
        <w:snapToGrid w:val="0"/>
        <w:spacing w:before="120" w:beforeLines="50" w:after="50"/>
        <w:rPr>
          <w:rFonts w:ascii="仿宋" w:hAnsi="仿宋" w:eastAsia="仿宋"/>
          <w:b/>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附件14</w:t>
      </w:r>
      <w:r>
        <w:rPr>
          <w:rFonts w:hint="eastAsia" w:ascii="仿宋" w:hAnsi="仿宋" w:eastAsia="仿宋"/>
          <w:b/>
          <w:color w:val="000000" w:themeColor="text1"/>
          <w:sz w:val="30"/>
          <w:szCs w:val="30"/>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 正本或副本</w:t>
      </w:r>
    </w:p>
    <w:p>
      <w:pPr>
        <w:ind w:right="-110"/>
        <w:jc w:val="center"/>
        <w:rPr>
          <w:rFonts w:ascii="仿宋" w:hAnsi="仿宋" w:eastAsia="仿宋"/>
          <w:color w:val="000000" w:themeColor="text1"/>
          <w:spacing w:val="40"/>
          <w:sz w:val="52"/>
          <w:szCs w:val="52"/>
          <w14:textFill>
            <w14:solidFill>
              <w14:schemeClr w14:val="tx1"/>
            </w14:solidFill>
          </w14:textFill>
        </w:rPr>
      </w:pPr>
      <w:r>
        <w:rPr>
          <w:rFonts w:hint="eastAsia" w:ascii="仿宋" w:hAnsi="仿宋" w:eastAsia="仿宋"/>
          <w:color w:val="000000" w:themeColor="text1"/>
          <w:spacing w:val="40"/>
          <w:sz w:val="52"/>
          <w:szCs w:val="52"/>
          <w14:textFill>
            <w14:solidFill>
              <w14:schemeClr w14:val="tx1"/>
            </w14:solidFill>
          </w14:textFill>
        </w:rPr>
        <w:t>项目名称</w:t>
      </w:r>
    </w:p>
    <w:p>
      <w:pPr>
        <w:spacing w:before="240" w:beforeLines="100" w:line="240" w:lineRule="atLeast"/>
        <w:jc w:val="center"/>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项目编号：（标项  ）</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100"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报</w:t>
      </w:r>
    </w:p>
    <w:p>
      <w:pPr>
        <w:spacing w:after="100"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价</w:t>
      </w:r>
    </w:p>
    <w:p>
      <w:pPr>
        <w:spacing w:after="100"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文</w:t>
      </w:r>
    </w:p>
    <w:p>
      <w:pPr>
        <w:spacing w:after="100"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件</w:t>
      </w:r>
    </w:p>
    <w:p>
      <w:pPr>
        <w:pStyle w:val="486"/>
        <w:spacing w:line="360" w:lineRule="auto"/>
        <w:rPr>
          <w:rFonts w:ascii="宋体" w:hAnsi="宋体"/>
          <w:color w:val="000000" w:themeColor="text1"/>
          <w:sz w:val="28"/>
          <w:u w:val="single"/>
          <w14:textFill>
            <w14:solidFill>
              <w14:schemeClr w14:val="tx1"/>
            </w14:solidFill>
          </w14:textFill>
        </w:rPr>
      </w:pPr>
      <w:r>
        <w:rPr>
          <w:rFonts w:hint="eastAsia" w:ascii="宋体" w:hAnsi="宋体"/>
          <w:color w:val="000000" w:themeColor="text1"/>
          <w:sz w:val="28"/>
          <w14:textFill>
            <w14:solidFill>
              <w14:schemeClr w14:val="tx1"/>
            </w14:solidFill>
          </w14:textFill>
        </w:rPr>
        <w:t>投标人全称：</w:t>
      </w:r>
      <w:r>
        <w:rPr>
          <w:rFonts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u w:val="single"/>
          <w14:textFill>
            <w14:solidFill>
              <w14:schemeClr w14:val="tx1"/>
            </w14:solidFill>
          </w14:textFill>
        </w:rPr>
        <w:t xml:space="preserve">           </w:t>
      </w:r>
    </w:p>
    <w:p>
      <w:pPr>
        <w:pStyle w:val="486"/>
        <w:spacing w:line="360" w:lineRule="auto"/>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（加盖单位公章）</w:t>
      </w:r>
    </w:p>
    <w:p>
      <w:pPr>
        <w:pStyle w:val="486"/>
        <w:spacing w:line="360" w:lineRule="auto"/>
        <w:rPr>
          <w:rFonts w:ascii="宋体" w:hAnsi="宋体"/>
          <w:color w:val="000000" w:themeColor="text1"/>
          <w:sz w:val="28"/>
          <w:u w:val="single"/>
          <w14:textFill>
            <w14:solidFill>
              <w14:schemeClr w14:val="tx1"/>
            </w14:solidFill>
          </w14:textFill>
        </w:rPr>
      </w:pPr>
      <w:r>
        <w:rPr>
          <w:rFonts w:hint="eastAsia" w:ascii="宋体" w:hAnsi="宋体"/>
          <w:color w:val="000000" w:themeColor="text1"/>
          <w:sz w:val="28"/>
          <w14:textFill>
            <w14:solidFill>
              <w14:schemeClr w14:val="tx1"/>
            </w14:solidFill>
          </w14:textFill>
        </w:rPr>
        <w:t>法定代表人印刷体姓名：</w:t>
      </w:r>
      <w:r>
        <w:rPr>
          <w:rFonts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14:textFill>
            <w14:solidFill>
              <w14:schemeClr w14:val="tx1"/>
            </w14:solidFill>
          </w14:textFill>
        </w:rPr>
        <w:t xml:space="preserve">  签字：</w:t>
      </w:r>
      <w:r>
        <w:rPr>
          <w:rFonts w:hint="eastAsia" w:ascii="宋体" w:hAnsi="宋体"/>
          <w:color w:val="000000" w:themeColor="text1"/>
          <w:sz w:val="28"/>
          <w:u w:val="single"/>
          <w14:textFill>
            <w14:solidFill>
              <w14:schemeClr w14:val="tx1"/>
            </w14:solidFill>
          </w14:textFill>
        </w:rPr>
        <w:t xml:space="preserve">              </w:t>
      </w:r>
    </w:p>
    <w:p>
      <w:pPr>
        <w:pStyle w:val="486"/>
        <w:spacing w:line="360" w:lineRule="auto"/>
        <w:rPr>
          <w:rFonts w:ascii="宋体" w:hAnsi="宋体"/>
          <w:color w:val="000000" w:themeColor="text1"/>
          <w:sz w:val="28"/>
          <w:u w:val="single"/>
          <w14:textFill>
            <w14:solidFill>
              <w14:schemeClr w14:val="tx1"/>
            </w14:solidFill>
          </w14:textFill>
        </w:rPr>
      </w:pPr>
      <w:r>
        <w:rPr>
          <w:rFonts w:hint="eastAsia" w:ascii="宋体" w:hAnsi="宋体"/>
          <w:color w:val="000000" w:themeColor="text1"/>
          <w:sz w:val="28"/>
          <w14:textFill>
            <w14:solidFill>
              <w14:schemeClr w14:val="tx1"/>
            </w14:solidFill>
          </w14:textFill>
        </w:rPr>
        <w:t>授权投标代表印刷体姓名：</w:t>
      </w:r>
      <w:r>
        <w:rPr>
          <w:rFonts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14:textFill>
            <w14:solidFill>
              <w14:schemeClr w14:val="tx1"/>
            </w14:solidFill>
          </w14:textFill>
        </w:rPr>
        <w:t xml:space="preserve">  签字：</w:t>
      </w:r>
      <w:r>
        <w:rPr>
          <w:rFonts w:hint="eastAsia" w:ascii="宋体" w:hAnsi="宋体"/>
          <w:color w:val="000000" w:themeColor="text1"/>
          <w:sz w:val="28"/>
          <w:u w:val="single"/>
          <w14:textFill>
            <w14:solidFill>
              <w14:schemeClr w14:val="tx1"/>
            </w14:solidFill>
          </w14:textFill>
        </w:rPr>
        <w:t xml:space="preserve">              </w:t>
      </w:r>
    </w:p>
    <w:p>
      <w:pPr>
        <w:pStyle w:val="486"/>
        <w:spacing w:line="360" w:lineRule="auto"/>
        <w:rPr>
          <w:rFonts w:ascii="宋体" w:hAnsi="宋体"/>
          <w:color w:val="000000" w:themeColor="text1"/>
          <w:sz w:val="28"/>
          <w:u w:val="single"/>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投标人地址：   </w:t>
      </w:r>
      <w:r>
        <w:rPr>
          <w:rFonts w:ascii="宋体" w:hAnsi="宋体"/>
          <w:color w:val="000000" w:themeColor="text1"/>
          <w:sz w:val="28"/>
          <w:u w:val="single"/>
          <w14:textFill>
            <w14:solidFill>
              <w14:schemeClr w14:val="tx1"/>
            </w14:solidFill>
          </w14:textFill>
        </w:rPr>
        <w:t xml:space="preserve">                                         </w:t>
      </w:r>
    </w:p>
    <w:p>
      <w:pPr>
        <w:pStyle w:val="486"/>
        <w:spacing w:line="360" w:lineRule="auto"/>
        <w:rPr>
          <w:rFonts w:ascii="宋体" w:hAnsi="宋体"/>
          <w:color w:val="000000" w:themeColor="text1"/>
          <w:sz w:val="28"/>
          <w:u w:val="single"/>
          <w14:textFill>
            <w14:solidFill>
              <w14:schemeClr w14:val="tx1"/>
            </w14:solidFill>
          </w14:textFill>
        </w:rPr>
      </w:pPr>
      <w:r>
        <w:rPr>
          <w:rFonts w:hint="eastAsia" w:ascii="宋体" w:hAnsi="宋体"/>
          <w:color w:val="000000" w:themeColor="text1"/>
          <w:sz w:val="28"/>
          <w14:textFill>
            <w14:solidFill>
              <w14:schemeClr w14:val="tx1"/>
            </w14:solidFill>
          </w14:textFill>
        </w:rPr>
        <w:t>邮编：</w:t>
      </w:r>
      <w:r>
        <w:rPr>
          <w:rFonts w:hint="eastAsia" w:ascii="宋体" w:hAnsi="宋体"/>
          <w:color w:val="000000" w:themeColor="text1"/>
          <w:sz w:val="28"/>
          <w:u w:val="single"/>
          <w14:textFill>
            <w14:solidFill>
              <w14:schemeClr w14:val="tx1"/>
            </w14:solidFill>
          </w14:textFill>
        </w:rPr>
        <w:t xml:space="preserve">                                                  </w:t>
      </w:r>
    </w:p>
    <w:p>
      <w:pPr>
        <w:pStyle w:val="486"/>
        <w:spacing w:line="360" w:lineRule="auto"/>
        <w:rPr>
          <w:rFonts w:ascii="宋体" w:hAnsi="宋体"/>
          <w:color w:val="000000" w:themeColor="text1"/>
          <w:sz w:val="28"/>
          <w:u w:val="single"/>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联系电话：  </w:t>
      </w:r>
      <w:r>
        <w:rPr>
          <w:rFonts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u w:val="single"/>
          <w14:textFill>
            <w14:solidFill>
              <w14:schemeClr w14:val="tx1"/>
            </w14:solidFill>
          </w14:textFill>
        </w:rPr>
        <w:t xml:space="preserve">                 </w:t>
      </w:r>
    </w:p>
    <w:p>
      <w:pPr>
        <w:pStyle w:val="486"/>
        <w:spacing w:line="360" w:lineRule="auto"/>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开标时间：  </w:t>
      </w:r>
      <w:r>
        <w:rPr>
          <w:rFonts w:hint="eastAsia" w:ascii="宋体" w:hAnsi="宋体"/>
          <w:color w:val="000000" w:themeColor="text1"/>
          <w:sz w:val="28"/>
          <w:u w:val="single"/>
          <w14:textFill>
            <w14:solidFill>
              <w14:schemeClr w14:val="tx1"/>
            </w14:solidFill>
          </w14:textFill>
        </w:rPr>
        <w:t xml:space="preserve">                    </w:t>
      </w:r>
      <w:r>
        <w:rPr>
          <w:rFonts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u w:val="single"/>
          <w14:textFill>
            <w14:solidFill>
              <w14:schemeClr w14:val="tx1"/>
            </w14:solidFill>
          </w14:textFill>
        </w:rPr>
        <w:t xml:space="preserve">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4"/>
        <w:snapToGrid w:val="0"/>
        <w:ind w:left="0" w:leftChars="0"/>
        <w:rPr>
          <w:rFonts w:ascii="仿宋" w:hAnsi="仿宋" w:eastAsia="仿宋"/>
          <w:b/>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3、</w:t>
      </w:r>
      <w:r>
        <w:rPr>
          <w:rFonts w:hint="eastAsia" w:ascii="仿宋" w:hAnsi="仿宋" w:eastAsia="仿宋"/>
          <w:b/>
          <w:color w:val="000000" w:themeColor="text1"/>
          <w:sz w:val="36"/>
          <w:szCs w:val="36"/>
          <w14:textFill>
            <w14:solidFill>
              <w14:schemeClr w14:val="tx1"/>
            </w14:solidFill>
          </w14:textFill>
        </w:rPr>
        <w:t>报价文件目录</w:t>
      </w:r>
    </w:p>
    <w:p>
      <w:pPr>
        <w:rPr>
          <w:rFonts w:ascii="仿宋" w:hAnsi="仿宋" w:eastAsia="仿宋"/>
          <w:color w:val="000000" w:themeColor="text1"/>
          <w14:textFill>
            <w14:solidFill>
              <w14:schemeClr w14:val="tx1"/>
            </w14:solidFill>
          </w14:textFill>
        </w:rPr>
      </w:pPr>
    </w:p>
    <w:p>
      <w:pPr>
        <w:pStyle w:val="34"/>
        <w:snapToGrid w:val="0"/>
        <w:spacing w:line="460" w:lineRule="exact"/>
        <w:ind w:left="0" w:leftChars="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（1）投标报价明细表（见附件15）；</w:t>
      </w:r>
    </w:p>
    <w:p>
      <w:pPr>
        <w:pStyle w:val="34"/>
        <w:snapToGrid w:val="0"/>
        <w:spacing w:line="460" w:lineRule="exact"/>
        <w:ind w:left="0" w:leftChars="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（2）投标人针对报价需要说明的其他文件和说明（格式自拟）；</w:t>
      </w:r>
    </w:p>
    <w:p>
      <w:pPr>
        <w:pStyle w:val="34"/>
        <w:snapToGrid w:val="0"/>
        <w:spacing w:line="460" w:lineRule="exact"/>
        <w:ind w:left="0" w:leftChars="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（3）中小企业声明函（见附件16）；</w:t>
      </w:r>
    </w:p>
    <w:p>
      <w:pPr>
        <w:pStyle w:val="50"/>
        <w:widowControl w:val="0"/>
        <w:spacing w:after="120" w:line="460" w:lineRule="exact"/>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（4）残疾人福利企业声明函（见附件17）。</w:t>
      </w:r>
    </w:p>
    <w:p>
      <w:pPr>
        <w:pStyle w:val="31"/>
        <w:snapToGrid w:val="0"/>
        <w:spacing w:before="120" w:after="120" w:line="240" w:lineRule="auto"/>
        <w:jc w:val="left"/>
        <w:rPr>
          <w:rFonts w:ascii="仿宋" w:hAnsi="仿宋" w:eastAsia="仿宋"/>
          <w:b/>
          <w:color w:val="000000" w:themeColor="text1"/>
          <w:sz w:val="36"/>
          <w:szCs w:val="36"/>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附件15：</w:t>
      </w:r>
    </w:p>
    <w:p>
      <w:pPr>
        <w:pStyle w:val="31"/>
        <w:snapToGrid w:val="0"/>
        <w:spacing w:before="120" w:after="120" w:line="240" w:lineRule="auto"/>
        <w:ind w:firstLine="1084" w:firstLineChars="300"/>
        <w:jc w:val="center"/>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投 标 报 价 明 细 表</w:t>
      </w:r>
    </w:p>
    <w:p>
      <w:pPr>
        <w:pStyle w:val="31"/>
        <w:snapToGrid w:val="0"/>
        <w:spacing w:before="120" w:after="120" w:line="240" w:lineRule="auto"/>
        <w:ind w:firstLine="1084" w:firstLineChars="300"/>
        <w:jc w:val="center"/>
        <w:rPr>
          <w:rFonts w:ascii="仿宋" w:hAnsi="仿宋" w:eastAsia="仿宋"/>
          <w:b/>
          <w:color w:val="000000" w:themeColor="text1"/>
          <w:sz w:val="36"/>
          <w:szCs w:val="36"/>
          <w14:textFill>
            <w14:solidFill>
              <w14:schemeClr w14:val="tx1"/>
            </w14:solidFill>
          </w14:textFill>
        </w:rPr>
      </w:pPr>
    </w:p>
    <w:p>
      <w:pPr>
        <w:snapToGrid w:val="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投标人全称（公章）：</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w:t>
      </w:r>
    </w:p>
    <w:p>
      <w:pPr>
        <w:snapToGrid w:val="0"/>
        <w:rPr>
          <w:rFonts w:ascii="仿宋" w:hAnsi="仿宋" w:eastAsia="仿宋"/>
          <w:color w:val="000000" w:themeColor="text1"/>
          <w:sz w:val="28"/>
          <w:szCs w:val="28"/>
          <w14:textFill>
            <w14:solidFill>
              <w14:schemeClr w14:val="tx1"/>
            </w14:solidFill>
          </w14:textFill>
        </w:rPr>
      </w:pPr>
    </w:p>
    <w:p>
      <w:pPr>
        <w:snapToGrid w:val="0"/>
        <w:rPr>
          <w:rFonts w:ascii="仿宋" w:hAnsi="仿宋" w:eastAsia="仿宋"/>
          <w:b/>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招标编号及标项：</w:t>
      </w:r>
      <w:r>
        <w:rPr>
          <w:rFonts w:hint="eastAsia" w:ascii="仿宋" w:hAnsi="仿宋" w:eastAsia="仿宋"/>
          <w:b/>
          <w:color w:val="000000" w:themeColor="text1"/>
          <w:sz w:val="28"/>
          <w:szCs w:val="28"/>
          <w:u w:val="single"/>
          <w14:textFill>
            <w14:solidFill>
              <w14:schemeClr w14:val="tx1"/>
            </w14:solidFill>
          </w14:textFill>
        </w:rPr>
        <w:t xml:space="preserve">                          </w:t>
      </w:r>
    </w:p>
    <w:p>
      <w:pPr>
        <w:snapToGrid w:val="0"/>
        <w:rPr>
          <w:rFonts w:ascii="仿宋" w:hAnsi="仿宋" w:eastAsia="仿宋"/>
          <w:b/>
          <w:color w:val="000000" w:themeColor="text1"/>
          <w:sz w:val="24"/>
          <w:szCs w:val="24"/>
          <w:u w:val="single"/>
          <w14:textFill>
            <w14:solidFill>
              <w14:schemeClr w14:val="tx1"/>
            </w14:solidFill>
          </w14:textFill>
        </w:rPr>
      </w:pPr>
    </w:p>
    <w:tbl>
      <w:tblPr>
        <w:tblStyle w:val="58"/>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36"/>
        <w:gridCol w:w="816"/>
        <w:gridCol w:w="1029"/>
        <w:gridCol w:w="957"/>
        <w:gridCol w:w="852"/>
        <w:gridCol w:w="89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39"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7"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货物</w:t>
            </w:r>
          </w:p>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品牌</w:t>
            </w:r>
          </w:p>
        </w:tc>
        <w:tc>
          <w:tcPr>
            <w:tcW w:w="851"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产地</w:t>
            </w:r>
          </w:p>
        </w:tc>
        <w:tc>
          <w:tcPr>
            <w:tcW w:w="1028"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规格</w:t>
            </w:r>
          </w:p>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型号</w:t>
            </w:r>
          </w:p>
        </w:tc>
        <w:tc>
          <w:tcPr>
            <w:tcW w:w="956"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数量</w:t>
            </w:r>
          </w:p>
        </w:tc>
        <w:tc>
          <w:tcPr>
            <w:tcW w:w="85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单价</w:t>
            </w:r>
          </w:p>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（元）</w:t>
            </w:r>
          </w:p>
        </w:tc>
        <w:tc>
          <w:tcPr>
            <w:tcW w:w="890"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总价（元）</w:t>
            </w:r>
          </w:p>
        </w:tc>
        <w:tc>
          <w:tcPr>
            <w:tcW w:w="269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544"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2694"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1028"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5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85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890"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1276"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是否小微企业</w:t>
            </w:r>
          </w:p>
        </w:tc>
        <w:tc>
          <w:tcPr>
            <w:tcW w:w="141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102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95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039"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5" w:type="dxa"/>
            <w:gridSpan w:val="4"/>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服务内容</w:t>
            </w:r>
          </w:p>
        </w:tc>
        <w:tc>
          <w:tcPr>
            <w:tcW w:w="1843"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服务人员数量</w:t>
            </w:r>
          </w:p>
        </w:tc>
        <w:tc>
          <w:tcPr>
            <w:tcW w:w="956"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工作量</w:t>
            </w:r>
          </w:p>
        </w:tc>
        <w:tc>
          <w:tcPr>
            <w:tcW w:w="85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单价</w:t>
            </w:r>
          </w:p>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（元）</w:t>
            </w:r>
          </w:p>
        </w:tc>
        <w:tc>
          <w:tcPr>
            <w:tcW w:w="890"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总价（元）</w:t>
            </w:r>
          </w:p>
        </w:tc>
        <w:tc>
          <w:tcPr>
            <w:tcW w:w="269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9067" w:type="dxa"/>
            <w:gridSpan w:val="4"/>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2871"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5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85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890"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1276"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是否小微企业</w:t>
            </w:r>
          </w:p>
        </w:tc>
        <w:tc>
          <w:tcPr>
            <w:tcW w:w="141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95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39"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小微企业价格合计金额大写：                          小写： ￥</w:t>
            </w:r>
            <w:r>
              <w:rPr>
                <w:rFonts w:hint="eastAsia" w:ascii="仿宋" w:hAnsi="仿宋" w:eastAsia="仿宋"/>
                <w:b/>
                <w:color w:val="000000" w:themeColor="text1"/>
                <w:sz w:val="24"/>
                <w:szCs w:val="24"/>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39"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投标总价合计金额大写：                                小写： ￥</w:t>
            </w:r>
            <w:r>
              <w:rPr>
                <w:rFonts w:hint="eastAsia" w:ascii="仿宋" w:hAnsi="仿宋" w:eastAsia="仿宋"/>
                <w:b/>
                <w:color w:val="000000" w:themeColor="text1"/>
                <w:sz w:val="24"/>
                <w:szCs w:val="24"/>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备注</w:t>
            </w:r>
          </w:p>
        </w:tc>
        <w:tc>
          <w:tcPr>
            <w:tcW w:w="8505"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2、报价要求：项目费用包括项目实施所需的工程费、工时费、服务费、运输费、安装调试费、税费及其他一切费用。</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3、报价中不允许出现报价优惠等字样,投标总价合计金额应与明细报价汇总相等。</w:t>
            </w:r>
          </w:p>
          <w:p>
            <w:pPr>
              <w:snapToGrid w:val="0"/>
              <w:rPr>
                <w:rFonts w:ascii="仿宋" w:hAnsi="仿宋" w:eastAsia="仿宋"/>
                <w:b/>
                <w:color w:val="000000" w:themeColor="text1"/>
                <w:sz w:val="24"/>
                <w14:textFill>
                  <w14:solidFill>
                    <w14:schemeClr w14:val="tx1"/>
                  </w14:solidFill>
                </w14:textFill>
              </w:rPr>
            </w:pPr>
            <w:r>
              <w:rPr>
                <w:rFonts w:ascii="仿宋" w:hAnsi="仿宋" w:eastAsia="仿宋"/>
                <w:b/>
                <w:color w:val="000000" w:themeColor="text1"/>
                <w:sz w:val="24"/>
                <w14:textFill>
                  <w14:solidFill>
                    <w14:schemeClr w14:val="tx1"/>
                  </w14:solidFill>
                </w14:textFill>
              </w:rPr>
              <w:t>4</w:t>
            </w:r>
            <w:r>
              <w:rPr>
                <w:rFonts w:hint="eastAsia" w:ascii="仿宋" w:hAnsi="仿宋" w:eastAsia="仿宋"/>
                <w:b/>
                <w:color w:val="000000" w:themeColor="text1"/>
                <w:sz w:val="24"/>
                <w14:textFill>
                  <w14:solidFill>
                    <w14:schemeClr w14:val="tx1"/>
                  </w14:solidFill>
                </w14:textFill>
              </w:rPr>
              <w:t>、小微企业价格合计金额应与“制造商为小微企业”的明细报价汇总相等（如有错误修正，以修正后的明细报价为准），评标委员会按前附表“小微企业有关政策”要求对小微企业价格进行确认，并对符合要求的小微企业价格部分给予价格扣除。</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w:t>
            </w:r>
            <w:r>
              <w:rPr>
                <w:rFonts w:hint="eastAsia" w:ascii="仿宋" w:hAnsi="仿宋" w:eastAsia="仿宋"/>
                <w:b/>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开标时，现场工作人员当众拆封，并宣布投标人名称、投标总价合计金额。</w:t>
            </w:r>
          </w:p>
        </w:tc>
      </w:tr>
    </w:tbl>
    <w:p>
      <w:pPr>
        <w:snapToGrid w:val="0"/>
        <w:spacing w:line="400" w:lineRule="exact"/>
        <w:jc w:val="left"/>
        <w:rPr>
          <w:rFonts w:ascii="仿宋" w:hAnsi="仿宋" w:eastAsia="仿宋"/>
          <w:color w:val="000000" w:themeColor="text1"/>
          <w:sz w:val="24"/>
          <w:szCs w:val="24"/>
          <w14:textFill>
            <w14:solidFill>
              <w14:schemeClr w14:val="tx1"/>
            </w14:solidFill>
          </w14:textFill>
        </w:rPr>
      </w:pPr>
    </w:p>
    <w:p>
      <w:pPr>
        <w:snapToGrid w:val="0"/>
        <w:spacing w:line="4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授权代表签名：                              日期： </w:t>
      </w:r>
    </w:p>
    <w:p>
      <w:pPr>
        <w:snapToGrid w:val="0"/>
        <w:spacing w:line="312" w:lineRule="auto"/>
        <w:ind w:firstLine="750" w:firstLineChars="250"/>
        <w:jc w:val="left"/>
        <w:rPr>
          <w:rFonts w:ascii="仿宋" w:hAnsi="仿宋" w:eastAsia="仿宋"/>
          <w:b/>
          <w:color w:val="000000" w:themeColor="text1"/>
          <w:sz w:val="36"/>
          <w:szCs w:val="36"/>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附件16：</w:t>
      </w:r>
    </w:p>
    <w:p>
      <w:pPr>
        <w:snapToGrid w:val="0"/>
        <w:spacing w:line="312" w:lineRule="auto"/>
        <w:ind w:firstLine="904" w:firstLineChars="250"/>
        <w:jc w:val="center"/>
        <w:rPr>
          <w:rFonts w:ascii="仿宋" w:hAnsi="仿宋" w:eastAsia="仿宋"/>
          <w:b/>
          <w:color w:val="000000" w:themeColor="text1"/>
          <w:sz w:val="36"/>
          <w:szCs w:val="36"/>
          <w14:textFill>
            <w14:solidFill>
              <w14:schemeClr w14:val="tx1"/>
            </w14:solidFill>
          </w14:textFill>
        </w:rPr>
      </w:pPr>
      <w:r>
        <w:rPr>
          <w:rFonts w:ascii="仿宋" w:hAnsi="仿宋" w:eastAsia="仿宋"/>
          <w:b/>
          <w:color w:val="000000" w:themeColor="text1"/>
          <w:sz w:val="36"/>
          <w:szCs w:val="36"/>
          <w14:textFill>
            <w14:solidFill>
              <w14:schemeClr w14:val="tx1"/>
            </w14:solidFill>
          </w14:textFill>
        </w:rPr>
        <w:t xml:space="preserve">中小企业声明函（货物） </w:t>
      </w:r>
    </w:p>
    <w:p>
      <w:pPr>
        <w:snapToGrid w:val="0"/>
        <w:spacing w:line="312" w:lineRule="auto"/>
        <w:ind w:firstLine="600" w:firstLineChars="200"/>
        <w:jc w:val="left"/>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本公司（联合体）郑重声明，根据《政府采购促进中小 企业发展管理办法》（财库﹝2020﹞46 号）的规定，本公司（联合体）参加</w:t>
      </w:r>
      <w:r>
        <w:rPr>
          <w:rFonts w:hint="eastAsia" w:ascii="仿宋" w:hAnsi="仿宋" w:eastAsia="仿宋"/>
          <w:color w:val="000000" w:themeColor="text1"/>
          <w:sz w:val="30"/>
          <w:szCs w:val="30"/>
          <w14:textFill>
            <w14:solidFill>
              <w14:schemeClr w14:val="tx1"/>
            </w14:solidFill>
          </w14:textFill>
        </w:rPr>
        <w:t xml:space="preserve">  </w:t>
      </w:r>
      <w:r>
        <w:rPr>
          <w:rFonts w:ascii="仿宋" w:hAnsi="仿宋" w:eastAsia="仿宋"/>
          <w:color w:val="000000" w:themeColor="text1"/>
          <w:sz w:val="30"/>
          <w:szCs w:val="30"/>
          <w14:textFill>
            <w14:solidFill>
              <w14:schemeClr w14:val="tx1"/>
            </w14:solidFill>
          </w14:textFill>
        </w:rPr>
        <w:t>（单位名称）的</w:t>
      </w:r>
      <w:r>
        <w:rPr>
          <w:rFonts w:hint="eastAsia" w:ascii="仿宋" w:hAnsi="仿宋" w:eastAsia="仿宋"/>
          <w:color w:val="000000" w:themeColor="text1"/>
          <w:sz w:val="30"/>
          <w:szCs w:val="30"/>
          <w14:textFill>
            <w14:solidFill>
              <w14:schemeClr w14:val="tx1"/>
            </w14:solidFill>
          </w14:textFill>
        </w:rPr>
        <w:t xml:space="preserve">  </w:t>
      </w:r>
      <w:r>
        <w:rPr>
          <w:rFonts w:ascii="仿宋" w:hAnsi="仿宋" w:eastAsia="仿宋"/>
          <w:color w:val="000000" w:themeColor="text1"/>
          <w:sz w:val="30"/>
          <w:szCs w:val="30"/>
          <w14:textFill>
            <w14:solidFill>
              <w14:schemeClr w14:val="tx1"/>
            </w14:solidFill>
          </w14:textFill>
        </w:rPr>
        <w:t xml:space="preserve">（项目名称）采购活动，提供的货物全部由符合政策要求的中小企业制造。相关企业（含联合体中的中小企业、签订分包意向协议的中小企业） 的具体情况如下： </w:t>
      </w:r>
    </w:p>
    <w:p>
      <w:pPr>
        <w:snapToGrid w:val="0"/>
        <w:spacing w:line="312" w:lineRule="auto"/>
        <w:ind w:firstLine="750" w:firstLineChars="25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1. （标的名称） ，属于（采购文件中明确的所属行业）行业；制造商为（企业名称），从业人员</w:t>
      </w:r>
      <w:r>
        <w:rPr>
          <w:rFonts w:hint="eastAsia" w:ascii="仿宋" w:hAnsi="仿宋" w:eastAsia="仿宋"/>
          <w:color w:val="000000" w:themeColor="text1"/>
          <w:sz w:val="30"/>
          <w:szCs w:val="30"/>
          <w14:textFill>
            <w14:solidFill>
              <w14:schemeClr w14:val="tx1"/>
            </w14:solidFill>
          </w14:textFill>
        </w:rPr>
        <w:t xml:space="preserve">  </w:t>
      </w:r>
      <w:r>
        <w:rPr>
          <w:rFonts w:ascii="仿宋" w:hAnsi="仿宋" w:eastAsia="仿宋"/>
          <w:color w:val="000000" w:themeColor="text1"/>
          <w:sz w:val="30"/>
          <w:szCs w:val="30"/>
          <w14:textFill>
            <w14:solidFill>
              <w14:schemeClr w14:val="tx1"/>
            </w14:solidFill>
          </w14:textFill>
        </w:rPr>
        <w:t>人，营业收入为 万元，资产总额为 万元</w:t>
      </w:r>
      <w:r>
        <w:rPr>
          <w:rFonts w:ascii="仿宋" w:hAnsi="仿宋" w:eastAsia="仿宋"/>
          <w:color w:val="000000" w:themeColor="text1"/>
          <w:sz w:val="30"/>
          <w:szCs w:val="30"/>
          <w:vertAlign w:val="superscript"/>
          <w14:textFill>
            <w14:solidFill>
              <w14:schemeClr w14:val="tx1"/>
            </w14:solidFill>
          </w14:textFill>
        </w:rPr>
        <w:t xml:space="preserve"> 1</w:t>
      </w:r>
      <w:r>
        <w:rPr>
          <w:rFonts w:ascii="仿宋" w:hAnsi="仿宋" w:eastAsia="仿宋"/>
          <w:color w:val="000000" w:themeColor="text1"/>
          <w:sz w:val="30"/>
          <w:szCs w:val="30"/>
          <w14:textFill>
            <w14:solidFill>
              <w14:schemeClr w14:val="tx1"/>
            </w14:solidFill>
          </w14:textFill>
        </w:rPr>
        <w:t>，属于（中型企业、小型企业、微型企业）；</w:t>
      </w:r>
    </w:p>
    <w:p>
      <w:pPr>
        <w:snapToGrid w:val="0"/>
        <w:spacing w:line="312" w:lineRule="auto"/>
        <w:ind w:firstLine="750" w:firstLineChars="250"/>
        <w:jc w:val="center"/>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 xml:space="preserve">2. （标的名称） ，属于（采购文件中明确的所属行业） 行业；制造商为（企业名称），从业人员 </w:t>
      </w:r>
      <w:r>
        <w:rPr>
          <w:rFonts w:hint="eastAsia" w:ascii="仿宋" w:hAnsi="仿宋" w:eastAsia="仿宋"/>
          <w:color w:val="000000" w:themeColor="text1"/>
          <w:sz w:val="30"/>
          <w:szCs w:val="30"/>
          <w14:textFill>
            <w14:solidFill>
              <w14:schemeClr w14:val="tx1"/>
            </w14:solidFill>
          </w14:textFill>
        </w:rPr>
        <w:t xml:space="preserve"> </w:t>
      </w:r>
      <w:r>
        <w:rPr>
          <w:rFonts w:ascii="仿宋" w:hAnsi="仿宋" w:eastAsia="仿宋"/>
          <w:color w:val="000000" w:themeColor="text1"/>
          <w:sz w:val="30"/>
          <w:szCs w:val="30"/>
          <w14:textFill>
            <w14:solidFill>
              <w14:schemeClr w14:val="tx1"/>
            </w14:solidFill>
          </w14:textFill>
        </w:rPr>
        <w:t xml:space="preserve">人，营业收入为 </w:t>
      </w:r>
      <w:r>
        <w:rPr>
          <w:rFonts w:hint="eastAsia" w:ascii="仿宋" w:hAnsi="仿宋" w:eastAsia="仿宋"/>
          <w:color w:val="000000" w:themeColor="text1"/>
          <w:sz w:val="30"/>
          <w:szCs w:val="30"/>
          <w14:textFill>
            <w14:solidFill>
              <w14:schemeClr w14:val="tx1"/>
            </w14:solidFill>
          </w14:textFill>
        </w:rPr>
        <w:t xml:space="preserve"> </w:t>
      </w:r>
      <w:r>
        <w:rPr>
          <w:rFonts w:ascii="仿宋" w:hAnsi="仿宋" w:eastAsia="仿宋"/>
          <w:color w:val="000000" w:themeColor="text1"/>
          <w:sz w:val="30"/>
          <w:szCs w:val="30"/>
          <w14:textFill>
            <w14:solidFill>
              <w14:schemeClr w14:val="tx1"/>
            </w14:solidFill>
          </w14:textFill>
        </w:rPr>
        <w:t xml:space="preserve">万元，资产总额为 </w:t>
      </w:r>
      <w:r>
        <w:rPr>
          <w:rFonts w:hint="eastAsia" w:ascii="仿宋" w:hAnsi="仿宋" w:eastAsia="仿宋"/>
          <w:color w:val="000000" w:themeColor="text1"/>
          <w:sz w:val="30"/>
          <w:szCs w:val="30"/>
          <w14:textFill>
            <w14:solidFill>
              <w14:schemeClr w14:val="tx1"/>
            </w14:solidFill>
          </w14:textFill>
        </w:rPr>
        <w:t xml:space="preserve"> </w:t>
      </w:r>
      <w:r>
        <w:rPr>
          <w:rFonts w:ascii="仿宋" w:hAnsi="仿宋" w:eastAsia="仿宋"/>
          <w:color w:val="000000" w:themeColor="text1"/>
          <w:sz w:val="30"/>
          <w:szCs w:val="30"/>
          <w14:textFill>
            <w14:solidFill>
              <w14:schemeClr w14:val="tx1"/>
            </w14:solidFill>
          </w14:textFill>
        </w:rPr>
        <w:t xml:space="preserve">万元，属于（中型企业、小型企业、微型企业）； </w:t>
      </w:r>
    </w:p>
    <w:p>
      <w:pPr>
        <w:snapToGrid w:val="0"/>
        <w:spacing w:line="312" w:lineRule="auto"/>
        <w:ind w:firstLine="750" w:firstLineChars="250"/>
        <w:jc w:val="left"/>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 xml:space="preserve">…… </w:t>
      </w:r>
    </w:p>
    <w:p>
      <w:pPr>
        <w:snapToGrid w:val="0"/>
        <w:spacing w:line="312" w:lineRule="auto"/>
        <w:ind w:firstLine="600" w:firstLineChars="2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 xml:space="preserve">以上企业，不属于大企业的分支机构，不存在控股股东为大企业的情形，也不存在与大企业的负责人为同一人的情形。 </w:t>
      </w:r>
    </w:p>
    <w:p>
      <w:pPr>
        <w:snapToGrid w:val="0"/>
        <w:spacing w:line="312" w:lineRule="auto"/>
        <w:ind w:firstLine="600" w:firstLineChars="200"/>
      </w:pPr>
      <w:r>
        <w:rPr>
          <w:rFonts w:ascii="仿宋" w:hAnsi="仿宋" w:eastAsia="仿宋"/>
          <w:color w:val="000000" w:themeColor="text1"/>
          <w:sz w:val="30"/>
          <w:szCs w:val="30"/>
          <w14:textFill>
            <w14:solidFill>
              <w14:schemeClr w14:val="tx1"/>
            </w14:solidFill>
          </w14:textFill>
        </w:rPr>
        <w:t>本企业对上述声明内容的真实性负责。如有虚假，将依法承担相应责任。</w:t>
      </w:r>
      <w:r>
        <w:t xml:space="preserve"> </w:t>
      </w:r>
    </w:p>
    <w:p>
      <w:pPr>
        <w:snapToGrid w:val="0"/>
        <w:spacing w:line="312" w:lineRule="auto"/>
        <w:ind w:firstLine="750" w:firstLineChars="2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w:t>
      </w:r>
      <w:r>
        <w:rPr>
          <w:rFonts w:ascii="仿宋" w:hAnsi="仿宋" w:eastAsia="仿宋"/>
          <w:color w:val="000000" w:themeColor="text1"/>
          <w:sz w:val="30"/>
          <w:szCs w:val="30"/>
          <w14:textFill>
            <w14:solidFill>
              <w14:schemeClr w14:val="tx1"/>
            </w14:solidFill>
          </w14:textFill>
        </w:rPr>
        <w:t xml:space="preserve">企业名称（盖章）： </w:t>
      </w:r>
    </w:p>
    <w:p>
      <w:pPr>
        <w:snapToGrid w:val="0"/>
        <w:spacing w:line="312" w:lineRule="auto"/>
        <w:ind w:firstLine="750" w:firstLineChars="250"/>
        <w:jc w:val="center"/>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日 期：</w:t>
      </w:r>
    </w:p>
    <w:p>
      <w:pPr>
        <w:snapToGrid w:val="0"/>
        <w:spacing w:line="312" w:lineRule="auto"/>
        <w:ind w:firstLine="750" w:firstLineChars="250"/>
        <w:jc w:val="center"/>
        <w:rPr>
          <w:rFonts w:ascii="仿宋" w:hAnsi="仿宋" w:eastAsia="仿宋"/>
          <w:color w:val="000000" w:themeColor="text1"/>
          <w:sz w:val="30"/>
          <w:szCs w:val="30"/>
          <w14:textFill>
            <w14:solidFill>
              <w14:schemeClr w14:val="tx1"/>
            </w14:solidFill>
          </w14:textFill>
        </w:rPr>
      </w:pPr>
    </w:p>
    <w:p>
      <w:pPr>
        <w:snapToGrid w:val="0"/>
        <w:spacing w:line="312" w:lineRule="auto"/>
        <w:ind w:firstLine="750" w:firstLineChars="250"/>
        <w:jc w:val="center"/>
        <w:rPr>
          <w:rFonts w:ascii="仿宋" w:hAnsi="仿宋" w:eastAsia="仿宋"/>
          <w:color w:val="000000" w:themeColor="text1"/>
          <w:sz w:val="30"/>
          <w:szCs w:val="30"/>
          <w14:textFill>
            <w14:solidFill>
              <w14:schemeClr w14:val="tx1"/>
            </w14:solidFill>
          </w14:textFill>
        </w:rPr>
      </w:pPr>
    </w:p>
    <w:p>
      <w:pPr>
        <w:snapToGrid w:val="0"/>
        <w:spacing w:line="312" w:lineRule="auto"/>
        <w:ind w:firstLine="750" w:firstLineChars="250"/>
        <w:jc w:val="center"/>
        <w:rPr>
          <w:rFonts w:ascii="仿宋" w:hAnsi="仿宋" w:eastAsia="仿宋"/>
          <w:color w:val="000000" w:themeColor="text1"/>
          <w:sz w:val="30"/>
          <w:szCs w:val="30"/>
          <w14:textFill>
            <w14:solidFill>
              <w14:schemeClr w14:val="tx1"/>
            </w14:solidFill>
          </w14:textFill>
        </w:rPr>
      </w:pPr>
    </w:p>
    <w:p>
      <w:pPr>
        <w:snapToGrid w:val="0"/>
        <w:spacing w:line="312" w:lineRule="auto"/>
        <w:ind w:firstLine="750" w:firstLineChars="250"/>
        <w:jc w:val="center"/>
        <w:rPr>
          <w:rFonts w:ascii="仿宋" w:hAnsi="仿宋" w:eastAsia="仿宋"/>
          <w:color w:val="000000" w:themeColor="text1"/>
          <w:sz w:val="30"/>
          <w:szCs w:val="30"/>
          <w14:textFill>
            <w14:solidFill>
              <w14:schemeClr w14:val="tx1"/>
            </w14:solidFill>
          </w14:textFill>
        </w:rPr>
      </w:pPr>
    </w:p>
    <w:p>
      <w:pPr>
        <w:snapToGrid w:val="0"/>
        <w:spacing w:line="312" w:lineRule="auto"/>
        <w:ind w:firstLine="750" w:firstLineChars="2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311785</wp:posOffset>
                </wp:positionH>
                <wp:positionV relativeFrom="paragraph">
                  <wp:posOffset>212090</wp:posOffset>
                </wp:positionV>
                <wp:extent cx="5050790" cy="21590"/>
                <wp:effectExtent l="0" t="0" r="16510" b="35560"/>
                <wp:wrapNone/>
                <wp:docPr id="2" name="直接连接符 2"/>
                <wp:cNvGraphicFramePr/>
                <a:graphic xmlns:a="http://schemas.openxmlformats.org/drawingml/2006/main">
                  <a:graphicData uri="http://schemas.microsoft.com/office/word/2010/wordprocessingShape">
                    <wps:wsp>
                      <wps:cNvCnPr/>
                      <wps:spPr>
                        <a:xfrm>
                          <a:off x="0" y="0"/>
                          <a:ext cx="5050971" cy="2177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55pt;margin-top:16.7pt;height:1.7pt;width:397.7pt;z-index:251661312;mso-width-relative:page;mso-height-relative:page;" filled="f" stroked="t" coordsize="21600,21600" o:gfxdata="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DUPt3WAAAACAEAAA8AAAAA&#10;AAAAAQAgAAAAIgAAAGRycy9kb3ducmV2LnhtbFBLAQIUABQAAAAIAIdO4kBl3DJo3QEAAJ4DAAAO&#10;AAAAAAAAAAEAIAAAACUBAABkcnMvZTJvRG9jLnhtbFBLBQYAAAAABgAGAFkBAAB0BQAAAAA=&#10;">
                <v:fill on="f" focussize="0,0"/>
                <v:stroke weight="0.5pt" color="#000000 [3213]" joinstyle="round"/>
                <v:imagedata o:title=""/>
                <o:lock v:ext="edit" aspectratio="f"/>
              </v:line>
            </w:pict>
          </mc:Fallback>
        </mc:AlternateContent>
      </w:r>
    </w:p>
    <w:p>
      <w:pPr>
        <w:snapToGrid w:val="0"/>
        <w:spacing w:line="312" w:lineRule="auto"/>
        <w:ind w:firstLine="450" w:firstLineChars="250"/>
        <w:jc w:val="left"/>
        <w:rPr>
          <w:rFonts w:ascii="仿宋" w:hAnsi="仿宋" w:eastAsia="仿宋"/>
          <w:color w:val="000000" w:themeColor="text1"/>
          <w:sz w:val="24"/>
          <w:szCs w:val="30"/>
          <w14:textFill>
            <w14:solidFill>
              <w14:schemeClr w14:val="tx1"/>
            </w14:solidFill>
          </w14:textFill>
        </w:rPr>
      </w:pPr>
      <w:r>
        <w:rPr>
          <w:sz w:val="18"/>
          <w:vertAlign w:val="superscript"/>
        </w:rPr>
        <w:t>1</w:t>
      </w:r>
      <w:r>
        <w:rPr>
          <w:sz w:val="18"/>
        </w:rPr>
        <w:t>从业人员、营业收入、资产总额填报上一年度数据，无上一年度数据的新成立企业可不填报。</w:t>
      </w:r>
    </w:p>
    <w:p>
      <w:pPr>
        <w:snapToGrid w:val="0"/>
        <w:spacing w:line="312" w:lineRule="auto"/>
        <w:ind w:firstLine="904" w:firstLineChars="250"/>
        <w:jc w:val="center"/>
        <w:rPr>
          <w:rFonts w:ascii="仿宋" w:hAnsi="仿宋" w:eastAsia="仿宋"/>
          <w:b/>
          <w:color w:val="000000" w:themeColor="text1"/>
          <w:sz w:val="36"/>
          <w:szCs w:val="36"/>
          <w14:textFill>
            <w14:solidFill>
              <w14:schemeClr w14:val="tx1"/>
            </w14:solidFill>
          </w14:textFill>
        </w:rPr>
      </w:pPr>
    </w:p>
    <w:p>
      <w:pPr>
        <w:snapToGrid w:val="0"/>
        <w:spacing w:line="312" w:lineRule="auto"/>
        <w:ind w:firstLine="904" w:firstLineChars="25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中小企业声明函（工程、服务）</w:t>
      </w:r>
    </w:p>
    <w:p>
      <w:pPr>
        <w:snapToGrid w:val="0"/>
        <w:spacing w:line="312" w:lineRule="auto"/>
        <w:ind w:firstLine="750" w:firstLineChars="2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napToGrid w:val="0"/>
        <w:spacing w:line="312" w:lineRule="auto"/>
        <w:ind w:firstLine="750" w:firstLineChars="2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 （标的名称），属于（采购文件中明确的所属行业）；承建（承接）企业为（企业名称），从业人员  人，营业收入为 万元，资产总额为 万元</w:t>
      </w:r>
      <w:r>
        <w:rPr>
          <w:rFonts w:hint="eastAsia" w:ascii="仿宋" w:hAnsi="仿宋" w:eastAsia="仿宋"/>
          <w:color w:val="000000" w:themeColor="text1"/>
          <w:sz w:val="30"/>
          <w:szCs w:val="30"/>
          <w:vertAlign w:val="superscript"/>
          <w14:textFill>
            <w14:solidFill>
              <w14:schemeClr w14:val="tx1"/>
            </w14:solidFill>
          </w14:textFill>
        </w:rPr>
        <w:t>1</w:t>
      </w:r>
      <w:r>
        <w:rPr>
          <w:rFonts w:hint="eastAsia" w:ascii="仿宋" w:hAnsi="仿宋" w:eastAsia="仿宋"/>
          <w:color w:val="000000" w:themeColor="text1"/>
          <w:sz w:val="30"/>
          <w:szCs w:val="30"/>
          <w14:textFill>
            <w14:solidFill>
              <w14:schemeClr w14:val="tx1"/>
            </w14:solidFill>
          </w14:textFill>
        </w:rPr>
        <w:t>，属于（中型企业、小型企业、微型企业）；</w:t>
      </w:r>
    </w:p>
    <w:p>
      <w:pPr>
        <w:snapToGrid w:val="0"/>
        <w:spacing w:line="312" w:lineRule="auto"/>
        <w:ind w:firstLine="750" w:firstLineChars="2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 （标的名称），属于（采购文件中明确的所属行业）；承建（承接）企业为（企业名称），从业人员 人，营业收入为 万元，资产总额为 万元，属于（中型企业、小型企业、微型企业）；</w:t>
      </w:r>
    </w:p>
    <w:p>
      <w:pPr>
        <w:snapToGrid w:val="0"/>
        <w:spacing w:line="312" w:lineRule="auto"/>
        <w:ind w:firstLine="750" w:firstLineChars="2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w:t>
      </w:r>
    </w:p>
    <w:p>
      <w:pPr>
        <w:snapToGrid w:val="0"/>
        <w:spacing w:line="312" w:lineRule="auto"/>
        <w:ind w:firstLine="750" w:firstLineChars="2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以上企业，不属于大企业的分支机构，不存在控股股东为大企业的情形，也不存在与大企业的负责人为同一人的情形。</w:t>
      </w:r>
    </w:p>
    <w:p>
      <w:pPr>
        <w:snapToGrid w:val="0"/>
        <w:spacing w:line="312" w:lineRule="auto"/>
        <w:ind w:firstLine="750" w:firstLineChars="2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本企业对上述声明内容的真实性负责。如有虚假，将依法承担相应责任。</w:t>
      </w:r>
    </w:p>
    <w:p>
      <w:pPr>
        <w:snapToGrid w:val="0"/>
        <w:spacing w:line="312" w:lineRule="auto"/>
        <w:ind w:right="1444" w:firstLine="750" w:firstLineChars="250"/>
        <w:jc w:val="right"/>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 xml:space="preserve">企业名称（盖章）： </w:t>
      </w:r>
    </w:p>
    <w:p>
      <w:pPr>
        <w:snapToGrid w:val="0"/>
        <w:spacing w:line="312" w:lineRule="auto"/>
        <w:ind w:right="1444" w:firstLine="750" w:firstLineChars="250"/>
        <w:jc w:val="right"/>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日 期：</w:t>
      </w:r>
    </w:p>
    <w:p>
      <w:pPr>
        <w:snapToGrid w:val="0"/>
        <w:spacing w:line="312" w:lineRule="auto"/>
        <w:ind w:firstLine="904" w:firstLineChars="250"/>
        <w:rPr>
          <w:rFonts w:ascii="仿宋" w:hAnsi="仿宋" w:eastAsia="仿宋"/>
          <w:b/>
          <w:color w:val="000000" w:themeColor="text1"/>
          <w:sz w:val="36"/>
          <w:szCs w:val="36"/>
          <w14:textFill>
            <w14:solidFill>
              <w14:schemeClr w14:val="tx1"/>
            </w14:solidFill>
          </w14:textFill>
        </w:rPr>
      </w:pPr>
    </w:p>
    <w:p>
      <w:pPr>
        <w:snapToGrid w:val="0"/>
        <w:spacing w:line="312" w:lineRule="auto"/>
        <w:ind w:firstLine="904" w:firstLineChars="250"/>
        <w:rPr>
          <w:rFonts w:ascii="仿宋" w:hAnsi="仿宋" w:eastAsia="仿宋"/>
          <w:b/>
          <w:color w:val="000000" w:themeColor="text1"/>
          <w:sz w:val="36"/>
          <w:szCs w:val="36"/>
          <w14:textFill>
            <w14:solidFill>
              <w14:schemeClr w14:val="tx1"/>
            </w14:solidFill>
          </w14:textFill>
        </w:rPr>
      </w:pPr>
    </w:p>
    <w:p>
      <w:pPr>
        <w:snapToGrid w:val="0"/>
        <w:spacing w:line="312" w:lineRule="auto"/>
        <w:rPr>
          <w:rFonts w:ascii="仿宋" w:hAnsi="仿宋" w:eastAsia="仿宋"/>
          <w:b/>
          <w:color w:val="000000" w:themeColor="text1"/>
          <w:sz w:val="36"/>
          <w:szCs w:val="36"/>
          <w14:textFill>
            <w14:solidFill>
              <w14:schemeClr w14:val="tx1"/>
            </w14:solidFill>
          </w14:textFill>
        </w:rPr>
      </w:pPr>
    </w:p>
    <w:p>
      <w:pPr>
        <w:snapToGrid w:val="0"/>
        <w:spacing w:line="312" w:lineRule="auto"/>
        <w:ind w:firstLine="750" w:firstLineChars="2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311785</wp:posOffset>
                </wp:positionH>
                <wp:positionV relativeFrom="paragraph">
                  <wp:posOffset>212090</wp:posOffset>
                </wp:positionV>
                <wp:extent cx="5050790" cy="21590"/>
                <wp:effectExtent l="0" t="0" r="16510" b="35560"/>
                <wp:wrapNone/>
                <wp:docPr id="3" name="直接连接符 3"/>
                <wp:cNvGraphicFramePr/>
                <a:graphic xmlns:a="http://schemas.openxmlformats.org/drawingml/2006/main">
                  <a:graphicData uri="http://schemas.microsoft.com/office/word/2010/wordprocessingShape">
                    <wps:wsp>
                      <wps:cNvCnPr/>
                      <wps:spPr>
                        <a:xfrm>
                          <a:off x="0" y="0"/>
                          <a:ext cx="5050971" cy="2177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55pt;margin-top:16.7pt;height:1.7pt;width:397.7pt;z-index:251663360;mso-width-relative:page;mso-height-relative:page;" filled="f" stroked="t" coordsize="21600,21600" o:gfxdata="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NQ+3dYAAAAIAQAADwAAAAAA&#10;AAABACAAAAAiAAAAZHJzL2Rvd25yZXYueG1sUEsBAhQAFAAAAAgAh07iQN/M22rcAQAAngMAAA4A&#10;AAAAAAAAAQAgAAAAJQEAAGRycy9lMm9Eb2MueG1sUEsFBgAAAAAGAAYAWQEAAHMFAAAAAA==&#10;">
                <v:fill on="f" focussize="0,0"/>
                <v:stroke weight="0.5pt" color="#000000 [3213]" joinstyle="round"/>
                <v:imagedata o:title=""/>
                <o:lock v:ext="edit" aspectratio="f"/>
              </v:line>
            </w:pict>
          </mc:Fallback>
        </mc:AlternateContent>
      </w:r>
    </w:p>
    <w:p>
      <w:pPr>
        <w:snapToGrid w:val="0"/>
        <w:spacing w:line="312" w:lineRule="auto"/>
        <w:ind w:firstLine="450" w:firstLineChars="250"/>
        <w:jc w:val="left"/>
        <w:rPr>
          <w:rFonts w:ascii="仿宋" w:hAnsi="仿宋" w:eastAsia="仿宋"/>
          <w:color w:val="000000" w:themeColor="text1"/>
          <w:sz w:val="24"/>
          <w:szCs w:val="30"/>
          <w14:textFill>
            <w14:solidFill>
              <w14:schemeClr w14:val="tx1"/>
            </w14:solidFill>
          </w14:textFill>
        </w:rPr>
      </w:pPr>
      <w:r>
        <w:rPr>
          <w:sz w:val="18"/>
          <w:vertAlign w:val="superscript"/>
        </w:rPr>
        <w:t>1</w:t>
      </w:r>
      <w:r>
        <w:rPr>
          <w:sz w:val="18"/>
        </w:rPr>
        <w:t>从业人员、营业收入、资产总额填报上一年度数据，无上一年度数据的新成立企业可不填报。</w:t>
      </w:r>
    </w:p>
    <w:p>
      <w:pPr>
        <w:snapToGrid w:val="0"/>
        <w:spacing w:line="312" w:lineRule="auto"/>
        <w:ind w:firstLine="904" w:firstLineChars="250"/>
        <w:rPr>
          <w:rFonts w:ascii="仿宋" w:hAnsi="仿宋" w:eastAsia="仿宋"/>
          <w:b/>
          <w:color w:val="000000" w:themeColor="text1"/>
          <w:sz w:val="36"/>
          <w:szCs w:val="36"/>
          <w14:textFill>
            <w14:solidFill>
              <w14:schemeClr w14:val="tx1"/>
            </w14:solidFill>
          </w14:textFill>
        </w:rPr>
      </w:pPr>
    </w:p>
    <w:p>
      <w:pPr>
        <w:snapToGrid w:val="0"/>
        <w:spacing w:line="312" w:lineRule="auto"/>
        <w:ind w:firstLine="904" w:firstLineChars="250"/>
        <w:rPr>
          <w:rFonts w:ascii="仿宋" w:hAnsi="仿宋" w:eastAsia="仿宋"/>
          <w:b/>
          <w:color w:val="000000" w:themeColor="text1"/>
          <w:sz w:val="36"/>
          <w:szCs w:val="36"/>
          <w14:textFill>
            <w14:solidFill>
              <w14:schemeClr w14:val="tx1"/>
            </w14:solidFill>
          </w14:textFill>
        </w:rPr>
      </w:pPr>
    </w:p>
    <w:p>
      <w:pPr>
        <w:snapToGrid w:val="0"/>
        <w:spacing w:line="312" w:lineRule="auto"/>
        <w:ind w:firstLine="753" w:firstLineChars="250"/>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备注说明：</w:t>
      </w:r>
    </w:p>
    <w:p>
      <w:pPr>
        <w:snapToGrid w:val="0"/>
        <w:spacing w:line="312" w:lineRule="auto"/>
        <w:ind w:firstLine="750" w:firstLineChars="2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如联合体投标时，联合体各方均为小型、微型企业的，联合体各方须提供《中小企业声明函》；联合体其中一方为小型、微型企业的，联合协议中须约定小型、微型企业的协议合同金额占到联合体协议合同总额30%以上。</w:t>
      </w:r>
    </w:p>
    <w:p>
      <w:pPr>
        <w:rPr>
          <w:rFonts w:ascii="仿宋" w:hAnsi="仿宋" w:eastAsia="仿宋"/>
          <w:color w:val="000000" w:themeColor="text1"/>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附件17：</w:t>
      </w:r>
    </w:p>
    <w:p>
      <w:pPr>
        <w:rPr>
          <w:rFonts w:ascii="仿宋" w:hAnsi="仿宋" w:eastAsia="仿宋"/>
          <w:color w:val="000000" w:themeColor="text1"/>
          <w14:textFill>
            <w14:solidFill>
              <w14:schemeClr w14:val="tx1"/>
            </w14:solidFill>
          </w14:textFill>
        </w:rPr>
      </w:pPr>
    </w:p>
    <w:p>
      <w:pPr>
        <w:spacing w:line="588" w:lineRule="exact"/>
        <w:jc w:val="center"/>
        <w:rPr>
          <w:rFonts w:ascii="仿宋_GB2312" w:eastAsia="仿宋_GB2312"/>
          <w:b/>
          <w:color w:val="000000" w:themeColor="text1"/>
          <w:spacing w:val="6"/>
          <w:sz w:val="32"/>
          <w:szCs w:val="32"/>
          <w14:textFill>
            <w14:solidFill>
              <w14:schemeClr w14:val="tx1"/>
            </w14:solidFill>
          </w14:textFill>
        </w:rPr>
      </w:pPr>
      <w:r>
        <w:rPr>
          <w:rFonts w:hint="eastAsia" w:ascii="仿宋_GB2312" w:eastAsia="仿宋_GB2312"/>
          <w:b/>
          <w:color w:val="000000" w:themeColor="text1"/>
          <w:spacing w:val="6"/>
          <w:sz w:val="32"/>
          <w:szCs w:val="32"/>
          <w14:textFill>
            <w14:solidFill>
              <w14:schemeClr w14:val="tx1"/>
            </w14:solidFill>
          </w14:textFill>
        </w:rPr>
        <w:t>残疾人福利性单位声明函</w:t>
      </w:r>
    </w:p>
    <w:p>
      <w:pPr>
        <w:spacing w:line="588" w:lineRule="exact"/>
        <w:rPr>
          <w:rFonts w:ascii="仿宋_GB2312" w:eastAsia="仿宋_GB2312"/>
          <w:b/>
          <w:color w:val="000000" w:themeColor="text1"/>
          <w:spacing w:val="6"/>
          <w:sz w:val="30"/>
          <w:szCs w:val="30"/>
          <w14:textFill>
            <w14:solidFill>
              <w14:schemeClr w14:val="tx1"/>
            </w14:solidFill>
          </w14:textFill>
        </w:rPr>
      </w:pP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本单位对上述声明的真实性负责。如有虚假，将依法承担相应责任。</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p>
    <w:p>
      <w:pPr>
        <w:spacing w:line="588" w:lineRule="exact"/>
        <w:ind w:firstLine="624" w:firstLineChars="200"/>
        <w:rPr>
          <w:rFonts w:ascii="仿宋_GB2312" w:eastAsia="仿宋_GB2312"/>
          <w:color w:val="000000" w:themeColor="text1"/>
          <w:spacing w:val="6"/>
          <w:sz w:val="30"/>
          <w:szCs w:val="30"/>
          <w14:textFill>
            <w14:solidFill>
              <w14:schemeClr w14:val="tx1"/>
            </w14:solidFill>
          </w14:textFill>
        </w:rPr>
      </w:pPr>
    </w:p>
    <w:p>
      <w:pPr>
        <w:snapToGrid w:val="0"/>
        <w:spacing w:line="360" w:lineRule="auto"/>
        <w:ind w:firstLine="624" w:firstLineChars="200"/>
        <w:jc w:val="right"/>
        <w:rPr>
          <w:rFonts w:ascii="仿宋" w:hAnsi="仿宋" w:eastAsia="仿宋"/>
          <w:color w:val="000000" w:themeColor="text1"/>
          <w:sz w:val="28"/>
          <w:szCs w:val="28"/>
          <w14:textFill>
            <w14:solidFill>
              <w14:schemeClr w14:val="tx1"/>
            </w14:solidFill>
          </w14:textFill>
        </w:rPr>
      </w:pPr>
      <w:r>
        <w:rPr>
          <w:rFonts w:hint="eastAsia" w:ascii="仿宋_GB2312" w:eastAsia="仿宋_GB2312"/>
          <w:color w:val="000000" w:themeColor="text1"/>
          <w:spacing w:val="6"/>
          <w:sz w:val="30"/>
          <w:szCs w:val="30"/>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单位名称（盖章）：</w:t>
      </w:r>
    </w:p>
    <w:p>
      <w:pPr>
        <w:snapToGrid w:val="0"/>
        <w:spacing w:line="360" w:lineRule="auto"/>
        <w:ind w:firstLine="560" w:firstLineChars="200"/>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日  期：</w:t>
      </w:r>
    </w:p>
    <w:p>
      <w:pPr>
        <w:rPr>
          <w:rFonts w:ascii="仿宋" w:hAnsi="仿宋" w:eastAsia="仿宋"/>
          <w:b/>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br w:type="page"/>
      </w:r>
      <w:r>
        <w:rPr>
          <w:rFonts w:hint="eastAsia" w:ascii="仿宋" w:hAnsi="仿宋" w:eastAsia="仿宋"/>
          <w:b/>
          <w:color w:val="000000" w:themeColor="text1"/>
          <w:sz w:val="28"/>
          <w:szCs w:val="28"/>
          <w14:textFill>
            <w14:solidFill>
              <w14:schemeClr w14:val="tx1"/>
            </w14:solidFill>
          </w14:textFill>
        </w:rPr>
        <w:t>（以下附件在递交投标文件时单独提供即可，无需密封进投标文件）</w:t>
      </w:r>
    </w:p>
    <w:p>
      <w:pP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附件18：</w:t>
      </w:r>
    </w:p>
    <w:p>
      <w:pPr>
        <w:rPr>
          <w:rFonts w:ascii="仿宋" w:hAnsi="仿宋" w:eastAsia="仿宋"/>
          <w:color w:val="000000" w:themeColor="text1"/>
          <w14:textFill>
            <w14:solidFill>
              <w14:schemeClr w14:val="tx1"/>
            </w14:solidFill>
          </w14:textFill>
        </w:rPr>
      </w:pPr>
    </w:p>
    <w:p>
      <w:pPr>
        <w:spacing w:line="588" w:lineRule="exact"/>
        <w:jc w:val="center"/>
        <w:rPr>
          <w:rFonts w:ascii="仿宋_GB2312" w:eastAsia="仿宋_GB2312"/>
          <w:b/>
          <w:color w:val="000000" w:themeColor="text1"/>
          <w:spacing w:val="6"/>
          <w:sz w:val="32"/>
          <w:szCs w:val="32"/>
          <w14:textFill>
            <w14:solidFill>
              <w14:schemeClr w14:val="tx1"/>
            </w14:solidFill>
          </w14:textFill>
        </w:rPr>
      </w:pPr>
      <w:r>
        <w:rPr>
          <w:rFonts w:hint="eastAsia" w:ascii="仿宋_GB2312" w:eastAsia="仿宋_GB2312"/>
          <w:b/>
          <w:color w:val="000000" w:themeColor="text1"/>
          <w:spacing w:val="6"/>
          <w:sz w:val="32"/>
          <w:szCs w:val="32"/>
          <w14:textFill>
            <w14:solidFill>
              <w14:schemeClr w14:val="tx1"/>
            </w14:solidFill>
          </w14:textFill>
        </w:rPr>
        <w:t>投标文件接收回执</w:t>
      </w:r>
    </w:p>
    <w:p>
      <w:pPr>
        <w:spacing w:line="588" w:lineRule="exact"/>
        <w:rPr>
          <w:rFonts w:ascii="仿宋_GB2312" w:eastAsia="仿宋_GB2312"/>
          <w:b/>
          <w:color w:val="000000" w:themeColor="text1"/>
          <w:spacing w:val="6"/>
          <w:sz w:val="30"/>
          <w:szCs w:val="30"/>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_</w:t>
      </w:r>
      <w:r>
        <w:rPr>
          <w:rFonts w:hint="eastAsia" w:ascii="仿宋" w:hAnsi="仿宋" w:eastAsia="仿宋"/>
          <w:color w:val="000000" w:themeColor="text1"/>
          <w:sz w:val="28"/>
          <w:szCs w:val="28"/>
          <w:u w:val="single"/>
          <w14:textFill>
            <w14:solidFill>
              <w14:schemeClr w14:val="tx1"/>
            </w14:solidFill>
          </w14:textFill>
        </w:rPr>
        <w:tab/>
      </w:r>
      <w:r>
        <w:rPr>
          <w:rFonts w:hint="eastAsia" w:ascii="仿宋" w:hAnsi="仿宋" w:eastAsia="仿宋"/>
          <w:color w:val="000000" w:themeColor="text1"/>
          <w:sz w:val="28"/>
          <w:szCs w:val="28"/>
          <w:u w:val="single"/>
          <w14:textFill>
            <w14:solidFill>
              <w14:schemeClr w14:val="tx1"/>
            </w14:solidFill>
          </w14:textFill>
        </w:rPr>
        <w:tab/>
      </w:r>
      <w:r>
        <w:rPr>
          <w:rFonts w:hint="eastAsia" w:ascii="仿宋" w:hAnsi="仿宋" w:eastAsia="仿宋"/>
          <w:color w:val="000000" w:themeColor="text1"/>
          <w:sz w:val="28"/>
          <w:szCs w:val="28"/>
          <w:u w:val="single"/>
          <w14:textFill>
            <w14:solidFill>
              <w14:schemeClr w14:val="tx1"/>
            </w14:solidFill>
          </w14:textFill>
        </w:rPr>
        <w:tab/>
      </w:r>
      <w:r>
        <w:rPr>
          <w:rFonts w:hint="eastAsia" w:ascii="仿宋" w:hAnsi="仿宋" w:eastAsia="仿宋"/>
          <w:color w:val="000000" w:themeColor="text1"/>
          <w:sz w:val="28"/>
          <w:szCs w:val="28"/>
          <w:u w:val="single"/>
          <w14:textFill>
            <w14:solidFill>
              <w14:schemeClr w14:val="tx1"/>
            </w14:solidFill>
          </w14:textFill>
        </w:rPr>
        <w:t>（投标人全称）</w:t>
      </w:r>
      <w:r>
        <w:rPr>
          <w:rFonts w:hint="eastAsia" w:ascii="仿宋" w:hAnsi="仿宋" w:eastAsia="仿宋"/>
          <w:color w:val="000000" w:themeColor="text1"/>
          <w:sz w:val="28"/>
          <w:szCs w:val="28"/>
          <w:u w:val="single"/>
          <w14:textFill>
            <w14:solidFill>
              <w14:schemeClr w14:val="tx1"/>
            </w14:solidFill>
          </w14:textFill>
        </w:rPr>
        <w:tab/>
      </w:r>
      <w:r>
        <w:rPr>
          <w:rFonts w:hint="eastAsia" w:ascii="仿宋" w:hAnsi="仿宋" w:eastAsia="仿宋"/>
          <w:color w:val="000000" w:themeColor="text1"/>
          <w:sz w:val="28"/>
          <w:szCs w:val="28"/>
          <w:u w:val="single"/>
          <w14:textFill>
            <w14:solidFill>
              <w14:schemeClr w14:val="tx1"/>
            </w14:solidFill>
          </w14:textFill>
        </w:rPr>
        <w:tab/>
      </w:r>
      <w:r>
        <w:rPr>
          <w:rFonts w:hint="eastAsia" w:ascii="仿宋" w:hAnsi="仿宋" w:eastAsia="仿宋"/>
          <w:color w:val="000000" w:themeColor="text1"/>
          <w:sz w:val="28"/>
          <w:szCs w:val="28"/>
          <w:u w:val="single"/>
          <w14:textFill>
            <w14:solidFill>
              <w14:schemeClr w14:val="tx1"/>
            </w14:solidFill>
          </w14:textFill>
        </w:rPr>
        <w:tab/>
      </w:r>
      <w:r>
        <w:rPr>
          <w:rFonts w:hint="eastAsia" w:ascii="仿宋" w:hAnsi="仿宋" w:eastAsia="仿宋"/>
          <w:color w:val="000000" w:themeColor="text1"/>
          <w:sz w:val="28"/>
          <w:szCs w:val="28"/>
          <w14:textFill>
            <w14:solidFill>
              <w14:schemeClr w14:val="tx1"/>
            </w14:solidFill>
          </w14:textFill>
        </w:rPr>
        <w:t>_</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你单位递交的以下项目投标文件，经查验，投标文件的包装、密封情况符合招标文件要求，已于</w:t>
      </w:r>
      <w:r>
        <w:rPr>
          <w:rFonts w:hint="eastAsia" w:ascii="仿宋" w:hAnsi="仿宋" w:eastAsia="仿宋"/>
          <w:color w:val="000000" w:themeColor="text1"/>
          <w:sz w:val="28"/>
          <w:szCs w:val="28"/>
          <w:u w:val="single"/>
          <w14:textFill>
            <w14:solidFill>
              <w14:schemeClr w14:val="tx1"/>
            </w14:solidFill>
          </w14:textFill>
        </w:rPr>
        <w:t xml:space="preserve">    年   月   日   时 分</w:t>
      </w:r>
      <w:r>
        <w:rPr>
          <w:rFonts w:hint="eastAsia" w:ascii="仿宋" w:hAnsi="仿宋" w:eastAsia="仿宋"/>
          <w:color w:val="000000" w:themeColor="text1"/>
          <w:sz w:val="28"/>
          <w:szCs w:val="28"/>
          <w14:textFill>
            <w14:solidFill>
              <w14:schemeClr w14:val="tx1"/>
            </w14:solidFill>
          </w14:textFill>
        </w:rPr>
        <w:t>由我中心工作人员接受。</w:t>
      </w:r>
    </w:p>
    <w:tbl>
      <w:tblPr>
        <w:tblStyle w:val="58"/>
        <w:tblW w:w="842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2"/>
        <w:gridCol w:w="3600"/>
        <w:gridCol w:w="108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5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项目编号</w:t>
            </w:r>
          </w:p>
        </w:tc>
        <w:tc>
          <w:tcPr>
            <w:tcW w:w="36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标 项</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5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项目名称</w:t>
            </w:r>
          </w:p>
        </w:tc>
        <w:tc>
          <w:tcPr>
            <w:tcW w:w="684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p>
        </w:tc>
      </w:tr>
    </w:tbl>
    <w:p>
      <w:pPr>
        <w:snapToGrid w:val="0"/>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请仔细阅读以下内容：</w:t>
      </w:r>
    </w:p>
    <w:p>
      <w:pPr>
        <w:snapToGrid w:val="0"/>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1、本回执中除接收时间、接收人签名以外均为必填，如因信息填写错误、疏漏等造成投标文件接收出现任何问题，责任由投标单位自负。</w:t>
      </w:r>
    </w:p>
    <w:p>
      <w:pPr>
        <w:snapToGrid w:val="0"/>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2、标项填写方式：如该项目只有一个标项填“1”，多个标项请填写投标的完整标项号。</w:t>
      </w:r>
    </w:p>
    <w:p>
      <w:pPr>
        <w:snapToGrid w:val="0"/>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3、本回执投标单位按要求填写打印后，由授权代表携带至投标现场，与投标文件一并交至招标方现场工作人员。如投标人递交投标文件时未提供回执，视同不需要回执。</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p>
    <w:p>
      <w:pPr>
        <w:spacing w:line="588" w:lineRule="exact"/>
        <w:ind w:firstLine="624" w:firstLineChars="200"/>
        <w:rPr>
          <w:rFonts w:ascii="仿宋_GB2312" w:eastAsia="仿宋_GB2312"/>
          <w:color w:val="000000" w:themeColor="text1"/>
          <w:spacing w:val="6"/>
          <w:sz w:val="30"/>
          <w:szCs w:val="30"/>
          <w14:textFill>
            <w14:solidFill>
              <w14:schemeClr w14:val="tx1"/>
            </w14:solidFill>
          </w14:textFill>
        </w:rPr>
      </w:pPr>
    </w:p>
    <w:p>
      <w:pPr>
        <w:snapToGrid w:val="0"/>
        <w:spacing w:line="360" w:lineRule="auto"/>
        <w:ind w:firstLine="624" w:firstLineChars="200"/>
        <w:jc w:val="right"/>
        <w:rPr>
          <w:rFonts w:ascii="仿宋" w:hAnsi="仿宋" w:eastAsia="仿宋"/>
          <w:color w:val="000000" w:themeColor="text1"/>
          <w:sz w:val="30"/>
          <w:szCs w:val="30"/>
          <w14:textFill>
            <w14:solidFill>
              <w14:schemeClr w14:val="tx1"/>
            </w14:solidFill>
          </w14:textFill>
        </w:rPr>
      </w:pPr>
      <w:r>
        <w:rPr>
          <w:rFonts w:hint="eastAsia" w:ascii="仿宋_GB2312" w:eastAsia="仿宋_GB2312"/>
          <w:color w:val="000000" w:themeColor="text1"/>
          <w:spacing w:val="6"/>
          <w:sz w:val="30"/>
          <w:szCs w:val="30"/>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     国家体育总局体育器材装备中心</w:t>
      </w:r>
    </w:p>
    <w:p>
      <w:pPr>
        <w:wordWrap w:val="0"/>
        <w:snapToGrid w:val="0"/>
        <w:spacing w:line="360" w:lineRule="auto"/>
        <w:ind w:firstLine="600" w:firstLineChars="200"/>
        <w:jc w:val="right"/>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接收人签名或签章：</w:t>
      </w:r>
      <w:r>
        <w:rPr>
          <w:rFonts w:hint="eastAsia" w:ascii="仿宋" w:hAnsi="仿宋" w:eastAsia="仿宋"/>
          <w:color w:val="000000" w:themeColor="text1"/>
          <w:sz w:val="30"/>
          <w:szCs w:val="30"/>
          <w:u w:val="single"/>
          <w14:textFill>
            <w14:solidFill>
              <w14:schemeClr w14:val="tx1"/>
            </w14:solidFill>
          </w14:textFill>
        </w:rPr>
        <w:t xml:space="preserve">        </w:t>
      </w:r>
    </w:p>
    <w:p>
      <w:pPr>
        <w:snapToGrid w:val="0"/>
        <w:spacing w:line="360" w:lineRule="auto"/>
        <w:ind w:firstLine="560" w:firstLineChars="200"/>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p>
    <w:p>
      <w:pPr>
        <w:pStyle w:val="808"/>
        <w:widowControl w:val="0"/>
        <w:snapToGrid w:val="0"/>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附件19：</w:t>
      </w:r>
    </w:p>
    <w:p>
      <w:pPr>
        <w:pStyle w:val="808"/>
        <w:widowControl w:val="0"/>
        <w:snapToGrid w:val="0"/>
        <w:spacing w:line="500" w:lineRule="exact"/>
        <w:jc w:val="center"/>
        <w:rPr>
          <w:rFonts w:ascii="仿宋" w:hAnsi="仿宋" w:eastAsia="仿宋" w:cs="方正小标宋简体"/>
          <w:b/>
          <w:color w:val="000000" w:themeColor="text1"/>
          <w:sz w:val="32"/>
          <w:szCs w:val="32"/>
          <w14:textFill>
            <w14:solidFill>
              <w14:schemeClr w14:val="tx1"/>
            </w14:solidFill>
          </w14:textFill>
        </w:rPr>
      </w:pPr>
      <w:r>
        <w:rPr>
          <w:rFonts w:hint="eastAsia" w:ascii="仿宋" w:hAnsi="仿宋" w:eastAsia="仿宋" w:cs="方正小标宋简体"/>
          <w:b/>
          <w:color w:val="000000" w:themeColor="text1"/>
          <w:sz w:val="32"/>
          <w:szCs w:val="32"/>
          <w14:textFill>
            <w14:solidFill>
              <w14:schemeClr w14:val="tx1"/>
            </w14:solidFill>
          </w14:textFill>
        </w:rPr>
        <w:t>政府采购活动现场确认声明书</w:t>
      </w:r>
    </w:p>
    <w:p>
      <w:pPr>
        <w:pStyle w:val="808"/>
        <w:widowControl w:val="0"/>
        <w:snapToGrid w:val="0"/>
        <w:spacing w:line="500" w:lineRule="exact"/>
        <w:jc w:val="both"/>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kern w:val="0"/>
          <w:sz w:val="24"/>
          <w:szCs w:val="24"/>
          <w14:textFill>
            <w14:solidFill>
              <w14:schemeClr w14:val="tx1"/>
            </w14:solidFill>
          </w14:textFill>
        </w:rPr>
        <w:t>国家体育总局体育器材装备中心：</w:t>
      </w:r>
    </w:p>
    <w:p>
      <w:pPr>
        <w:pStyle w:val="808"/>
        <w:widowControl w:val="0"/>
        <w:snapToGrid w:val="0"/>
        <w:spacing w:line="480" w:lineRule="exact"/>
        <w:ind w:firstLine="504" w:firstLineChars="200"/>
        <w:jc w:val="both"/>
        <w:rPr>
          <w:rFonts w:ascii="仿宋" w:hAnsi="仿宋" w:eastAsia="仿宋"/>
          <w:color w:val="000000" w:themeColor="text1"/>
          <w:spacing w:val="6"/>
          <w:sz w:val="24"/>
          <w:szCs w:val="24"/>
          <w14:textFill>
            <w14:solidFill>
              <w14:schemeClr w14:val="tx1"/>
            </w14:solidFill>
          </w14:textFill>
        </w:rPr>
      </w:pPr>
      <w:r>
        <w:rPr>
          <w:rFonts w:hint="eastAsia" w:ascii="仿宋" w:hAnsi="仿宋" w:eastAsia="仿宋"/>
          <w:color w:val="000000" w:themeColor="text1"/>
          <w:spacing w:val="6"/>
          <w:sz w:val="24"/>
          <w:szCs w:val="24"/>
          <w14:textFill>
            <w14:solidFill>
              <w14:schemeClr w14:val="tx1"/>
            </w14:solidFill>
          </w14:textFill>
        </w:rPr>
        <w:t>本人经由</w:t>
      </w:r>
      <w:r>
        <w:rPr>
          <w:rFonts w:hint="eastAsia" w:ascii="仿宋" w:hAnsi="仿宋" w:eastAsia="仿宋"/>
          <w:color w:val="000000" w:themeColor="text1"/>
          <w:spacing w:val="6"/>
          <w:sz w:val="24"/>
          <w:szCs w:val="24"/>
          <w:u w:val="single"/>
          <w14:textFill>
            <w14:solidFill>
              <w14:schemeClr w14:val="tx1"/>
            </w14:solidFill>
          </w14:textFill>
        </w:rPr>
        <w:t xml:space="preserve">                  （单位）</w:t>
      </w:r>
      <w:r>
        <w:rPr>
          <w:rFonts w:hint="eastAsia" w:ascii="仿宋" w:hAnsi="仿宋" w:eastAsia="仿宋"/>
          <w:color w:val="000000" w:themeColor="text1"/>
          <w:spacing w:val="6"/>
          <w:sz w:val="24"/>
          <w:szCs w:val="24"/>
          <w14:textFill>
            <w14:solidFill>
              <w14:schemeClr w14:val="tx1"/>
            </w14:solidFill>
          </w14:textFill>
        </w:rPr>
        <w:t>负责人</w:t>
      </w:r>
      <w:r>
        <w:rPr>
          <w:rFonts w:hint="eastAsia" w:ascii="仿宋" w:hAnsi="仿宋" w:eastAsia="仿宋"/>
          <w:color w:val="000000" w:themeColor="text1"/>
          <w:spacing w:val="6"/>
          <w:sz w:val="24"/>
          <w:szCs w:val="24"/>
          <w:u w:val="single"/>
          <w14:textFill>
            <w14:solidFill>
              <w14:schemeClr w14:val="tx1"/>
            </w14:solidFill>
          </w14:textFill>
        </w:rPr>
        <w:t xml:space="preserve">        （姓名）</w:t>
      </w:r>
      <w:r>
        <w:rPr>
          <w:rFonts w:hint="eastAsia" w:ascii="仿宋" w:hAnsi="仿宋" w:eastAsia="仿宋"/>
          <w:color w:val="000000" w:themeColor="text1"/>
          <w:spacing w:val="6"/>
          <w:sz w:val="24"/>
          <w:szCs w:val="24"/>
          <w14:textFill>
            <w14:solidFill>
              <w14:schemeClr w14:val="tx1"/>
            </w14:solidFill>
          </w14:textFill>
        </w:rPr>
        <w:t>合法授权参加</w:t>
      </w:r>
      <w:r>
        <w:rPr>
          <w:rFonts w:hint="eastAsia" w:ascii="仿宋" w:hAnsi="仿宋" w:eastAsia="仿宋"/>
          <w:color w:val="000000" w:themeColor="text1"/>
          <w:spacing w:val="6"/>
          <w:sz w:val="24"/>
          <w:szCs w:val="24"/>
          <w:u w:val="single"/>
          <w14:textFill>
            <w14:solidFill>
              <w14:schemeClr w14:val="tx1"/>
            </w14:solidFill>
          </w14:textFill>
        </w:rPr>
        <w:t xml:space="preserve">                </w:t>
      </w:r>
      <w:r>
        <w:rPr>
          <w:rFonts w:hint="eastAsia" w:ascii="仿宋" w:hAnsi="仿宋" w:eastAsia="仿宋"/>
          <w:color w:val="000000" w:themeColor="text1"/>
          <w:spacing w:val="6"/>
          <w:sz w:val="24"/>
          <w:szCs w:val="24"/>
          <w14:textFill>
            <w14:solidFill>
              <w14:schemeClr w14:val="tx1"/>
            </w14:solidFill>
          </w14:textFill>
        </w:rPr>
        <w:t>项目（编号：</w:t>
      </w:r>
      <w:r>
        <w:rPr>
          <w:rFonts w:hint="eastAsia" w:ascii="仿宋" w:hAnsi="仿宋" w:eastAsia="仿宋"/>
          <w:color w:val="000000" w:themeColor="text1"/>
          <w:spacing w:val="6"/>
          <w:sz w:val="24"/>
          <w:szCs w:val="24"/>
          <w:u w:val="single"/>
          <w14:textFill>
            <w14:solidFill>
              <w14:schemeClr w14:val="tx1"/>
            </w14:solidFill>
          </w14:textFill>
        </w:rPr>
        <w:t xml:space="preserve">        </w:t>
      </w:r>
      <w:r>
        <w:rPr>
          <w:rFonts w:hint="eastAsia" w:ascii="仿宋" w:hAnsi="仿宋" w:eastAsia="仿宋"/>
          <w:color w:val="000000" w:themeColor="text1"/>
          <w:spacing w:val="6"/>
          <w:sz w:val="24"/>
          <w:szCs w:val="24"/>
          <w14:textFill>
            <w14:solidFill>
              <w14:schemeClr w14:val="tx1"/>
            </w14:solidFill>
          </w14:textFill>
        </w:rPr>
        <w:t xml:space="preserve">）政府采购活动，经与本单位法人代表（负责人）联系确认，现就有关公平竞争事项郑重声明如下： </w:t>
      </w:r>
    </w:p>
    <w:p>
      <w:pPr>
        <w:pStyle w:val="807"/>
        <w:widowControl/>
        <w:numPr>
          <w:ilvl w:val="0"/>
          <w:numId w:val="43"/>
        </w:numPr>
        <w:snapToGrid w:val="0"/>
        <w:spacing w:line="480" w:lineRule="exact"/>
        <w:ind w:firstLine="453" w:firstLineChars="189"/>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 xml:space="preserve">本单位与采购人之间 </w:t>
      </w:r>
      <w:r>
        <w:rPr>
          <w:rFonts w:hint="eastAsia" w:ascii="仿宋" w:hAnsi="仿宋" w:eastAsia="仿宋" w:cs="宋体"/>
          <w:color w:val="000000" w:themeColor="text1"/>
          <w:kern w:val="0"/>
          <w:sz w:val="24"/>
          <w:szCs w:val="24"/>
          <w14:textFill>
            <w14:solidFill>
              <w14:schemeClr w14:val="tx1"/>
            </w14:solidFill>
          </w14:textFill>
        </w:rPr>
        <w:t>□</w:t>
      </w:r>
      <w:r>
        <w:rPr>
          <w:rFonts w:hint="eastAsia" w:ascii="仿宋" w:hAnsi="仿宋" w:eastAsia="仿宋"/>
          <w:color w:val="000000" w:themeColor="text1"/>
          <w:kern w:val="0"/>
          <w:sz w:val="24"/>
          <w:szCs w:val="24"/>
          <w14:textFill>
            <w14:solidFill>
              <w14:schemeClr w14:val="tx1"/>
            </w14:solidFill>
          </w14:textFill>
        </w:rPr>
        <w:t xml:space="preserve">不存在利害关系 </w:t>
      </w:r>
      <w:r>
        <w:rPr>
          <w:rFonts w:hint="eastAsia" w:ascii="仿宋" w:hAnsi="仿宋" w:eastAsia="仿宋" w:cs="宋体"/>
          <w:color w:val="000000" w:themeColor="text1"/>
          <w:kern w:val="0"/>
          <w:sz w:val="24"/>
          <w:szCs w:val="24"/>
          <w14:textFill>
            <w14:solidFill>
              <w14:schemeClr w14:val="tx1"/>
            </w14:solidFill>
          </w14:textFill>
        </w:rPr>
        <w:t>□</w:t>
      </w:r>
      <w:r>
        <w:rPr>
          <w:rFonts w:hint="eastAsia" w:ascii="仿宋" w:hAnsi="仿宋" w:eastAsia="仿宋"/>
          <w:color w:val="000000" w:themeColor="text1"/>
          <w:kern w:val="0"/>
          <w:sz w:val="24"/>
          <w:szCs w:val="24"/>
          <w14:textFill>
            <w14:solidFill>
              <w14:schemeClr w14:val="tx1"/>
            </w14:solidFill>
          </w14:textFill>
        </w:rPr>
        <w:t>存在下列利害关系</w:t>
      </w:r>
      <w:r>
        <w:rPr>
          <w:rFonts w:hint="eastAsia" w:ascii="仿宋" w:hAnsi="仿宋" w:eastAsia="仿宋"/>
          <w:color w:val="000000" w:themeColor="text1"/>
          <w:kern w:val="0"/>
          <w:sz w:val="24"/>
          <w:szCs w:val="24"/>
          <w:u w:val="single"/>
          <w14:textFill>
            <w14:solidFill>
              <w14:schemeClr w14:val="tx1"/>
            </w14:solidFill>
          </w14:textFill>
        </w:rPr>
        <w:t xml:space="preserve">           </w:t>
      </w:r>
      <w:r>
        <w:rPr>
          <w:rFonts w:hint="eastAsia" w:ascii="仿宋" w:hAnsi="仿宋" w:eastAsia="仿宋"/>
          <w:color w:val="000000" w:themeColor="text1"/>
          <w:kern w:val="0"/>
          <w:sz w:val="24"/>
          <w:szCs w:val="24"/>
          <w14:textFill>
            <w14:solidFill>
              <w14:schemeClr w14:val="tx1"/>
            </w14:solidFill>
          </w14:textFill>
        </w:rPr>
        <w:t>：</w:t>
      </w:r>
    </w:p>
    <w:p>
      <w:pPr>
        <w:pStyle w:val="807"/>
        <w:widowControl/>
        <w:snapToGrid w:val="0"/>
        <w:spacing w:line="480" w:lineRule="exact"/>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 xml:space="preserve">  A.投资关系    B.行政隶属关系    C.业务指导关系</w:t>
      </w:r>
    </w:p>
    <w:p>
      <w:pPr>
        <w:pStyle w:val="807"/>
        <w:widowControl/>
        <w:snapToGrid w:val="0"/>
        <w:spacing w:line="480" w:lineRule="exact"/>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 xml:space="preserve">  D.其他可能</w:t>
      </w:r>
      <w:r>
        <w:rPr>
          <w:rFonts w:hint="eastAsia" w:ascii="仿宋" w:hAnsi="仿宋" w:eastAsia="仿宋"/>
          <w:color w:val="000000" w:themeColor="text1"/>
          <w:sz w:val="24"/>
          <w:szCs w:val="24"/>
          <w14:textFill>
            <w14:solidFill>
              <w14:schemeClr w14:val="tx1"/>
            </w14:solidFill>
          </w14:textFill>
        </w:rPr>
        <w:t>影响采购公正的</w:t>
      </w:r>
      <w:r>
        <w:rPr>
          <w:rFonts w:hint="eastAsia" w:ascii="仿宋" w:hAnsi="仿宋" w:eastAsia="仿宋"/>
          <w:color w:val="000000" w:themeColor="text1"/>
          <w:kern w:val="0"/>
          <w:sz w:val="24"/>
          <w:szCs w:val="24"/>
          <w14:textFill>
            <w14:solidFill>
              <w14:schemeClr w14:val="tx1"/>
            </w14:solidFill>
          </w14:textFill>
        </w:rPr>
        <w:t>利害关系</w:t>
      </w:r>
      <w:r>
        <w:rPr>
          <w:rFonts w:hint="eastAsia" w:ascii="仿宋" w:hAnsi="仿宋" w:eastAsia="仿宋"/>
          <w:color w:val="000000" w:themeColor="text1"/>
          <w:kern w:val="0"/>
          <w:sz w:val="24"/>
          <w:szCs w:val="24"/>
          <w:u w:val="single"/>
          <w14:textFill>
            <w14:solidFill>
              <w14:schemeClr w14:val="tx1"/>
            </w14:solidFill>
          </w14:textFill>
        </w:rPr>
        <w:t xml:space="preserve">（如有，请如实说明）                 </w:t>
      </w:r>
      <w:r>
        <w:rPr>
          <w:rFonts w:hint="eastAsia" w:ascii="仿宋" w:hAnsi="仿宋" w:eastAsia="仿宋"/>
          <w:color w:val="000000" w:themeColor="text1"/>
          <w:kern w:val="0"/>
          <w:sz w:val="24"/>
          <w:szCs w:val="24"/>
          <w14:textFill>
            <w14:solidFill>
              <w14:schemeClr w14:val="tx1"/>
            </w14:solidFill>
          </w14:textFill>
        </w:rPr>
        <w:t>。</w:t>
      </w:r>
    </w:p>
    <w:p>
      <w:pPr>
        <w:pStyle w:val="807"/>
        <w:widowControl/>
        <w:snapToGrid w:val="0"/>
        <w:spacing w:line="480" w:lineRule="exact"/>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spacing w:val="6"/>
          <w:sz w:val="24"/>
          <w:szCs w:val="24"/>
          <w14:textFill>
            <w14:solidFill>
              <w14:schemeClr w14:val="tx1"/>
            </w14:solidFill>
          </w14:textFill>
        </w:rPr>
        <w:t xml:space="preserve">  二、</w:t>
      </w:r>
      <w:r>
        <w:rPr>
          <w:rFonts w:hint="eastAsia" w:ascii="仿宋" w:hAnsi="仿宋" w:eastAsia="仿宋"/>
          <w:color w:val="000000" w:themeColor="text1"/>
          <w:kern w:val="0"/>
          <w:sz w:val="24"/>
          <w:szCs w:val="24"/>
          <w14:textFill>
            <w14:solidFill>
              <w14:schemeClr w14:val="tx1"/>
            </w14:solidFill>
          </w14:textFill>
        </w:rPr>
        <w:t xml:space="preserve">现已清楚知道参加本项目采购活动的其他所有供应商名称，本单位 </w:t>
      </w:r>
      <w:r>
        <w:rPr>
          <w:rFonts w:hint="eastAsia" w:ascii="仿宋" w:hAnsi="仿宋" w:eastAsia="仿宋" w:cs="宋体"/>
          <w:color w:val="000000" w:themeColor="text1"/>
          <w:kern w:val="0"/>
          <w:sz w:val="24"/>
          <w:szCs w:val="24"/>
          <w14:textFill>
            <w14:solidFill>
              <w14:schemeClr w14:val="tx1"/>
            </w14:solidFill>
          </w14:textFill>
        </w:rPr>
        <w:t>□与其他所有供应商之间均</w:t>
      </w:r>
      <w:r>
        <w:rPr>
          <w:rFonts w:hint="eastAsia" w:ascii="仿宋" w:hAnsi="仿宋" w:eastAsia="仿宋"/>
          <w:color w:val="000000" w:themeColor="text1"/>
          <w:kern w:val="0"/>
          <w:sz w:val="24"/>
          <w:szCs w:val="24"/>
          <w14:textFill>
            <w14:solidFill>
              <w14:schemeClr w14:val="tx1"/>
            </w14:solidFill>
          </w14:textFill>
        </w:rPr>
        <w:t xml:space="preserve">不存在利害关系 </w:t>
      </w:r>
      <w:r>
        <w:rPr>
          <w:rFonts w:hint="eastAsia" w:ascii="仿宋" w:hAnsi="仿宋" w:eastAsia="仿宋" w:cs="宋体"/>
          <w:color w:val="000000" w:themeColor="text1"/>
          <w:kern w:val="0"/>
          <w:sz w:val="24"/>
          <w:szCs w:val="24"/>
          <w14:textFill>
            <w14:solidFill>
              <w14:schemeClr w14:val="tx1"/>
            </w14:solidFill>
          </w14:textFill>
        </w:rPr>
        <w:t>□与</w:t>
      </w:r>
      <w:r>
        <w:rPr>
          <w:rFonts w:hint="eastAsia" w:ascii="仿宋" w:hAnsi="仿宋" w:eastAsia="仿宋" w:cs="宋体"/>
          <w:color w:val="000000" w:themeColor="text1"/>
          <w:kern w:val="0"/>
          <w:sz w:val="24"/>
          <w:szCs w:val="24"/>
          <w:u w:val="single"/>
          <w14:textFill>
            <w14:solidFill>
              <w14:schemeClr w14:val="tx1"/>
            </w14:solidFill>
          </w14:textFill>
        </w:rPr>
        <w:t xml:space="preserve">           （供应商名称）</w:t>
      </w:r>
      <w:r>
        <w:rPr>
          <w:rFonts w:hint="eastAsia" w:ascii="仿宋" w:hAnsi="仿宋" w:eastAsia="仿宋" w:cs="宋体"/>
          <w:color w:val="000000" w:themeColor="text1"/>
          <w:kern w:val="0"/>
          <w:sz w:val="24"/>
          <w:szCs w:val="24"/>
          <w14:textFill>
            <w14:solidFill>
              <w14:schemeClr w14:val="tx1"/>
            </w14:solidFill>
          </w14:textFill>
        </w:rPr>
        <w:t>之间</w:t>
      </w:r>
      <w:r>
        <w:rPr>
          <w:rFonts w:hint="eastAsia" w:ascii="仿宋" w:hAnsi="仿宋" w:eastAsia="仿宋"/>
          <w:color w:val="000000" w:themeColor="text1"/>
          <w:kern w:val="0"/>
          <w:sz w:val="24"/>
          <w:szCs w:val="24"/>
          <w14:textFill>
            <w14:solidFill>
              <w14:schemeClr w14:val="tx1"/>
            </w14:solidFill>
          </w14:textFill>
        </w:rPr>
        <w:t>存在下列利害关系</w:t>
      </w:r>
      <w:r>
        <w:rPr>
          <w:rFonts w:hint="eastAsia" w:ascii="仿宋" w:hAnsi="仿宋" w:eastAsia="仿宋"/>
          <w:color w:val="000000" w:themeColor="text1"/>
          <w:kern w:val="0"/>
          <w:sz w:val="24"/>
          <w:szCs w:val="24"/>
          <w:u w:val="single"/>
          <w14:textFill>
            <w14:solidFill>
              <w14:schemeClr w14:val="tx1"/>
            </w14:solidFill>
          </w14:textFill>
        </w:rPr>
        <w:t xml:space="preserve">          </w:t>
      </w:r>
      <w:r>
        <w:rPr>
          <w:rFonts w:hint="eastAsia" w:ascii="仿宋" w:hAnsi="仿宋" w:eastAsia="仿宋"/>
          <w:color w:val="000000" w:themeColor="text1"/>
          <w:kern w:val="0"/>
          <w:sz w:val="24"/>
          <w:szCs w:val="24"/>
          <w14:textFill>
            <w14:solidFill>
              <w14:schemeClr w14:val="tx1"/>
            </w14:solidFill>
          </w14:textFill>
        </w:rPr>
        <w:t>：</w:t>
      </w:r>
    </w:p>
    <w:p>
      <w:pPr>
        <w:pStyle w:val="808"/>
        <w:widowControl w:val="0"/>
        <w:snapToGrid w:val="0"/>
        <w:spacing w:line="480" w:lineRule="exact"/>
        <w:jc w:val="both"/>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 xml:space="preserve">  A.法定代表人或负责人或实际控制人是同一人</w:t>
      </w:r>
    </w:p>
    <w:p>
      <w:pPr>
        <w:pStyle w:val="808"/>
        <w:widowControl w:val="0"/>
        <w:snapToGrid w:val="0"/>
        <w:spacing w:line="480" w:lineRule="exact"/>
        <w:jc w:val="both"/>
        <w:rPr>
          <w:rFonts w:ascii="仿宋" w:hAnsi="仿宋" w:eastAsia="仿宋"/>
          <w:color w:val="000000" w:themeColor="text1"/>
          <w:spacing w:val="6"/>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 xml:space="preserve">  B.法定代表人或负责人或实际控制人是夫妻关系</w:t>
      </w:r>
    </w:p>
    <w:p>
      <w:pPr>
        <w:pStyle w:val="808"/>
        <w:widowControl w:val="0"/>
        <w:snapToGrid w:val="0"/>
        <w:spacing w:line="480" w:lineRule="exact"/>
        <w:jc w:val="both"/>
        <w:rPr>
          <w:rFonts w:ascii="仿宋" w:hAnsi="仿宋" w:eastAsia="仿宋"/>
          <w:color w:val="000000" w:themeColor="text1"/>
          <w:spacing w:val="6"/>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 xml:space="preserve">  C.法定代表人或负责人或实际控制人是直系血亲关系</w:t>
      </w:r>
    </w:p>
    <w:p>
      <w:pPr>
        <w:pStyle w:val="808"/>
        <w:widowControl w:val="0"/>
        <w:snapToGrid w:val="0"/>
        <w:spacing w:line="480" w:lineRule="exact"/>
        <w:jc w:val="both"/>
        <w:rPr>
          <w:rFonts w:ascii="仿宋" w:hAnsi="仿宋" w:eastAsia="仿宋"/>
          <w:color w:val="000000" w:themeColor="text1"/>
          <w:spacing w:val="6"/>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 xml:space="preserve">  D.法定代表人或负责人或实际控制人存在三代以内旁系血亲关系</w:t>
      </w:r>
    </w:p>
    <w:p>
      <w:pPr>
        <w:pStyle w:val="808"/>
        <w:widowControl w:val="0"/>
        <w:snapToGrid w:val="0"/>
        <w:spacing w:line="480" w:lineRule="exact"/>
        <w:jc w:val="both"/>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 xml:space="preserve">  E.法定代表人或负责人或实际控制人存在近姻亲关系</w:t>
      </w:r>
    </w:p>
    <w:p>
      <w:pPr>
        <w:pStyle w:val="808"/>
        <w:widowControl w:val="0"/>
        <w:snapToGrid w:val="0"/>
        <w:spacing w:line="480" w:lineRule="exact"/>
        <w:jc w:val="both"/>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 xml:space="preserve">  F.法定代表人或负责人或实际控制人存在股份控制或实际控制关系</w:t>
      </w:r>
    </w:p>
    <w:p>
      <w:pPr>
        <w:pStyle w:val="808"/>
        <w:widowControl w:val="0"/>
        <w:snapToGrid w:val="0"/>
        <w:spacing w:line="480" w:lineRule="exact"/>
        <w:jc w:val="both"/>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 xml:space="preserve">  G.存在共同直接或间接投资设立子公司、联营企业和合营企业情况</w:t>
      </w:r>
    </w:p>
    <w:p>
      <w:pPr>
        <w:pStyle w:val="808"/>
        <w:widowControl w:val="0"/>
        <w:snapToGrid w:val="0"/>
        <w:spacing w:line="480" w:lineRule="exact"/>
        <w:jc w:val="both"/>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 xml:space="preserve">  H.存在分级代理或代销关系、同一生产制造商关系、</w:t>
      </w:r>
      <w:r>
        <w:rPr>
          <w:rFonts w:hint="eastAsia" w:ascii="仿宋" w:hAnsi="仿宋" w:eastAsia="仿宋"/>
          <w:color w:val="000000" w:themeColor="text1"/>
          <w:sz w:val="24"/>
          <w:szCs w:val="24"/>
          <w14:textFill>
            <w14:solidFill>
              <w14:schemeClr w14:val="tx1"/>
            </w14:solidFill>
          </w14:textFill>
        </w:rPr>
        <w:t>管理关系、重要业务（占主营业务收入50%以上）或重要财务往来关系（如融资）等其他实质性控制关系</w:t>
      </w:r>
    </w:p>
    <w:p>
      <w:pPr>
        <w:pStyle w:val="808"/>
        <w:widowControl w:val="0"/>
        <w:snapToGrid w:val="0"/>
        <w:spacing w:line="480" w:lineRule="exact"/>
        <w:jc w:val="both"/>
        <w:rPr>
          <w:rFonts w:ascii="仿宋" w:hAnsi="仿宋" w:eastAsia="仿宋"/>
          <w:color w:val="000000" w:themeColor="text1"/>
          <w:spacing w:val="6"/>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I</w:t>
      </w:r>
      <w:r>
        <w:rPr>
          <w:rFonts w:hint="eastAsia" w:ascii="仿宋" w:hAnsi="仿宋" w:eastAsia="仿宋"/>
          <w:color w:val="000000" w:themeColor="text1"/>
          <w:kern w:val="0"/>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其他利害关系情况</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kern w:val="0"/>
          <w:sz w:val="24"/>
          <w:szCs w:val="24"/>
          <w14:textFill>
            <w14:solidFill>
              <w14:schemeClr w14:val="tx1"/>
            </w14:solidFill>
          </w14:textFill>
        </w:rPr>
        <w:t>。</w:t>
      </w:r>
    </w:p>
    <w:p>
      <w:pPr>
        <w:pStyle w:val="807"/>
        <w:widowControl/>
        <w:numPr>
          <w:ilvl w:val="0"/>
          <w:numId w:val="44"/>
        </w:numPr>
        <w:snapToGrid w:val="0"/>
        <w:spacing w:line="480" w:lineRule="exact"/>
        <w:ind w:firstLine="453" w:firstLineChars="189"/>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现已清楚知道并</w:t>
      </w:r>
      <w:r>
        <w:rPr>
          <w:rFonts w:hint="eastAsia" w:ascii="仿宋" w:hAnsi="仿宋" w:eastAsia="仿宋"/>
          <w:color w:val="000000" w:themeColor="text1"/>
          <w:kern w:val="0"/>
          <w:sz w:val="24"/>
          <w:szCs w:val="24"/>
          <w14:textFill>
            <w14:solidFill>
              <w14:schemeClr w14:val="tx1"/>
            </w14:solidFill>
          </w14:textFill>
        </w:rPr>
        <w:t>严格遵守政府采购法律法规和现场纪律。</w:t>
      </w:r>
    </w:p>
    <w:p>
      <w:pPr>
        <w:pStyle w:val="807"/>
        <w:widowControl/>
        <w:numPr>
          <w:ilvl w:val="0"/>
          <w:numId w:val="44"/>
        </w:numPr>
        <w:snapToGrid w:val="0"/>
        <w:spacing w:line="480" w:lineRule="exact"/>
        <w:ind w:firstLine="453" w:firstLineChars="189"/>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我发现</w:t>
      </w:r>
      <w:r>
        <w:rPr>
          <w:rFonts w:hint="eastAsia" w:ascii="仿宋" w:hAnsi="仿宋" w:eastAsia="仿宋"/>
          <w:color w:val="000000" w:themeColor="text1"/>
          <w:kern w:val="0"/>
          <w:sz w:val="24"/>
          <w:szCs w:val="24"/>
          <w:u w:val="single"/>
          <w14:textFill>
            <w14:solidFill>
              <w14:schemeClr w14:val="tx1"/>
            </w14:solidFill>
          </w14:textFill>
        </w:rPr>
        <w:t xml:space="preserve">                    </w:t>
      </w:r>
      <w:r>
        <w:rPr>
          <w:rFonts w:hint="eastAsia" w:ascii="仿宋" w:hAnsi="仿宋" w:eastAsia="仿宋"/>
          <w:color w:val="000000" w:themeColor="text1"/>
          <w:kern w:val="0"/>
          <w:sz w:val="24"/>
          <w:szCs w:val="24"/>
          <w14:textFill>
            <w14:solidFill>
              <w14:schemeClr w14:val="tx1"/>
            </w14:solidFill>
          </w14:textFill>
        </w:rPr>
        <w:t>供应商之间存在或可能存在上述第二条第</w:t>
      </w:r>
      <w:r>
        <w:rPr>
          <w:rFonts w:hint="eastAsia" w:ascii="仿宋" w:hAnsi="仿宋" w:eastAsia="仿宋"/>
          <w:color w:val="000000" w:themeColor="text1"/>
          <w:kern w:val="0"/>
          <w:sz w:val="24"/>
          <w:szCs w:val="24"/>
          <w:u w:val="single"/>
          <w14:textFill>
            <w14:solidFill>
              <w14:schemeClr w14:val="tx1"/>
            </w14:solidFill>
          </w14:textFill>
        </w:rPr>
        <w:t xml:space="preserve">        </w:t>
      </w:r>
      <w:r>
        <w:rPr>
          <w:rFonts w:hint="eastAsia" w:ascii="仿宋" w:hAnsi="仿宋" w:eastAsia="仿宋"/>
          <w:color w:val="000000" w:themeColor="text1"/>
          <w:kern w:val="0"/>
          <w:sz w:val="24"/>
          <w:szCs w:val="24"/>
          <w14:textFill>
            <w14:solidFill>
              <w14:schemeClr w14:val="tx1"/>
            </w14:solidFill>
          </w14:textFill>
        </w:rPr>
        <w:t>项利害关系。</w:t>
      </w:r>
    </w:p>
    <w:p>
      <w:pPr>
        <w:pStyle w:val="808"/>
        <w:widowControl w:val="0"/>
        <w:snapToGrid w:val="0"/>
        <w:spacing w:line="500" w:lineRule="exact"/>
        <w:ind w:firstLine="480" w:firstLineChars="200"/>
        <w:jc w:val="both"/>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（供应商代表签名）</w:t>
      </w:r>
      <w:r>
        <w:rPr>
          <w:rFonts w:hint="eastAsia" w:ascii="仿宋" w:hAnsi="仿宋" w:eastAsia="仿宋"/>
          <w:color w:val="000000" w:themeColor="text1"/>
          <w:sz w:val="24"/>
          <w:szCs w:val="24"/>
          <w:u w:val="single"/>
          <w14:textFill>
            <w14:solidFill>
              <w14:schemeClr w14:val="tx1"/>
            </w14:solidFill>
          </w14:textFill>
        </w:rPr>
        <w:t xml:space="preserve">           </w:t>
      </w:r>
    </w:p>
    <w:p>
      <w:pPr>
        <w:pStyle w:val="34"/>
        <w:snapToGrid w:val="0"/>
        <w:spacing w:line="460" w:lineRule="exact"/>
        <w:ind w:left="0" w:leftChars="0"/>
        <w:rPr>
          <w:rFonts w:ascii="仿宋" w:hAnsi="仿宋" w:eastAsia="仿宋"/>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ab/>
      </w:r>
      <w:r>
        <w:rPr>
          <w:rFonts w:hint="eastAsia" w:ascii="仿宋" w:hAnsi="仿宋" w:eastAsia="仿宋"/>
          <w:color w:val="000000" w:themeColor="text1"/>
          <w:sz w:val="24"/>
          <w:szCs w:val="24"/>
          <w14:textFill>
            <w14:solidFill>
              <w14:schemeClr w14:val="tx1"/>
            </w14:solidFill>
          </w14:textFill>
        </w:rPr>
        <w:tab/>
      </w:r>
      <w:r>
        <w:rPr>
          <w:rFonts w:hint="eastAsia" w:ascii="仿宋" w:hAnsi="仿宋" w:eastAsia="仿宋"/>
          <w:color w:val="000000" w:themeColor="text1"/>
          <w:sz w:val="24"/>
          <w:szCs w:val="24"/>
          <w14:textFill>
            <w14:solidFill>
              <w14:schemeClr w14:val="tx1"/>
            </w14:solidFill>
          </w14:textFill>
        </w:rPr>
        <w:tab/>
      </w:r>
      <w:r>
        <w:rPr>
          <w:rFonts w:hint="eastAsia" w:ascii="仿宋" w:hAnsi="仿宋" w:eastAsia="仿宋"/>
          <w:color w:val="000000" w:themeColor="text1"/>
          <w:sz w:val="24"/>
          <w:szCs w:val="24"/>
          <w14:textFill>
            <w14:solidFill>
              <w14:schemeClr w14:val="tx1"/>
            </w14:solidFill>
          </w14:textFill>
        </w:rPr>
        <w:t xml:space="preserve">     年  月  日</w:t>
      </w:r>
    </w:p>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cols w:space="720" w:num="1"/>
      <w:docGrid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10" w:usb3="00000000" w:csb0="00040000"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166254"/>
    </w:sdtPr>
    <w:sdtContent>
      <w:p>
        <w:pPr>
          <w:pStyle w:val="38"/>
          <w:jc w:val="cente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jc w:val="center"/>
      <w:rPr>
        <w:rStyle w:val="65"/>
        <w:rFonts w:ascii="宋体" w:hAnsi="宋体"/>
        <w:sz w:val="28"/>
        <w:szCs w:val="28"/>
      </w:rPr>
    </w:pPr>
    <w:r>
      <w:rPr>
        <w:rStyle w:val="65"/>
        <w:rFonts w:hint="eastAsia" w:ascii="宋体" w:hAnsi="宋体"/>
        <w:sz w:val="28"/>
        <w:szCs w:val="28"/>
      </w:rPr>
      <w:t xml:space="preserve">— </w:t>
    </w:r>
    <w:r>
      <w:rPr>
        <w:rFonts w:ascii="宋体" w:hAnsi="宋体"/>
        <w:sz w:val="28"/>
        <w:szCs w:val="28"/>
      </w:rPr>
      <w:fldChar w:fldCharType="begin"/>
    </w:r>
    <w:r>
      <w:rPr>
        <w:rStyle w:val="65"/>
        <w:rFonts w:ascii="宋体" w:hAnsi="宋体"/>
        <w:sz w:val="28"/>
        <w:szCs w:val="28"/>
      </w:rPr>
      <w:instrText xml:space="preserve">PAGE  </w:instrText>
    </w:r>
    <w:r>
      <w:rPr>
        <w:rFonts w:ascii="宋体" w:hAnsi="宋体"/>
        <w:sz w:val="28"/>
        <w:szCs w:val="28"/>
      </w:rPr>
      <w:fldChar w:fldCharType="separate"/>
    </w:r>
    <w:r>
      <w:rPr>
        <w:rStyle w:val="65"/>
        <w:rFonts w:ascii="宋体" w:hAnsi="宋体"/>
        <w:sz w:val="28"/>
        <w:szCs w:val="28"/>
      </w:rPr>
      <w:t>101</w:t>
    </w:r>
    <w:r>
      <w:rPr>
        <w:rFonts w:ascii="宋体" w:hAnsi="宋体"/>
        <w:sz w:val="28"/>
        <w:szCs w:val="28"/>
      </w:rPr>
      <w:fldChar w:fldCharType="end"/>
    </w:r>
    <w:r>
      <w:rPr>
        <w:rStyle w:val="65"/>
        <w:rFonts w:hint="eastAsia" w:ascii="宋体" w:hAnsi="宋体"/>
        <w:sz w:val="28"/>
        <w:szCs w:val="28"/>
      </w:rPr>
      <w:t xml:space="preserve"> —</w:t>
    </w:r>
  </w:p>
  <w:p>
    <w:pPr>
      <w:pStyle w:val="38"/>
      <w:ind w:right="720" w:firstLine="180" w:firstLineChars="10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5"/>
      </w:rPr>
    </w:pPr>
    <w:r>
      <w:fldChar w:fldCharType="begin"/>
    </w:r>
    <w:r>
      <w:rPr>
        <w:rStyle w:val="65"/>
      </w:rPr>
      <w:instrText xml:space="preserve">PAGE  </w:instrText>
    </w:r>
    <w:r>
      <w:fldChar w:fldCharType="end"/>
    </w:r>
  </w:p>
  <w:p>
    <w:pPr>
      <w:pStyle w:val="3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5"/>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2"/>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02AA55C2"/>
    <w:multiLevelType w:val="multilevel"/>
    <w:tmpl w:val="02AA55C2"/>
    <w:lvl w:ilvl="0" w:tentative="0">
      <w:start w:val="1"/>
      <w:numFmt w:val="japaneseCounting"/>
      <w:lvlText w:val="%1、"/>
      <w:lvlJc w:val="left"/>
      <w:pPr>
        <w:ind w:left="994" w:hanging="432"/>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9">
    <w:nsid w:val="02FD51F5"/>
    <w:multiLevelType w:val="multilevel"/>
    <w:tmpl w:val="02FD51F5"/>
    <w:lvl w:ilvl="0" w:tentative="0">
      <w:start w:val="1"/>
      <w:numFmt w:val="decimal"/>
      <w:lvlText w:val="1.5.%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6"/>
      <w:lvlText w:val="%1.%2."/>
      <w:lvlJc w:val="left"/>
      <w:pPr>
        <w:ind w:left="567" w:hanging="567"/>
      </w:pPr>
    </w:lvl>
    <w:lvl w:ilvl="2" w:tentative="0">
      <w:start w:val="1"/>
      <w:numFmt w:val="decimal"/>
      <w:pStyle w:val="742"/>
      <w:lvlText w:val="%1.%2.%3."/>
      <w:lvlJc w:val="left"/>
      <w:pPr>
        <w:ind w:left="709" w:hanging="709"/>
      </w:pPr>
    </w:lvl>
    <w:lvl w:ilvl="3" w:tentative="0">
      <w:start w:val="1"/>
      <w:numFmt w:val="decimal"/>
      <w:pStyle w:val="331"/>
      <w:lvlText w:val="%1.%2.%3.%4."/>
      <w:lvlJc w:val="left"/>
      <w:pPr>
        <w:ind w:left="851" w:hanging="851"/>
      </w:pPr>
    </w:lvl>
    <w:lvl w:ilvl="4" w:tentative="0">
      <w:start w:val="1"/>
      <w:numFmt w:val="decimal"/>
      <w:pStyle w:val="799"/>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1">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2">
    <w:nsid w:val="1B9E447F"/>
    <w:multiLevelType w:val="multilevel"/>
    <w:tmpl w:val="1B9E447F"/>
    <w:lvl w:ilvl="0" w:tentative="0">
      <w:start w:val="1"/>
      <w:numFmt w:val="bullet"/>
      <w:pStyle w:val="750"/>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5">
    <w:nsid w:val="23597061"/>
    <w:multiLevelType w:val="singleLevel"/>
    <w:tmpl w:val="23597061"/>
    <w:lvl w:ilvl="0" w:tentative="0">
      <w:start w:val="1"/>
      <w:numFmt w:val="decimal"/>
      <w:suff w:val="nothing"/>
      <w:lvlText w:val="%1）"/>
      <w:lvlJc w:val="left"/>
    </w:lvl>
  </w:abstractNum>
  <w:abstractNum w:abstractNumId="16">
    <w:nsid w:val="258D59E7"/>
    <w:multiLevelType w:val="multilevel"/>
    <w:tmpl w:val="258D59E7"/>
    <w:lvl w:ilvl="0" w:tentative="0">
      <w:start w:val="1"/>
      <w:numFmt w:val="decimal"/>
      <w:lvlText w:val="1.3.%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33700910"/>
    <w:multiLevelType w:val="multilevel"/>
    <w:tmpl w:val="33700910"/>
    <w:lvl w:ilvl="0" w:tentative="0">
      <w:start w:val="1"/>
      <w:numFmt w:val="decimal"/>
      <w:lvlText w:val="1.3.%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
    <w:nsid w:val="35B05358"/>
    <w:multiLevelType w:val="multilevel"/>
    <w:tmpl w:val="35B05358"/>
    <w:lvl w:ilvl="0" w:tentative="0">
      <w:start w:val="1"/>
      <w:numFmt w:val="bullet"/>
      <w:pStyle w:val="345"/>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2"/>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3948B062"/>
    <w:multiLevelType w:val="singleLevel"/>
    <w:tmpl w:val="3948B062"/>
    <w:lvl w:ilvl="0" w:tentative="0">
      <w:start w:val="1"/>
      <w:numFmt w:val="decimal"/>
      <w:suff w:val="nothing"/>
      <w:lvlText w:val="%1）"/>
      <w:lvlJc w:val="left"/>
    </w:lvl>
  </w:abstractNum>
  <w:abstractNum w:abstractNumId="22">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3">
    <w:nsid w:val="3CFD7D5B"/>
    <w:multiLevelType w:val="multilevel"/>
    <w:tmpl w:val="3CFD7D5B"/>
    <w:lvl w:ilvl="0" w:tentative="0">
      <w:start w:val="1"/>
      <w:numFmt w:val="chineseCountingThousand"/>
      <w:pStyle w:val="94"/>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4">
    <w:nsid w:val="3E1A3692"/>
    <w:multiLevelType w:val="multilevel"/>
    <w:tmpl w:val="3E1A3692"/>
    <w:lvl w:ilvl="0" w:tentative="0">
      <w:start w:val="1"/>
      <w:numFmt w:val="chineseCountingThousand"/>
      <w:pStyle w:val="728"/>
      <w:suff w:val="space"/>
      <w:lvlText w:val="%1."/>
      <w:lvlJc w:val="left"/>
      <w:rPr>
        <w:rFonts w:hint="eastAsia" w:cs="Times New Roman"/>
      </w:rPr>
    </w:lvl>
    <w:lvl w:ilvl="1" w:tentative="0">
      <w:start w:val="1"/>
      <w:numFmt w:val="chineseCountingThousand"/>
      <w:pStyle w:val="691"/>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5"/>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5">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6">
    <w:nsid w:val="4B9D13A2"/>
    <w:multiLevelType w:val="multilevel"/>
    <w:tmpl w:val="4B9D13A2"/>
    <w:lvl w:ilvl="0" w:tentative="0">
      <w:start w:val="1"/>
      <w:numFmt w:val="bullet"/>
      <w:pStyle w:val="74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7">
    <w:nsid w:val="4E7107F0"/>
    <w:multiLevelType w:val="multilevel"/>
    <w:tmpl w:val="4E7107F0"/>
    <w:lvl w:ilvl="0" w:tentative="0">
      <w:start w:val="1"/>
      <w:numFmt w:val="bullet"/>
      <w:pStyle w:val="241"/>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8">
    <w:nsid w:val="4F274B06"/>
    <w:multiLevelType w:val="multilevel"/>
    <w:tmpl w:val="4F274B06"/>
    <w:lvl w:ilvl="0" w:tentative="0">
      <w:start w:val="1"/>
      <w:numFmt w:val="decimal"/>
      <w:lvlText w:val="1.3.%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30">
    <w:nsid w:val="54F403B5"/>
    <w:multiLevelType w:val="singleLevel"/>
    <w:tmpl w:val="54F403B5"/>
    <w:lvl w:ilvl="0" w:tentative="0">
      <w:start w:val="1"/>
      <w:numFmt w:val="chineseCounting"/>
      <w:suff w:val="nothing"/>
      <w:lvlText w:val="%1、"/>
      <w:lvlJc w:val="left"/>
      <w:pPr>
        <w:ind w:left="0" w:firstLine="0"/>
      </w:pPr>
    </w:lvl>
  </w:abstractNum>
  <w:abstractNum w:abstractNumId="31">
    <w:nsid w:val="557FD3DA"/>
    <w:multiLevelType w:val="singleLevel"/>
    <w:tmpl w:val="557FD3DA"/>
    <w:lvl w:ilvl="0" w:tentative="0">
      <w:start w:val="3"/>
      <w:numFmt w:val="chineseCounting"/>
      <w:suff w:val="nothing"/>
      <w:lvlText w:val="%1、"/>
      <w:lvlJc w:val="left"/>
      <w:pPr>
        <w:ind w:left="0" w:firstLine="0"/>
      </w:pPr>
    </w:lvl>
  </w:abstractNum>
  <w:abstractNum w:abstractNumId="32">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1"/>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3">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4">
    <w:nsid w:val="5AB217D1"/>
    <w:multiLevelType w:val="multilevel"/>
    <w:tmpl w:val="5AB217D1"/>
    <w:lvl w:ilvl="0" w:tentative="0">
      <w:start w:val="1"/>
      <w:numFmt w:val="decimal"/>
      <w:lvlText w:val="1.5.%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5">
    <w:nsid w:val="5CB71C80"/>
    <w:multiLevelType w:val="multilevel"/>
    <w:tmpl w:val="5CB71C80"/>
    <w:lvl w:ilvl="0" w:tentative="0">
      <w:start w:val="1"/>
      <w:numFmt w:val="decimal"/>
      <w:lvlText w:val="1.5.%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6">
    <w:nsid w:val="65803B68"/>
    <w:multiLevelType w:val="multilevel"/>
    <w:tmpl w:val="65803B68"/>
    <w:lvl w:ilvl="0" w:tentative="0">
      <w:start w:val="1"/>
      <w:numFmt w:val="decimal"/>
      <w:lvlText w:val="1.5.%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7">
    <w:nsid w:val="67403E98"/>
    <w:multiLevelType w:val="singleLevel"/>
    <w:tmpl w:val="67403E98"/>
    <w:lvl w:ilvl="0" w:tentative="0">
      <w:start w:val="1"/>
      <w:numFmt w:val="bullet"/>
      <w:pStyle w:val="739"/>
      <w:lvlText w:val=""/>
      <w:lvlJc w:val="left"/>
      <w:pPr>
        <w:tabs>
          <w:tab w:val="left" w:pos="360"/>
        </w:tabs>
        <w:ind w:left="360" w:hanging="360"/>
      </w:pPr>
      <w:rPr>
        <w:rFonts w:hint="default" w:ascii="Symbol" w:hAnsi="Symbol"/>
      </w:rPr>
    </w:lvl>
  </w:abstractNum>
  <w:abstractNum w:abstractNumId="38">
    <w:nsid w:val="698619EB"/>
    <w:multiLevelType w:val="multilevel"/>
    <w:tmpl w:val="698619EB"/>
    <w:lvl w:ilvl="0" w:tentative="0">
      <w:start w:val="1"/>
      <w:numFmt w:val="decimal"/>
      <w:pStyle w:val="250"/>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9">
    <w:nsid w:val="72C70848"/>
    <w:multiLevelType w:val="multilevel"/>
    <w:tmpl w:val="72C70848"/>
    <w:lvl w:ilvl="0" w:tentative="0">
      <w:start w:val="1"/>
      <w:numFmt w:val="decimal"/>
      <w:lvlText w:val="1.3.%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0">
    <w:nsid w:val="738A4524"/>
    <w:multiLevelType w:val="multilevel"/>
    <w:tmpl w:val="738A4524"/>
    <w:lvl w:ilvl="0" w:tentative="0">
      <w:start w:val="1"/>
      <w:numFmt w:val="decimal"/>
      <w:lvlText w:val="%1、"/>
      <w:lvlJc w:val="left"/>
      <w:pPr>
        <w:tabs>
          <w:tab w:val="left" w:pos="786"/>
        </w:tabs>
        <w:ind w:left="786" w:hanging="360"/>
      </w:pPr>
      <w:rPr>
        <w:rFonts w:hint="eastAsia"/>
      </w:rPr>
    </w:lvl>
    <w:lvl w:ilvl="1" w:tentative="0">
      <w:start w:val="1"/>
      <w:numFmt w:val="japaneseCounting"/>
      <w:lvlText w:val="%2、"/>
      <w:lvlJc w:val="left"/>
      <w:pPr>
        <w:tabs>
          <w:tab w:val="left" w:pos="1380"/>
        </w:tabs>
        <w:ind w:left="1380" w:hanging="480"/>
      </w:pPr>
      <w:rPr>
        <w:rFonts w:hint="default"/>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1">
    <w:nsid w:val="76D52E27"/>
    <w:multiLevelType w:val="multilevel"/>
    <w:tmpl w:val="76D52E27"/>
    <w:lvl w:ilvl="0" w:tentative="0">
      <w:start w:val="1"/>
      <w:numFmt w:val="bullet"/>
      <w:pStyle w:val="695"/>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2">
    <w:nsid w:val="7755585C"/>
    <w:multiLevelType w:val="multilevel"/>
    <w:tmpl w:val="7755585C"/>
    <w:lvl w:ilvl="0" w:tentative="0">
      <w:start w:val="1"/>
      <w:numFmt w:val="bullet"/>
      <w:pStyle w:val="19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3">
    <w:nsid w:val="786E02D0"/>
    <w:multiLevelType w:val="singleLevel"/>
    <w:tmpl w:val="786E02D0"/>
    <w:lvl w:ilvl="0" w:tentative="0">
      <w:start w:val="1"/>
      <w:numFmt w:val="decimal"/>
      <w:suff w:val="nothing"/>
      <w:lvlText w:val="%1）"/>
      <w:lvlJc w:val="left"/>
    </w:lvl>
  </w:abstractNum>
  <w:num w:numId="1">
    <w:abstractNumId w:val="14"/>
  </w:num>
  <w:num w:numId="2">
    <w:abstractNumId w:val="2"/>
  </w:num>
  <w:num w:numId="3">
    <w:abstractNumId w:val="0"/>
  </w:num>
  <w:num w:numId="4">
    <w:abstractNumId w:val="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42"/>
  </w:num>
  <w:num w:numId="8">
    <w:abstractNumId w:val="27"/>
  </w:num>
  <w:num w:numId="9">
    <w:abstractNumId w:val="38"/>
    <w:lvlOverride w:ilvl="0">
      <w:startOverride w:val="1"/>
    </w:lvlOverride>
  </w:num>
  <w:num w:numId="10">
    <w:abstractNumId w:val="10"/>
  </w:num>
  <w:num w:numId="11">
    <w:abstractNumId w:val="1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5"/>
  </w:num>
  <w:num w:numId="13">
    <w:abstractNumId w:val="22"/>
  </w:num>
  <w:num w:numId="14">
    <w:abstractNumId w:val="33"/>
  </w:num>
  <w:num w:numId="15">
    <w:abstractNumId w:val="24"/>
  </w:num>
  <w:num w:numId="16">
    <w:abstractNumId w:val="20"/>
  </w:num>
  <w:num w:numId="17">
    <w:abstractNumId w:val="4"/>
  </w:num>
  <w:num w:numId="18">
    <w:abstractNumId w:val="29"/>
  </w:num>
  <w:num w:numId="19">
    <w:abstractNumId w:val="6"/>
  </w:num>
  <w:num w:numId="20">
    <w:abstractNumId w:val="17"/>
  </w:num>
  <w:num w:numId="21">
    <w:abstractNumId w:val="13"/>
  </w:num>
  <w:num w:numId="22">
    <w:abstractNumId w:val="25"/>
  </w:num>
  <w:num w:numId="23">
    <w:abstractNumId w:val="7"/>
  </w:num>
  <w:num w:numId="24">
    <w:abstractNumId w:val="41"/>
  </w:num>
  <w:num w:numId="25">
    <w:abstractNumId w:val="3"/>
  </w:num>
  <w:num w:numId="26">
    <w:abstractNumId w:val="37"/>
  </w:num>
  <w:num w:numId="27">
    <w:abstractNumId w:val="26"/>
  </w:num>
  <w:num w:numId="28">
    <w:abstractNumId w:val="12"/>
  </w:num>
  <w:num w:numId="29">
    <w:abstractNumId w:val="32"/>
  </w:num>
  <w:num w:numId="30">
    <w:abstractNumId w:val="40"/>
  </w:num>
  <w:num w:numId="31">
    <w:abstractNumId w:val="43"/>
  </w:num>
  <w:num w:numId="32">
    <w:abstractNumId w:val="15"/>
  </w:num>
  <w:num w:numId="33">
    <w:abstractNumId w:val="21"/>
  </w:num>
  <w:num w:numId="34">
    <w:abstractNumId w:val="16"/>
  </w:num>
  <w:num w:numId="35">
    <w:abstractNumId w:val="34"/>
  </w:num>
  <w:num w:numId="36">
    <w:abstractNumId w:val="18"/>
  </w:num>
  <w:num w:numId="37">
    <w:abstractNumId w:val="9"/>
  </w:num>
  <w:num w:numId="38">
    <w:abstractNumId w:val="28"/>
  </w:num>
  <w:num w:numId="39">
    <w:abstractNumId w:val="36"/>
  </w:num>
  <w:num w:numId="40">
    <w:abstractNumId w:val="39"/>
  </w:num>
  <w:num w:numId="41">
    <w:abstractNumId w:val="8"/>
  </w:num>
  <w:num w:numId="42">
    <w:abstractNumId w:val="35"/>
  </w:num>
  <w:num w:numId="43">
    <w:abstractNumId w:val="30"/>
    <w:lvlOverride w:ilvl="0">
      <w:startOverride w:val="1"/>
    </w:lvlOverride>
  </w:num>
  <w:num w:numId="44">
    <w:abstractNumId w:val="3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61"/>
    <w:rsid w:val="00002CA9"/>
    <w:rsid w:val="00003CB6"/>
    <w:rsid w:val="000041A5"/>
    <w:rsid w:val="000043A0"/>
    <w:rsid w:val="00004826"/>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3AB9"/>
    <w:rsid w:val="00014E09"/>
    <w:rsid w:val="0001547E"/>
    <w:rsid w:val="00015F97"/>
    <w:rsid w:val="0001731A"/>
    <w:rsid w:val="000175E0"/>
    <w:rsid w:val="00017888"/>
    <w:rsid w:val="00017AD3"/>
    <w:rsid w:val="00017BD2"/>
    <w:rsid w:val="00017E56"/>
    <w:rsid w:val="0002060E"/>
    <w:rsid w:val="00020A64"/>
    <w:rsid w:val="00020ABB"/>
    <w:rsid w:val="0002181D"/>
    <w:rsid w:val="00021F7A"/>
    <w:rsid w:val="0002294D"/>
    <w:rsid w:val="00022998"/>
    <w:rsid w:val="00024EF6"/>
    <w:rsid w:val="0002527D"/>
    <w:rsid w:val="0002531C"/>
    <w:rsid w:val="00025B40"/>
    <w:rsid w:val="00026BB8"/>
    <w:rsid w:val="00027712"/>
    <w:rsid w:val="00027D30"/>
    <w:rsid w:val="00030445"/>
    <w:rsid w:val="00030E5A"/>
    <w:rsid w:val="000310B8"/>
    <w:rsid w:val="000310CF"/>
    <w:rsid w:val="0003142A"/>
    <w:rsid w:val="00031E05"/>
    <w:rsid w:val="00031E13"/>
    <w:rsid w:val="000327A0"/>
    <w:rsid w:val="00032C15"/>
    <w:rsid w:val="00033D56"/>
    <w:rsid w:val="00035548"/>
    <w:rsid w:val="000360CB"/>
    <w:rsid w:val="000370D2"/>
    <w:rsid w:val="00037CA1"/>
    <w:rsid w:val="000400B9"/>
    <w:rsid w:val="000405CF"/>
    <w:rsid w:val="00040625"/>
    <w:rsid w:val="000409F9"/>
    <w:rsid w:val="00040A06"/>
    <w:rsid w:val="00040A15"/>
    <w:rsid w:val="00041D87"/>
    <w:rsid w:val="0004262C"/>
    <w:rsid w:val="000427DA"/>
    <w:rsid w:val="00045C8E"/>
    <w:rsid w:val="00045CF0"/>
    <w:rsid w:val="0004617D"/>
    <w:rsid w:val="00047516"/>
    <w:rsid w:val="00047A43"/>
    <w:rsid w:val="000504F3"/>
    <w:rsid w:val="0005111D"/>
    <w:rsid w:val="00051D87"/>
    <w:rsid w:val="00053306"/>
    <w:rsid w:val="00055310"/>
    <w:rsid w:val="00055AFD"/>
    <w:rsid w:val="000562B5"/>
    <w:rsid w:val="00056351"/>
    <w:rsid w:val="000568E8"/>
    <w:rsid w:val="00056D53"/>
    <w:rsid w:val="000570F0"/>
    <w:rsid w:val="00057EC8"/>
    <w:rsid w:val="00057FA9"/>
    <w:rsid w:val="00060158"/>
    <w:rsid w:val="00060334"/>
    <w:rsid w:val="000608C7"/>
    <w:rsid w:val="000612B2"/>
    <w:rsid w:val="00062AD3"/>
    <w:rsid w:val="00062E3B"/>
    <w:rsid w:val="00063425"/>
    <w:rsid w:val="00064C30"/>
    <w:rsid w:val="00065283"/>
    <w:rsid w:val="00066C4B"/>
    <w:rsid w:val="00066D1E"/>
    <w:rsid w:val="00066E10"/>
    <w:rsid w:val="00066FDD"/>
    <w:rsid w:val="000672A6"/>
    <w:rsid w:val="000677D2"/>
    <w:rsid w:val="00067EE5"/>
    <w:rsid w:val="000709DF"/>
    <w:rsid w:val="00070F6F"/>
    <w:rsid w:val="0007122C"/>
    <w:rsid w:val="0007246F"/>
    <w:rsid w:val="00072CA7"/>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90B"/>
    <w:rsid w:val="00096D33"/>
    <w:rsid w:val="0009740B"/>
    <w:rsid w:val="00097E0A"/>
    <w:rsid w:val="000A0118"/>
    <w:rsid w:val="000A0491"/>
    <w:rsid w:val="000A055F"/>
    <w:rsid w:val="000A059A"/>
    <w:rsid w:val="000A0B68"/>
    <w:rsid w:val="000A0BB6"/>
    <w:rsid w:val="000A1704"/>
    <w:rsid w:val="000A24F5"/>
    <w:rsid w:val="000A25B7"/>
    <w:rsid w:val="000A2FEB"/>
    <w:rsid w:val="000A34AC"/>
    <w:rsid w:val="000A3641"/>
    <w:rsid w:val="000A4AC4"/>
    <w:rsid w:val="000A5498"/>
    <w:rsid w:val="000A57B4"/>
    <w:rsid w:val="000A594F"/>
    <w:rsid w:val="000A597F"/>
    <w:rsid w:val="000A5E53"/>
    <w:rsid w:val="000A640C"/>
    <w:rsid w:val="000A7C90"/>
    <w:rsid w:val="000B04E9"/>
    <w:rsid w:val="000B0892"/>
    <w:rsid w:val="000B09FF"/>
    <w:rsid w:val="000B1B34"/>
    <w:rsid w:val="000B24E4"/>
    <w:rsid w:val="000B3279"/>
    <w:rsid w:val="000B43C5"/>
    <w:rsid w:val="000B453A"/>
    <w:rsid w:val="000B4B19"/>
    <w:rsid w:val="000B4B8C"/>
    <w:rsid w:val="000B4CB8"/>
    <w:rsid w:val="000B7579"/>
    <w:rsid w:val="000B7EE0"/>
    <w:rsid w:val="000C02D9"/>
    <w:rsid w:val="000C2B71"/>
    <w:rsid w:val="000C2E25"/>
    <w:rsid w:val="000C2EF8"/>
    <w:rsid w:val="000C317B"/>
    <w:rsid w:val="000C4339"/>
    <w:rsid w:val="000C43CF"/>
    <w:rsid w:val="000C4621"/>
    <w:rsid w:val="000C4A94"/>
    <w:rsid w:val="000C6043"/>
    <w:rsid w:val="000C6CBC"/>
    <w:rsid w:val="000D03EC"/>
    <w:rsid w:val="000D0925"/>
    <w:rsid w:val="000D28D8"/>
    <w:rsid w:val="000D2A75"/>
    <w:rsid w:val="000D2F4B"/>
    <w:rsid w:val="000D30AC"/>
    <w:rsid w:val="000D348F"/>
    <w:rsid w:val="000D3F8A"/>
    <w:rsid w:val="000D3FD1"/>
    <w:rsid w:val="000D48F1"/>
    <w:rsid w:val="000D56DC"/>
    <w:rsid w:val="000D5B04"/>
    <w:rsid w:val="000D6E97"/>
    <w:rsid w:val="000D6ED3"/>
    <w:rsid w:val="000D74E2"/>
    <w:rsid w:val="000E0B47"/>
    <w:rsid w:val="000E0C35"/>
    <w:rsid w:val="000E0C9E"/>
    <w:rsid w:val="000E13AB"/>
    <w:rsid w:val="000E1E5E"/>
    <w:rsid w:val="000E1EF6"/>
    <w:rsid w:val="000E2E68"/>
    <w:rsid w:val="000E30EB"/>
    <w:rsid w:val="000E4C14"/>
    <w:rsid w:val="000E5F53"/>
    <w:rsid w:val="000E5F93"/>
    <w:rsid w:val="000E705A"/>
    <w:rsid w:val="000E79FE"/>
    <w:rsid w:val="000F08D2"/>
    <w:rsid w:val="000F0FAC"/>
    <w:rsid w:val="000F2CFD"/>
    <w:rsid w:val="000F33A8"/>
    <w:rsid w:val="000F496C"/>
    <w:rsid w:val="000F4E84"/>
    <w:rsid w:val="000F5946"/>
    <w:rsid w:val="000F6CB5"/>
    <w:rsid w:val="000F7308"/>
    <w:rsid w:val="000F7E2E"/>
    <w:rsid w:val="00100280"/>
    <w:rsid w:val="001004A6"/>
    <w:rsid w:val="00101C75"/>
    <w:rsid w:val="00101D91"/>
    <w:rsid w:val="001022FD"/>
    <w:rsid w:val="00102392"/>
    <w:rsid w:val="001028C7"/>
    <w:rsid w:val="00103278"/>
    <w:rsid w:val="00104794"/>
    <w:rsid w:val="00104AB0"/>
    <w:rsid w:val="00104E08"/>
    <w:rsid w:val="00104F6E"/>
    <w:rsid w:val="00105090"/>
    <w:rsid w:val="00105E09"/>
    <w:rsid w:val="00106636"/>
    <w:rsid w:val="00106D50"/>
    <w:rsid w:val="001073DF"/>
    <w:rsid w:val="001101DE"/>
    <w:rsid w:val="00110FED"/>
    <w:rsid w:val="001113D7"/>
    <w:rsid w:val="001117BF"/>
    <w:rsid w:val="001133D7"/>
    <w:rsid w:val="0011358E"/>
    <w:rsid w:val="001138BE"/>
    <w:rsid w:val="00113B97"/>
    <w:rsid w:val="00113E20"/>
    <w:rsid w:val="00113EC5"/>
    <w:rsid w:val="001146D9"/>
    <w:rsid w:val="00115981"/>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483"/>
    <w:rsid w:val="001404B9"/>
    <w:rsid w:val="00140556"/>
    <w:rsid w:val="001410B1"/>
    <w:rsid w:val="00141D14"/>
    <w:rsid w:val="00142748"/>
    <w:rsid w:val="00142BE2"/>
    <w:rsid w:val="0014355C"/>
    <w:rsid w:val="001445ED"/>
    <w:rsid w:val="001473C5"/>
    <w:rsid w:val="001476C3"/>
    <w:rsid w:val="00147A86"/>
    <w:rsid w:val="00147C64"/>
    <w:rsid w:val="001506E0"/>
    <w:rsid w:val="00150C68"/>
    <w:rsid w:val="00150C8C"/>
    <w:rsid w:val="001515AA"/>
    <w:rsid w:val="00151EDE"/>
    <w:rsid w:val="001524F2"/>
    <w:rsid w:val="00153226"/>
    <w:rsid w:val="0015380A"/>
    <w:rsid w:val="00153989"/>
    <w:rsid w:val="00154D52"/>
    <w:rsid w:val="00156A63"/>
    <w:rsid w:val="00156AC4"/>
    <w:rsid w:val="001571E1"/>
    <w:rsid w:val="001572E2"/>
    <w:rsid w:val="00157456"/>
    <w:rsid w:val="001576DC"/>
    <w:rsid w:val="00157834"/>
    <w:rsid w:val="0016061A"/>
    <w:rsid w:val="001606E6"/>
    <w:rsid w:val="001615EA"/>
    <w:rsid w:val="0016169A"/>
    <w:rsid w:val="001619CB"/>
    <w:rsid w:val="00161F6E"/>
    <w:rsid w:val="00162589"/>
    <w:rsid w:val="00162617"/>
    <w:rsid w:val="00162B1A"/>
    <w:rsid w:val="001630BF"/>
    <w:rsid w:val="00163715"/>
    <w:rsid w:val="001641BF"/>
    <w:rsid w:val="00164670"/>
    <w:rsid w:val="001646CC"/>
    <w:rsid w:val="00164DED"/>
    <w:rsid w:val="00165C4E"/>
    <w:rsid w:val="00165E4F"/>
    <w:rsid w:val="00166FD2"/>
    <w:rsid w:val="00167AF8"/>
    <w:rsid w:val="001707C4"/>
    <w:rsid w:val="001716E7"/>
    <w:rsid w:val="0017249C"/>
    <w:rsid w:val="001725F9"/>
    <w:rsid w:val="00172C56"/>
    <w:rsid w:val="00173848"/>
    <w:rsid w:val="00174331"/>
    <w:rsid w:val="00174D61"/>
    <w:rsid w:val="00175A59"/>
    <w:rsid w:val="001763F7"/>
    <w:rsid w:val="001767B2"/>
    <w:rsid w:val="0018054C"/>
    <w:rsid w:val="00180DA8"/>
    <w:rsid w:val="00181168"/>
    <w:rsid w:val="001853FD"/>
    <w:rsid w:val="0018543D"/>
    <w:rsid w:val="00186A15"/>
    <w:rsid w:val="0019001E"/>
    <w:rsid w:val="001907CD"/>
    <w:rsid w:val="0019115E"/>
    <w:rsid w:val="001917CB"/>
    <w:rsid w:val="0019180D"/>
    <w:rsid w:val="00193921"/>
    <w:rsid w:val="00193D1F"/>
    <w:rsid w:val="001947C4"/>
    <w:rsid w:val="00194EF6"/>
    <w:rsid w:val="00195AA4"/>
    <w:rsid w:val="001967F1"/>
    <w:rsid w:val="00197559"/>
    <w:rsid w:val="00197E8B"/>
    <w:rsid w:val="001A066E"/>
    <w:rsid w:val="001A0FD5"/>
    <w:rsid w:val="001A1005"/>
    <w:rsid w:val="001A1932"/>
    <w:rsid w:val="001A2AFE"/>
    <w:rsid w:val="001A3CCF"/>
    <w:rsid w:val="001A436E"/>
    <w:rsid w:val="001A552B"/>
    <w:rsid w:val="001A5A92"/>
    <w:rsid w:val="001A6924"/>
    <w:rsid w:val="001A6B8A"/>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010"/>
    <w:rsid w:val="001C16FE"/>
    <w:rsid w:val="001C309F"/>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088"/>
    <w:rsid w:val="001E7169"/>
    <w:rsid w:val="001E7835"/>
    <w:rsid w:val="001E7D97"/>
    <w:rsid w:val="001F01EE"/>
    <w:rsid w:val="001F0527"/>
    <w:rsid w:val="001F165C"/>
    <w:rsid w:val="001F176D"/>
    <w:rsid w:val="001F1D8C"/>
    <w:rsid w:val="001F2929"/>
    <w:rsid w:val="001F2B14"/>
    <w:rsid w:val="001F3266"/>
    <w:rsid w:val="001F34EA"/>
    <w:rsid w:val="001F3C5C"/>
    <w:rsid w:val="001F3CA9"/>
    <w:rsid w:val="001F3F09"/>
    <w:rsid w:val="001F48B4"/>
    <w:rsid w:val="001F5007"/>
    <w:rsid w:val="001F5704"/>
    <w:rsid w:val="001F5E2E"/>
    <w:rsid w:val="001F65B5"/>
    <w:rsid w:val="001F6823"/>
    <w:rsid w:val="001F77DB"/>
    <w:rsid w:val="001F78F6"/>
    <w:rsid w:val="001F79A1"/>
    <w:rsid w:val="001F7FE9"/>
    <w:rsid w:val="0020053E"/>
    <w:rsid w:val="00201866"/>
    <w:rsid w:val="00202C7E"/>
    <w:rsid w:val="00202F7F"/>
    <w:rsid w:val="00203176"/>
    <w:rsid w:val="00203C2C"/>
    <w:rsid w:val="00203FD9"/>
    <w:rsid w:val="00204CC9"/>
    <w:rsid w:val="00205598"/>
    <w:rsid w:val="00205F87"/>
    <w:rsid w:val="00207B81"/>
    <w:rsid w:val="00207B9E"/>
    <w:rsid w:val="0021000E"/>
    <w:rsid w:val="0021052B"/>
    <w:rsid w:val="0021083F"/>
    <w:rsid w:val="0021091B"/>
    <w:rsid w:val="00210EE5"/>
    <w:rsid w:val="00210F3C"/>
    <w:rsid w:val="0021235A"/>
    <w:rsid w:val="00212768"/>
    <w:rsid w:val="00212FCC"/>
    <w:rsid w:val="002131A1"/>
    <w:rsid w:val="0021407A"/>
    <w:rsid w:val="00214CB9"/>
    <w:rsid w:val="00214F80"/>
    <w:rsid w:val="0021515E"/>
    <w:rsid w:val="00215894"/>
    <w:rsid w:val="00215912"/>
    <w:rsid w:val="0021622F"/>
    <w:rsid w:val="0021635F"/>
    <w:rsid w:val="002166BB"/>
    <w:rsid w:val="002170BE"/>
    <w:rsid w:val="0021788B"/>
    <w:rsid w:val="0022053F"/>
    <w:rsid w:val="00220767"/>
    <w:rsid w:val="00220964"/>
    <w:rsid w:val="00220B86"/>
    <w:rsid w:val="00220DCD"/>
    <w:rsid w:val="00220FFE"/>
    <w:rsid w:val="0022154C"/>
    <w:rsid w:val="00221CC5"/>
    <w:rsid w:val="00221E4E"/>
    <w:rsid w:val="0022207C"/>
    <w:rsid w:val="00222371"/>
    <w:rsid w:val="00223158"/>
    <w:rsid w:val="00223479"/>
    <w:rsid w:val="0022370E"/>
    <w:rsid w:val="002248BB"/>
    <w:rsid w:val="0022528E"/>
    <w:rsid w:val="002252AE"/>
    <w:rsid w:val="0022535B"/>
    <w:rsid w:val="0022685D"/>
    <w:rsid w:val="00226ADB"/>
    <w:rsid w:val="00227C39"/>
    <w:rsid w:val="00227EB8"/>
    <w:rsid w:val="00231E23"/>
    <w:rsid w:val="00232EF4"/>
    <w:rsid w:val="00233778"/>
    <w:rsid w:val="002349C4"/>
    <w:rsid w:val="00235987"/>
    <w:rsid w:val="002360D3"/>
    <w:rsid w:val="00236A14"/>
    <w:rsid w:val="002407C0"/>
    <w:rsid w:val="00240F1F"/>
    <w:rsid w:val="00241835"/>
    <w:rsid w:val="0024187E"/>
    <w:rsid w:val="002423E4"/>
    <w:rsid w:val="0024285B"/>
    <w:rsid w:val="00243A23"/>
    <w:rsid w:val="00244595"/>
    <w:rsid w:val="0024515A"/>
    <w:rsid w:val="002454C7"/>
    <w:rsid w:val="002457B4"/>
    <w:rsid w:val="002460B4"/>
    <w:rsid w:val="0025021D"/>
    <w:rsid w:val="00250B08"/>
    <w:rsid w:val="00250FA1"/>
    <w:rsid w:val="002513AF"/>
    <w:rsid w:val="0025154D"/>
    <w:rsid w:val="00251C73"/>
    <w:rsid w:val="00252D0A"/>
    <w:rsid w:val="00253D8D"/>
    <w:rsid w:val="0025412D"/>
    <w:rsid w:val="00254C94"/>
    <w:rsid w:val="00255577"/>
    <w:rsid w:val="00255EB0"/>
    <w:rsid w:val="0025605B"/>
    <w:rsid w:val="00256D72"/>
    <w:rsid w:val="002573B1"/>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B6C"/>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12B"/>
    <w:rsid w:val="002874A6"/>
    <w:rsid w:val="00287BC6"/>
    <w:rsid w:val="00287D23"/>
    <w:rsid w:val="00291308"/>
    <w:rsid w:val="002919E0"/>
    <w:rsid w:val="0029240A"/>
    <w:rsid w:val="00294161"/>
    <w:rsid w:val="0029421D"/>
    <w:rsid w:val="002948CF"/>
    <w:rsid w:val="0029620C"/>
    <w:rsid w:val="002A096D"/>
    <w:rsid w:val="002A17B6"/>
    <w:rsid w:val="002A2D5B"/>
    <w:rsid w:val="002A2FF8"/>
    <w:rsid w:val="002A40A0"/>
    <w:rsid w:val="002A532E"/>
    <w:rsid w:val="002A5CE8"/>
    <w:rsid w:val="002A791F"/>
    <w:rsid w:val="002B0C26"/>
    <w:rsid w:val="002B1270"/>
    <w:rsid w:val="002B1300"/>
    <w:rsid w:val="002B1335"/>
    <w:rsid w:val="002B1C79"/>
    <w:rsid w:val="002B4672"/>
    <w:rsid w:val="002B52AD"/>
    <w:rsid w:val="002B5B64"/>
    <w:rsid w:val="002B62B2"/>
    <w:rsid w:val="002C1BD4"/>
    <w:rsid w:val="002C3413"/>
    <w:rsid w:val="002C34DB"/>
    <w:rsid w:val="002C3A32"/>
    <w:rsid w:val="002C3FB8"/>
    <w:rsid w:val="002C4286"/>
    <w:rsid w:val="002C43FB"/>
    <w:rsid w:val="002C7531"/>
    <w:rsid w:val="002C799A"/>
    <w:rsid w:val="002D02BF"/>
    <w:rsid w:val="002D0922"/>
    <w:rsid w:val="002D09D8"/>
    <w:rsid w:val="002D0D97"/>
    <w:rsid w:val="002D0FFC"/>
    <w:rsid w:val="002D1274"/>
    <w:rsid w:val="002D12A3"/>
    <w:rsid w:val="002D13B2"/>
    <w:rsid w:val="002D25CC"/>
    <w:rsid w:val="002D2AB5"/>
    <w:rsid w:val="002D34F7"/>
    <w:rsid w:val="002D3B93"/>
    <w:rsid w:val="002D3E19"/>
    <w:rsid w:val="002D3F64"/>
    <w:rsid w:val="002D3FC8"/>
    <w:rsid w:val="002D41F4"/>
    <w:rsid w:val="002D49C1"/>
    <w:rsid w:val="002D4CE5"/>
    <w:rsid w:val="002D4DBE"/>
    <w:rsid w:val="002D572B"/>
    <w:rsid w:val="002D61AE"/>
    <w:rsid w:val="002D6E1E"/>
    <w:rsid w:val="002D6E28"/>
    <w:rsid w:val="002D7B66"/>
    <w:rsid w:val="002E0814"/>
    <w:rsid w:val="002E088D"/>
    <w:rsid w:val="002E10ED"/>
    <w:rsid w:val="002E1195"/>
    <w:rsid w:val="002E1CEB"/>
    <w:rsid w:val="002E1EDB"/>
    <w:rsid w:val="002E2633"/>
    <w:rsid w:val="002E33B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32F"/>
    <w:rsid w:val="002F492F"/>
    <w:rsid w:val="002F49F1"/>
    <w:rsid w:val="002F56CA"/>
    <w:rsid w:val="002F5993"/>
    <w:rsid w:val="002F7FB2"/>
    <w:rsid w:val="00300492"/>
    <w:rsid w:val="0030154F"/>
    <w:rsid w:val="0030213B"/>
    <w:rsid w:val="0030250D"/>
    <w:rsid w:val="003026DD"/>
    <w:rsid w:val="00303102"/>
    <w:rsid w:val="003038AC"/>
    <w:rsid w:val="003039C5"/>
    <w:rsid w:val="00303F21"/>
    <w:rsid w:val="003053DB"/>
    <w:rsid w:val="00305923"/>
    <w:rsid w:val="003068EE"/>
    <w:rsid w:val="003070A9"/>
    <w:rsid w:val="003075C5"/>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0FA"/>
    <w:rsid w:val="00325443"/>
    <w:rsid w:val="00325A67"/>
    <w:rsid w:val="00326532"/>
    <w:rsid w:val="00327492"/>
    <w:rsid w:val="00327A1E"/>
    <w:rsid w:val="00327FA9"/>
    <w:rsid w:val="003300FC"/>
    <w:rsid w:val="00332D38"/>
    <w:rsid w:val="00333077"/>
    <w:rsid w:val="00333425"/>
    <w:rsid w:val="00333EEA"/>
    <w:rsid w:val="00334730"/>
    <w:rsid w:val="00334877"/>
    <w:rsid w:val="00334980"/>
    <w:rsid w:val="00334D2C"/>
    <w:rsid w:val="00334D61"/>
    <w:rsid w:val="003350DE"/>
    <w:rsid w:val="00335E9C"/>
    <w:rsid w:val="0033736E"/>
    <w:rsid w:val="00337500"/>
    <w:rsid w:val="00342F4A"/>
    <w:rsid w:val="00343A6B"/>
    <w:rsid w:val="00344650"/>
    <w:rsid w:val="00344E44"/>
    <w:rsid w:val="0034529B"/>
    <w:rsid w:val="0034628E"/>
    <w:rsid w:val="00346452"/>
    <w:rsid w:val="00350989"/>
    <w:rsid w:val="00350BC0"/>
    <w:rsid w:val="00350C11"/>
    <w:rsid w:val="0035148D"/>
    <w:rsid w:val="003518B2"/>
    <w:rsid w:val="00352028"/>
    <w:rsid w:val="00352219"/>
    <w:rsid w:val="003524F3"/>
    <w:rsid w:val="00352C4F"/>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893"/>
    <w:rsid w:val="00366EAD"/>
    <w:rsid w:val="00367367"/>
    <w:rsid w:val="003674C6"/>
    <w:rsid w:val="00370067"/>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401"/>
    <w:rsid w:val="003857F6"/>
    <w:rsid w:val="00385CBA"/>
    <w:rsid w:val="00386C8B"/>
    <w:rsid w:val="00387C4A"/>
    <w:rsid w:val="003908D0"/>
    <w:rsid w:val="00391E35"/>
    <w:rsid w:val="00392AB5"/>
    <w:rsid w:val="003932EE"/>
    <w:rsid w:val="00393DC4"/>
    <w:rsid w:val="00393FB0"/>
    <w:rsid w:val="0039465C"/>
    <w:rsid w:val="00394E49"/>
    <w:rsid w:val="0039515F"/>
    <w:rsid w:val="00395D69"/>
    <w:rsid w:val="00396E0F"/>
    <w:rsid w:val="00396F86"/>
    <w:rsid w:val="003A0A75"/>
    <w:rsid w:val="003A0C25"/>
    <w:rsid w:val="003A1FC5"/>
    <w:rsid w:val="003A2B6A"/>
    <w:rsid w:val="003A2CCC"/>
    <w:rsid w:val="003A3A3E"/>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27D6"/>
    <w:rsid w:val="003C316C"/>
    <w:rsid w:val="003C3601"/>
    <w:rsid w:val="003C4267"/>
    <w:rsid w:val="003C44E1"/>
    <w:rsid w:val="003C5585"/>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1BA6"/>
    <w:rsid w:val="003F20C7"/>
    <w:rsid w:val="003F27CA"/>
    <w:rsid w:val="003F2D1E"/>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039"/>
    <w:rsid w:val="00404929"/>
    <w:rsid w:val="00405B86"/>
    <w:rsid w:val="00405ED2"/>
    <w:rsid w:val="004061F0"/>
    <w:rsid w:val="0040656B"/>
    <w:rsid w:val="004065E3"/>
    <w:rsid w:val="004070E8"/>
    <w:rsid w:val="004073AC"/>
    <w:rsid w:val="00407D50"/>
    <w:rsid w:val="00407D66"/>
    <w:rsid w:val="00407DD0"/>
    <w:rsid w:val="00411033"/>
    <w:rsid w:val="0041118F"/>
    <w:rsid w:val="004111FF"/>
    <w:rsid w:val="0041159A"/>
    <w:rsid w:val="00411A5A"/>
    <w:rsid w:val="00411B6A"/>
    <w:rsid w:val="0041268A"/>
    <w:rsid w:val="00414B31"/>
    <w:rsid w:val="00414EE5"/>
    <w:rsid w:val="00415763"/>
    <w:rsid w:val="00415EC7"/>
    <w:rsid w:val="00422C2D"/>
    <w:rsid w:val="00422DD5"/>
    <w:rsid w:val="00423869"/>
    <w:rsid w:val="004245AB"/>
    <w:rsid w:val="00424AA9"/>
    <w:rsid w:val="00425CFC"/>
    <w:rsid w:val="004261F4"/>
    <w:rsid w:val="00426A09"/>
    <w:rsid w:val="00427A57"/>
    <w:rsid w:val="00427CCA"/>
    <w:rsid w:val="00430081"/>
    <w:rsid w:val="00430A86"/>
    <w:rsid w:val="00431687"/>
    <w:rsid w:val="0043278B"/>
    <w:rsid w:val="0043300B"/>
    <w:rsid w:val="004337B5"/>
    <w:rsid w:val="00433CCC"/>
    <w:rsid w:val="004340EE"/>
    <w:rsid w:val="00434C2B"/>
    <w:rsid w:val="00435B88"/>
    <w:rsid w:val="00435F19"/>
    <w:rsid w:val="00436F07"/>
    <w:rsid w:val="00437959"/>
    <w:rsid w:val="00437CC5"/>
    <w:rsid w:val="004402C6"/>
    <w:rsid w:val="00440EB7"/>
    <w:rsid w:val="0044123F"/>
    <w:rsid w:val="00441C86"/>
    <w:rsid w:val="00442CEA"/>
    <w:rsid w:val="00443372"/>
    <w:rsid w:val="004436EC"/>
    <w:rsid w:val="0044434F"/>
    <w:rsid w:val="00444561"/>
    <w:rsid w:val="00444564"/>
    <w:rsid w:val="00444B78"/>
    <w:rsid w:val="00444F5E"/>
    <w:rsid w:val="00445186"/>
    <w:rsid w:val="00445FD3"/>
    <w:rsid w:val="00446634"/>
    <w:rsid w:val="00446644"/>
    <w:rsid w:val="00446BF5"/>
    <w:rsid w:val="00450309"/>
    <w:rsid w:val="004511AF"/>
    <w:rsid w:val="0045193A"/>
    <w:rsid w:val="00452CA2"/>
    <w:rsid w:val="00452CBF"/>
    <w:rsid w:val="004555C8"/>
    <w:rsid w:val="00455DD7"/>
    <w:rsid w:val="00456823"/>
    <w:rsid w:val="004569E1"/>
    <w:rsid w:val="00457742"/>
    <w:rsid w:val="00457F89"/>
    <w:rsid w:val="00460CF6"/>
    <w:rsid w:val="00461725"/>
    <w:rsid w:val="00462A53"/>
    <w:rsid w:val="00462EA7"/>
    <w:rsid w:val="00463979"/>
    <w:rsid w:val="00463FEF"/>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0456"/>
    <w:rsid w:val="00480F75"/>
    <w:rsid w:val="00480F92"/>
    <w:rsid w:val="0048107B"/>
    <w:rsid w:val="00481606"/>
    <w:rsid w:val="004819DB"/>
    <w:rsid w:val="00482DCD"/>
    <w:rsid w:val="00482FDC"/>
    <w:rsid w:val="00483622"/>
    <w:rsid w:val="00483B81"/>
    <w:rsid w:val="00483F38"/>
    <w:rsid w:val="00484176"/>
    <w:rsid w:val="00484306"/>
    <w:rsid w:val="00484546"/>
    <w:rsid w:val="004847FC"/>
    <w:rsid w:val="00484F51"/>
    <w:rsid w:val="004859A5"/>
    <w:rsid w:val="00485EE7"/>
    <w:rsid w:val="00487FC4"/>
    <w:rsid w:val="0049057C"/>
    <w:rsid w:val="004926FD"/>
    <w:rsid w:val="00492ACD"/>
    <w:rsid w:val="00492B65"/>
    <w:rsid w:val="004942A4"/>
    <w:rsid w:val="004958FB"/>
    <w:rsid w:val="00495AD5"/>
    <w:rsid w:val="00497E89"/>
    <w:rsid w:val="004A0BCB"/>
    <w:rsid w:val="004A181D"/>
    <w:rsid w:val="004A2D58"/>
    <w:rsid w:val="004A2F5A"/>
    <w:rsid w:val="004A42CF"/>
    <w:rsid w:val="004A42D7"/>
    <w:rsid w:val="004A4E0C"/>
    <w:rsid w:val="004A607A"/>
    <w:rsid w:val="004A61EC"/>
    <w:rsid w:val="004A68CF"/>
    <w:rsid w:val="004A7A79"/>
    <w:rsid w:val="004A7B30"/>
    <w:rsid w:val="004B01B0"/>
    <w:rsid w:val="004B19A8"/>
    <w:rsid w:val="004B2E87"/>
    <w:rsid w:val="004B3943"/>
    <w:rsid w:val="004B3A9C"/>
    <w:rsid w:val="004B4B12"/>
    <w:rsid w:val="004B4DB9"/>
    <w:rsid w:val="004B540A"/>
    <w:rsid w:val="004B57B9"/>
    <w:rsid w:val="004B6213"/>
    <w:rsid w:val="004B65B0"/>
    <w:rsid w:val="004B7206"/>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D6F49"/>
    <w:rsid w:val="004E0206"/>
    <w:rsid w:val="004E04F2"/>
    <w:rsid w:val="004E114E"/>
    <w:rsid w:val="004E1B37"/>
    <w:rsid w:val="004E1F6B"/>
    <w:rsid w:val="004E344B"/>
    <w:rsid w:val="004E41C2"/>
    <w:rsid w:val="004E430C"/>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C8C"/>
    <w:rsid w:val="004F7DA6"/>
    <w:rsid w:val="00503337"/>
    <w:rsid w:val="005035AA"/>
    <w:rsid w:val="00503C0D"/>
    <w:rsid w:val="00503CF3"/>
    <w:rsid w:val="00504213"/>
    <w:rsid w:val="00504749"/>
    <w:rsid w:val="00504ADC"/>
    <w:rsid w:val="00504AF5"/>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1D4"/>
    <w:rsid w:val="0051641A"/>
    <w:rsid w:val="005200A3"/>
    <w:rsid w:val="005208E4"/>
    <w:rsid w:val="00520C9B"/>
    <w:rsid w:val="0052101E"/>
    <w:rsid w:val="005218B7"/>
    <w:rsid w:val="005221CD"/>
    <w:rsid w:val="00522CBD"/>
    <w:rsid w:val="00522EAB"/>
    <w:rsid w:val="00523A02"/>
    <w:rsid w:val="00524D62"/>
    <w:rsid w:val="00524FE3"/>
    <w:rsid w:val="005267E4"/>
    <w:rsid w:val="005277C8"/>
    <w:rsid w:val="00527A74"/>
    <w:rsid w:val="0053122D"/>
    <w:rsid w:val="00531548"/>
    <w:rsid w:val="00531C1C"/>
    <w:rsid w:val="00532034"/>
    <w:rsid w:val="00532063"/>
    <w:rsid w:val="00532531"/>
    <w:rsid w:val="00533238"/>
    <w:rsid w:val="00533283"/>
    <w:rsid w:val="00533998"/>
    <w:rsid w:val="00533A2A"/>
    <w:rsid w:val="00533B97"/>
    <w:rsid w:val="00533EC0"/>
    <w:rsid w:val="00534675"/>
    <w:rsid w:val="00536394"/>
    <w:rsid w:val="005363B1"/>
    <w:rsid w:val="00536880"/>
    <w:rsid w:val="005370D9"/>
    <w:rsid w:val="00537F10"/>
    <w:rsid w:val="005400D5"/>
    <w:rsid w:val="005411B9"/>
    <w:rsid w:val="00541E2E"/>
    <w:rsid w:val="00541FE9"/>
    <w:rsid w:val="005423F1"/>
    <w:rsid w:val="005426AA"/>
    <w:rsid w:val="00542A8C"/>
    <w:rsid w:val="00543521"/>
    <w:rsid w:val="005435E9"/>
    <w:rsid w:val="005438C9"/>
    <w:rsid w:val="005441EA"/>
    <w:rsid w:val="00544996"/>
    <w:rsid w:val="005456DE"/>
    <w:rsid w:val="00546753"/>
    <w:rsid w:val="00546E33"/>
    <w:rsid w:val="00547B3E"/>
    <w:rsid w:val="00547E43"/>
    <w:rsid w:val="00547FBB"/>
    <w:rsid w:val="00550573"/>
    <w:rsid w:val="00550EAD"/>
    <w:rsid w:val="00551F63"/>
    <w:rsid w:val="00553340"/>
    <w:rsid w:val="00553E8B"/>
    <w:rsid w:val="005547EC"/>
    <w:rsid w:val="00554D55"/>
    <w:rsid w:val="0055573F"/>
    <w:rsid w:val="005563C1"/>
    <w:rsid w:val="00556599"/>
    <w:rsid w:val="0055677A"/>
    <w:rsid w:val="005577D8"/>
    <w:rsid w:val="0055785E"/>
    <w:rsid w:val="00561BE3"/>
    <w:rsid w:val="00561C88"/>
    <w:rsid w:val="00562595"/>
    <w:rsid w:val="00562AEB"/>
    <w:rsid w:val="00562FD4"/>
    <w:rsid w:val="00563753"/>
    <w:rsid w:val="00564127"/>
    <w:rsid w:val="005646DB"/>
    <w:rsid w:val="0056614F"/>
    <w:rsid w:val="005663CD"/>
    <w:rsid w:val="00566A91"/>
    <w:rsid w:val="005673D2"/>
    <w:rsid w:val="005677E2"/>
    <w:rsid w:val="005678E7"/>
    <w:rsid w:val="00571156"/>
    <w:rsid w:val="0057176D"/>
    <w:rsid w:val="00571CDA"/>
    <w:rsid w:val="00572288"/>
    <w:rsid w:val="005724A5"/>
    <w:rsid w:val="005734E0"/>
    <w:rsid w:val="0057410C"/>
    <w:rsid w:val="00575680"/>
    <w:rsid w:val="005761C9"/>
    <w:rsid w:val="005764B6"/>
    <w:rsid w:val="00576EBD"/>
    <w:rsid w:val="0057762D"/>
    <w:rsid w:val="005779EF"/>
    <w:rsid w:val="00580379"/>
    <w:rsid w:val="00580398"/>
    <w:rsid w:val="00580712"/>
    <w:rsid w:val="00580FC0"/>
    <w:rsid w:val="00581799"/>
    <w:rsid w:val="00581F1C"/>
    <w:rsid w:val="00582964"/>
    <w:rsid w:val="005842E7"/>
    <w:rsid w:val="005847B6"/>
    <w:rsid w:val="005851AE"/>
    <w:rsid w:val="005855D1"/>
    <w:rsid w:val="0058560A"/>
    <w:rsid w:val="00585CDF"/>
    <w:rsid w:val="00585EB2"/>
    <w:rsid w:val="0058645E"/>
    <w:rsid w:val="0058666F"/>
    <w:rsid w:val="00586B3B"/>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14"/>
    <w:rsid w:val="005B037E"/>
    <w:rsid w:val="005B0A8B"/>
    <w:rsid w:val="005B0EB0"/>
    <w:rsid w:val="005B1134"/>
    <w:rsid w:val="005B2471"/>
    <w:rsid w:val="005B251B"/>
    <w:rsid w:val="005B2EAB"/>
    <w:rsid w:val="005B47F7"/>
    <w:rsid w:val="005B6F1F"/>
    <w:rsid w:val="005B7363"/>
    <w:rsid w:val="005B73A6"/>
    <w:rsid w:val="005B77DA"/>
    <w:rsid w:val="005C0780"/>
    <w:rsid w:val="005C086A"/>
    <w:rsid w:val="005C1B8E"/>
    <w:rsid w:val="005C1DAC"/>
    <w:rsid w:val="005C210E"/>
    <w:rsid w:val="005C2671"/>
    <w:rsid w:val="005C29D6"/>
    <w:rsid w:val="005C29E2"/>
    <w:rsid w:val="005C41A8"/>
    <w:rsid w:val="005C44C9"/>
    <w:rsid w:val="005C5345"/>
    <w:rsid w:val="005C5FB8"/>
    <w:rsid w:val="005C66C5"/>
    <w:rsid w:val="005C789B"/>
    <w:rsid w:val="005C7962"/>
    <w:rsid w:val="005D0757"/>
    <w:rsid w:val="005D09F7"/>
    <w:rsid w:val="005D0C2C"/>
    <w:rsid w:val="005D0DB8"/>
    <w:rsid w:val="005D17BE"/>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476"/>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5F7D81"/>
    <w:rsid w:val="00600996"/>
    <w:rsid w:val="00600C92"/>
    <w:rsid w:val="00601236"/>
    <w:rsid w:val="006028ED"/>
    <w:rsid w:val="0060336E"/>
    <w:rsid w:val="006033D0"/>
    <w:rsid w:val="00603EE6"/>
    <w:rsid w:val="00603FBA"/>
    <w:rsid w:val="0060466C"/>
    <w:rsid w:val="00604701"/>
    <w:rsid w:val="00605409"/>
    <w:rsid w:val="00605633"/>
    <w:rsid w:val="0060569A"/>
    <w:rsid w:val="00605A07"/>
    <w:rsid w:val="00606B06"/>
    <w:rsid w:val="00607642"/>
    <w:rsid w:val="0060780F"/>
    <w:rsid w:val="00607F43"/>
    <w:rsid w:val="006107B7"/>
    <w:rsid w:val="00610B03"/>
    <w:rsid w:val="0061430C"/>
    <w:rsid w:val="006148BA"/>
    <w:rsid w:val="00614CC0"/>
    <w:rsid w:val="00615765"/>
    <w:rsid w:val="0061796F"/>
    <w:rsid w:val="00617D6C"/>
    <w:rsid w:val="00620120"/>
    <w:rsid w:val="00620E8A"/>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0ABD"/>
    <w:rsid w:val="00641AAA"/>
    <w:rsid w:val="00641D0D"/>
    <w:rsid w:val="006428AF"/>
    <w:rsid w:val="006433A3"/>
    <w:rsid w:val="006433E7"/>
    <w:rsid w:val="00643598"/>
    <w:rsid w:val="00643978"/>
    <w:rsid w:val="00643D41"/>
    <w:rsid w:val="00644652"/>
    <w:rsid w:val="00644E53"/>
    <w:rsid w:val="0064610A"/>
    <w:rsid w:val="00647A95"/>
    <w:rsid w:val="00647C93"/>
    <w:rsid w:val="00650B28"/>
    <w:rsid w:val="00651457"/>
    <w:rsid w:val="00651C24"/>
    <w:rsid w:val="00651CDD"/>
    <w:rsid w:val="006527A5"/>
    <w:rsid w:val="0065329D"/>
    <w:rsid w:val="00653A42"/>
    <w:rsid w:val="00653A4E"/>
    <w:rsid w:val="00653F42"/>
    <w:rsid w:val="0065538C"/>
    <w:rsid w:val="00655DB3"/>
    <w:rsid w:val="006568B1"/>
    <w:rsid w:val="00656BB0"/>
    <w:rsid w:val="00656CE7"/>
    <w:rsid w:val="00657442"/>
    <w:rsid w:val="006601E9"/>
    <w:rsid w:val="00660446"/>
    <w:rsid w:val="00660848"/>
    <w:rsid w:val="00661827"/>
    <w:rsid w:val="00661859"/>
    <w:rsid w:val="00661A1A"/>
    <w:rsid w:val="00662123"/>
    <w:rsid w:val="00662B63"/>
    <w:rsid w:val="006630F1"/>
    <w:rsid w:val="00663F46"/>
    <w:rsid w:val="00664A3F"/>
    <w:rsid w:val="00664F35"/>
    <w:rsid w:val="0066500E"/>
    <w:rsid w:val="00665391"/>
    <w:rsid w:val="00665564"/>
    <w:rsid w:val="00665DE7"/>
    <w:rsid w:val="00667022"/>
    <w:rsid w:val="006707CB"/>
    <w:rsid w:val="00670850"/>
    <w:rsid w:val="0067155F"/>
    <w:rsid w:val="006729DB"/>
    <w:rsid w:val="00672EF9"/>
    <w:rsid w:val="006730DA"/>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229A"/>
    <w:rsid w:val="00683996"/>
    <w:rsid w:val="00683A7D"/>
    <w:rsid w:val="00684C2F"/>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5C0B"/>
    <w:rsid w:val="006A64B1"/>
    <w:rsid w:val="006A7BF4"/>
    <w:rsid w:val="006A7D32"/>
    <w:rsid w:val="006B0A19"/>
    <w:rsid w:val="006B31F3"/>
    <w:rsid w:val="006B3CD4"/>
    <w:rsid w:val="006B3D25"/>
    <w:rsid w:val="006B3E30"/>
    <w:rsid w:val="006B3E5E"/>
    <w:rsid w:val="006B3F33"/>
    <w:rsid w:val="006B5A38"/>
    <w:rsid w:val="006B685B"/>
    <w:rsid w:val="006B6F1C"/>
    <w:rsid w:val="006B724D"/>
    <w:rsid w:val="006B7E55"/>
    <w:rsid w:val="006C0CEA"/>
    <w:rsid w:val="006C158C"/>
    <w:rsid w:val="006C1D38"/>
    <w:rsid w:val="006C201B"/>
    <w:rsid w:val="006C2060"/>
    <w:rsid w:val="006C39DF"/>
    <w:rsid w:val="006C3A50"/>
    <w:rsid w:val="006C51D2"/>
    <w:rsid w:val="006C58F9"/>
    <w:rsid w:val="006C62C3"/>
    <w:rsid w:val="006C6574"/>
    <w:rsid w:val="006C6FA5"/>
    <w:rsid w:val="006D2386"/>
    <w:rsid w:val="006D2689"/>
    <w:rsid w:val="006D2B2A"/>
    <w:rsid w:val="006D4B69"/>
    <w:rsid w:val="006D4D77"/>
    <w:rsid w:val="006D4F94"/>
    <w:rsid w:val="006D50B0"/>
    <w:rsid w:val="006D50C1"/>
    <w:rsid w:val="006D52A0"/>
    <w:rsid w:val="006D5BD3"/>
    <w:rsid w:val="006D6473"/>
    <w:rsid w:val="006D682A"/>
    <w:rsid w:val="006E0EA6"/>
    <w:rsid w:val="006E2451"/>
    <w:rsid w:val="006E27B5"/>
    <w:rsid w:val="006E3755"/>
    <w:rsid w:val="006E3AE5"/>
    <w:rsid w:val="006E3DDF"/>
    <w:rsid w:val="006E4D95"/>
    <w:rsid w:val="006E568F"/>
    <w:rsid w:val="006E5D06"/>
    <w:rsid w:val="006E6842"/>
    <w:rsid w:val="006E7C6F"/>
    <w:rsid w:val="006F1320"/>
    <w:rsid w:val="006F1F9A"/>
    <w:rsid w:val="006F3322"/>
    <w:rsid w:val="006F370E"/>
    <w:rsid w:val="006F4C0F"/>
    <w:rsid w:val="006F5304"/>
    <w:rsid w:val="006F55C6"/>
    <w:rsid w:val="006F5B53"/>
    <w:rsid w:val="006F6F1D"/>
    <w:rsid w:val="006F7BB2"/>
    <w:rsid w:val="00700734"/>
    <w:rsid w:val="0070183A"/>
    <w:rsid w:val="00701A2A"/>
    <w:rsid w:val="00701D60"/>
    <w:rsid w:val="00702964"/>
    <w:rsid w:val="007030FF"/>
    <w:rsid w:val="0070397C"/>
    <w:rsid w:val="00705540"/>
    <w:rsid w:val="00705CBB"/>
    <w:rsid w:val="00706B6E"/>
    <w:rsid w:val="00710221"/>
    <w:rsid w:val="00710228"/>
    <w:rsid w:val="00711085"/>
    <w:rsid w:val="0071161B"/>
    <w:rsid w:val="00712034"/>
    <w:rsid w:val="00713297"/>
    <w:rsid w:val="00713AAE"/>
    <w:rsid w:val="00716413"/>
    <w:rsid w:val="007168AA"/>
    <w:rsid w:val="00716F5D"/>
    <w:rsid w:val="007170AB"/>
    <w:rsid w:val="00717437"/>
    <w:rsid w:val="007174A1"/>
    <w:rsid w:val="007176D1"/>
    <w:rsid w:val="007211FB"/>
    <w:rsid w:val="00721283"/>
    <w:rsid w:val="0072225A"/>
    <w:rsid w:val="007223DB"/>
    <w:rsid w:val="00722778"/>
    <w:rsid w:val="007229DB"/>
    <w:rsid w:val="00724BED"/>
    <w:rsid w:val="00725BA4"/>
    <w:rsid w:val="00725D0E"/>
    <w:rsid w:val="00726244"/>
    <w:rsid w:val="007262AE"/>
    <w:rsid w:val="00726457"/>
    <w:rsid w:val="00727124"/>
    <w:rsid w:val="007300FC"/>
    <w:rsid w:val="00730630"/>
    <w:rsid w:val="00731014"/>
    <w:rsid w:val="00731608"/>
    <w:rsid w:val="00732231"/>
    <w:rsid w:val="007345DC"/>
    <w:rsid w:val="00734683"/>
    <w:rsid w:val="00735345"/>
    <w:rsid w:val="007365BA"/>
    <w:rsid w:val="00736B59"/>
    <w:rsid w:val="00736EAF"/>
    <w:rsid w:val="00737156"/>
    <w:rsid w:val="00737245"/>
    <w:rsid w:val="00737623"/>
    <w:rsid w:val="00737684"/>
    <w:rsid w:val="007377B3"/>
    <w:rsid w:val="007379A4"/>
    <w:rsid w:val="00742072"/>
    <w:rsid w:val="00742CC2"/>
    <w:rsid w:val="0074371B"/>
    <w:rsid w:val="00744D85"/>
    <w:rsid w:val="007458BE"/>
    <w:rsid w:val="00745BE0"/>
    <w:rsid w:val="0074694B"/>
    <w:rsid w:val="0074720F"/>
    <w:rsid w:val="00747599"/>
    <w:rsid w:val="00747D00"/>
    <w:rsid w:val="0075060B"/>
    <w:rsid w:val="00750672"/>
    <w:rsid w:val="007508A4"/>
    <w:rsid w:val="0075174C"/>
    <w:rsid w:val="00751AF3"/>
    <w:rsid w:val="0075275F"/>
    <w:rsid w:val="0075281D"/>
    <w:rsid w:val="00752A25"/>
    <w:rsid w:val="007538AE"/>
    <w:rsid w:val="007538F7"/>
    <w:rsid w:val="00753B68"/>
    <w:rsid w:val="0075486D"/>
    <w:rsid w:val="00754936"/>
    <w:rsid w:val="00754FC3"/>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58D8"/>
    <w:rsid w:val="00766D00"/>
    <w:rsid w:val="0076748B"/>
    <w:rsid w:val="00767D3E"/>
    <w:rsid w:val="00771743"/>
    <w:rsid w:val="00771DA4"/>
    <w:rsid w:val="00772073"/>
    <w:rsid w:val="007723B1"/>
    <w:rsid w:val="0077353F"/>
    <w:rsid w:val="007735C9"/>
    <w:rsid w:val="007746E9"/>
    <w:rsid w:val="00775327"/>
    <w:rsid w:val="00775BEB"/>
    <w:rsid w:val="00775D13"/>
    <w:rsid w:val="0077777D"/>
    <w:rsid w:val="007778F6"/>
    <w:rsid w:val="00777B8C"/>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1A31"/>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1FC7"/>
    <w:rsid w:val="007B2B17"/>
    <w:rsid w:val="007B311F"/>
    <w:rsid w:val="007B3540"/>
    <w:rsid w:val="007B39EE"/>
    <w:rsid w:val="007B698B"/>
    <w:rsid w:val="007B7F81"/>
    <w:rsid w:val="007C0FF8"/>
    <w:rsid w:val="007C14BE"/>
    <w:rsid w:val="007C1CD6"/>
    <w:rsid w:val="007C1D37"/>
    <w:rsid w:val="007C1E20"/>
    <w:rsid w:val="007C2073"/>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563"/>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3CB"/>
    <w:rsid w:val="00803857"/>
    <w:rsid w:val="008038F6"/>
    <w:rsid w:val="00803EBA"/>
    <w:rsid w:val="00804003"/>
    <w:rsid w:val="00804B57"/>
    <w:rsid w:val="00805889"/>
    <w:rsid w:val="00805E37"/>
    <w:rsid w:val="00805F84"/>
    <w:rsid w:val="008065A1"/>
    <w:rsid w:val="008071AB"/>
    <w:rsid w:val="008100A4"/>
    <w:rsid w:val="0081075E"/>
    <w:rsid w:val="00810FCD"/>
    <w:rsid w:val="00811106"/>
    <w:rsid w:val="00811591"/>
    <w:rsid w:val="00811836"/>
    <w:rsid w:val="008121C2"/>
    <w:rsid w:val="0081479B"/>
    <w:rsid w:val="008148D9"/>
    <w:rsid w:val="00817F91"/>
    <w:rsid w:val="00817FCD"/>
    <w:rsid w:val="0082101E"/>
    <w:rsid w:val="00821A39"/>
    <w:rsid w:val="00821CBC"/>
    <w:rsid w:val="008224FD"/>
    <w:rsid w:val="00822A00"/>
    <w:rsid w:val="0082327C"/>
    <w:rsid w:val="008246D9"/>
    <w:rsid w:val="00824767"/>
    <w:rsid w:val="008249CD"/>
    <w:rsid w:val="00824D47"/>
    <w:rsid w:val="008255D2"/>
    <w:rsid w:val="00825892"/>
    <w:rsid w:val="00825D3C"/>
    <w:rsid w:val="00825D91"/>
    <w:rsid w:val="00826639"/>
    <w:rsid w:val="008269E2"/>
    <w:rsid w:val="00827321"/>
    <w:rsid w:val="008275F9"/>
    <w:rsid w:val="0082798C"/>
    <w:rsid w:val="00827AD8"/>
    <w:rsid w:val="00830B21"/>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180"/>
    <w:rsid w:val="00843732"/>
    <w:rsid w:val="008437EC"/>
    <w:rsid w:val="0084428F"/>
    <w:rsid w:val="00844E06"/>
    <w:rsid w:val="008451E7"/>
    <w:rsid w:val="008452CE"/>
    <w:rsid w:val="008453A0"/>
    <w:rsid w:val="0084565F"/>
    <w:rsid w:val="00845A79"/>
    <w:rsid w:val="00846510"/>
    <w:rsid w:val="00846D3E"/>
    <w:rsid w:val="00846DC9"/>
    <w:rsid w:val="00847707"/>
    <w:rsid w:val="00847C70"/>
    <w:rsid w:val="0085126E"/>
    <w:rsid w:val="00851B21"/>
    <w:rsid w:val="008522C9"/>
    <w:rsid w:val="008534CA"/>
    <w:rsid w:val="008542D8"/>
    <w:rsid w:val="008543CA"/>
    <w:rsid w:val="00854454"/>
    <w:rsid w:val="008555C1"/>
    <w:rsid w:val="00857E28"/>
    <w:rsid w:val="00860221"/>
    <w:rsid w:val="00860EC8"/>
    <w:rsid w:val="00861524"/>
    <w:rsid w:val="00861FF2"/>
    <w:rsid w:val="0086201E"/>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0B31"/>
    <w:rsid w:val="008820A5"/>
    <w:rsid w:val="0088225D"/>
    <w:rsid w:val="00883921"/>
    <w:rsid w:val="00884EAB"/>
    <w:rsid w:val="00884EF7"/>
    <w:rsid w:val="00885519"/>
    <w:rsid w:val="00885F80"/>
    <w:rsid w:val="0088692B"/>
    <w:rsid w:val="00887138"/>
    <w:rsid w:val="008871C3"/>
    <w:rsid w:val="0088727F"/>
    <w:rsid w:val="008874C2"/>
    <w:rsid w:val="00890160"/>
    <w:rsid w:val="00890189"/>
    <w:rsid w:val="008901D4"/>
    <w:rsid w:val="008902B0"/>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0A96"/>
    <w:rsid w:val="008A0BE3"/>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669D"/>
    <w:rsid w:val="008C67D2"/>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6938"/>
    <w:rsid w:val="008D7C89"/>
    <w:rsid w:val="008E0439"/>
    <w:rsid w:val="008E1502"/>
    <w:rsid w:val="008E1BF0"/>
    <w:rsid w:val="008E1FB9"/>
    <w:rsid w:val="008E44B6"/>
    <w:rsid w:val="008E47AD"/>
    <w:rsid w:val="008E4F39"/>
    <w:rsid w:val="008E4F50"/>
    <w:rsid w:val="008E56C7"/>
    <w:rsid w:val="008E7018"/>
    <w:rsid w:val="008E7919"/>
    <w:rsid w:val="008F119B"/>
    <w:rsid w:val="008F240A"/>
    <w:rsid w:val="008F2C85"/>
    <w:rsid w:val="008F43F2"/>
    <w:rsid w:val="008F4985"/>
    <w:rsid w:val="008F532A"/>
    <w:rsid w:val="008F53C5"/>
    <w:rsid w:val="008F5EC0"/>
    <w:rsid w:val="008F67AC"/>
    <w:rsid w:val="008F6A56"/>
    <w:rsid w:val="009002AA"/>
    <w:rsid w:val="009002DD"/>
    <w:rsid w:val="00901A80"/>
    <w:rsid w:val="00902398"/>
    <w:rsid w:val="00902C01"/>
    <w:rsid w:val="00903047"/>
    <w:rsid w:val="009033B7"/>
    <w:rsid w:val="00903678"/>
    <w:rsid w:val="00904701"/>
    <w:rsid w:val="00904D31"/>
    <w:rsid w:val="0090657E"/>
    <w:rsid w:val="00906DDC"/>
    <w:rsid w:val="009073C4"/>
    <w:rsid w:val="009102AF"/>
    <w:rsid w:val="00910640"/>
    <w:rsid w:val="00911442"/>
    <w:rsid w:val="00911FA3"/>
    <w:rsid w:val="00912025"/>
    <w:rsid w:val="0091321E"/>
    <w:rsid w:val="009134A8"/>
    <w:rsid w:val="00913F57"/>
    <w:rsid w:val="00916AD9"/>
    <w:rsid w:val="00916F72"/>
    <w:rsid w:val="00917852"/>
    <w:rsid w:val="00917971"/>
    <w:rsid w:val="009202D3"/>
    <w:rsid w:val="00920A0E"/>
    <w:rsid w:val="0092133E"/>
    <w:rsid w:val="00921914"/>
    <w:rsid w:val="00922393"/>
    <w:rsid w:val="00922438"/>
    <w:rsid w:val="00923DC3"/>
    <w:rsid w:val="00923F75"/>
    <w:rsid w:val="00924964"/>
    <w:rsid w:val="00924E89"/>
    <w:rsid w:val="00925253"/>
    <w:rsid w:val="00925776"/>
    <w:rsid w:val="009257D8"/>
    <w:rsid w:val="009260D2"/>
    <w:rsid w:val="00927257"/>
    <w:rsid w:val="00927478"/>
    <w:rsid w:val="00927B11"/>
    <w:rsid w:val="00927EEE"/>
    <w:rsid w:val="00927F71"/>
    <w:rsid w:val="0093030B"/>
    <w:rsid w:val="00930BCC"/>
    <w:rsid w:val="009315CC"/>
    <w:rsid w:val="00931967"/>
    <w:rsid w:val="0093204A"/>
    <w:rsid w:val="00932A98"/>
    <w:rsid w:val="00932DC8"/>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085C"/>
    <w:rsid w:val="0098159C"/>
    <w:rsid w:val="009823CE"/>
    <w:rsid w:val="009826BE"/>
    <w:rsid w:val="0098290B"/>
    <w:rsid w:val="009832FB"/>
    <w:rsid w:val="0098407B"/>
    <w:rsid w:val="00984704"/>
    <w:rsid w:val="0098578C"/>
    <w:rsid w:val="0098594B"/>
    <w:rsid w:val="00985B3C"/>
    <w:rsid w:val="00985DB8"/>
    <w:rsid w:val="00986757"/>
    <w:rsid w:val="009872E6"/>
    <w:rsid w:val="009874CA"/>
    <w:rsid w:val="009903F3"/>
    <w:rsid w:val="0099297F"/>
    <w:rsid w:val="00992F3A"/>
    <w:rsid w:val="0099346F"/>
    <w:rsid w:val="00994522"/>
    <w:rsid w:val="00994874"/>
    <w:rsid w:val="009953C4"/>
    <w:rsid w:val="009953EF"/>
    <w:rsid w:val="00997AED"/>
    <w:rsid w:val="009A0039"/>
    <w:rsid w:val="009A0851"/>
    <w:rsid w:val="009A12A2"/>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555D"/>
    <w:rsid w:val="009B60AC"/>
    <w:rsid w:val="009C02E4"/>
    <w:rsid w:val="009C09DE"/>
    <w:rsid w:val="009C0C1A"/>
    <w:rsid w:val="009C1B6E"/>
    <w:rsid w:val="009C53A3"/>
    <w:rsid w:val="009C6037"/>
    <w:rsid w:val="009C7CB3"/>
    <w:rsid w:val="009D0D49"/>
    <w:rsid w:val="009D29DE"/>
    <w:rsid w:val="009D2D2C"/>
    <w:rsid w:val="009D477E"/>
    <w:rsid w:val="009D500F"/>
    <w:rsid w:val="009D5A2E"/>
    <w:rsid w:val="009D649A"/>
    <w:rsid w:val="009D6906"/>
    <w:rsid w:val="009D76BA"/>
    <w:rsid w:val="009D77F5"/>
    <w:rsid w:val="009D7B67"/>
    <w:rsid w:val="009E09F0"/>
    <w:rsid w:val="009E0E06"/>
    <w:rsid w:val="009E1A68"/>
    <w:rsid w:val="009E37B2"/>
    <w:rsid w:val="009E3BFA"/>
    <w:rsid w:val="009E3EDC"/>
    <w:rsid w:val="009E40D4"/>
    <w:rsid w:val="009E5521"/>
    <w:rsid w:val="009E55C1"/>
    <w:rsid w:val="009E5FAE"/>
    <w:rsid w:val="009E61E5"/>
    <w:rsid w:val="009E67D1"/>
    <w:rsid w:val="009E68EC"/>
    <w:rsid w:val="009E75AB"/>
    <w:rsid w:val="009F1B73"/>
    <w:rsid w:val="009F1C97"/>
    <w:rsid w:val="009F1DB5"/>
    <w:rsid w:val="009F2B1E"/>
    <w:rsid w:val="009F43CB"/>
    <w:rsid w:val="009F476D"/>
    <w:rsid w:val="009F5836"/>
    <w:rsid w:val="009F701A"/>
    <w:rsid w:val="00A03231"/>
    <w:rsid w:val="00A03746"/>
    <w:rsid w:val="00A03ED8"/>
    <w:rsid w:val="00A04BA7"/>
    <w:rsid w:val="00A04D1B"/>
    <w:rsid w:val="00A04FD8"/>
    <w:rsid w:val="00A05E42"/>
    <w:rsid w:val="00A06A27"/>
    <w:rsid w:val="00A06DCE"/>
    <w:rsid w:val="00A07C33"/>
    <w:rsid w:val="00A10BA3"/>
    <w:rsid w:val="00A114A4"/>
    <w:rsid w:val="00A11C53"/>
    <w:rsid w:val="00A12A9B"/>
    <w:rsid w:val="00A12FD5"/>
    <w:rsid w:val="00A13649"/>
    <w:rsid w:val="00A1553D"/>
    <w:rsid w:val="00A158EF"/>
    <w:rsid w:val="00A17EDB"/>
    <w:rsid w:val="00A20945"/>
    <w:rsid w:val="00A20D56"/>
    <w:rsid w:val="00A210A2"/>
    <w:rsid w:val="00A21371"/>
    <w:rsid w:val="00A2188B"/>
    <w:rsid w:val="00A22267"/>
    <w:rsid w:val="00A22427"/>
    <w:rsid w:val="00A224DD"/>
    <w:rsid w:val="00A23088"/>
    <w:rsid w:val="00A23723"/>
    <w:rsid w:val="00A23FA8"/>
    <w:rsid w:val="00A24ED5"/>
    <w:rsid w:val="00A2701B"/>
    <w:rsid w:val="00A27C85"/>
    <w:rsid w:val="00A30DB9"/>
    <w:rsid w:val="00A30F0E"/>
    <w:rsid w:val="00A3298C"/>
    <w:rsid w:val="00A3335E"/>
    <w:rsid w:val="00A33E67"/>
    <w:rsid w:val="00A35919"/>
    <w:rsid w:val="00A36999"/>
    <w:rsid w:val="00A36AC5"/>
    <w:rsid w:val="00A36B2D"/>
    <w:rsid w:val="00A36CB0"/>
    <w:rsid w:val="00A36EF5"/>
    <w:rsid w:val="00A404A0"/>
    <w:rsid w:val="00A407CC"/>
    <w:rsid w:val="00A418D1"/>
    <w:rsid w:val="00A42159"/>
    <w:rsid w:val="00A42927"/>
    <w:rsid w:val="00A42A7D"/>
    <w:rsid w:val="00A43852"/>
    <w:rsid w:val="00A43CF6"/>
    <w:rsid w:val="00A449FF"/>
    <w:rsid w:val="00A44C55"/>
    <w:rsid w:val="00A4510F"/>
    <w:rsid w:val="00A455D8"/>
    <w:rsid w:val="00A457E9"/>
    <w:rsid w:val="00A45DE9"/>
    <w:rsid w:val="00A50CDD"/>
    <w:rsid w:val="00A50D4B"/>
    <w:rsid w:val="00A51868"/>
    <w:rsid w:val="00A5209D"/>
    <w:rsid w:val="00A5232B"/>
    <w:rsid w:val="00A52678"/>
    <w:rsid w:val="00A52C93"/>
    <w:rsid w:val="00A53AFD"/>
    <w:rsid w:val="00A54339"/>
    <w:rsid w:val="00A56748"/>
    <w:rsid w:val="00A573A7"/>
    <w:rsid w:val="00A57A37"/>
    <w:rsid w:val="00A60713"/>
    <w:rsid w:val="00A60DD0"/>
    <w:rsid w:val="00A61042"/>
    <w:rsid w:val="00A61F66"/>
    <w:rsid w:val="00A62256"/>
    <w:rsid w:val="00A64DEC"/>
    <w:rsid w:val="00A665A9"/>
    <w:rsid w:val="00A66BBB"/>
    <w:rsid w:val="00A66CEB"/>
    <w:rsid w:val="00A67595"/>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86D5D"/>
    <w:rsid w:val="00A90D20"/>
    <w:rsid w:val="00A90DAB"/>
    <w:rsid w:val="00A914EE"/>
    <w:rsid w:val="00A91996"/>
    <w:rsid w:val="00A92059"/>
    <w:rsid w:val="00A92552"/>
    <w:rsid w:val="00A933B3"/>
    <w:rsid w:val="00A933B9"/>
    <w:rsid w:val="00A93859"/>
    <w:rsid w:val="00A93988"/>
    <w:rsid w:val="00A93EEC"/>
    <w:rsid w:val="00A93FC0"/>
    <w:rsid w:val="00A944C8"/>
    <w:rsid w:val="00A949A7"/>
    <w:rsid w:val="00A95E1A"/>
    <w:rsid w:val="00A961F1"/>
    <w:rsid w:val="00A97031"/>
    <w:rsid w:val="00A97A96"/>
    <w:rsid w:val="00AA1105"/>
    <w:rsid w:val="00AA1AFD"/>
    <w:rsid w:val="00AA2428"/>
    <w:rsid w:val="00AA2BEA"/>
    <w:rsid w:val="00AA3AB2"/>
    <w:rsid w:val="00AA568B"/>
    <w:rsid w:val="00AA69BC"/>
    <w:rsid w:val="00AA760D"/>
    <w:rsid w:val="00AB05C7"/>
    <w:rsid w:val="00AB0ACB"/>
    <w:rsid w:val="00AB2D28"/>
    <w:rsid w:val="00AB33C8"/>
    <w:rsid w:val="00AB3B25"/>
    <w:rsid w:val="00AB3CAC"/>
    <w:rsid w:val="00AB4407"/>
    <w:rsid w:val="00AB5366"/>
    <w:rsid w:val="00AB5545"/>
    <w:rsid w:val="00AB57B6"/>
    <w:rsid w:val="00AB6CD5"/>
    <w:rsid w:val="00AB76FF"/>
    <w:rsid w:val="00AB7A6C"/>
    <w:rsid w:val="00AC04B9"/>
    <w:rsid w:val="00AC13D5"/>
    <w:rsid w:val="00AC157C"/>
    <w:rsid w:val="00AC16B9"/>
    <w:rsid w:val="00AC249A"/>
    <w:rsid w:val="00AC311C"/>
    <w:rsid w:val="00AC337C"/>
    <w:rsid w:val="00AC345E"/>
    <w:rsid w:val="00AC3663"/>
    <w:rsid w:val="00AC374D"/>
    <w:rsid w:val="00AC5016"/>
    <w:rsid w:val="00AC5D60"/>
    <w:rsid w:val="00AC711B"/>
    <w:rsid w:val="00AD0C2D"/>
    <w:rsid w:val="00AD0DA0"/>
    <w:rsid w:val="00AD1158"/>
    <w:rsid w:val="00AD1287"/>
    <w:rsid w:val="00AD14F3"/>
    <w:rsid w:val="00AD19AC"/>
    <w:rsid w:val="00AD1F8E"/>
    <w:rsid w:val="00AD2116"/>
    <w:rsid w:val="00AD3BF2"/>
    <w:rsid w:val="00AD53E8"/>
    <w:rsid w:val="00AD5960"/>
    <w:rsid w:val="00AD64BC"/>
    <w:rsid w:val="00AD663E"/>
    <w:rsid w:val="00AD6987"/>
    <w:rsid w:val="00AD6C3D"/>
    <w:rsid w:val="00AD6EC6"/>
    <w:rsid w:val="00AD6FF8"/>
    <w:rsid w:val="00AD72BB"/>
    <w:rsid w:val="00AE03CB"/>
    <w:rsid w:val="00AE0F9D"/>
    <w:rsid w:val="00AE1A02"/>
    <w:rsid w:val="00AE2374"/>
    <w:rsid w:val="00AE2388"/>
    <w:rsid w:val="00AE260C"/>
    <w:rsid w:val="00AE269C"/>
    <w:rsid w:val="00AE2759"/>
    <w:rsid w:val="00AE2FD9"/>
    <w:rsid w:val="00AE3064"/>
    <w:rsid w:val="00AE3873"/>
    <w:rsid w:val="00AE387B"/>
    <w:rsid w:val="00AE3CE2"/>
    <w:rsid w:val="00AE3D9E"/>
    <w:rsid w:val="00AE44AC"/>
    <w:rsid w:val="00AE6C84"/>
    <w:rsid w:val="00AE726A"/>
    <w:rsid w:val="00AE78C4"/>
    <w:rsid w:val="00AE78E4"/>
    <w:rsid w:val="00AF29CE"/>
    <w:rsid w:val="00AF2DE8"/>
    <w:rsid w:val="00AF2F1B"/>
    <w:rsid w:val="00AF31C1"/>
    <w:rsid w:val="00AF3637"/>
    <w:rsid w:val="00AF36BB"/>
    <w:rsid w:val="00AF372B"/>
    <w:rsid w:val="00AF4169"/>
    <w:rsid w:val="00AF5017"/>
    <w:rsid w:val="00AF5205"/>
    <w:rsid w:val="00AF538B"/>
    <w:rsid w:val="00AF770E"/>
    <w:rsid w:val="00B0116B"/>
    <w:rsid w:val="00B014FE"/>
    <w:rsid w:val="00B023CE"/>
    <w:rsid w:val="00B028F7"/>
    <w:rsid w:val="00B02E57"/>
    <w:rsid w:val="00B031A0"/>
    <w:rsid w:val="00B03793"/>
    <w:rsid w:val="00B03D2E"/>
    <w:rsid w:val="00B03EE8"/>
    <w:rsid w:val="00B03FAA"/>
    <w:rsid w:val="00B042F2"/>
    <w:rsid w:val="00B04796"/>
    <w:rsid w:val="00B06FA9"/>
    <w:rsid w:val="00B06FF4"/>
    <w:rsid w:val="00B071D2"/>
    <w:rsid w:val="00B0740A"/>
    <w:rsid w:val="00B106AE"/>
    <w:rsid w:val="00B111A3"/>
    <w:rsid w:val="00B118CB"/>
    <w:rsid w:val="00B136AF"/>
    <w:rsid w:val="00B13AA7"/>
    <w:rsid w:val="00B13F7D"/>
    <w:rsid w:val="00B1560A"/>
    <w:rsid w:val="00B15F3D"/>
    <w:rsid w:val="00B16042"/>
    <w:rsid w:val="00B16D2D"/>
    <w:rsid w:val="00B16D61"/>
    <w:rsid w:val="00B17A1B"/>
    <w:rsid w:val="00B17D4C"/>
    <w:rsid w:val="00B21357"/>
    <w:rsid w:val="00B2241B"/>
    <w:rsid w:val="00B22730"/>
    <w:rsid w:val="00B22B33"/>
    <w:rsid w:val="00B23223"/>
    <w:rsid w:val="00B23B15"/>
    <w:rsid w:val="00B24259"/>
    <w:rsid w:val="00B2496D"/>
    <w:rsid w:val="00B25236"/>
    <w:rsid w:val="00B26B21"/>
    <w:rsid w:val="00B279DD"/>
    <w:rsid w:val="00B30970"/>
    <w:rsid w:val="00B31024"/>
    <w:rsid w:val="00B31843"/>
    <w:rsid w:val="00B325D9"/>
    <w:rsid w:val="00B3395D"/>
    <w:rsid w:val="00B34576"/>
    <w:rsid w:val="00B348F2"/>
    <w:rsid w:val="00B34FE2"/>
    <w:rsid w:val="00B35804"/>
    <w:rsid w:val="00B35864"/>
    <w:rsid w:val="00B360C9"/>
    <w:rsid w:val="00B368F8"/>
    <w:rsid w:val="00B40A0B"/>
    <w:rsid w:val="00B41E6C"/>
    <w:rsid w:val="00B423C3"/>
    <w:rsid w:val="00B4376A"/>
    <w:rsid w:val="00B440DE"/>
    <w:rsid w:val="00B44533"/>
    <w:rsid w:val="00B44592"/>
    <w:rsid w:val="00B44A5D"/>
    <w:rsid w:val="00B44CE5"/>
    <w:rsid w:val="00B45A9D"/>
    <w:rsid w:val="00B45BE7"/>
    <w:rsid w:val="00B462D9"/>
    <w:rsid w:val="00B4746A"/>
    <w:rsid w:val="00B47979"/>
    <w:rsid w:val="00B47AEF"/>
    <w:rsid w:val="00B47C0A"/>
    <w:rsid w:val="00B51304"/>
    <w:rsid w:val="00B51A69"/>
    <w:rsid w:val="00B53047"/>
    <w:rsid w:val="00B54235"/>
    <w:rsid w:val="00B542FD"/>
    <w:rsid w:val="00B5503E"/>
    <w:rsid w:val="00B55960"/>
    <w:rsid w:val="00B566A1"/>
    <w:rsid w:val="00B56AD5"/>
    <w:rsid w:val="00B56D5A"/>
    <w:rsid w:val="00B5716D"/>
    <w:rsid w:val="00B6012F"/>
    <w:rsid w:val="00B60C8D"/>
    <w:rsid w:val="00B61363"/>
    <w:rsid w:val="00B6238B"/>
    <w:rsid w:val="00B6312B"/>
    <w:rsid w:val="00B632F4"/>
    <w:rsid w:val="00B64986"/>
    <w:rsid w:val="00B64C0B"/>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6A51"/>
    <w:rsid w:val="00B87E8F"/>
    <w:rsid w:val="00B9141B"/>
    <w:rsid w:val="00B922B4"/>
    <w:rsid w:val="00B931AE"/>
    <w:rsid w:val="00B93713"/>
    <w:rsid w:val="00B947C3"/>
    <w:rsid w:val="00B94F53"/>
    <w:rsid w:val="00B94FD6"/>
    <w:rsid w:val="00B950A4"/>
    <w:rsid w:val="00B95D03"/>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699A"/>
    <w:rsid w:val="00BD017A"/>
    <w:rsid w:val="00BD0646"/>
    <w:rsid w:val="00BD08B6"/>
    <w:rsid w:val="00BD11DA"/>
    <w:rsid w:val="00BD1BD2"/>
    <w:rsid w:val="00BD24E7"/>
    <w:rsid w:val="00BD2614"/>
    <w:rsid w:val="00BD2A16"/>
    <w:rsid w:val="00BD2A57"/>
    <w:rsid w:val="00BD415F"/>
    <w:rsid w:val="00BD5362"/>
    <w:rsid w:val="00BD5428"/>
    <w:rsid w:val="00BD54F1"/>
    <w:rsid w:val="00BD5867"/>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552A"/>
    <w:rsid w:val="00BF591D"/>
    <w:rsid w:val="00BF6CCF"/>
    <w:rsid w:val="00BF6FF2"/>
    <w:rsid w:val="00C01093"/>
    <w:rsid w:val="00C01B28"/>
    <w:rsid w:val="00C01F10"/>
    <w:rsid w:val="00C034A6"/>
    <w:rsid w:val="00C03AAA"/>
    <w:rsid w:val="00C03FE5"/>
    <w:rsid w:val="00C04293"/>
    <w:rsid w:val="00C042A7"/>
    <w:rsid w:val="00C04405"/>
    <w:rsid w:val="00C054AA"/>
    <w:rsid w:val="00C059AA"/>
    <w:rsid w:val="00C05B11"/>
    <w:rsid w:val="00C06666"/>
    <w:rsid w:val="00C0698C"/>
    <w:rsid w:val="00C074F1"/>
    <w:rsid w:val="00C1026A"/>
    <w:rsid w:val="00C10CD8"/>
    <w:rsid w:val="00C11257"/>
    <w:rsid w:val="00C1203F"/>
    <w:rsid w:val="00C122D8"/>
    <w:rsid w:val="00C14013"/>
    <w:rsid w:val="00C140F6"/>
    <w:rsid w:val="00C141E9"/>
    <w:rsid w:val="00C14239"/>
    <w:rsid w:val="00C14352"/>
    <w:rsid w:val="00C15A41"/>
    <w:rsid w:val="00C15E8B"/>
    <w:rsid w:val="00C16583"/>
    <w:rsid w:val="00C202EA"/>
    <w:rsid w:val="00C210B6"/>
    <w:rsid w:val="00C21F04"/>
    <w:rsid w:val="00C21F32"/>
    <w:rsid w:val="00C230E9"/>
    <w:rsid w:val="00C240EF"/>
    <w:rsid w:val="00C250E4"/>
    <w:rsid w:val="00C25EC6"/>
    <w:rsid w:val="00C2674B"/>
    <w:rsid w:val="00C275C8"/>
    <w:rsid w:val="00C27889"/>
    <w:rsid w:val="00C27D65"/>
    <w:rsid w:val="00C301DF"/>
    <w:rsid w:val="00C30922"/>
    <w:rsid w:val="00C33075"/>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4DBA"/>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64A"/>
    <w:rsid w:val="00C77BBC"/>
    <w:rsid w:val="00C80535"/>
    <w:rsid w:val="00C80644"/>
    <w:rsid w:val="00C80EE0"/>
    <w:rsid w:val="00C82512"/>
    <w:rsid w:val="00C82839"/>
    <w:rsid w:val="00C82A08"/>
    <w:rsid w:val="00C82B7E"/>
    <w:rsid w:val="00C82C06"/>
    <w:rsid w:val="00C847A3"/>
    <w:rsid w:val="00C84CB4"/>
    <w:rsid w:val="00C84DBC"/>
    <w:rsid w:val="00C852AF"/>
    <w:rsid w:val="00C857AB"/>
    <w:rsid w:val="00C86711"/>
    <w:rsid w:val="00C87068"/>
    <w:rsid w:val="00C901AC"/>
    <w:rsid w:val="00C91884"/>
    <w:rsid w:val="00C9224D"/>
    <w:rsid w:val="00C92B60"/>
    <w:rsid w:val="00C93692"/>
    <w:rsid w:val="00C939F4"/>
    <w:rsid w:val="00C941EB"/>
    <w:rsid w:val="00C9422A"/>
    <w:rsid w:val="00C95447"/>
    <w:rsid w:val="00C95BD3"/>
    <w:rsid w:val="00C96166"/>
    <w:rsid w:val="00C9700C"/>
    <w:rsid w:val="00C97C29"/>
    <w:rsid w:val="00CA0019"/>
    <w:rsid w:val="00CA0D37"/>
    <w:rsid w:val="00CA0F0D"/>
    <w:rsid w:val="00CA0F54"/>
    <w:rsid w:val="00CA0F99"/>
    <w:rsid w:val="00CA13BC"/>
    <w:rsid w:val="00CA1C64"/>
    <w:rsid w:val="00CA2078"/>
    <w:rsid w:val="00CA2332"/>
    <w:rsid w:val="00CA2874"/>
    <w:rsid w:val="00CA6354"/>
    <w:rsid w:val="00CA6E3F"/>
    <w:rsid w:val="00CA7C5A"/>
    <w:rsid w:val="00CB008D"/>
    <w:rsid w:val="00CB1802"/>
    <w:rsid w:val="00CB1919"/>
    <w:rsid w:val="00CB5E6F"/>
    <w:rsid w:val="00CB6362"/>
    <w:rsid w:val="00CB673C"/>
    <w:rsid w:val="00CB6F10"/>
    <w:rsid w:val="00CB72B1"/>
    <w:rsid w:val="00CB7405"/>
    <w:rsid w:val="00CC0433"/>
    <w:rsid w:val="00CC119D"/>
    <w:rsid w:val="00CC1282"/>
    <w:rsid w:val="00CC1560"/>
    <w:rsid w:val="00CC2271"/>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0865"/>
    <w:rsid w:val="00D01A24"/>
    <w:rsid w:val="00D01ECF"/>
    <w:rsid w:val="00D01FEB"/>
    <w:rsid w:val="00D0318B"/>
    <w:rsid w:val="00D03C41"/>
    <w:rsid w:val="00D0632E"/>
    <w:rsid w:val="00D06694"/>
    <w:rsid w:val="00D0690E"/>
    <w:rsid w:val="00D06BA6"/>
    <w:rsid w:val="00D06CF0"/>
    <w:rsid w:val="00D07001"/>
    <w:rsid w:val="00D071AA"/>
    <w:rsid w:val="00D07CB3"/>
    <w:rsid w:val="00D100A5"/>
    <w:rsid w:val="00D10395"/>
    <w:rsid w:val="00D11069"/>
    <w:rsid w:val="00D1135D"/>
    <w:rsid w:val="00D113AF"/>
    <w:rsid w:val="00D1188C"/>
    <w:rsid w:val="00D12030"/>
    <w:rsid w:val="00D1230E"/>
    <w:rsid w:val="00D12B2F"/>
    <w:rsid w:val="00D12B76"/>
    <w:rsid w:val="00D12E69"/>
    <w:rsid w:val="00D13E65"/>
    <w:rsid w:val="00D14146"/>
    <w:rsid w:val="00D144EC"/>
    <w:rsid w:val="00D14D4C"/>
    <w:rsid w:val="00D1534C"/>
    <w:rsid w:val="00D154F9"/>
    <w:rsid w:val="00D15E38"/>
    <w:rsid w:val="00D20655"/>
    <w:rsid w:val="00D20F51"/>
    <w:rsid w:val="00D21586"/>
    <w:rsid w:val="00D2177D"/>
    <w:rsid w:val="00D21AC3"/>
    <w:rsid w:val="00D2266C"/>
    <w:rsid w:val="00D233A7"/>
    <w:rsid w:val="00D24F85"/>
    <w:rsid w:val="00D2578E"/>
    <w:rsid w:val="00D265AB"/>
    <w:rsid w:val="00D3169F"/>
    <w:rsid w:val="00D31748"/>
    <w:rsid w:val="00D323B3"/>
    <w:rsid w:val="00D340C2"/>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6E44"/>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5C88"/>
    <w:rsid w:val="00D767AB"/>
    <w:rsid w:val="00D76F92"/>
    <w:rsid w:val="00D77629"/>
    <w:rsid w:val="00D77ED1"/>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592"/>
    <w:rsid w:val="00D90D2C"/>
    <w:rsid w:val="00D91688"/>
    <w:rsid w:val="00D916C9"/>
    <w:rsid w:val="00D91B0C"/>
    <w:rsid w:val="00D91B37"/>
    <w:rsid w:val="00D91B61"/>
    <w:rsid w:val="00D92ED2"/>
    <w:rsid w:val="00D94749"/>
    <w:rsid w:val="00D956AA"/>
    <w:rsid w:val="00D95D0C"/>
    <w:rsid w:val="00D96526"/>
    <w:rsid w:val="00D96E1F"/>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85F"/>
    <w:rsid w:val="00DA5EB8"/>
    <w:rsid w:val="00DA6146"/>
    <w:rsid w:val="00DA7B8B"/>
    <w:rsid w:val="00DA7BD2"/>
    <w:rsid w:val="00DB1471"/>
    <w:rsid w:val="00DB244C"/>
    <w:rsid w:val="00DB399F"/>
    <w:rsid w:val="00DB45B6"/>
    <w:rsid w:val="00DB4B69"/>
    <w:rsid w:val="00DB5194"/>
    <w:rsid w:val="00DB5CD4"/>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539"/>
    <w:rsid w:val="00DC79C7"/>
    <w:rsid w:val="00DC7EE9"/>
    <w:rsid w:val="00DD05CF"/>
    <w:rsid w:val="00DD1A9C"/>
    <w:rsid w:val="00DD1B7E"/>
    <w:rsid w:val="00DD24E9"/>
    <w:rsid w:val="00DD2C8E"/>
    <w:rsid w:val="00DD3EC1"/>
    <w:rsid w:val="00DD436B"/>
    <w:rsid w:val="00DD4893"/>
    <w:rsid w:val="00DD4AC3"/>
    <w:rsid w:val="00DD4F1D"/>
    <w:rsid w:val="00DD5490"/>
    <w:rsid w:val="00DD54A5"/>
    <w:rsid w:val="00DD5526"/>
    <w:rsid w:val="00DD6C27"/>
    <w:rsid w:val="00DD7D9F"/>
    <w:rsid w:val="00DE0D4E"/>
    <w:rsid w:val="00DE1631"/>
    <w:rsid w:val="00DE24E4"/>
    <w:rsid w:val="00DE2C23"/>
    <w:rsid w:val="00DE3066"/>
    <w:rsid w:val="00DE3718"/>
    <w:rsid w:val="00DE5120"/>
    <w:rsid w:val="00DE53D9"/>
    <w:rsid w:val="00DE53DB"/>
    <w:rsid w:val="00DE63D6"/>
    <w:rsid w:val="00DE739B"/>
    <w:rsid w:val="00DE7D38"/>
    <w:rsid w:val="00DF00A1"/>
    <w:rsid w:val="00DF0906"/>
    <w:rsid w:val="00DF0AE0"/>
    <w:rsid w:val="00DF2662"/>
    <w:rsid w:val="00DF2DE1"/>
    <w:rsid w:val="00DF394B"/>
    <w:rsid w:val="00DF5880"/>
    <w:rsid w:val="00DF62E1"/>
    <w:rsid w:val="00DF67DF"/>
    <w:rsid w:val="00DF68D6"/>
    <w:rsid w:val="00DF7B69"/>
    <w:rsid w:val="00DF7CA5"/>
    <w:rsid w:val="00E011FF"/>
    <w:rsid w:val="00E014D3"/>
    <w:rsid w:val="00E0301E"/>
    <w:rsid w:val="00E03A4E"/>
    <w:rsid w:val="00E04612"/>
    <w:rsid w:val="00E0558A"/>
    <w:rsid w:val="00E06F0C"/>
    <w:rsid w:val="00E07263"/>
    <w:rsid w:val="00E10039"/>
    <w:rsid w:val="00E10299"/>
    <w:rsid w:val="00E10E83"/>
    <w:rsid w:val="00E1101D"/>
    <w:rsid w:val="00E1133F"/>
    <w:rsid w:val="00E1136C"/>
    <w:rsid w:val="00E11BAF"/>
    <w:rsid w:val="00E11F67"/>
    <w:rsid w:val="00E128BB"/>
    <w:rsid w:val="00E1317E"/>
    <w:rsid w:val="00E13AE6"/>
    <w:rsid w:val="00E13CD9"/>
    <w:rsid w:val="00E14992"/>
    <w:rsid w:val="00E14E72"/>
    <w:rsid w:val="00E16115"/>
    <w:rsid w:val="00E16ACD"/>
    <w:rsid w:val="00E16B6E"/>
    <w:rsid w:val="00E17232"/>
    <w:rsid w:val="00E1778C"/>
    <w:rsid w:val="00E178E7"/>
    <w:rsid w:val="00E2098D"/>
    <w:rsid w:val="00E2160D"/>
    <w:rsid w:val="00E21D79"/>
    <w:rsid w:val="00E2202F"/>
    <w:rsid w:val="00E22234"/>
    <w:rsid w:val="00E227FE"/>
    <w:rsid w:val="00E23451"/>
    <w:rsid w:val="00E23595"/>
    <w:rsid w:val="00E23D5D"/>
    <w:rsid w:val="00E2572A"/>
    <w:rsid w:val="00E26D2B"/>
    <w:rsid w:val="00E275D0"/>
    <w:rsid w:val="00E278C0"/>
    <w:rsid w:val="00E307CB"/>
    <w:rsid w:val="00E308AE"/>
    <w:rsid w:val="00E30BEF"/>
    <w:rsid w:val="00E32262"/>
    <w:rsid w:val="00E327FE"/>
    <w:rsid w:val="00E345CE"/>
    <w:rsid w:val="00E34AD0"/>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8E0"/>
    <w:rsid w:val="00E55A21"/>
    <w:rsid w:val="00E55EFF"/>
    <w:rsid w:val="00E56526"/>
    <w:rsid w:val="00E574AF"/>
    <w:rsid w:val="00E60BE0"/>
    <w:rsid w:val="00E61975"/>
    <w:rsid w:val="00E61DFF"/>
    <w:rsid w:val="00E62A0A"/>
    <w:rsid w:val="00E62A95"/>
    <w:rsid w:val="00E6318D"/>
    <w:rsid w:val="00E6351A"/>
    <w:rsid w:val="00E6355E"/>
    <w:rsid w:val="00E64448"/>
    <w:rsid w:val="00E645B5"/>
    <w:rsid w:val="00E64AEB"/>
    <w:rsid w:val="00E6518A"/>
    <w:rsid w:val="00E66C7F"/>
    <w:rsid w:val="00E67F5A"/>
    <w:rsid w:val="00E67F87"/>
    <w:rsid w:val="00E70295"/>
    <w:rsid w:val="00E70CF8"/>
    <w:rsid w:val="00E758F7"/>
    <w:rsid w:val="00E76284"/>
    <w:rsid w:val="00E80F9F"/>
    <w:rsid w:val="00E814B2"/>
    <w:rsid w:val="00E82833"/>
    <w:rsid w:val="00E82E6F"/>
    <w:rsid w:val="00E84821"/>
    <w:rsid w:val="00E8488D"/>
    <w:rsid w:val="00E84E52"/>
    <w:rsid w:val="00E85E98"/>
    <w:rsid w:val="00E86014"/>
    <w:rsid w:val="00E86B97"/>
    <w:rsid w:val="00E87001"/>
    <w:rsid w:val="00E870C8"/>
    <w:rsid w:val="00E8765A"/>
    <w:rsid w:val="00E87BE0"/>
    <w:rsid w:val="00E91800"/>
    <w:rsid w:val="00E9264C"/>
    <w:rsid w:val="00E92835"/>
    <w:rsid w:val="00E93DDC"/>
    <w:rsid w:val="00E94890"/>
    <w:rsid w:val="00E94AA2"/>
    <w:rsid w:val="00E956B7"/>
    <w:rsid w:val="00E963E3"/>
    <w:rsid w:val="00E97076"/>
    <w:rsid w:val="00EA196C"/>
    <w:rsid w:val="00EA1F9F"/>
    <w:rsid w:val="00EA2712"/>
    <w:rsid w:val="00EA33A4"/>
    <w:rsid w:val="00EA3C26"/>
    <w:rsid w:val="00EA3D5D"/>
    <w:rsid w:val="00EA4191"/>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6D7F"/>
    <w:rsid w:val="00EB73C0"/>
    <w:rsid w:val="00EB7D35"/>
    <w:rsid w:val="00EC0B9A"/>
    <w:rsid w:val="00EC23E7"/>
    <w:rsid w:val="00EC46E7"/>
    <w:rsid w:val="00EC492E"/>
    <w:rsid w:val="00EC4D8D"/>
    <w:rsid w:val="00EC4F80"/>
    <w:rsid w:val="00EC5DC8"/>
    <w:rsid w:val="00EC6070"/>
    <w:rsid w:val="00EC7586"/>
    <w:rsid w:val="00EC7A39"/>
    <w:rsid w:val="00ED101B"/>
    <w:rsid w:val="00ED208E"/>
    <w:rsid w:val="00ED3C03"/>
    <w:rsid w:val="00ED3C80"/>
    <w:rsid w:val="00ED63E1"/>
    <w:rsid w:val="00ED7007"/>
    <w:rsid w:val="00ED74EF"/>
    <w:rsid w:val="00ED7CF5"/>
    <w:rsid w:val="00ED7D28"/>
    <w:rsid w:val="00EE0648"/>
    <w:rsid w:val="00EE06E2"/>
    <w:rsid w:val="00EE0B81"/>
    <w:rsid w:val="00EE0E2F"/>
    <w:rsid w:val="00EE1427"/>
    <w:rsid w:val="00EE19BF"/>
    <w:rsid w:val="00EE3DC2"/>
    <w:rsid w:val="00EE45ED"/>
    <w:rsid w:val="00EE49FD"/>
    <w:rsid w:val="00EE580E"/>
    <w:rsid w:val="00EE725D"/>
    <w:rsid w:val="00EE7CC1"/>
    <w:rsid w:val="00EE7D7E"/>
    <w:rsid w:val="00EF04C1"/>
    <w:rsid w:val="00EF0C8E"/>
    <w:rsid w:val="00EF31E7"/>
    <w:rsid w:val="00EF3E62"/>
    <w:rsid w:val="00EF40EB"/>
    <w:rsid w:val="00EF42AF"/>
    <w:rsid w:val="00EF50F8"/>
    <w:rsid w:val="00EF545F"/>
    <w:rsid w:val="00EF5AE8"/>
    <w:rsid w:val="00EF6001"/>
    <w:rsid w:val="00EF62C1"/>
    <w:rsid w:val="00EF661B"/>
    <w:rsid w:val="00EF714B"/>
    <w:rsid w:val="00EF7816"/>
    <w:rsid w:val="00EF7926"/>
    <w:rsid w:val="00EF7E7A"/>
    <w:rsid w:val="00F0029B"/>
    <w:rsid w:val="00F00C82"/>
    <w:rsid w:val="00F00DC0"/>
    <w:rsid w:val="00F00E13"/>
    <w:rsid w:val="00F012AB"/>
    <w:rsid w:val="00F012F7"/>
    <w:rsid w:val="00F02AD5"/>
    <w:rsid w:val="00F02DF1"/>
    <w:rsid w:val="00F0326A"/>
    <w:rsid w:val="00F0416C"/>
    <w:rsid w:val="00F041E4"/>
    <w:rsid w:val="00F04222"/>
    <w:rsid w:val="00F04BFF"/>
    <w:rsid w:val="00F04CD2"/>
    <w:rsid w:val="00F04D33"/>
    <w:rsid w:val="00F04D6B"/>
    <w:rsid w:val="00F05176"/>
    <w:rsid w:val="00F05198"/>
    <w:rsid w:val="00F05781"/>
    <w:rsid w:val="00F05C5A"/>
    <w:rsid w:val="00F066D6"/>
    <w:rsid w:val="00F0728B"/>
    <w:rsid w:val="00F0763B"/>
    <w:rsid w:val="00F1028D"/>
    <w:rsid w:val="00F10A79"/>
    <w:rsid w:val="00F11744"/>
    <w:rsid w:val="00F12BF1"/>
    <w:rsid w:val="00F1327F"/>
    <w:rsid w:val="00F1609A"/>
    <w:rsid w:val="00F171AC"/>
    <w:rsid w:val="00F17592"/>
    <w:rsid w:val="00F175BB"/>
    <w:rsid w:val="00F179E1"/>
    <w:rsid w:val="00F17AA5"/>
    <w:rsid w:val="00F20170"/>
    <w:rsid w:val="00F2048C"/>
    <w:rsid w:val="00F2270D"/>
    <w:rsid w:val="00F234F3"/>
    <w:rsid w:val="00F238E9"/>
    <w:rsid w:val="00F2472F"/>
    <w:rsid w:val="00F25171"/>
    <w:rsid w:val="00F269A2"/>
    <w:rsid w:val="00F26AB2"/>
    <w:rsid w:val="00F27299"/>
    <w:rsid w:val="00F27D3C"/>
    <w:rsid w:val="00F300E5"/>
    <w:rsid w:val="00F31CC4"/>
    <w:rsid w:val="00F31FDD"/>
    <w:rsid w:val="00F32A9C"/>
    <w:rsid w:val="00F32EA0"/>
    <w:rsid w:val="00F3341C"/>
    <w:rsid w:val="00F343A8"/>
    <w:rsid w:val="00F35B1E"/>
    <w:rsid w:val="00F37413"/>
    <w:rsid w:val="00F378F4"/>
    <w:rsid w:val="00F37A18"/>
    <w:rsid w:val="00F37A61"/>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195"/>
    <w:rsid w:val="00F479E5"/>
    <w:rsid w:val="00F50113"/>
    <w:rsid w:val="00F5085D"/>
    <w:rsid w:val="00F508A7"/>
    <w:rsid w:val="00F50D59"/>
    <w:rsid w:val="00F50F94"/>
    <w:rsid w:val="00F51AD3"/>
    <w:rsid w:val="00F51DA7"/>
    <w:rsid w:val="00F51FE9"/>
    <w:rsid w:val="00F5225F"/>
    <w:rsid w:val="00F5337A"/>
    <w:rsid w:val="00F53AE5"/>
    <w:rsid w:val="00F5433B"/>
    <w:rsid w:val="00F5479C"/>
    <w:rsid w:val="00F5515E"/>
    <w:rsid w:val="00F553FB"/>
    <w:rsid w:val="00F55C41"/>
    <w:rsid w:val="00F56676"/>
    <w:rsid w:val="00F60070"/>
    <w:rsid w:val="00F60084"/>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254A"/>
    <w:rsid w:val="00F74B0B"/>
    <w:rsid w:val="00F75384"/>
    <w:rsid w:val="00F76983"/>
    <w:rsid w:val="00F76C13"/>
    <w:rsid w:val="00F80B98"/>
    <w:rsid w:val="00F810A5"/>
    <w:rsid w:val="00F82354"/>
    <w:rsid w:val="00F83460"/>
    <w:rsid w:val="00F83926"/>
    <w:rsid w:val="00F8408F"/>
    <w:rsid w:val="00F84373"/>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151"/>
    <w:rsid w:val="00FA6266"/>
    <w:rsid w:val="00FB3B2D"/>
    <w:rsid w:val="00FB3F24"/>
    <w:rsid w:val="00FB468A"/>
    <w:rsid w:val="00FB57C6"/>
    <w:rsid w:val="00FB5EEA"/>
    <w:rsid w:val="00FB6032"/>
    <w:rsid w:val="00FB65A5"/>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6CE"/>
    <w:rsid w:val="00FE1F82"/>
    <w:rsid w:val="00FE36D3"/>
    <w:rsid w:val="00FE37D3"/>
    <w:rsid w:val="00FE6380"/>
    <w:rsid w:val="00FE6B5D"/>
    <w:rsid w:val="00FE6D80"/>
    <w:rsid w:val="00FF102A"/>
    <w:rsid w:val="00FF1435"/>
    <w:rsid w:val="00FF2956"/>
    <w:rsid w:val="00FF3326"/>
    <w:rsid w:val="00FF4C34"/>
    <w:rsid w:val="00FF589E"/>
    <w:rsid w:val="00FF69D7"/>
    <w:rsid w:val="00FF7030"/>
    <w:rsid w:val="058B2B29"/>
    <w:rsid w:val="0B894205"/>
    <w:rsid w:val="0F1905EE"/>
    <w:rsid w:val="0F414CF9"/>
    <w:rsid w:val="111533AD"/>
    <w:rsid w:val="15387934"/>
    <w:rsid w:val="17AD7DC6"/>
    <w:rsid w:val="188D493C"/>
    <w:rsid w:val="18B66F39"/>
    <w:rsid w:val="19576A1C"/>
    <w:rsid w:val="1B4F1C59"/>
    <w:rsid w:val="1C2B69D7"/>
    <w:rsid w:val="1C4D671D"/>
    <w:rsid w:val="1E98018D"/>
    <w:rsid w:val="23634ECF"/>
    <w:rsid w:val="248F6EEA"/>
    <w:rsid w:val="251B7842"/>
    <w:rsid w:val="25365F7C"/>
    <w:rsid w:val="25C52CB5"/>
    <w:rsid w:val="2A6F05C0"/>
    <w:rsid w:val="2AD326C1"/>
    <w:rsid w:val="2C601BF2"/>
    <w:rsid w:val="2CF36469"/>
    <w:rsid w:val="2DED6CF8"/>
    <w:rsid w:val="2E6A153F"/>
    <w:rsid w:val="30455267"/>
    <w:rsid w:val="30602F00"/>
    <w:rsid w:val="307A2CE3"/>
    <w:rsid w:val="3103354B"/>
    <w:rsid w:val="31671E88"/>
    <w:rsid w:val="34C04229"/>
    <w:rsid w:val="368D5B6E"/>
    <w:rsid w:val="36B55F0A"/>
    <w:rsid w:val="3AD23C84"/>
    <w:rsid w:val="3C1F3528"/>
    <w:rsid w:val="3D232759"/>
    <w:rsid w:val="3D5A00A4"/>
    <w:rsid w:val="402E16CA"/>
    <w:rsid w:val="40D518E7"/>
    <w:rsid w:val="414B3587"/>
    <w:rsid w:val="41AB5CE6"/>
    <w:rsid w:val="420B0AD3"/>
    <w:rsid w:val="421B5277"/>
    <w:rsid w:val="42671128"/>
    <w:rsid w:val="42901A53"/>
    <w:rsid w:val="431E1EA9"/>
    <w:rsid w:val="472E74AF"/>
    <w:rsid w:val="4BEF000D"/>
    <w:rsid w:val="4C954FE3"/>
    <w:rsid w:val="4CCE674A"/>
    <w:rsid w:val="52FF59D0"/>
    <w:rsid w:val="53BF6204"/>
    <w:rsid w:val="56A87C0C"/>
    <w:rsid w:val="58745841"/>
    <w:rsid w:val="5CF46281"/>
    <w:rsid w:val="5EA95406"/>
    <w:rsid w:val="64F30BD8"/>
    <w:rsid w:val="656749B0"/>
    <w:rsid w:val="65777969"/>
    <w:rsid w:val="659E2C70"/>
    <w:rsid w:val="68E71107"/>
    <w:rsid w:val="69100D36"/>
    <w:rsid w:val="6C4319FB"/>
    <w:rsid w:val="6DE81A71"/>
    <w:rsid w:val="6DF43A03"/>
    <w:rsid w:val="710F3A90"/>
    <w:rsid w:val="75D51C75"/>
    <w:rsid w:val="76730F8E"/>
    <w:rsid w:val="7853214D"/>
    <w:rsid w:val="792738AA"/>
    <w:rsid w:val="7B740B38"/>
    <w:rsid w:val="7C9F3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 w:hAnsi="仿宋" w:eastAsia="仿宋"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0" w:semiHidden="0" w:name="heading 8"/>
    <w:lsdException w:qFormat="1" w:unhideWhenUsed="0" w:uiPriority="0" w:semiHidden="0" w:name="heading 9"/>
    <w:lsdException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99" w:semiHidden="0" w:name="footnote text"/>
    <w:lsdException w:qFormat="1" w:unhideWhenUsed="0" w:uiPriority="99" w:semiHidden="0" w:name="annotation text"/>
    <w:lsdException w:qFormat="1" w:uiPriority="99" w:semiHidden="0" w:name="header"/>
    <w:lsdException w:qFormat="1" w:uiPriority="99"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iPriority="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qFormat="1" w:unhideWhenUsed="0" w:uiPriority="0" w:semiHidden="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0"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0"/>
    <w:qFormat/>
    <w:uiPriority w:val="9"/>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14"/>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1"/>
    <w:qFormat/>
    <w:uiPriority w:val="0"/>
    <w:pPr>
      <w:keepNext/>
      <w:keepLines/>
      <w:spacing w:before="260" w:after="260" w:line="416" w:lineRule="auto"/>
      <w:outlineLvl w:val="2"/>
    </w:pPr>
    <w:rPr>
      <w:b/>
      <w:bCs/>
      <w:sz w:val="32"/>
      <w:szCs w:val="32"/>
    </w:rPr>
  </w:style>
  <w:style w:type="paragraph" w:styleId="5">
    <w:name w:val="heading 4"/>
    <w:basedOn w:val="1"/>
    <w:next w:val="1"/>
    <w:link w:val="253"/>
    <w:qFormat/>
    <w:uiPriority w:val="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74"/>
    <w:qFormat/>
    <w:uiPriority w:val="9"/>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81"/>
    <w:qFormat/>
    <w:uiPriority w:val="9"/>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128"/>
    <w:qFormat/>
    <w:uiPriority w:val="9"/>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115"/>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152"/>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3">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Cs w:val="20"/>
    </w:rPr>
  </w:style>
  <w:style w:type="paragraph" w:styleId="12">
    <w:name w:val="toc 7"/>
    <w:basedOn w:val="1"/>
    <w:next w:val="1"/>
    <w:qFormat/>
    <w:uiPriority w:val="39"/>
    <w:pPr>
      <w:ind w:left="1260"/>
      <w:jc w:val="left"/>
    </w:pPr>
    <w:rPr>
      <w:rFonts w:ascii="Times New Roman" w:hAnsi="Times New Roman"/>
      <w:sz w:val="18"/>
      <w:szCs w:val="18"/>
    </w:rPr>
  </w:style>
  <w:style w:type="paragraph" w:styleId="13">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5">
    <w:name w:val="List Bullet 4"/>
    <w:basedOn w:val="1"/>
    <w:qFormat/>
    <w:uiPriority w:val="0"/>
    <w:pPr>
      <w:numPr>
        <w:ilvl w:val="0"/>
        <w:numId w:val="2"/>
      </w:numPr>
    </w:pPr>
    <w:rPr>
      <w:rFonts w:ascii="Times New Roman" w:hAnsi="Times New Roman"/>
      <w:szCs w:val="24"/>
    </w:rPr>
  </w:style>
  <w:style w:type="paragraph" w:styleId="16">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68"/>
    <w:qFormat/>
    <w:uiPriority w:val="0"/>
    <w:pPr>
      <w:ind w:firstLine="420"/>
    </w:pPr>
    <w:rPr>
      <w:szCs w:val="20"/>
    </w:rPr>
  </w:style>
  <w:style w:type="paragraph" w:styleId="18">
    <w:name w:val="caption"/>
    <w:basedOn w:val="1"/>
    <w:next w:val="1"/>
    <w:link w:val="74"/>
    <w:qFormat/>
    <w:uiPriority w:val="0"/>
    <w:pPr>
      <w:spacing w:before="152" w:after="160"/>
    </w:pPr>
    <w:rPr>
      <w:rFonts w:ascii="Arial" w:hAnsi="Arial" w:eastAsia="黑体"/>
      <w:sz w:val="20"/>
      <w:szCs w:val="20"/>
    </w:rPr>
  </w:style>
  <w:style w:type="paragraph" w:styleId="19">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99"/>
    <w:qFormat/>
    <w:uiPriority w:val="99"/>
    <w:rPr>
      <w:rFonts w:ascii="宋体"/>
      <w:sz w:val="18"/>
      <w:szCs w:val="18"/>
    </w:rPr>
  </w:style>
  <w:style w:type="paragraph" w:styleId="21">
    <w:name w:val="annotation text"/>
    <w:basedOn w:val="1"/>
    <w:link w:val="207"/>
    <w:qFormat/>
    <w:uiPriority w:val="99"/>
    <w:pPr>
      <w:jc w:val="left"/>
    </w:pPr>
  </w:style>
  <w:style w:type="paragraph" w:styleId="22">
    <w:name w:val="Salutation"/>
    <w:basedOn w:val="1"/>
    <w:next w:val="1"/>
    <w:link w:val="98"/>
    <w:qFormat/>
    <w:uiPriority w:val="0"/>
    <w:rPr>
      <w:rFonts w:ascii="宋体" w:hAnsi="Times New Roman"/>
      <w:b/>
      <w:sz w:val="28"/>
      <w:szCs w:val="20"/>
    </w:rPr>
  </w:style>
  <w:style w:type="paragraph" w:styleId="23">
    <w:name w:val="Body Text 3"/>
    <w:basedOn w:val="1"/>
    <w:link w:val="220"/>
    <w:qFormat/>
    <w:uiPriority w:val="0"/>
    <w:pPr>
      <w:snapToGrid w:val="0"/>
      <w:spacing w:before="50" w:after="50"/>
    </w:pPr>
    <w:rPr>
      <w:rFonts w:ascii="Times New Roman" w:hAnsi="宋体" w:eastAsia="仿宋_GB2312"/>
      <w:b/>
      <w:bCs/>
      <w:sz w:val="24"/>
      <w:szCs w:val="20"/>
    </w:rPr>
  </w:style>
  <w:style w:type="paragraph" w:styleId="24">
    <w:name w:val="Body Text"/>
    <w:basedOn w:val="1"/>
    <w:link w:val="195"/>
    <w:qFormat/>
    <w:uiPriority w:val="0"/>
    <w:pPr>
      <w:spacing w:after="120"/>
    </w:pPr>
    <w:rPr>
      <w:sz w:val="28"/>
      <w:szCs w:val="24"/>
    </w:rPr>
  </w:style>
  <w:style w:type="paragraph" w:styleId="25">
    <w:name w:val="Body Text Indent"/>
    <w:basedOn w:val="1"/>
    <w:link w:val="228"/>
    <w:qFormat/>
    <w:uiPriority w:val="0"/>
    <w:pPr>
      <w:spacing w:line="200" w:lineRule="exact"/>
      <w:ind w:firstLine="301"/>
    </w:pPr>
    <w:rPr>
      <w:rFonts w:ascii="宋体" w:hAnsi="Courier New"/>
      <w:spacing w:val="-4"/>
      <w:sz w:val="18"/>
      <w:szCs w:val="20"/>
    </w:rPr>
  </w:style>
  <w:style w:type="paragraph" w:styleId="26">
    <w:name w:val="List Number 3"/>
    <w:basedOn w:val="1"/>
    <w:qFormat/>
    <w:uiPriority w:val="0"/>
    <w:pPr>
      <w:numPr>
        <w:ilvl w:val="0"/>
        <w:numId w:val="3"/>
      </w:numPr>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qFormat/>
    <w:uiPriority w:val="39"/>
    <w:pPr>
      <w:spacing w:afterLines="50"/>
      <w:ind w:left="840"/>
      <w:jc w:val="left"/>
    </w:pPr>
    <w:rPr>
      <w:rFonts w:ascii="Times New Roman" w:hAnsi="Times New Roman"/>
      <w:snapToGrid w:val="0"/>
      <w:kern w:val="0"/>
      <w:sz w:val="18"/>
      <w:szCs w:val="18"/>
    </w:rPr>
  </w:style>
  <w:style w:type="paragraph" w:styleId="30">
    <w:name w:val="toc 3"/>
    <w:basedOn w:val="1"/>
    <w:next w:val="1"/>
    <w:unhideWhenUsed/>
    <w:qFormat/>
    <w:uiPriority w:val="39"/>
    <w:pPr>
      <w:ind w:left="840" w:leftChars="400"/>
    </w:pPr>
  </w:style>
  <w:style w:type="paragraph" w:styleId="31">
    <w:name w:val="Plain Text"/>
    <w:basedOn w:val="1"/>
    <w:link w:val="376"/>
    <w:qFormat/>
    <w:uiPriority w:val="0"/>
    <w:pPr>
      <w:spacing w:beforeLines="50" w:afterLines="50" w:line="400" w:lineRule="exact"/>
    </w:pPr>
    <w:rPr>
      <w:rFonts w:ascii="宋体" w:hAnsi="Courier New"/>
      <w:sz w:val="24"/>
      <w:szCs w:val="24"/>
    </w:rPr>
  </w:style>
  <w:style w:type="paragraph" w:styleId="32">
    <w:name w:val="List Bullet 5"/>
    <w:basedOn w:val="1"/>
    <w:qFormat/>
    <w:uiPriority w:val="0"/>
    <w:pPr>
      <w:numPr>
        <w:ilvl w:val="0"/>
        <w:numId w:val="4"/>
      </w:numPr>
    </w:pPr>
    <w:rPr>
      <w:rFonts w:ascii="Times New Roman" w:hAnsi="Times New Roman"/>
      <w:szCs w:val="24"/>
    </w:rPr>
  </w:style>
  <w:style w:type="paragraph" w:styleId="33">
    <w:name w:val="toc 8"/>
    <w:basedOn w:val="1"/>
    <w:next w:val="1"/>
    <w:qFormat/>
    <w:uiPriority w:val="39"/>
    <w:pPr>
      <w:spacing w:afterLines="50"/>
      <w:ind w:left="1470"/>
      <w:jc w:val="left"/>
    </w:pPr>
    <w:rPr>
      <w:rFonts w:ascii="Times New Roman" w:hAnsi="Times New Roman"/>
      <w:snapToGrid w:val="0"/>
      <w:kern w:val="0"/>
      <w:sz w:val="18"/>
      <w:szCs w:val="18"/>
    </w:rPr>
  </w:style>
  <w:style w:type="paragraph" w:styleId="34">
    <w:name w:val="Date"/>
    <w:basedOn w:val="1"/>
    <w:next w:val="1"/>
    <w:link w:val="378"/>
    <w:uiPriority w:val="0"/>
    <w:pPr>
      <w:ind w:left="2500" w:leftChars="2500"/>
    </w:pPr>
    <w:rPr>
      <w:rFonts w:eastAsia="楷体_GB2312"/>
      <w:sz w:val="32"/>
      <w:szCs w:val="20"/>
    </w:rPr>
  </w:style>
  <w:style w:type="paragraph" w:styleId="35">
    <w:name w:val="Body Text Indent 2"/>
    <w:basedOn w:val="1"/>
    <w:link w:val="264"/>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165"/>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285"/>
    <w:qFormat/>
    <w:uiPriority w:val="99"/>
    <w:rPr>
      <w:sz w:val="18"/>
      <w:szCs w:val="18"/>
    </w:rPr>
  </w:style>
  <w:style w:type="paragraph" w:styleId="38">
    <w:name w:val="footer"/>
    <w:basedOn w:val="1"/>
    <w:link w:val="232"/>
    <w:unhideWhenUsed/>
    <w:qFormat/>
    <w:uiPriority w:val="99"/>
    <w:pPr>
      <w:tabs>
        <w:tab w:val="center" w:pos="4153"/>
        <w:tab w:val="right" w:pos="8306"/>
      </w:tabs>
      <w:snapToGrid w:val="0"/>
      <w:jc w:val="left"/>
    </w:pPr>
    <w:rPr>
      <w:sz w:val="18"/>
      <w:szCs w:val="18"/>
    </w:rPr>
  </w:style>
  <w:style w:type="paragraph" w:styleId="39">
    <w:name w:val="header"/>
    <w:basedOn w:val="1"/>
    <w:link w:val="375"/>
    <w:unhideWhenUsed/>
    <w:qFormat/>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39"/>
    <w:pPr>
      <w:spacing w:before="240" w:after="240"/>
    </w:pPr>
    <w:rPr>
      <w:rFonts w:ascii="Times New Roman" w:hAnsi="Times New Roman" w:eastAsia="仿宋"/>
      <w:sz w:val="36"/>
      <w:szCs w:val="24"/>
    </w:rPr>
  </w:style>
  <w:style w:type="paragraph" w:styleId="41">
    <w:name w:val="toc 4"/>
    <w:basedOn w:val="1"/>
    <w:next w:val="1"/>
    <w:unhideWhenUsed/>
    <w:uiPriority w:val="39"/>
    <w:pPr>
      <w:ind w:left="1260" w:leftChars="600"/>
    </w:pPr>
  </w:style>
  <w:style w:type="paragraph" w:styleId="42">
    <w:name w:val="Subtitle"/>
    <w:basedOn w:val="1"/>
    <w:link w:val="363"/>
    <w:qFormat/>
    <w:uiPriority w:val="11"/>
    <w:pPr>
      <w:spacing w:afterLines="50"/>
      <w:jc w:val="center"/>
    </w:pPr>
    <w:rPr>
      <w:rFonts w:ascii="Times New Roman" w:hAnsi="Times New Roman" w:eastAsia="Times New Roman"/>
      <w:sz w:val="18"/>
      <w:szCs w:val="18"/>
    </w:rPr>
  </w:style>
  <w:style w:type="paragraph" w:styleId="43">
    <w:name w:val="List"/>
    <w:basedOn w:val="1"/>
    <w:qFormat/>
    <w:uiPriority w:val="0"/>
    <w:pPr>
      <w:ind w:left="200" w:hanging="200" w:hangingChars="200"/>
    </w:pPr>
    <w:rPr>
      <w:rFonts w:ascii="Times New Roman" w:hAnsi="Times New Roman"/>
      <w:sz w:val="28"/>
      <w:szCs w:val="24"/>
    </w:rPr>
  </w:style>
  <w:style w:type="paragraph" w:styleId="44">
    <w:name w:val="footnote text"/>
    <w:basedOn w:val="1"/>
    <w:link w:val="160"/>
    <w:unhideWhenUsed/>
    <w:qFormat/>
    <w:uiPriority w:val="99"/>
    <w:pPr>
      <w:snapToGrid w:val="0"/>
      <w:jc w:val="left"/>
    </w:pPr>
    <w:rPr>
      <w:sz w:val="18"/>
      <w:szCs w:val="18"/>
    </w:rPr>
  </w:style>
  <w:style w:type="paragraph" w:styleId="45">
    <w:name w:val="toc 6"/>
    <w:basedOn w:val="1"/>
    <w:next w:val="1"/>
    <w:qFormat/>
    <w:uiPriority w:val="39"/>
    <w:pPr>
      <w:ind w:left="1050"/>
      <w:jc w:val="left"/>
    </w:pPr>
    <w:rPr>
      <w:rFonts w:ascii="Times New Roman" w:hAnsi="Times New Roman"/>
      <w:sz w:val="18"/>
      <w:szCs w:val="18"/>
    </w:rPr>
  </w:style>
  <w:style w:type="paragraph" w:styleId="46">
    <w:name w:val="Body Text Indent 3"/>
    <w:basedOn w:val="1"/>
    <w:link w:val="298"/>
    <w:qFormat/>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qFormat/>
    <w:uiPriority w:val="39"/>
    <w:pPr>
      <w:ind w:left="1680"/>
      <w:jc w:val="left"/>
    </w:pPr>
    <w:rPr>
      <w:rFonts w:ascii="Times New Roman" w:hAnsi="Times New Roman"/>
      <w:sz w:val="18"/>
      <w:szCs w:val="18"/>
    </w:rPr>
  </w:style>
  <w:style w:type="paragraph" w:styleId="50">
    <w:name w:val="Body Text 2"/>
    <w:basedOn w:val="1"/>
    <w:link w:val="379"/>
    <w:uiPriority w:val="0"/>
    <w:pPr>
      <w:widowControl/>
      <w:snapToGrid w:val="0"/>
      <w:spacing w:before="50" w:afterLines="50" w:line="400" w:lineRule="exact"/>
      <w:jc w:val="left"/>
    </w:pPr>
    <w:rPr>
      <w:rFonts w:ascii="宋体" w:hAnsi="宋体"/>
      <w:color w:val="000000"/>
      <w:sz w:val="24"/>
      <w:szCs w:val="24"/>
    </w:rPr>
  </w:style>
  <w:style w:type="paragraph" w:styleId="51">
    <w:name w:val="HTML Preformatted"/>
    <w:basedOn w:val="1"/>
    <w:link w:val="105"/>
    <w:qFormat/>
    <w:uiPriority w:val="0"/>
    <w:rPr>
      <w:rFonts w:ascii="Courier New" w:hAnsi="Courier New"/>
      <w:sz w:val="20"/>
      <w:szCs w:val="20"/>
    </w:rPr>
  </w:style>
  <w:style w:type="paragraph" w:styleId="52">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53">
    <w:name w:val="index 1"/>
    <w:basedOn w:val="1"/>
    <w:next w:val="1"/>
    <w:uiPriority w:val="0"/>
    <w:rPr>
      <w:rFonts w:ascii="Times New Roman" w:hAnsi="Times New Roman"/>
      <w:szCs w:val="20"/>
    </w:rPr>
  </w:style>
  <w:style w:type="paragraph" w:styleId="54">
    <w:name w:val="Title"/>
    <w:basedOn w:val="1"/>
    <w:link w:val="173"/>
    <w:qFormat/>
    <w:uiPriority w:val="0"/>
    <w:pPr>
      <w:spacing w:before="240" w:after="60"/>
      <w:jc w:val="center"/>
      <w:outlineLvl w:val="0"/>
    </w:pPr>
    <w:rPr>
      <w:rFonts w:ascii="Arial" w:hAnsi="Arial"/>
      <w:b/>
      <w:bCs/>
      <w:sz w:val="32"/>
      <w:szCs w:val="32"/>
    </w:rPr>
  </w:style>
  <w:style w:type="paragraph" w:styleId="55">
    <w:name w:val="annotation subject"/>
    <w:basedOn w:val="21"/>
    <w:next w:val="21"/>
    <w:qFormat/>
    <w:uiPriority w:val="99"/>
    <w:rPr>
      <w:b/>
      <w:bCs/>
    </w:rPr>
  </w:style>
  <w:style w:type="paragraph" w:styleId="56">
    <w:name w:val="Body Text First Indent"/>
    <w:basedOn w:val="24"/>
    <w:link w:val="197"/>
    <w:qFormat/>
    <w:uiPriority w:val="0"/>
    <w:pPr>
      <w:ind w:firstLine="420" w:firstLineChars="100"/>
    </w:pPr>
    <w:rPr>
      <w:sz w:val="21"/>
      <w:szCs w:val="22"/>
    </w:rPr>
  </w:style>
  <w:style w:type="paragraph" w:styleId="57">
    <w:name w:val="Body Text First Indent 2"/>
    <w:basedOn w:val="25"/>
    <w:qFormat/>
    <w:uiPriority w:val="0"/>
    <w:pPr>
      <w:spacing w:after="120" w:line="240" w:lineRule="auto"/>
      <w:ind w:left="420" w:leftChars="200" w:firstLine="420" w:firstLineChars="200"/>
    </w:pPr>
    <w:rPr>
      <w:rFonts w:ascii="Times New Roman" w:hAnsi="Times New Roman"/>
      <w:spacing w:val="0"/>
      <w:sz w:val="21"/>
    </w:rPr>
  </w:style>
  <w:style w:type="table" w:styleId="59">
    <w:name w:val="Table Grid"/>
    <w:basedOn w:val="5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0">
    <w:name w:val="Table Simple 1"/>
    <w:basedOn w:val="58"/>
    <w:qFormat/>
    <w:uiPriority w:val="0"/>
    <w:pPr>
      <w:widowControl w:val="0"/>
      <w:jc w:val="both"/>
    </w:pPr>
    <w:rPr>
      <w:rFonts w:ascii="Times New Roman" w:hAnsi="Times New Roman"/>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1">
    <w:name w:val="Table Grid 1"/>
    <w:basedOn w:val="5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2">
    <w:name w:val="Light List Accent 5"/>
    <w:basedOn w:val="58"/>
    <w:qFormat/>
    <w:uiPriority w:val="0"/>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4">
    <w:name w:val="Strong"/>
    <w:qFormat/>
    <w:uiPriority w:val="22"/>
    <w:rPr>
      <w:b/>
      <w:bCs/>
    </w:rPr>
  </w:style>
  <w:style w:type="character" w:styleId="65">
    <w:name w:val="page number"/>
    <w:basedOn w:val="63"/>
    <w:qFormat/>
    <w:uiPriority w:val="0"/>
  </w:style>
  <w:style w:type="character" w:styleId="66">
    <w:name w:val="FollowedHyperlink"/>
    <w:qFormat/>
    <w:uiPriority w:val="0"/>
    <w:rPr>
      <w:color w:val="800080"/>
      <w:u w:val="single"/>
    </w:rPr>
  </w:style>
  <w:style w:type="character" w:styleId="67">
    <w:name w:val="Emphasis"/>
    <w:qFormat/>
    <w:uiPriority w:val="0"/>
    <w:rPr>
      <w:color w:val="CC0033"/>
    </w:rPr>
  </w:style>
  <w:style w:type="character" w:styleId="68">
    <w:name w:val="Hyperlink"/>
    <w:qFormat/>
    <w:uiPriority w:val="99"/>
    <w:rPr>
      <w:color w:val="0000FF"/>
      <w:u w:val="single"/>
    </w:rPr>
  </w:style>
  <w:style w:type="character" w:styleId="69">
    <w:name w:val="annotation reference"/>
    <w:qFormat/>
    <w:uiPriority w:val="99"/>
    <w:rPr>
      <w:sz w:val="21"/>
      <w:szCs w:val="21"/>
    </w:rPr>
  </w:style>
  <w:style w:type="character" w:styleId="70">
    <w:name w:val="footnote reference"/>
    <w:unhideWhenUsed/>
    <w:qFormat/>
    <w:uiPriority w:val="99"/>
    <w:rPr>
      <w:vertAlign w:val="superscript"/>
    </w:rPr>
  </w:style>
  <w:style w:type="character" w:customStyle="1" w:styleId="71">
    <w:name w:val="标题 3 字符"/>
    <w:link w:val="4"/>
    <w:qFormat/>
    <w:uiPriority w:val="0"/>
    <w:rPr>
      <w:rFonts w:ascii="Calibri" w:hAnsi="Calibri" w:eastAsia="宋体"/>
      <w:b/>
      <w:bCs/>
      <w:kern w:val="2"/>
      <w:sz w:val="32"/>
      <w:szCs w:val="32"/>
      <w:lang w:val="en-US" w:eastAsia="zh-CN" w:bidi="ar-SA"/>
    </w:rPr>
  </w:style>
  <w:style w:type="paragraph" w:customStyle="1" w:styleId="72">
    <w:name w:val="样式1"/>
    <w:basedOn w:val="1"/>
    <w:uiPriority w:val="0"/>
    <w:pPr>
      <w:pBdr>
        <w:bottom w:val="single" w:color="auto" w:sz="4" w:space="1"/>
      </w:pBdr>
    </w:pPr>
    <w:rPr>
      <w:rFonts w:ascii="Times New Roman" w:hAnsi="Times New Roman"/>
      <w:szCs w:val="24"/>
    </w:rPr>
  </w:style>
  <w:style w:type="character" w:customStyle="1" w:styleId="73">
    <w:name w:val="ca-8"/>
    <w:basedOn w:val="63"/>
    <w:qFormat/>
    <w:uiPriority w:val="0"/>
  </w:style>
  <w:style w:type="character" w:customStyle="1" w:styleId="74">
    <w:name w:val="题注 字符"/>
    <w:link w:val="18"/>
    <w:qFormat/>
    <w:uiPriority w:val="0"/>
    <w:rPr>
      <w:rFonts w:ascii="Arial" w:hAnsi="Arial" w:eastAsia="黑体" w:cs="Arial"/>
      <w:kern w:val="2"/>
    </w:rPr>
  </w:style>
  <w:style w:type="character" w:customStyle="1" w:styleId="75">
    <w:name w:val="正文2 Char Char"/>
    <w:link w:val="76"/>
    <w:qFormat/>
    <w:uiPriority w:val="0"/>
    <w:rPr>
      <w:rFonts w:ascii="Times New Roman" w:hAnsi="Times New Roman"/>
      <w:kern w:val="2"/>
      <w:sz w:val="24"/>
    </w:rPr>
  </w:style>
  <w:style w:type="paragraph" w:customStyle="1" w:styleId="76">
    <w:name w:val="正文2"/>
    <w:basedOn w:val="1"/>
    <w:link w:val="75"/>
    <w:qFormat/>
    <w:uiPriority w:val="0"/>
    <w:pPr>
      <w:spacing w:before="156" w:line="360" w:lineRule="auto"/>
      <w:ind w:firstLine="510" w:firstLineChars="200"/>
    </w:pPr>
    <w:rPr>
      <w:rFonts w:ascii="Times New Roman" w:hAnsi="Times New Roman"/>
      <w:sz w:val="24"/>
      <w:szCs w:val="20"/>
    </w:rPr>
  </w:style>
  <w:style w:type="character" w:customStyle="1" w:styleId="77">
    <w:name w:val="新昌正文 Char"/>
    <w:link w:val="78"/>
    <w:qFormat/>
    <w:uiPriority w:val="0"/>
    <w:rPr>
      <w:rFonts w:ascii="Times New Roman" w:hAnsi="宋体"/>
      <w:sz w:val="24"/>
      <w:szCs w:val="24"/>
    </w:rPr>
  </w:style>
  <w:style w:type="paragraph" w:customStyle="1" w:styleId="78">
    <w:name w:val="新昌正文"/>
    <w:basedOn w:val="1"/>
    <w:link w:val="77"/>
    <w:qFormat/>
    <w:uiPriority w:val="0"/>
    <w:pPr>
      <w:spacing w:line="360" w:lineRule="auto"/>
      <w:ind w:firstLine="480" w:firstLineChars="200"/>
    </w:pPr>
    <w:rPr>
      <w:rFonts w:ascii="Times New Roman" w:hAnsi="宋体"/>
      <w:kern w:val="0"/>
      <w:sz w:val="24"/>
      <w:szCs w:val="24"/>
    </w:rPr>
  </w:style>
  <w:style w:type="character" w:customStyle="1" w:styleId="79">
    <w:name w:val="样式 首行缩进:  0.85 厘米 Char Char"/>
    <w:qFormat/>
    <w:uiPriority w:val="0"/>
    <w:rPr>
      <w:rFonts w:eastAsia="宋体" w:cs="宋体"/>
      <w:kern w:val="2"/>
      <w:sz w:val="24"/>
      <w:lang w:val="en-US" w:eastAsia="zh-CN" w:bidi="ar-SA"/>
    </w:rPr>
  </w:style>
  <w:style w:type="character" w:customStyle="1" w:styleId="80">
    <w:name w:val="表正文 Char1"/>
    <w:uiPriority w:val="0"/>
    <w:rPr>
      <w:rFonts w:eastAsia="宋体"/>
      <w:kern w:val="2"/>
      <w:sz w:val="24"/>
      <w:lang w:val="en-US" w:eastAsia="zh-CN"/>
    </w:rPr>
  </w:style>
  <w:style w:type="character" w:customStyle="1" w:styleId="81">
    <w:name w:val="标题 6 字符"/>
    <w:link w:val="7"/>
    <w:qFormat/>
    <w:uiPriority w:val="9"/>
    <w:rPr>
      <w:rFonts w:ascii="Arial" w:hAnsi="Arial" w:eastAsia="黑体"/>
      <w:b/>
      <w:bCs/>
      <w:kern w:val="2"/>
      <w:sz w:val="24"/>
      <w:szCs w:val="24"/>
      <w:lang w:val="en-US" w:eastAsia="zh-CN" w:bidi="ar-SA"/>
    </w:rPr>
  </w:style>
  <w:style w:type="character" w:customStyle="1" w:styleId="82">
    <w:name w:val="A C"/>
    <w:uiPriority w:val="0"/>
    <w:rPr>
      <w:rFonts w:ascii="仿宋_GB2312"/>
      <w:bCs/>
      <w:iCs/>
      <w:sz w:val="24"/>
    </w:rPr>
  </w:style>
  <w:style w:type="character" w:customStyle="1" w:styleId="83">
    <w:name w:val="大汉方案正文 Char1"/>
    <w:link w:val="84"/>
    <w:uiPriority w:val="0"/>
    <w:rPr>
      <w:rFonts w:ascii="Arial" w:hAnsi="Arial" w:eastAsia="宋体"/>
      <w:sz w:val="24"/>
      <w:szCs w:val="24"/>
      <w:lang w:bidi="ar-SA"/>
    </w:rPr>
  </w:style>
  <w:style w:type="paragraph" w:customStyle="1" w:styleId="84">
    <w:name w:val="大汉方案正文"/>
    <w:basedOn w:val="1"/>
    <w:link w:val="83"/>
    <w:qFormat/>
    <w:uiPriority w:val="0"/>
    <w:pPr>
      <w:spacing w:line="360" w:lineRule="auto"/>
      <w:ind w:firstLine="200" w:firstLineChars="200"/>
    </w:pPr>
    <w:rPr>
      <w:rFonts w:ascii="Arial" w:hAnsi="Arial"/>
      <w:kern w:val="0"/>
      <w:sz w:val="24"/>
      <w:szCs w:val="24"/>
    </w:rPr>
  </w:style>
  <w:style w:type="character" w:customStyle="1" w:styleId="85">
    <w:name w:val="正 文 1 Char Char"/>
    <w:uiPriority w:val="0"/>
    <w:rPr>
      <w:rFonts w:ascii="宋体" w:hAnsi="Courier New" w:eastAsia="宋体"/>
      <w:kern w:val="2"/>
      <w:sz w:val="21"/>
      <w:lang w:val="en-US" w:eastAsia="zh-CN" w:bidi="ar-SA"/>
    </w:rPr>
  </w:style>
  <w:style w:type="character" w:customStyle="1" w:styleId="86">
    <w:name w:val="Char Char6"/>
    <w:qFormat/>
    <w:uiPriority w:val="0"/>
    <w:rPr>
      <w:rFonts w:ascii="Calibri" w:hAnsi="Calibri" w:eastAsia="宋体"/>
      <w:b/>
      <w:bCs/>
      <w:kern w:val="2"/>
      <w:sz w:val="28"/>
      <w:szCs w:val="28"/>
      <w:lang w:bidi="ar-SA"/>
    </w:rPr>
  </w:style>
  <w:style w:type="character" w:customStyle="1" w:styleId="87">
    <w:name w:val="标题 1 Char1"/>
    <w:qFormat/>
    <w:uiPriority w:val="0"/>
    <w:rPr>
      <w:rFonts w:cs="Times New Roman"/>
      <w:b/>
      <w:bCs/>
      <w:kern w:val="44"/>
      <w:sz w:val="44"/>
      <w:szCs w:val="44"/>
    </w:rPr>
  </w:style>
  <w:style w:type="character" w:customStyle="1" w:styleId="88">
    <w:name w:val="标题 2 Char"/>
    <w:qFormat/>
    <w:uiPriority w:val="9"/>
    <w:rPr>
      <w:rFonts w:ascii="Arial" w:hAnsi="Arial" w:eastAsia="黑体"/>
      <w:b/>
      <w:kern w:val="2"/>
      <w:sz w:val="32"/>
      <w:lang w:val="en-US" w:eastAsia="zh-CN"/>
    </w:rPr>
  </w:style>
  <w:style w:type="character" w:customStyle="1" w:styleId="89">
    <w:name w:val="仙居正文 Char"/>
    <w:link w:val="90"/>
    <w:uiPriority w:val="0"/>
    <w:rPr>
      <w:rFonts w:ascii="宋体" w:hAnsi="宋体"/>
      <w:sz w:val="24"/>
      <w:szCs w:val="24"/>
    </w:rPr>
  </w:style>
  <w:style w:type="paragraph" w:customStyle="1" w:styleId="90">
    <w:name w:val="仙居正文"/>
    <w:basedOn w:val="1"/>
    <w:link w:val="89"/>
    <w:qFormat/>
    <w:uiPriority w:val="0"/>
    <w:pPr>
      <w:spacing w:line="360" w:lineRule="auto"/>
      <w:ind w:firstLine="480" w:firstLineChars="200"/>
    </w:pPr>
    <w:rPr>
      <w:rFonts w:ascii="宋体" w:hAnsi="宋体"/>
      <w:kern w:val="0"/>
      <w:sz w:val="24"/>
      <w:szCs w:val="24"/>
    </w:rPr>
  </w:style>
  <w:style w:type="character" w:customStyle="1" w:styleId="91">
    <w:name w:val="tw4winJump"/>
    <w:qFormat/>
    <w:uiPriority w:val="0"/>
    <w:rPr>
      <w:rFonts w:ascii="Courier New" w:hAnsi="Courier New"/>
      <w:color w:val="008080"/>
    </w:rPr>
  </w:style>
  <w:style w:type="character" w:customStyle="1" w:styleId="92">
    <w:name w:val="unnamed1"/>
    <w:basedOn w:val="63"/>
    <w:qFormat/>
    <w:uiPriority w:val="0"/>
  </w:style>
  <w:style w:type="character" w:customStyle="1" w:styleId="93">
    <w:name w:val="样式(-) Char"/>
    <w:link w:val="94"/>
    <w:locked/>
    <w:uiPriority w:val="0"/>
    <w:rPr>
      <w:rFonts w:ascii="Calibri" w:hAnsi="Calibri" w:cs="Times New Roman"/>
      <w:b/>
      <w:kern w:val="2"/>
      <w:sz w:val="28"/>
      <w:szCs w:val="21"/>
    </w:rPr>
  </w:style>
  <w:style w:type="paragraph" w:customStyle="1" w:styleId="94">
    <w:name w:val="样式(-)"/>
    <w:basedOn w:val="95"/>
    <w:link w:val="93"/>
    <w:qFormat/>
    <w:uiPriority w:val="0"/>
    <w:pPr>
      <w:numPr>
        <w:ilvl w:val="0"/>
        <w:numId w:val="6"/>
      </w:numPr>
      <w:spacing w:line="360" w:lineRule="auto"/>
      <w:ind w:firstLine="0" w:firstLineChars="0"/>
      <w:jc w:val="left"/>
    </w:pPr>
    <w:rPr>
      <w:rFonts w:eastAsia="仿宋"/>
      <w:b/>
      <w:sz w:val="28"/>
      <w:szCs w:val="21"/>
    </w:rPr>
  </w:style>
  <w:style w:type="paragraph" w:customStyle="1" w:styleId="95">
    <w:name w:val="浅色网格 - 强调文字颜色 31"/>
    <w:basedOn w:val="1"/>
    <w:link w:val="153"/>
    <w:qFormat/>
    <w:uiPriority w:val="0"/>
    <w:pPr>
      <w:ind w:firstLine="420" w:firstLineChars="200"/>
    </w:pPr>
    <w:rPr>
      <w:szCs w:val="24"/>
    </w:rPr>
  </w:style>
  <w:style w:type="character" w:customStyle="1" w:styleId="96">
    <w:name w:val="表正文 Char2"/>
    <w:qFormat/>
    <w:uiPriority w:val="0"/>
    <w:rPr>
      <w:rFonts w:eastAsia="宋体"/>
      <w:kern w:val="2"/>
      <w:sz w:val="21"/>
      <w:lang w:val="en-US" w:eastAsia="zh-CN" w:bidi="ar-SA"/>
    </w:rPr>
  </w:style>
  <w:style w:type="character" w:customStyle="1" w:styleId="97">
    <w:name w:val="表格中文字 Char Char"/>
    <w:qFormat/>
    <w:uiPriority w:val="0"/>
    <w:rPr>
      <w:rFonts w:ascii="新宋体" w:hAnsi="新宋体" w:eastAsia="新宋体"/>
      <w:sz w:val="24"/>
      <w:szCs w:val="24"/>
      <w:lang w:bidi="ar-SA"/>
    </w:rPr>
  </w:style>
  <w:style w:type="character" w:customStyle="1" w:styleId="98">
    <w:name w:val="称呼 字符"/>
    <w:link w:val="22"/>
    <w:qFormat/>
    <w:uiPriority w:val="0"/>
    <w:rPr>
      <w:rFonts w:ascii="宋体" w:hAnsi="Times New Roman"/>
      <w:b/>
      <w:kern w:val="2"/>
      <w:sz w:val="28"/>
    </w:rPr>
  </w:style>
  <w:style w:type="character" w:customStyle="1" w:styleId="99">
    <w:name w:val="文档结构图 字符"/>
    <w:link w:val="20"/>
    <w:qFormat/>
    <w:uiPriority w:val="99"/>
    <w:rPr>
      <w:rFonts w:ascii="宋体"/>
      <w:kern w:val="2"/>
      <w:sz w:val="18"/>
      <w:szCs w:val="18"/>
    </w:rPr>
  </w:style>
  <w:style w:type="character" w:customStyle="1" w:styleId="100">
    <w:name w:val="ca-7"/>
    <w:basedOn w:val="63"/>
    <w:qFormat/>
    <w:uiPriority w:val="0"/>
  </w:style>
  <w:style w:type="character" w:customStyle="1" w:styleId="101">
    <w:name w:val="公司一级标题"/>
    <w:qFormat/>
    <w:uiPriority w:val="0"/>
    <w:rPr>
      <w:rFonts w:ascii="黑体" w:hAnsi="黑体" w:eastAsia="黑体"/>
      <w:color w:val="333300"/>
      <w:sz w:val="30"/>
    </w:rPr>
  </w:style>
  <w:style w:type="character" w:customStyle="1" w:styleId="102">
    <w:name w:val="a Char"/>
    <w:link w:val="103"/>
    <w:uiPriority w:val="0"/>
    <w:rPr>
      <w:rFonts w:ascii="宋体" w:hAnsi="宋体" w:eastAsia="仿宋_GB2312"/>
      <w:sz w:val="24"/>
      <w:lang w:val="en-US" w:eastAsia="zh-CN" w:bidi="ar-SA"/>
    </w:rPr>
  </w:style>
  <w:style w:type="paragraph" w:customStyle="1" w:styleId="103">
    <w:name w:val="a"/>
    <w:basedOn w:val="1"/>
    <w:link w:val="102"/>
    <w:qFormat/>
    <w:uiPriority w:val="0"/>
    <w:pPr>
      <w:widowControl/>
      <w:spacing w:before="100" w:beforeAutospacing="1" w:after="100" w:afterAutospacing="1"/>
      <w:jc w:val="left"/>
    </w:pPr>
    <w:rPr>
      <w:rFonts w:ascii="宋体" w:hAnsi="宋体" w:eastAsia="仿宋_GB2312"/>
      <w:kern w:val="0"/>
      <w:sz w:val="24"/>
      <w:szCs w:val="20"/>
    </w:rPr>
  </w:style>
  <w:style w:type="character" w:customStyle="1" w:styleId="104">
    <w:name w:val="headline-content2"/>
    <w:basedOn w:val="63"/>
    <w:qFormat/>
    <w:uiPriority w:val="0"/>
  </w:style>
  <w:style w:type="character" w:customStyle="1" w:styleId="105">
    <w:name w:val="HTML 预设格式 字符"/>
    <w:link w:val="51"/>
    <w:qFormat/>
    <w:uiPriority w:val="0"/>
    <w:rPr>
      <w:rFonts w:ascii="Courier New" w:hAnsi="Courier New" w:cs="Courier New"/>
      <w:kern w:val="2"/>
    </w:rPr>
  </w:style>
  <w:style w:type="character" w:customStyle="1" w:styleId="106">
    <w:name w:val="tw4winTerm"/>
    <w:qFormat/>
    <w:uiPriority w:val="0"/>
    <w:rPr>
      <w:color w:val="0000FF"/>
    </w:rPr>
  </w:style>
  <w:style w:type="character" w:customStyle="1" w:styleId="107">
    <w:name w:val="正文样式_首行缩进2字符 Char"/>
    <w:link w:val="108"/>
    <w:uiPriority w:val="0"/>
    <w:rPr>
      <w:sz w:val="24"/>
      <w:szCs w:val="24"/>
    </w:rPr>
  </w:style>
  <w:style w:type="paragraph" w:customStyle="1" w:styleId="108">
    <w:name w:val="正文样式_首行缩进2字符"/>
    <w:basedOn w:val="1"/>
    <w:link w:val="107"/>
    <w:qFormat/>
    <w:uiPriority w:val="0"/>
    <w:pPr>
      <w:spacing w:line="360" w:lineRule="auto"/>
      <w:ind w:firstLine="480" w:firstLineChars="200"/>
    </w:pPr>
    <w:rPr>
      <w:kern w:val="0"/>
      <w:sz w:val="24"/>
      <w:szCs w:val="24"/>
    </w:rPr>
  </w:style>
  <w:style w:type="character" w:customStyle="1" w:styleId="109">
    <w:name w:val="正文4 Char Char"/>
    <w:qFormat/>
    <w:uiPriority w:val="0"/>
    <w:rPr>
      <w:rFonts w:ascii="Calibri" w:hAnsi="Calibri" w:eastAsia="宋体"/>
      <w:kern w:val="2"/>
      <w:sz w:val="24"/>
      <w:szCs w:val="24"/>
      <w:lang w:bidi="ar-SA"/>
    </w:rPr>
  </w:style>
  <w:style w:type="character" w:customStyle="1" w:styleId="110">
    <w:name w:val="BodyText 2 Char Char"/>
    <w:link w:val="111"/>
    <w:qFormat/>
    <w:uiPriority w:val="0"/>
    <w:rPr>
      <w:snapToGrid w:val="0"/>
      <w:sz w:val="24"/>
    </w:rPr>
  </w:style>
  <w:style w:type="paragraph" w:customStyle="1" w:styleId="111">
    <w:name w:val="BodyText 2"/>
    <w:basedOn w:val="1"/>
    <w:link w:val="110"/>
    <w:qFormat/>
    <w:uiPriority w:val="0"/>
    <w:pPr>
      <w:widowControl/>
      <w:spacing w:before="120"/>
      <w:ind w:left="994"/>
    </w:pPr>
    <w:rPr>
      <w:snapToGrid w:val="0"/>
      <w:kern w:val="0"/>
      <w:sz w:val="24"/>
      <w:szCs w:val="20"/>
    </w:rPr>
  </w:style>
  <w:style w:type="character" w:customStyle="1" w:styleId="112">
    <w:name w:val="tw4winInternal"/>
    <w:qFormat/>
    <w:uiPriority w:val="0"/>
    <w:rPr>
      <w:rFonts w:ascii="Courier New" w:hAnsi="Courier New"/>
      <w:color w:val="FF0000"/>
    </w:rPr>
  </w:style>
  <w:style w:type="character" w:customStyle="1" w:styleId="113">
    <w:name w:val="Z图表 Char"/>
    <w:link w:val="114"/>
    <w:uiPriority w:val="0"/>
    <w:rPr>
      <w:rFonts w:ascii="Times New Roman" w:hAnsi="Times New Roman" w:eastAsia="黑体"/>
      <w:sz w:val="24"/>
      <w:szCs w:val="24"/>
    </w:rPr>
  </w:style>
  <w:style w:type="paragraph" w:customStyle="1" w:styleId="114">
    <w:name w:val="Z图表"/>
    <w:basedOn w:val="18"/>
    <w:link w:val="113"/>
    <w:qFormat/>
    <w:uiPriority w:val="0"/>
    <w:pPr>
      <w:spacing w:beforeLines="50" w:afterLines="50"/>
      <w:jc w:val="center"/>
    </w:pPr>
    <w:rPr>
      <w:rFonts w:ascii="Times New Roman" w:hAnsi="Times New Roman"/>
      <w:kern w:val="0"/>
      <w:sz w:val="24"/>
      <w:szCs w:val="24"/>
    </w:rPr>
  </w:style>
  <w:style w:type="character" w:customStyle="1" w:styleId="115">
    <w:name w:val="标题 8 字符"/>
    <w:link w:val="9"/>
    <w:uiPriority w:val="0"/>
    <w:rPr>
      <w:rFonts w:ascii="Cambria" w:hAnsi="Cambria" w:eastAsia="宋体"/>
      <w:kern w:val="2"/>
      <w:sz w:val="24"/>
      <w:szCs w:val="24"/>
      <w:lang w:val="en-US" w:eastAsia="zh-CN" w:bidi="ar-SA"/>
    </w:rPr>
  </w:style>
  <w:style w:type="character" w:customStyle="1" w:styleId="116">
    <w:name w:val="标题4-dyf Char"/>
    <w:link w:val="117"/>
    <w:uiPriority w:val="0"/>
    <w:rPr>
      <w:rFonts w:ascii="Cambria" w:hAnsi="Cambria" w:eastAsia="宋体"/>
      <w:b/>
      <w:bCs/>
      <w:color w:val="000000"/>
      <w:kern w:val="2"/>
      <w:sz w:val="21"/>
      <w:szCs w:val="21"/>
      <w:lang w:val="en-US" w:eastAsia="zh-CN" w:bidi="ar-SA"/>
    </w:rPr>
  </w:style>
  <w:style w:type="paragraph" w:customStyle="1" w:styleId="117">
    <w:name w:val="标题4-dyf"/>
    <w:basedOn w:val="5"/>
    <w:link w:val="116"/>
    <w:qFormat/>
    <w:uiPriority w:val="0"/>
    <w:pPr>
      <w:tabs>
        <w:tab w:val="left" w:pos="851"/>
      </w:tabs>
      <w:spacing w:line="376" w:lineRule="atLeast"/>
      <w:ind w:left="851" w:hanging="851"/>
    </w:pPr>
    <w:rPr>
      <w:rFonts w:ascii="Cambria" w:hAnsi="Cambria" w:eastAsia="宋体"/>
      <w:color w:val="000000"/>
      <w:sz w:val="21"/>
      <w:szCs w:val="21"/>
    </w:rPr>
  </w:style>
  <w:style w:type="character" w:customStyle="1" w:styleId="118">
    <w:name w:val="无间隔 Char"/>
    <w:link w:val="119"/>
    <w:uiPriority w:val="0"/>
    <w:rPr>
      <w:rFonts w:ascii="Times New Roman" w:hAnsi="Times New Roman" w:eastAsia="Times New Roman"/>
      <w:sz w:val="22"/>
      <w:lang w:val="en-US" w:eastAsia="zh-CN" w:bidi="ar-SA"/>
    </w:rPr>
  </w:style>
  <w:style w:type="paragraph" w:customStyle="1" w:styleId="119">
    <w:name w:val="无间隔1"/>
    <w:link w:val="118"/>
    <w:qFormat/>
    <w:uiPriority w:val="0"/>
    <w:rPr>
      <w:rFonts w:ascii="Times New Roman" w:hAnsi="Times New Roman" w:eastAsia="Times New Roman" w:cs="Times New Roman"/>
      <w:sz w:val="22"/>
      <w:lang w:val="en-US" w:eastAsia="zh-CN" w:bidi="ar-SA"/>
    </w:rPr>
  </w:style>
  <w:style w:type="character" w:customStyle="1" w:styleId="120">
    <w:name w:val="ZJGIS图表 Char"/>
    <w:link w:val="121"/>
    <w:uiPriority w:val="0"/>
    <w:rPr>
      <w:rFonts w:ascii="Times New Roman" w:hAnsi="Times New Roman" w:eastAsia="黑体"/>
      <w:color w:val="000000"/>
      <w:sz w:val="24"/>
      <w:szCs w:val="24"/>
    </w:rPr>
  </w:style>
  <w:style w:type="paragraph" w:customStyle="1" w:styleId="121">
    <w:name w:val="ZJGIS图表"/>
    <w:basedOn w:val="1"/>
    <w:link w:val="120"/>
    <w:qFormat/>
    <w:uiPriority w:val="0"/>
    <w:pPr>
      <w:jc w:val="center"/>
    </w:pPr>
    <w:rPr>
      <w:rFonts w:ascii="Times New Roman" w:hAnsi="Times New Roman" w:eastAsia="黑体"/>
      <w:color w:val="000000"/>
      <w:kern w:val="0"/>
      <w:sz w:val="24"/>
      <w:szCs w:val="24"/>
    </w:rPr>
  </w:style>
  <w:style w:type="character" w:customStyle="1" w:styleId="122">
    <w:name w:val="H1 Char2"/>
    <w:uiPriority w:val="0"/>
    <w:rPr>
      <w:rFonts w:eastAsia="隶书"/>
      <w:b/>
      <w:bCs/>
      <w:sz w:val="36"/>
      <w:szCs w:val="36"/>
      <w:lang w:val="en-US" w:eastAsia="zh-CN" w:bidi="ar-SA"/>
    </w:rPr>
  </w:style>
  <w:style w:type="character" w:customStyle="1" w:styleId="123">
    <w:name w:val="info4"/>
    <w:basedOn w:val="63"/>
    <w:uiPriority w:val="0"/>
  </w:style>
  <w:style w:type="character" w:customStyle="1" w:styleId="124">
    <w:name w:val="content"/>
    <w:basedOn w:val="63"/>
    <w:uiPriority w:val="0"/>
  </w:style>
  <w:style w:type="character" w:customStyle="1" w:styleId="125">
    <w:name w:val="普通文字 Char Char2"/>
    <w:uiPriority w:val="0"/>
    <w:rPr>
      <w:rFonts w:ascii="宋体" w:hAnsi="Courier New" w:eastAsia="宋体"/>
      <w:sz w:val="21"/>
      <w:lang w:val="en-US" w:eastAsia="zh-CN" w:bidi="ar-SA"/>
    </w:rPr>
  </w:style>
  <w:style w:type="character" w:customStyle="1" w:styleId="126">
    <w:name w:val="列表1 Char Char"/>
    <w:link w:val="127"/>
    <w:uiPriority w:val="0"/>
    <w:rPr>
      <w:rFonts w:ascii="Century" w:hAnsi="Century"/>
      <w:kern w:val="2"/>
      <w:sz w:val="21"/>
      <w:szCs w:val="21"/>
    </w:rPr>
  </w:style>
  <w:style w:type="paragraph" w:customStyle="1" w:styleId="127">
    <w:name w:val="列表11"/>
    <w:basedOn w:val="1"/>
    <w:link w:val="126"/>
    <w:uiPriority w:val="0"/>
    <w:pPr>
      <w:tabs>
        <w:tab w:val="left" w:pos="840"/>
      </w:tabs>
      <w:spacing w:line="360" w:lineRule="auto"/>
      <w:ind w:left="840" w:hanging="420"/>
      <w:jc w:val="left"/>
    </w:pPr>
    <w:rPr>
      <w:rFonts w:ascii="Century" w:hAnsi="Century"/>
      <w:szCs w:val="21"/>
    </w:rPr>
  </w:style>
  <w:style w:type="character" w:customStyle="1" w:styleId="128">
    <w:name w:val="标题 7 字符"/>
    <w:link w:val="8"/>
    <w:qFormat/>
    <w:uiPriority w:val="9"/>
    <w:rPr>
      <w:rFonts w:eastAsia="宋体"/>
      <w:b/>
      <w:bCs/>
      <w:kern w:val="2"/>
      <w:sz w:val="24"/>
      <w:szCs w:val="24"/>
      <w:lang w:val="en-US" w:eastAsia="zh-CN" w:bidi="ar-SA"/>
    </w:rPr>
  </w:style>
  <w:style w:type="character" w:customStyle="1" w:styleId="129">
    <w:name w:val="Head 2"/>
    <w:uiPriority w:val="0"/>
    <w:rPr>
      <w:rFonts w:ascii="仿宋_GB2312"/>
      <w:bCs/>
      <w:iCs/>
      <w:sz w:val="24"/>
    </w:rPr>
  </w:style>
  <w:style w:type="character" w:customStyle="1" w:styleId="130">
    <w:name w:val="ZJ正文 Char"/>
    <w:link w:val="131"/>
    <w:uiPriority w:val="0"/>
    <w:rPr>
      <w:rFonts w:ascii="Times New Roman" w:hAnsi="Times New Roman"/>
      <w:sz w:val="24"/>
      <w:szCs w:val="24"/>
    </w:rPr>
  </w:style>
  <w:style w:type="paragraph" w:customStyle="1" w:styleId="131">
    <w:name w:val="ZJ正文"/>
    <w:basedOn w:val="1"/>
    <w:link w:val="130"/>
    <w:qFormat/>
    <w:uiPriority w:val="0"/>
    <w:pPr>
      <w:spacing w:line="360" w:lineRule="auto"/>
      <w:ind w:firstLine="480" w:firstLineChars="200"/>
    </w:pPr>
    <w:rPr>
      <w:rFonts w:ascii="Times New Roman" w:hAnsi="Times New Roman"/>
      <w:kern w:val="0"/>
      <w:sz w:val="24"/>
      <w:szCs w:val="24"/>
    </w:rPr>
  </w:style>
  <w:style w:type="character" w:customStyle="1" w:styleId="132">
    <w:name w:val="t_tag"/>
    <w:basedOn w:val="63"/>
    <w:uiPriority w:val="0"/>
  </w:style>
  <w:style w:type="character" w:customStyle="1" w:styleId="133">
    <w:name w:val="p71"/>
    <w:uiPriority w:val="0"/>
    <w:rPr>
      <w:sz w:val="21"/>
    </w:rPr>
  </w:style>
  <w:style w:type="character" w:customStyle="1" w:styleId="134">
    <w:name w:val="文档结构图 Char1"/>
    <w:uiPriority w:val="0"/>
    <w:rPr>
      <w:rFonts w:ascii="宋体" w:hAnsi="Courier New" w:eastAsia="宋体"/>
      <w:sz w:val="21"/>
      <w:lang w:val="en-US" w:eastAsia="zh-CN" w:bidi="ar-SA"/>
    </w:rPr>
  </w:style>
  <w:style w:type="character" w:customStyle="1" w:styleId="135">
    <w:name w:val="样式 小四"/>
    <w:uiPriority w:val="0"/>
    <w:rPr>
      <w:sz w:val="21"/>
    </w:rPr>
  </w:style>
  <w:style w:type="character" w:customStyle="1" w:styleId="136">
    <w:name w:val="页眉 Char Char"/>
    <w:qFormat/>
    <w:uiPriority w:val="0"/>
    <w:rPr>
      <w:kern w:val="2"/>
      <w:sz w:val="18"/>
      <w:szCs w:val="18"/>
      <w:lang w:bidi="ar-SA"/>
    </w:rPr>
  </w:style>
  <w:style w:type="character" w:customStyle="1" w:styleId="137">
    <w:name w:val="font9_black_line14"/>
    <w:basedOn w:val="63"/>
    <w:uiPriority w:val="0"/>
  </w:style>
  <w:style w:type="character" w:customStyle="1" w:styleId="138">
    <w:name w:val="粘贴正文 Char"/>
    <w:link w:val="139"/>
    <w:uiPriority w:val="0"/>
    <w:rPr>
      <w:rFonts w:ascii="Times New Roman" w:hAnsi="Times New Roman"/>
      <w:kern w:val="2"/>
      <w:sz w:val="24"/>
      <w:szCs w:val="21"/>
      <w:lang w:val="en-US" w:eastAsia="zh-CN" w:bidi="ar-SA"/>
    </w:rPr>
  </w:style>
  <w:style w:type="paragraph" w:customStyle="1" w:styleId="139">
    <w:name w:val="粘贴正文"/>
    <w:link w:val="138"/>
    <w:qFormat/>
    <w:uiPriority w:val="0"/>
    <w:pPr>
      <w:spacing w:line="360" w:lineRule="auto"/>
      <w:ind w:right="210" w:firstLine="480"/>
      <w:jc w:val="both"/>
    </w:pPr>
    <w:rPr>
      <w:rFonts w:ascii="Times New Roman" w:hAnsi="Times New Roman" w:eastAsia="宋体" w:cs="Times New Roman"/>
      <w:kern w:val="2"/>
      <w:sz w:val="24"/>
      <w:szCs w:val="21"/>
      <w:lang w:val="en-US" w:eastAsia="zh-CN" w:bidi="ar-SA"/>
    </w:rPr>
  </w:style>
  <w:style w:type="character" w:customStyle="1" w:styleId="140">
    <w:name w:val="tpc_content1"/>
    <w:uiPriority w:val="0"/>
    <w:rPr>
      <w:sz w:val="20"/>
      <w:szCs w:val="20"/>
    </w:rPr>
  </w:style>
  <w:style w:type="character" w:customStyle="1" w:styleId="141">
    <w:name w:val="Char Char7"/>
    <w:uiPriority w:val="0"/>
    <w:rPr>
      <w:rFonts w:eastAsia="宋体"/>
      <w:b/>
      <w:kern w:val="2"/>
      <w:sz w:val="32"/>
      <w:lang w:bidi="ar-SA"/>
    </w:rPr>
  </w:style>
  <w:style w:type="character" w:customStyle="1" w:styleId="142">
    <w:name w:val="Heading 2 Char"/>
    <w:uiPriority w:val="0"/>
    <w:rPr>
      <w:rFonts w:ascii="Cambria" w:hAnsi="Cambria" w:eastAsia="宋体" w:cs="Cambria"/>
      <w:b/>
      <w:bCs/>
      <w:sz w:val="32"/>
      <w:szCs w:val="32"/>
      <w:lang w:val="en-US" w:eastAsia="zh-CN" w:bidi="ar-SA"/>
    </w:rPr>
  </w:style>
  <w:style w:type="character" w:customStyle="1" w:styleId="143">
    <w:name w:val="maywed421"/>
    <w:uiPriority w:val="0"/>
    <w:rPr>
      <w:color w:val="366FB6"/>
      <w:u w:val="none"/>
    </w:rPr>
  </w:style>
  <w:style w:type="character" w:customStyle="1" w:styleId="144">
    <w:name w:val="表格抬头 Char"/>
    <w:link w:val="145"/>
    <w:locked/>
    <w:uiPriority w:val="0"/>
    <w:rPr>
      <w:rFonts w:ascii="黑体" w:eastAsia="黑体"/>
      <w:b/>
      <w:kern w:val="2"/>
      <w:sz w:val="21"/>
    </w:rPr>
  </w:style>
  <w:style w:type="paragraph" w:customStyle="1" w:styleId="145">
    <w:name w:val="表格抬头"/>
    <w:basedOn w:val="1"/>
    <w:link w:val="144"/>
    <w:uiPriority w:val="0"/>
    <w:pPr>
      <w:jc w:val="center"/>
    </w:pPr>
    <w:rPr>
      <w:rFonts w:ascii="黑体" w:eastAsia="黑体"/>
      <w:b/>
      <w:szCs w:val="20"/>
    </w:rPr>
  </w:style>
  <w:style w:type="character" w:customStyle="1" w:styleId="146">
    <w:name w:val="greyfont1"/>
    <w:uiPriority w:val="0"/>
    <w:rPr>
      <w:b/>
      <w:bCs/>
      <w:color w:val="666666"/>
    </w:rPr>
  </w:style>
  <w:style w:type="character" w:customStyle="1" w:styleId="147">
    <w:name w:val="pt91"/>
    <w:uiPriority w:val="0"/>
    <w:rPr>
      <w:rFonts w:hint="default"/>
      <w:spacing w:val="240"/>
      <w:sz w:val="18"/>
      <w:szCs w:val="18"/>
    </w:rPr>
  </w:style>
  <w:style w:type="character" w:customStyle="1" w:styleId="148">
    <w:name w:val="title14"/>
    <w:basedOn w:val="63"/>
    <w:uiPriority w:val="0"/>
  </w:style>
  <w:style w:type="character" w:customStyle="1" w:styleId="149">
    <w:name w:val="样式41"/>
    <w:uiPriority w:val="0"/>
    <w:rPr>
      <w:color w:val="3366CC"/>
      <w:sz w:val="21"/>
      <w:szCs w:val="21"/>
    </w:rPr>
  </w:style>
  <w:style w:type="character" w:customStyle="1" w:styleId="150">
    <w:name w:val="正文s Char"/>
    <w:link w:val="151"/>
    <w:uiPriority w:val="0"/>
    <w:rPr>
      <w:rFonts w:ascii="Arial" w:hAnsi="Arial"/>
    </w:rPr>
  </w:style>
  <w:style w:type="paragraph" w:customStyle="1" w:styleId="151">
    <w:name w:val="正文s"/>
    <w:basedOn w:val="1"/>
    <w:link w:val="150"/>
    <w:uiPriority w:val="0"/>
    <w:pPr>
      <w:spacing w:beforeLines="50" w:line="360" w:lineRule="exact"/>
      <w:ind w:left="420"/>
    </w:pPr>
    <w:rPr>
      <w:rFonts w:ascii="Arial" w:hAnsi="Arial"/>
      <w:kern w:val="0"/>
      <w:sz w:val="20"/>
      <w:szCs w:val="20"/>
    </w:rPr>
  </w:style>
  <w:style w:type="character" w:customStyle="1" w:styleId="152">
    <w:name w:val="标题 9 字符"/>
    <w:link w:val="10"/>
    <w:uiPriority w:val="0"/>
    <w:rPr>
      <w:rFonts w:ascii="Cambria" w:hAnsi="Cambria" w:eastAsia="宋体"/>
      <w:kern w:val="2"/>
      <w:sz w:val="21"/>
      <w:szCs w:val="21"/>
      <w:lang w:val="en-US" w:eastAsia="zh-CN" w:bidi="ar-SA"/>
    </w:rPr>
  </w:style>
  <w:style w:type="character" w:customStyle="1" w:styleId="153">
    <w:name w:val="浅色网格 - 强调文字颜色 3 Char1"/>
    <w:link w:val="95"/>
    <w:uiPriority w:val="0"/>
    <w:rPr>
      <w:rFonts w:eastAsia="宋体"/>
      <w:kern w:val="2"/>
      <w:sz w:val="21"/>
      <w:szCs w:val="24"/>
      <w:lang w:val="en-US" w:eastAsia="zh-CN" w:bidi="ar-SA"/>
    </w:rPr>
  </w:style>
  <w:style w:type="character" w:customStyle="1" w:styleId="154">
    <w:name w:val="b11_01b Char"/>
    <w:link w:val="155"/>
    <w:uiPriority w:val="0"/>
    <w:rPr>
      <w:rFonts w:ascii="Verdana" w:hAnsi="Verdana" w:eastAsia="宋体"/>
      <w:b/>
      <w:bCs/>
      <w:color w:val="4A82CA"/>
      <w:sz w:val="17"/>
      <w:szCs w:val="17"/>
      <w:lang w:val="en-US" w:eastAsia="zh-CN" w:bidi="ar-SA"/>
    </w:rPr>
  </w:style>
  <w:style w:type="paragraph" w:customStyle="1" w:styleId="155">
    <w:name w:val="b11_01b"/>
    <w:basedOn w:val="1"/>
    <w:next w:val="1"/>
    <w:link w:val="154"/>
    <w:uiPriority w:val="0"/>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156">
    <w:name w:val="列表段落 字符"/>
    <w:link w:val="157"/>
    <w:qFormat/>
    <w:uiPriority w:val="99"/>
    <w:rPr>
      <w:kern w:val="2"/>
      <w:sz w:val="21"/>
      <w:szCs w:val="22"/>
    </w:rPr>
  </w:style>
  <w:style w:type="paragraph" w:styleId="157">
    <w:name w:val="List Paragraph"/>
    <w:basedOn w:val="1"/>
    <w:link w:val="156"/>
    <w:qFormat/>
    <w:uiPriority w:val="99"/>
    <w:pPr>
      <w:ind w:firstLine="420" w:firstLineChars="200"/>
    </w:pPr>
  </w:style>
  <w:style w:type="character" w:customStyle="1" w:styleId="158">
    <w:name w:val="para"/>
    <w:basedOn w:val="63"/>
    <w:uiPriority w:val="0"/>
  </w:style>
  <w:style w:type="character" w:customStyle="1" w:styleId="159">
    <w:name w:val="文档正文1 Char Char"/>
    <w:uiPriority w:val="0"/>
    <w:rPr>
      <w:rFonts w:ascii="仿宋_GB2312" w:hAnsi="仿宋" w:eastAsia="仿宋_GB2312"/>
      <w:kern w:val="2"/>
      <w:sz w:val="30"/>
      <w:szCs w:val="30"/>
      <w:lang w:bidi="ar-SA"/>
    </w:rPr>
  </w:style>
  <w:style w:type="character" w:customStyle="1" w:styleId="160">
    <w:name w:val="脚注文本 字符"/>
    <w:link w:val="44"/>
    <w:uiPriority w:val="99"/>
    <w:rPr>
      <w:kern w:val="2"/>
      <w:sz w:val="18"/>
      <w:szCs w:val="18"/>
    </w:rPr>
  </w:style>
  <w:style w:type="character" w:customStyle="1" w:styleId="161">
    <w:name w:val="加重文字 Char"/>
    <w:link w:val="162"/>
    <w:locked/>
    <w:uiPriority w:val="0"/>
    <w:rPr>
      <w:b/>
      <w:bCs/>
      <w:kern w:val="2"/>
      <w:sz w:val="24"/>
      <w:szCs w:val="24"/>
      <w:u w:val="thick"/>
    </w:rPr>
  </w:style>
  <w:style w:type="paragraph" w:customStyle="1" w:styleId="162">
    <w:name w:val="加重文字"/>
    <w:basedOn w:val="163"/>
    <w:link w:val="161"/>
    <w:uiPriority w:val="0"/>
    <w:pPr>
      <w:ind w:firstLine="0" w:firstLineChars="0"/>
    </w:pPr>
    <w:rPr>
      <w:b/>
      <w:bCs/>
      <w:u w:val="thick"/>
    </w:rPr>
  </w:style>
  <w:style w:type="paragraph" w:customStyle="1" w:styleId="163">
    <w:name w:val="标准文本"/>
    <w:basedOn w:val="1"/>
    <w:link w:val="178"/>
    <w:qFormat/>
    <w:uiPriority w:val="0"/>
    <w:pPr>
      <w:spacing w:line="360" w:lineRule="auto"/>
      <w:ind w:firstLine="480" w:firstLineChars="200"/>
    </w:pPr>
    <w:rPr>
      <w:sz w:val="24"/>
      <w:szCs w:val="24"/>
    </w:rPr>
  </w:style>
  <w:style w:type="character" w:customStyle="1" w:styleId="164">
    <w:name w:val="H1 Char3"/>
    <w:uiPriority w:val="0"/>
    <w:rPr>
      <w:rFonts w:eastAsia="隶书"/>
      <w:b/>
      <w:bCs/>
      <w:sz w:val="36"/>
      <w:szCs w:val="36"/>
      <w:lang w:val="en-US" w:eastAsia="zh-CN" w:bidi="ar-SA"/>
    </w:rPr>
  </w:style>
  <w:style w:type="character" w:customStyle="1" w:styleId="165">
    <w:name w:val="尾注文本 字符"/>
    <w:link w:val="36"/>
    <w:uiPriority w:val="0"/>
    <w:rPr>
      <w:rFonts w:ascii="宋体" w:hAnsi="Calibri" w:eastAsia="宋体" w:cs="Times New Roman"/>
      <w:snapToGrid w:val="0"/>
      <w:sz w:val="21"/>
    </w:rPr>
  </w:style>
  <w:style w:type="character" w:customStyle="1" w:styleId="166">
    <w:name w:val="style181"/>
    <w:uiPriority w:val="0"/>
    <w:rPr>
      <w:rFonts w:hint="default" w:ascii="Arial" w:hAnsi="Arial" w:cs="Arial"/>
      <w:color w:val="000000"/>
      <w:sz w:val="18"/>
      <w:szCs w:val="18"/>
    </w:rPr>
  </w:style>
  <w:style w:type="character" w:customStyle="1" w:styleId="167">
    <w:name w:val="吉奥正文 Char2"/>
    <w:link w:val="168"/>
    <w:qFormat/>
    <w:uiPriority w:val="0"/>
    <w:rPr>
      <w:rFonts w:ascii="Times New Roman" w:hAnsi="Times New Roman" w:eastAsia="仿宋_GB2312"/>
      <w:sz w:val="24"/>
    </w:rPr>
  </w:style>
  <w:style w:type="paragraph" w:customStyle="1" w:styleId="168">
    <w:name w:val="吉奥正文"/>
    <w:basedOn w:val="1"/>
    <w:link w:val="167"/>
    <w:qFormat/>
    <w:uiPriority w:val="0"/>
    <w:pPr>
      <w:adjustRightInd w:val="0"/>
      <w:snapToGrid w:val="0"/>
      <w:spacing w:before="120" w:line="360" w:lineRule="auto"/>
      <w:ind w:firstLine="480" w:firstLineChars="200"/>
      <w:textAlignment w:val="baseline"/>
    </w:pPr>
    <w:rPr>
      <w:rFonts w:ascii="Times New Roman" w:hAnsi="Times New Roman" w:eastAsia="仿宋_GB2312"/>
      <w:kern w:val="0"/>
      <w:sz w:val="24"/>
      <w:szCs w:val="20"/>
    </w:rPr>
  </w:style>
  <w:style w:type="character" w:customStyle="1" w:styleId="169">
    <w:name w:val="flname7"/>
    <w:basedOn w:val="63"/>
    <w:qFormat/>
    <w:uiPriority w:val="0"/>
  </w:style>
  <w:style w:type="character" w:customStyle="1" w:styleId="170">
    <w:name w:val="header odd Char Char1"/>
    <w:uiPriority w:val="0"/>
    <w:rPr>
      <w:rFonts w:eastAsia="宋体"/>
      <w:kern w:val="2"/>
      <w:sz w:val="18"/>
      <w:szCs w:val="18"/>
      <w:lang w:val="en-US" w:eastAsia="zh-CN" w:bidi="ar-SA"/>
    </w:rPr>
  </w:style>
  <w:style w:type="character" w:customStyle="1" w:styleId="171">
    <w:name w:val="一级标题 Char Char"/>
    <w:uiPriority w:val="0"/>
    <w:rPr>
      <w:rFonts w:eastAsia="仿宋"/>
      <w:b/>
      <w:kern w:val="44"/>
      <w:sz w:val="28"/>
      <w:lang w:val="en-US" w:eastAsia="zh-CN" w:bidi="ar-SA"/>
    </w:rPr>
  </w:style>
  <w:style w:type="character" w:customStyle="1" w:styleId="172">
    <w:name w:val="Char Char12"/>
    <w:uiPriority w:val="0"/>
    <w:rPr>
      <w:rFonts w:ascii="宋体" w:hAnsi="Courier New" w:eastAsia="宋体" w:cs="Times New Roman"/>
      <w:spacing w:val="-4"/>
      <w:sz w:val="18"/>
      <w:szCs w:val="20"/>
    </w:rPr>
  </w:style>
  <w:style w:type="character" w:customStyle="1" w:styleId="173">
    <w:name w:val="标题 字符"/>
    <w:link w:val="54"/>
    <w:uiPriority w:val="0"/>
    <w:rPr>
      <w:rFonts w:ascii="Arial" w:hAnsi="Arial" w:cs="Arial"/>
      <w:b/>
      <w:bCs/>
      <w:kern w:val="2"/>
      <w:sz w:val="32"/>
      <w:szCs w:val="32"/>
    </w:rPr>
  </w:style>
  <w:style w:type="character" w:customStyle="1" w:styleId="174">
    <w:name w:val="标题 5 字符"/>
    <w:link w:val="6"/>
    <w:qFormat/>
    <w:uiPriority w:val="9"/>
    <w:rPr>
      <w:rFonts w:eastAsia="宋体"/>
      <w:b/>
      <w:bCs/>
      <w:kern w:val="2"/>
      <w:sz w:val="28"/>
      <w:szCs w:val="28"/>
      <w:lang w:bidi="ar-SA"/>
    </w:rPr>
  </w:style>
  <w:style w:type="character" w:customStyle="1" w:styleId="175">
    <w:name w:val="huide001"/>
    <w:uiPriority w:val="0"/>
    <w:rPr>
      <w:rFonts w:hint="default" w:ascii="Arial" w:hAnsi="Arial" w:cs="Arial"/>
      <w:color w:val="666666"/>
      <w:sz w:val="18"/>
      <w:szCs w:val="18"/>
    </w:rPr>
  </w:style>
  <w:style w:type="character" w:customStyle="1" w:styleId="176">
    <w:name w:val="Title Char"/>
    <w:uiPriority w:val="0"/>
    <w:rPr>
      <w:rFonts w:ascii="Cambria" w:hAnsi="Cambria" w:eastAsia="宋体" w:cs="Cambria"/>
      <w:b/>
      <w:bCs/>
      <w:sz w:val="32"/>
      <w:szCs w:val="32"/>
      <w:lang w:val="en-US" w:eastAsia="zh-CN" w:bidi="ar-SA"/>
    </w:rPr>
  </w:style>
  <w:style w:type="character" w:customStyle="1" w:styleId="177">
    <w:name w:val="text_show1"/>
    <w:uiPriority w:val="0"/>
    <w:rPr>
      <w:color w:val="000000"/>
      <w:sz w:val="21"/>
      <w:szCs w:val="21"/>
      <w:u w:val="none"/>
    </w:rPr>
  </w:style>
  <w:style w:type="character" w:customStyle="1" w:styleId="178">
    <w:name w:val="标准文本 Char"/>
    <w:link w:val="163"/>
    <w:locked/>
    <w:uiPriority w:val="0"/>
    <w:rPr>
      <w:kern w:val="2"/>
      <w:sz w:val="24"/>
      <w:szCs w:val="24"/>
    </w:rPr>
  </w:style>
  <w:style w:type="character" w:customStyle="1" w:styleId="179">
    <w:name w:val="Char Char4"/>
    <w:uiPriority w:val="0"/>
    <w:rPr>
      <w:rFonts w:ascii="Calibri" w:hAnsi="Calibri" w:eastAsia="宋体"/>
      <w:sz w:val="18"/>
      <w:szCs w:val="18"/>
      <w:lang w:bidi="ar-SA"/>
    </w:rPr>
  </w:style>
  <w:style w:type="character" w:customStyle="1" w:styleId="180">
    <w:name w:val="Char Char141"/>
    <w:uiPriority w:val="0"/>
    <w:rPr>
      <w:rFonts w:ascii="楷体_GB2312" w:eastAsia="楷体_GB2312"/>
      <w:kern w:val="2"/>
      <w:sz w:val="32"/>
      <w:lang w:val="en-US" w:eastAsia="zh-CN" w:bidi="ar-SA"/>
    </w:rPr>
  </w:style>
  <w:style w:type="character" w:customStyle="1" w:styleId="181">
    <w:name w:val="Header Char"/>
    <w:semiHidden/>
    <w:locked/>
    <w:uiPriority w:val="0"/>
    <w:rPr>
      <w:rFonts w:ascii="Times New Roman" w:hAnsi="Times New Roman" w:eastAsia="宋体" w:cs="Times New Roman"/>
      <w:sz w:val="18"/>
      <w:szCs w:val="18"/>
    </w:rPr>
  </w:style>
  <w:style w:type="character" w:customStyle="1" w:styleId="182">
    <w:name w:val="p21"/>
    <w:uiPriority w:val="0"/>
    <w:rPr>
      <w:rFonts w:hint="default" w:ascii="Arial" w:hAnsi="Arial"/>
      <w:color w:val="333333"/>
      <w:sz w:val="18"/>
      <w:u w:val="none"/>
    </w:rPr>
  </w:style>
  <w:style w:type="character" w:customStyle="1" w:styleId="183">
    <w:name w:val="Footer Char"/>
    <w:semiHidden/>
    <w:locked/>
    <w:uiPriority w:val="0"/>
    <w:rPr>
      <w:rFonts w:ascii="Times New Roman" w:hAnsi="Times New Roman" w:eastAsia="宋体" w:cs="Times New Roman"/>
      <w:sz w:val="18"/>
      <w:szCs w:val="18"/>
    </w:rPr>
  </w:style>
  <w:style w:type="character" w:customStyle="1" w:styleId="184">
    <w:name w:val="Normal Indent Char Char"/>
    <w:uiPriority w:val="0"/>
    <w:rPr>
      <w:rFonts w:eastAsia="宋体"/>
      <w:kern w:val="2"/>
      <w:sz w:val="21"/>
      <w:szCs w:val="24"/>
      <w:lang w:val="en-US" w:eastAsia="zh-CN" w:bidi="ar-SA"/>
    </w:rPr>
  </w:style>
  <w:style w:type="character" w:customStyle="1" w:styleId="185">
    <w:name w:val="Char Char8"/>
    <w:uiPriority w:val="0"/>
    <w:rPr>
      <w:rFonts w:ascii="Arial" w:hAnsi="Arial" w:eastAsia="黑体"/>
      <w:b/>
      <w:bCs/>
      <w:kern w:val="2"/>
      <w:sz w:val="32"/>
      <w:szCs w:val="32"/>
      <w:lang w:val="en-US" w:eastAsia="zh-CN" w:bidi="ar-SA"/>
    </w:rPr>
  </w:style>
  <w:style w:type="character" w:customStyle="1" w:styleId="186">
    <w:name w:val="List Paragraph Char"/>
    <w:link w:val="187"/>
    <w:locked/>
    <w:uiPriority w:val="0"/>
    <w:rPr>
      <w:rFonts w:ascii="Times New Roman" w:hAnsi="Times New Roman"/>
      <w:kern w:val="2"/>
      <w:sz w:val="21"/>
      <w:szCs w:val="24"/>
    </w:rPr>
  </w:style>
  <w:style w:type="paragraph" w:customStyle="1" w:styleId="187">
    <w:name w:val="列出段落1"/>
    <w:basedOn w:val="1"/>
    <w:link w:val="186"/>
    <w:qFormat/>
    <w:uiPriority w:val="0"/>
    <w:pPr>
      <w:ind w:firstLine="420" w:firstLineChars="200"/>
    </w:pPr>
    <w:rPr>
      <w:rFonts w:ascii="Times New Roman" w:hAnsi="Times New Roman"/>
      <w:szCs w:val="24"/>
    </w:rPr>
  </w:style>
  <w:style w:type="character" w:customStyle="1" w:styleId="188">
    <w:name w:val="Balloon Text Char"/>
    <w:semiHidden/>
    <w:locked/>
    <w:uiPriority w:val="0"/>
    <w:rPr>
      <w:rFonts w:ascii="Times New Roman" w:hAnsi="Times New Roman" w:eastAsia="宋体" w:cs="Times New Roman"/>
      <w:sz w:val="18"/>
      <w:szCs w:val="18"/>
    </w:rPr>
  </w:style>
  <w:style w:type="character" w:customStyle="1" w:styleId="189">
    <w:name w:val="书籍标题1"/>
    <w:qFormat/>
    <w:uiPriority w:val="33"/>
    <w:rPr>
      <w:b/>
      <w:bCs/>
      <w:smallCaps/>
      <w:spacing w:val="5"/>
    </w:rPr>
  </w:style>
  <w:style w:type="character" w:customStyle="1" w:styleId="190">
    <w:name w:val="标题 1 字符"/>
    <w:link w:val="2"/>
    <w:uiPriority w:val="9"/>
    <w:rPr>
      <w:rFonts w:eastAsia="隶书"/>
      <w:b/>
      <w:bCs/>
      <w:sz w:val="36"/>
      <w:szCs w:val="36"/>
      <w:lang w:val="en-US" w:eastAsia="zh-CN" w:bidi="ar-SA"/>
    </w:rPr>
  </w:style>
  <w:style w:type="character" w:customStyle="1" w:styleId="191">
    <w:name w:val="tw4winMark"/>
    <w:uiPriority w:val="0"/>
    <w:rPr>
      <w:rFonts w:ascii="Courier New" w:hAnsi="Courier New"/>
      <w:vanish/>
      <w:color w:val="800080"/>
      <w:vertAlign w:val="subscript"/>
    </w:rPr>
  </w:style>
  <w:style w:type="character" w:customStyle="1" w:styleId="192">
    <w:name w:val="Item List in Table Char Char"/>
    <w:link w:val="193"/>
    <w:locked/>
    <w:uiPriority w:val="0"/>
    <w:rPr>
      <w:rFonts w:ascii="Arial" w:hAnsi="Arial" w:eastAsia="宋体" w:cs="Times New Roman"/>
      <w:sz w:val="18"/>
      <w:szCs w:val="18"/>
    </w:rPr>
  </w:style>
  <w:style w:type="paragraph" w:customStyle="1" w:styleId="193">
    <w:name w:val="Item List in Table"/>
    <w:link w:val="192"/>
    <w:uiPriority w:val="0"/>
    <w:pPr>
      <w:numPr>
        <w:ilvl w:val="0"/>
        <w:numId w:val="7"/>
      </w:numPr>
      <w:spacing w:before="40" w:after="40"/>
      <w:jc w:val="both"/>
    </w:pPr>
    <w:rPr>
      <w:rFonts w:ascii="Arial" w:hAnsi="Arial" w:eastAsia="宋体" w:cs="Times New Roman"/>
      <w:sz w:val="18"/>
      <w:szCs w:val="18"/>
      <w:lang w:val="en-US" w:eastAsia="zh-CN" w:bidi="ar-SA"/>
    </w:rPr>
  </w:style>
  <w:style w:type="character" w:customStyle="1" w:styleId="194">
    <w:name w:val="Char Char2"/>
    <w:uiPriority w:val="0"/>
    <w:rPr>
      <w:rFonts w:ascii="宋体" w:hAnsi="Courier New" w:eastAsia="宋体"/>
      <w:sz w:val="21"/>
      <w:lang w:val="en-US" w:eastAsia="zh-CN" w:bidi="ar-SA"/>
    </w:rPr>
  </w:style>
  <w:style w:type="character" w:customStyle="1" w:styleId="195">
    <w:name w:val="正文文本 字符"/>
    <w:link w:val="24"/>
    <w:qFormat/>
    <w:uiPriority w:val="0"/>
    <w:rPr>
      <w:rFonts w:eastAsia="宋体"/>
      <w:kern w:val="2"/>
      <w:sz w:val="28"/>
      <w:szCs w:val="24"/>
      <w:lang w:val="en-US" w:eastAsia="zh-CN" w:bidi="ar-SA"/>
    </w:rPr>
  </w:style>
  <w:style w:type="character" w:customStyle="1" w:styleId="196">
    <w:name w:val="paragraph1 Char Char"/>
    <w:uiPriority w:val="0"/>
    <w:rPr>
      <w:rFonts w:eastAsia="楷体_GB2312"/>
      <w:kern w:val="2"/>
      <w:sz w:val="24"/>
      <w:lang w:val="en-US" w:eastAsia="zh-CN" w:bidi="ar-SA"/>
    </w:rPr>
  </w:style>
  <w:style w:type="character" w:customStyle="1" w:styleId="197">
    <w:name w:val="正文文本首行缩进 字符"/>
    <w:link w:val="56"/>
    <w:uiPriority w:val="0"/>
    <w:rPr>
      <w:rFonts w:ascii="Calibri" w:hAnsi="Calibri" w:eastAsia="宋体"/>
      <w:kern w:val="2"/>
      <w:sz w:val="21"/>
      <w:szCs w:val="22"/>
      <w:lang w:val="en-US" w:eastAsia="zh-CN" w:bidi="ar-SA"/>
    </w:rPr>
  </w:style>
  <w:style w:type="character" w:customStyle="1" w:styleId="198">
    <w:name w:val="grame"/>
    <w:basedOn w:val="63"/>
    <w:uiPriority w:val="0"/>
  </w:style>
  <w:style w:type="character" w:customStyle="1" w:styleId="199">
    <w:name w:val="Char Char5"/>
    <w:uiPriority w:val="0"/>
    <w:rPr>
      <w:rFonts w:ascii="Calibri" w:hAnsi="Calibri" w:eastAsia="宋体"/>
      <w:sz w:val="18"/>
      <w:szCs w:val="18"/>
      <w:lang w:bidi="ar-SA"/>
    </w:rPr>
  </w:style>
  <w:style w:type="character" w:customStyle="1" w:styleId="200">
    <w:name w:val="fontdz1"/>
    <w:uiPriority w:val="0"/>
    <w:rPr>
      <w:sz w:val="18"/>
      <w:szCs w:val="18"/>
    </w:rPr>
  </w:style>
  <w:style w:type="character" w:customStyle="1" w:styleId="201">
    <w:name w:val="自定义正文 Char"/>
    <w:link w:val="202"/>
    <w:uiPriority w:val="0"/>
    <w:rPr>
      <w:rFonts w:ascii="仿宋_GB2312" w:eastAsia="仿宋_GB2312"/>
      <w:kern w:val="2"/>
      <w:sz w:val="28"/>
      <w:szCs w:val="24"/>
    </w:rPr>
  </w:style>
  <w:style w:type="paragraph" w:customStyle="1" w:styleId="202">
    <w:name w:val="自定义正文"/>
    <w:basedOn w:val="1"/>
    <w:link w:val="201"/>
    <w:uiPriority w:val="0"/>
    <w:pPr>
      <w:spacing w:before="120" w:after="120" w:line="480" w:lineRule="exact"/>
      <w:ind w:firstLine="200" w:firstLineChars="200"/>
      <w:jc w:val="left"/>
    </w:pPr>
    <w:rPr>
      <w:rFonts w:ascii="仿宋_GB2312" w:eastAsia="仿宋_GB2312"/>
      <w:sz w:val="28"/>
      <w:szCs w:val="24"/>
    </w:rPr>
  </w:style>
  <w:style w:type="character" w:customStyle="1" w:styleId="203">
    <w:name w:val="公文正文 Char"/>
    <w:link w:val="204"/>
    <w:uiPriority w:val="0"/>
    <w:rPr>
      <w:rFonts w:ascii="仿宋_GB2312" w:eastAsia="仿宋_GB2312"/>
      <w:kern w:val="2"/>
      <w:sz w:val="24"/>
      <w:szCs w:val="24"/>
      <w:lang w:val="en-US" w:eastAsia="zh-CN" w:bidi="ar-SA"/>
    </w:rPr>
  </w:style>
  <w:style w:type="paragraph" w:customStyle="1" w:styleId="204">
    <w:name w:val="公文正文"/>
    <w:basedOn w:val="1"/>
    <w:link w:val="203"/>
    <w:uiPriority w:val="0"/>
    <w:pPr>
      <w:spacing w:before="156" w:line="360" w:lineRule="auto"/>
      <w:ind w:firstLine="360" w:firstLineChars="200"/>
    </w:pPr>
    <w:rPr>
      <w:rFonts w:ascii="仿宋_GB2312" w:eastAsia="仿宋_GB2312"/>
      <w:sz w:val="24"/>
      <w:szCs w:val="24"/>
    </w:rPr>
  </w:style>
  <w:style w:type="character" w:customStyle="1" w:styleId="205">
    <w:name w:val="Char Char14"/>
    <w:uiPriority w:val="0"/>
    <w:rPr>
      <w:rFonts w:ascii="Calibri" w:hAnsi="Calibri" w:eastAsia="宋体" w:cs="Times New Roman"/>
      <w:b/>
      <w:bCs/>
      <w:sz w:val="28"/>
      <w:szCs w:val="28"/>
    </w:rPr>
  </w:style>
  <w:style w:type="character" w:customStyle="1" w:styleId="206">
    <w:name w:val="列表1、 Char Char"/>
    <w:uiPriority w:val="0"/>
    <w:rPr>
      <w:rFonts w:ascii="仿宋" w:hAnsi="仿宋" w:eastAsia="仿宋"/>
      <w:kern w:val="2"/>
      <w:sz w:val="28"/>
      <w:szCs w:val="21"/>
      <w:lang w:bidi="ar-SA"/>
    </w:rPr>
  </w:style>
  <w:style w:type="character" w:customStyle="1" w:styleId="207">
    <w:name w:val="批注文字 字符"/>
    <w:link w:val="21"/>
    <w:qFormat/>
    <w:uiPriority w:val="99"/>
    <w:rPr>
      <w:kern w:val="2"/>
      <w:sz w:val="21"/>
      <w:szCs w:val="22"/>
    </w:rPr>
  </w:style>
  <w:style w:type="character" w:customStyle="1" w:styleId="208">
    <w:name w:val="批注主题 Char"/>
    <w:link w:val="209"/>
    <w:qFormat/>
    <w:uiPriority w:val="99"/>
    <w:rPr>
      <w:b/>
      <w:bCs/>
    </w:rPr>
  </w:style>
  <w:style w:type="paragraph" w:customStyle="1" w:styleId="209">
    <w:name w:val="批注主题1"/>
    <w:basedOn w:val="21"/>
    <w:next w:val="21"/>
    <w:link w:val="208"/>
    <w:uiPriority w:val="0"/>
    <w:rPr>
      <w:b/>
      <w:bCs/>
      <w:kern w:val="0"/>
      <w:sz w:val="20"/>
      <w:szCs w:val="20"/>
    </w:rPr>
  </w:style>
  <w:style w:type="character" w:customStyle="1" w:styleId="210">
    <w:name w:val="表名 Char"/>
    <w:uiPriority w:val="0"/>
    <w:rPr>
      <w:rFonts w:ascii="Arial" w:hAnsi="Arial" w:eastAsia="黑体"/>
      <w:sz w:val="24"/>
      <w:szCs w:val="24"/>
    </w:rPr>
  </w:style>
  <w:style w:type="character" w:customStyle="1" w:styleId="211">
    <w:name w:val="ZJ图表 Char"/>
    <w:link w:val="212"/>
    <w:uiPriority w:val="0"/>
    <w:rPr>
      <w:rFonts w:ascii="Times New Roman" w:hAnsi="Times New Roman" w:eastAsia="黑体"/>
      <w:color w:val="000000"/>
      <w:sz w:val="24"/>
      <w:szCs w:val="24"/>
    </w:rPr>
  </w:style>
  <w:style w:type="paragraph" w:customStyle="1" w:styleId="212">
    <w:name w:val="ZJ图表"/>
    <w:basedOn w:val="8"/>
    <w:link w:val="211"/>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b w:val="0"/>
      <w:bCs w:val="0"/>
      <w:color w:val="000000"/>
      <w:kern w:val="0"/>
    </w:rPr>
  </w:style>
  <w:style w:type="character" w:customStyle="1" w:styleId="213">
    <w:name w:val="h Char"/>
    <w:uiPriority w:val="0"/>
    <w:rPr>
      <w:rFonts w:ascii="Calibri" w:hAnsi="Calibri" w:eastAsia="宋体" w:cs="Times New Roman"/>
      <w:sz w:val="18"/>
      <w:szCs w:val="18"/>
    </w:rPr>
  </w:style>
  <w:style w:type="character" w:customStyle="1" w:styleId="214">
    <w:name w:val="标题 2 字符"/>
    <w:link w:val="3"/>
    <w:uiPriority w:val="0"/>
    <w:rPr>
      <w:rFonts w:ascii="Arial" w:hAnsi="Arial" w:eastAsia="黑体"/>
      <w:b/>
      <w:bCs/>
      <w:kern w:val="2"/>
      <w:sz w:val="32"/>
      <w:szCs w:val="32"/>
      <w:lang w:val="en-US" w:eastAsia="zh-CN" w:bidi="ar-SA"/>
    </w:rPr>
  </w:style>
  <w:style w:type="character" w:customStyle="1" w:styleId="215">
    <w:name w:val="z-窗体底端 Char"/>
    <w:link w:val="216"/>
    <w:uiPriority w:val="0"/>
    <w:rPr>
      <w:rFonts w:ascii="Arial" w:hAnsi="Arial" w:cs="Arial"/>
      <w:vanish/>
      <w:sz w:val="16"/>
      <w:szCs w:val="16"/>
    </w:rPr>
  </w:style>
  <w:style w:type="paragraph" w:customStyle="1" w:styleId="216">
    <w:name w:val="z-窗体底端1"/>
    <w:basedOn w:val="1"/>
    <w:next w:val="1"/>
    <w:link w:val="215"/>
    <w:uiPriority w:val="0"/>
    <w:pPr>
      <w:widowControl/>
      <w:pBdr>
        <w:top w:val="single" w:color="auto" w:sz="6" w:space="1"/>
      </w:pBdr>
      <w:jc w:val="center"/>
    </w:pPr>
    <w:rPr>
      <w:rFonts w:ascii="Arial" w:hAnsi="Arial"/>
      <w:vanish/>
      <w:kern w:val="0"/>
      <w:sz w:val="16"/>
      <w:szCs w:val="16"/>
    </w:rPr>
  </w:style>
  <w:style w:type="character" w:customStyle="1" w:styleId="217">
    <w:name w:val="title_sub_blue1"/>
    <w:uiPriority w:val="0"/>
    <w:rPr>
      <w:rFonts w:hint="default" w:ascii="Arial" w:hAnsi="Arial"/>
      <w:b/>
      <w:color w:val="16344F"/>
      <w:spacing w:val="15"/>
      <w:sz w:val="18"/>
      <w:u w:val="none"/>
    </w:rPr>
  </w:style>
  <w:style w:type="character" w:customStyle="1" w:styleId="218">
    <w:name w:val="二级标题 Char Char"/>
    <w:uiPriority w:val="0"/>
    <w:rPr>
      <w:rFonts w:eastAsia="仿宋"/>
      <w:b/>
      <w:sz w:val="28"/>
      <w:lang w:val="en-US" w:eastAsia="zh-CN" w:bidi="ar-SA"/>
    </w:rPr>
  </w:style>
  <w:style w:type="character" w:customStyle="1" w:styleId="219">
    <w:name w:val="明显参考1"/>
    <w:qFormat/>
    <w:uiPriority w:val="0"/>
    <w:rPr>
      <w:b/>
      <w:sz w:val="24"/>
      <w:u w:val="single"/>
    </w:rPr>
  </w:style>
  <w:style w:type="character" w:customStyle="1" w:styleId="220">
    <w:name w:val="正文文本 3 字符"/>
    <w:link w:val="23"/>
    <w:uiPriority w:val="0"/>
    <w:rPr>
      <w:rFonts w:ascii="Times New Roman" w:hAnsi="宋体" w:eastAsia="仿宋_GB2312"/>
      <w:b/>
      <w:bCs/>
      <w:kern w:val="2"/>
      <w:sz w:val="24"/>
    </w:rPr>
  </w:style>
  <w:style w:type="character" w:customStyle="1" w:styleId="221">
    <w:name w:val="中等深浅网格 11"/>
    <w:semiHidden/>
    <w:uiPriority w:val="0"/>
    <w:rPr>
      <w:color w:val="808080"/>
    </w:rPr>
  </w:style>
  <w:style w:type="character" w:customStyle="1" w:styleId="222">
    <w:name w:val="Char Char9"/>
    <w:uiPriority w:val="0"/>
    <w:rPr>
      <w:rFonts w:eastAsia="宋体"/>
      <w:b/>
      <w:kern w:val="44"/>
      <w:sz w:val="44"/>
      <w:lang w:bidi="ar-SA"/>
    </w:rPr>
  </w:style>
  <w:style w:type="character" w:customStyle="1" w:styleId="223">
    <w:name w:val="正文文本缩进 Char1"/>
    <w:uiPriority w:val="99"/>
    <w:rPr>
      <w:rFonts w:ascii="Times New Roman" w:hAnsi="Times New Roman" w:eastAsia="宋体" w:cs="Times New Roman"/>
      <w:sz w:val="28"/>
      <w:szCs w:val="20"/>
    </w:rPr>
  </w:style>
  <w:style w:type="character" w:customStyle="1" w:styleId="224">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25">
    <w:name w:val="大标题 Char"/>
    <w:link w:val="226"/>
    <w:uiPriority w:val="0"/>
    <w:rPr>
      <w:b/>
      <w:sz w:val="28"/>
      <w:lang w:val="en-US" w:eastAsia="zh-CN" w:bidi="ar-SA"/>
    </w:rPr>
  </w:style>
  <w:style w:type="paragraph" w:customStyle="1" w:styleId="226">
    <w:name w:val="大标题"/>
    <w:next w:val="1"/>
    <w:link w:val="225"/>
    <w:uiPriority w:val="0"/>
    <w:pPr>
      <w:spacing w:before="120" w:after="120" w:line="360" w:lineRule="auto"/>
    </w:pPr>
    <w:rPr>
      <w:rFonts w:ascii="Calibri" w:hAnsi="Calibri" w:eastAsia="宋体" w:cs="Times New Roman"/>
      <w:b/>
      <w:sz w:val="28"/>
      <w:lang w:val="en-US" w:eastAsia="zh-CN" w:bidi="ar-SA"/>
    </w:rPr>
  </w:style>
  <w:style w:type="character" w:customStyle="1" w:styleId="227">
    <w:name w:val="样式4 Char Char"/>
    <w:uiPriority w:val="0"/>
    <w:rPr>
      <w:rFonts w:ascii="Calibri" w:hAnsi="Calibri" w:eastAsia="宋体"/>
      <w:kern w:val="2"/>
      <w:sz w:val="24"/>
      <w:szCs w:val="22"/>
      <w:lang w:val="en-US" w:eastAsia="zh-CN" w:bidi="ar-SA"/>
    </w:rPr>
  </w:style>
  <w:style w:type="character" w:customStyle="1" w:styleId="228">
    <w:name w:val="正文文本缩进 字符"/>
    <w:link w:val="25"/>
    <w:uiPriority w:val="0"/>
    <w:rPr>
      <w:rFonts w:ascii="宋体" w:hAnsi="Courier New" w:eastAsia="宋体"/>
      <w:spacing w:val="-4"/>
      <w:kern w:val="2"/>
      <w:sz w:val="18"/>
      <w:lang w:val="en-US" w:eastAsia="zh-CN" w:bidi="ar-SA"/>
    </w:rPr>
  </w:style>
  <w:style w:type="character" w:customStyle="1" w:styleId="229">
    <w:name w:val="正文（首行缩进2字符） Char Char"/>
    <w:link w:val="230"/>
    <w:uiPriority w:val="0"/>
    <w:rPr>
      <w:szCs w:val="21"/>
    </w:rPr>
  </w:style>
  <w:style w:type="paragraph" w:customStyle="1" w:styleId="230">
    <w:name w:val="正文（首行缩进2字符）"/>
    <w:basedOn w:val="1"/>
    <w:link w:val="229"/>
    <w:uiPriority w:val="0"/>
    <w:pPr>
      <w:spacing w:line="360" w:lineRule="auto"/>
      <w:ind w:firstLine="420" w:firstLineChars="200"/>
    </w:pPr>
    <w:rPr>
      <w:kern w:val="0"/>
      <w:sz w:val="20"/>
      <w:szCs w:val="21"/>
    </w:rPr>
  </w:style>
  <w:style w:type="character" w:customStyle="1" w:styleId="231">
    <w:name w:val="tw4winPopup"/>
    <w:uiPriority w:val="0"/>
    <w:rPr>
      <w:rFonts w:ascii="Courier New" w:hAnsi="Courier New"/>
      <w:color w:val="008000"/>
    </w:rPr>
  </w:style>
  <w:style w:type="character" w:customStyle="1" w:styleId="232">
    <w:name w:val="页脚 字符"/>
    <w:link w:val="38"/>
    <w:uiPriority w:val="99"/>
    <w:rPr>
      <w:kern w:val="2"/>
      <w:sz w:val="18"/>
      <w:szCs w:val="18"/>
    </w:rPr>
  </w:style>
  <w:style w:type="character" w:customStyle="1" w:styleId="233">
    <w:name w:val="浅色网格 - 强调文字颜色 3 Char"/>
    <w:locked/>
    <w:uiPriority w:val="0"/>
    <w:rPr>
      <w:rFonts w:ascii="Calibri" w:hAnsi="Calibri" w:eastAsia="宋体" w:cs="Times New Roman"/>
    </w:rPr>
  </w:style>
  <w:style w:type="character" w:customStyle="1" w:styleId="234">
    <w:name w:val="Char Char21"/>
    <w:uiPriority w:val="0"/>
    <w:rPr>
      <w:rFonts w:ascii="宋体" w:hAnsi="Courier New" w:eastAsia="宋体"/>
      <w:sz w:val="21"/>
      <w:lang w:val="en-US" w:eastAsia="zh-CN" w:bidi="ar-SA"/>
    </w:rPr>
  </w:style>
  <w:style w:type="character" w:customStyle="1" w:styleId="235">
    <w:name w:val="H2 Char3"/>
    <w:qFormat/>
    <w:uiPriority w:val="0"/>
    <w:rPr>
      <w:rFonts w:ascii="Arial" w:hAnsi="Arial" w:eastAsia="黑体"/>
      <w:b/>
      <w:bCs/>
      <w:kern w:val="2"/>
      <w:sz w:val="32"/>
      <w:szCs w:val="32"/>
      <w:lang w:val="en-US" w:eastAsia="zh-CN" w:bidi="ar-SA"/>
    </w:rPr>
  </w:style>
  <w:style w:type="character" w:customStyle="1" w:styleId="236">
    <w:name w:val="新昌图表 Char"/>
    <w:link w:val="237"/>
    <w:uiPriority w:val="0"/>
    <w:rPr>
      <w:rFonts w:ascii="Times New Roman" w:hAnsi="Times New Roman" w:eastAsia="黑体"/>
      <w:color w:val="000000"/>
      <w:sz w:val="24"/>
      <w:szCs w:val="24"/>
    </w:rPr>
  </w:style>
  <w:style w:type="paragraph" w:customStyle="1" w:styleId="237">
    <w:name w:val="新昌图表"/>
    <w:basedOn w:val="1"/>
    <w:link w:val="236"/>
    <w:qFormat/>
    <w:uiPriority w:val="0"/>
    <w:pPr>
      <w:jc w:val="center"/>
    </w:pPr>
    <w:rPr>
      <w:rFonts w:ascii="Times New Roman" w:hAnsi="Times New Roman" w:eastAsia="黑体"/>
      <w:color w:val="000000"/>
      <w:kern w:val="0"/>
      <w:sz w:val="24"/>
      <w:szCs w:val="24"/>
    </w:rPr>
  </w:style>
  <w:style w:type="character" w:customStyle="1" w:styleId="238">
    <w:name w:val="Char Char142"/>
    <w:locked/>
    <w:uiPriority w:val="0"/>
    <w:rPr>
      <w:rFonts w:ascii="楷体_GB2312" w:eastAsia="楷体_GB2312"/>
      <w:kern w:val="2"/>
      <w:sz w:val="32"/>
      <w:lang w:val="en-US" w:eastAsia="zh-CN" w:bidi="ar-SA"/>
    </w:rPr>
  </w:style>
  <w:style w:type="character" w:customStyle="1" w:styleId="239">
    <w:name w:val="tw4winError"/>
    <w:uiPriority w:val="0"/>
    <w:rPr>
      <w:rFonts w:ascii="Courier New" w:hAnsi="Courier New"/>
      <w:color w:val="00FF00"/>
      <w:sz w:val="40"/>
    </w:rPr>
  </w:style>
  <w:style w:type="character" w:customStyle="1" w:styleId="240">
    <w:name w:val="正文4 Char"/>
    <w:link w:val="241"/>
    <w:uiPriority w:val="0"/>
    <w:rPr>
      <w:rFonts w:ascii="Calibri" w:hAnsi="Calibri" w:eastAsia="宋体" w:cs="Times New Roman"/>
      <w:kern w:val="2"/>
      <w:sz w:val="24"/>
      <w:szCs w:val="24"/>
    </w:rPr>
  </w:style>
  <w:style w:type="paragraph" w:customStyle="1" w:styleId="241">
    <w:name w:val="正文4"/>
    <w:basedOn w:val="1"/>
    <w:link w:val="240"/>
    <w:uiPriority w:val="0"/>
    <w:pPr>
      <w:numPr>
        <w:ilvl w:val="0"/>
        <w:numId w:val="8"/>
      </w:numPr>
      <w:spacing w:before="60" w:after="60" w:line="360" w:lineRule="auto"/>
      <w:ind w:firstLine="0"/>
    </w:pPr>
    <w:rPr>
      <w:sz w:val="24"/>
      <w:szCs w:val="24"/>
    </w:rPr>
  </w:style>
  <w:style w:type="character" w:customStyle="1" w:styleId="242">
    <w:name w:val="z-窗体顶端 Char"/>
    <w:link w:val="243"/>
    <w:uiPriority w:val="0"/>
    <w:rPr>
      <w:rFonts w:ascii="Arial" w:hAnsi="Arial" w:cs="Arial"/>
      <w:vanish/>
      <w:sz w:val="16"/>
      <w:szCs w:val="16"/>
    </w:rPr>
  </w:style>
  <w:style w:type="paragraph" w:customStyle="1" w:styleId="243">
    <w:name w:val="z-窗体顶端1"/>
    <w:basedOn w:val="1"/>
    <w:next w:val="1"/>
    <w:link w:val="242"/>
    <w:uiPriority w:val="0"/>
    <w:pPr>
      <w:widowControl/>
      <w:pBdr>
        <w:bottom w:val="single" w:color="auto" w:sz="6" w:space="1"/>
      </w:pBdr>
      <w:jc w:val="center"/>
    </w:pPr>
    <w:rPr>
      <w:rFonts w:ascii="Arial" w:hAnsi="Arial"/>
      <w:vanish/>
      <w:kern w:val="0"/>
      <w:sz w:val="16"/>
      <w:szCs w:val="16"/>
    </w:rPr>
  </w:style>
  <w:style w:type="character" w:customStyle="1" w:styleId="244">
    <w:name w:val="衢州正文 Char"/>
    <w:link w:val="245"/>
    <w:uiPriority w:val="0"/>
    <w:rPr>
      <w:rFonts w:ascii="Times New Roman" w:hAnsi="宋体"/>
      <w:sz w:val="24"/>
      <w:szCs w:val="24"/>
    </w:rPr>
  </w:style>
  <w:style w:type="paragraph" w:customStyle="1" w:styleId="245">
    <w:name w:val="衢州正文"/>
    <w:basedOn w:val="1"/>
    <w:link w:val="244"/>
    <w:qFormat/>
    <w:uiPriority w:val="0"/>
    <w:pPr>
      <w:spacing w:line="360" w:lineRule="auto"/>
      <w:ind w:firstLine="480" w:firstLineChars="200"/>
    </w:pPr>
    <w:rPr>
      <w:rFonts w:ascii="Times New Roman" w:hAnsi="宋体"/>
      <w:kern w:val="0"/>
      <w:sz w:val="24"/>
      <w:szCs w:val="24"/>
    </w:rPr>
  </w:style>
  <w:style w:type="character" w:customStyle="1" w:styleId="246">
    <w:name w:val="公文正文 Char Char"/>
    <w:uiPriority w:val="0"/>
    <w:rPr>
      <w:rFonts w:ascii="仿宋_GB2312" w:eastAsia="仿宋_GB2312"/>
      <w:kern w:val="2"/>
      <w:sz w:val="24"/>
      <w:szCs w:val="24"/>
      <w:lang w:val="en-US" w:eastAsia="zh-CN" w:bidi="ar-SA"/>
    </w:rPr>
  </w:style>
  <w:style w:type="character" w:customStyle="1" w:styleId="247">
    <w:name w:val="css21"/>
    <w:uiPriority w:val="0"/>
    <w:rPr>
      <w:sz w:val="18"/>
    </w:rPr>
  </w:style>
  <w:style w:type="character" w:customStyle="1" w:styleId="248">
    <w:name w:val="样式(-) Char Char"/>
    <w:uiPriority w:val="0"/>
    <w:rPr>
      <w:rFonts w:ascii="Calibri" w:hAnsi="Calibri" w:eastAsia="仿宋"/>
      <w:b/>
      <w:kern w:val="2"/>
      <w:sz w:val="28"/>
      <w:szCs w:val="21"/>
      <w:lang w:bidi="ar-SA"/>
    </w:rPr>
  </w:style>
  <w:style w:type="character" w:customStyle="1" w:styleId="249">
    <w:name w:val="列表1、 Char"/>
    <w:link w:val="250"/>
    <w:locked/>
    <w:uiPriority w:val="0"/>
    <w:rPr>
      <w:rFonts w:cs="Times New Roman"/>
      <w:kern w:val="2"/>
      <w:sz w:val="28"/>
      <w:szCs w:val="21"/>
    </w:rPr>
  </w:style>
  <w:style w:type="paragraph" w:customStyle="1" w:styleId="250">
    <w:name w:val="列表1、"/>
    <w:basedOn w:val="95"/>
    <w:link w:val="249"/>
    <w:uiPriority w:val="0"/>
    <w:pPr>
      <w:numPr>
        <w:ilvl w:val="0"/>
        <w:numId w:val="9"/>
      </w:numPr>
      <w:tabs>
        <w:tab w:val="left" w:pos="1276"/>
      </w:tabs>
      <w:spacing w:line="360" w:lineRule="auto"/>
      <w:ind w:left="987" w:firstLine="0" w:firstLineChars="0"/>
      <w:jc w:val="left"/>
    </w:pPr>
    <w:rPr>
      <w:rFonts w:ascii="仿宋" w:hAnsi="仿宋" w:eastAsia="仿宋"/>
      <w:sz w:val="28"/>
      <w:szCs w:val="21"/>
    </w:rPr>
  </w:style>
  <w:style w:type="character" w:customStyle="1" w:styleId="251">
    <w:name w:val="bt Char2"/>
    <w:uiPriority w:val="0"/>
    <w:rPr>
      <w:rFonts w:eastAsia="宋体"/>
      <w:kern w:val="2"/>
      <w:sz w:val="28"/>
      <w:szCs w:val="24"/>
      <w:lang w:val="en-US" w:eastAsia="zh-CN" w:bidi="ar-SA"/>
    </w:rPr>
  </w:style>
  <w:style w:type="character" w:customStyle="1" w:styleId="252">
    <w:name w:val="news1"/>
    <w:uiPriority w:val="0"/>
    <w:rPr>
      <w:rFonts w:hint="default" w:ascii="Times New Roman" w:hAnsi="Times New Roman" w:cs="Times New Roman"/>
      <w:sz w:val="21"/>
      <w:szCs w:val="21"/>
    </w:rPr>
  </w:style>
  <w:style w:type="character" w:customStyle="1" w:styleId="253">
    <w:name w:val="标题 4 字符"/>
    <w:link w:val="5"/>
    <w:uiPriority w:val="9"/>
    <w:rPr>
      <w:rFonts w:ascii="Arial" w:hAnsi="Arial" w:eastAsia="黑体"/>
      <w:b/>
      <w:bCs/>
      <w:kern w:val="2"/>
      <w:sz w:val="28"/>
      <w:szCs w:val="28"/>
      <w:lang w:val="en-US" w:eastAsia="zh-CN" w:bidi="ar-SA"/>
    </w:rPr>
  </w:style>
  <w:style w:type="character" w:customStyle="1" w:styleId="254">
    <w:name w:val="Char Char51"/>
    <w:uiPriority w:val="0"/>
    <w:rPr>
      <w:rFonts w:ascii="Calibri" w:hAnsi="Calibri" w:eastAsia="宋体"/>
      <w:sz w:val="18"/>
      <w:szCs w:val="18"/>
      <w:lang w:bidi="ar-SA"/>
    </w:rPr>
  </w:style>
  <w:style w:type="character" w:customStyle="1" w:styleId="255">
    <w:name w:val="正文文字 Char"/>
    <w:uiPriority w:val="0"/>
    <w:rPr>
      <w:rFonts w:ascii="Arial" w:hAnsi="Arial" w:eastAsia="宋体"/>
      <w:kern w:val="2"/>
      <w:sz w:val="24"/>
      <w:lang w:val="en-US" w:eastAsia="zh-CN"/>
    </w:rPr>
  </w:style>
  <w:style w:type="character" w:customStyle="1" w:styleId="256">
    <w:name w:val="大标题 Char Char"/>
    <w:uiPriority w:val="0"/>
    <w:rPr>
      <w:b/>
      <w:sz w:val="28"/>
      <w:lang w:val="en-US" w:eastAsia="zh-CN" w:bidi="ar-SA"/>
    </w:rPr>
  </w:style>
  <w:style w:type="character" w:customStyle="1" w:styleId="257">
    <w:name w:val="华电 正文 Char"/>
    <w:link w:val="258"/>
    <w:uiPriority w:val="0"/>
    <w:rPr>
      <w:rFonts w:ascii="宋体" w:hAnsi="宋体" w:eastAsia="宋体"/>
      <w:sz w:val="22"/>
      <w:lang w:bidi="ar-SA"/>
    </w:rPr>
  </w:style>
  <w:style w:type="paragraph" w:customStyle="1" w:styleId="258">
    <w:name w:val="华电 正文"/>
    <w:basedOn w:val="1"/>
    <w:link w:val="257"/>
    <w:uiPriority w:val="0"/>
    <w:pPr>
      <w:widowControl/>
      <w:spacing w:line="360" w:lineRule="auto"/>
      <w:ind w:firstLine="440" w:firstLineChars="200"/>
      <w:jc w:val="left"/>
    </w:pPr>
    <w:rPr>
      <w:rFonts w:ascii="宋体" w:hAnsi="宋体"/>
      <w:kern w:val="0"/>
      <w:sz w:val="22"/>
      <w:szCs w:val="20"/>
    </w:rPr>
  </w:style>
  <w:style w:type="character" w:customStyle="1" w:styleId="259">
    <w:name w:val="标准正文格式 Char"/>
    <w:link w:val="260"/>
    <w:uiPriority w:val="0"/>
    <w:rPr>
      <w:rFonts w:ascii="宋体" w:eastAsia="仿宋_GB2312" w:cs="宋体"/>
      <w:color w:val="000000"/>
      <w:sz w:val="24"/>
      <w:lang w:val="en-US" w:eastAsia="zh-CN" w:bidi="ar-SA"/>
    </w:rPr>
  </w:style>
  <w:style w:type="paragraph" w:customStyle="1" w:styleId="260">
    <w:name w:val="标准正文格式"/>
    <w:basedOn w:val="1"/>
    <w:link w:val="259"/>
    <w:qFormat/>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character" w:customStyle="1" w:styleId="261">
    <w:name w:val="标题 3 Char1"/>
    <w:uiPriority w:val="0"/>
    <w:rPr>
      <w:rFonts w:ascii="Calibri" w:hAnsi="Calibri" w:eastAsia="宋体"/>
      <w:b/>
      <w:bCs/>
      <w:kern w:val="2"/>
      <w:sz w:val="32"/>
      <w:szCs w:val="32"/>
      <w:lang w:val="en-US" w:eastAsia="zh-CN" w:bidi="ar-SA"/>
    </w:rPr>
  </w:style>
  <w:style w:type="character" w:customStyle="1" w:styleId="262">
    <w:name w:val="Indent Normal Char"/>
    <w:link w:val="263"/>
    <w:uiPriority w:val="0"/>
    <w:rPr>
      <w:kern w:val="2"/>
      <w:sz w:val="21"/>
      <w:lang w:bidi="ar-SA"/>
    </w:rPr>
  </w:style>
  <w:style w:type="paragraph" w:customStyle="1" w:styleId="263">
    <w:name w:val="Indent Normal"/>
    <w:basedOn w:val="1"/>
    <w:link w:val="262"/>
    <w:qFormat/>
    <w:uiPriority w:val="0"/>
    <w:pPr>
      <w:ind w:firstLine="420"/>
    </w:pPr>
    <w:rPr>
      <w:szCs w:val="20"/>
    </w:rPr>
  </w:style>
  <w:style w:type="character" w:customStyle="1" w:styleId="264">
    <w:name w:val="正文文本缩进 2 字符"/>
    <w:link w:val="35"/>
    <w:uiPriority w:val="0"/>
    <w:rPr>
      <w:rFonts w:ascii="仿宋_GB2312" w:hAnsi="宋体" w:cs="Arial"/>
      <w:b/>
      <w:bCs/>
      <w:color w:val="000000"/>
      <w:kern w:val="2"/>
      <w:sz w:val="24"/>
      <w:szCs w:val="24"/>
    </w:rPr>
  </w:style>
  <w:style w:type="character" w:customStyle="1" w:styleId="265">
    <w:name w:val="line1"/>
    <w:uiPriority w:val="0"/>
    <w:rPr>
      <w:spacing w:val="360"/>
      <w:u w:val="none"/>
    </w:rPr>
  </w:style>
  <w:style w:type="character" w:customStyle="1" w:styleId="266">
    <w:name w:val="页脚 Char"/>
    <w:uiPriority w:val="99"/>
    <w:rPr>
      <w:kern w:val="2"/>
      <w:sz w:val="18"/>
      <w:szCs w:val="18"/>
      <w:lang w:bidi="ar-SA"/>
    </w:rPr>
  </w:style>
  <w:style w:type="character" w:customStyle="1" w:styleId="267">
    <w:name w:val="point_normal1"/>
    <w:uiPriority w:val="0"/>
    <w:rPr>
      <w:rFonts w:hint="default" w:ascii="Arial" w:hAnsi="Arial" w:cs="Arial"/>
      <w:sz w:val="18"/>
      <w:szCs w:val="18"/>
    </w:rPr>
  </w:style>
  <w:style w:type="character" w:customStyle="1" w:styleId="268">
    <w:name w:val="unnamed11"/>
    <w:qFormat/>
    <w:uiPriority w:val="0"/>
    <w:rPr>
      <w:color w:val="000000"/>
      <w:sz w:val="20"/>
      <w:szCs w:val="20"/>
    </w:rPr>
  </w:style>
  <w:style w:type="character" w:customStyle="1" w:styleId="269">
    <w:name w:val="模板正文 Char"/>
    <w:link w:val="270"/>
    <w:qFormat/>
    <w:uiPriority w:val="0"/>
    <w:rPr>
      <w:rFonts w:ascii="Arial" w:hAnsi="Arial"/>
      <w:szCs w:val="21"/>
    </w:rPr>
  </w:style>
  <w:style w:type="paragraph" w:customStyle="1" w:styleId="270">
    <w:name w:val="模板正文"/>
    <w:basedOn w:val="1"/>
    <w:link w:val="269"/>
    <w:uiPriority w:val="0"/>
    <w:pPr>
      <w:wordWrap w:val="0"/>
      <w:spacing w:before="120" w:line="320" w:lineRule="exact"/>
      <w:ind w:left="200" w:leftChars="200" w:firstLine="200" w:firstLineChars="200"/>
    </w:pPr>
    <w:rPr>
      <w:rFonts w:ascii="Arial" w:hAnsi="Arial"/>
      <w:kern w:val="0"/>
      <w:sz w:val="20"/>
      <w:szCs w:val="21"/>
    </w:rPr>
  </w:style>
  <w:style w:type="character" w:customStyle="1" w:styleId="271">
    <w:name w:val="*Body Text Char1"/>
    <w:link w:val="272"/>
    <w:uiPriority w:val="0"/>
    <w:rPr>
      <w:rFonts w:ascii="Futura Lt" w:hAnsi="Futura Lt" w:cs="Futura Lt"/>
      <w:sz w:val="21"/>
      <w:szCs w:val="21"/>
      <w:lang w:val="en-US" w:eastAsia="en-US" w:bidi="ar-SA"/>
    </w:rPr>
  </w:style>
  <w:style w:type="paragraph" w:customStyle="1" w:styleId="272">
    <w:name w:val="*Body Text"/>
    <w:link w:val="271"/>
    <w:uiPriority w:val="0"/>
    <w:pPr>
      <w:spacing w:line="360" w:lineRule="auto"/>
    </w:pPr>
    <w:rPr>
      <w:rFonts w:ascii="Futura Lt" w:hAnsi="Futura Lt" w:eastAsia="宋体" w:cs="Futura Lt"/>
      <w:sz w:val="21"/>
      <w:szCs w:val="21"/>
      <w:lang w:val="en-US" w:eastAsia="en-US" w:bidi="ar-SA"/>
    </w:rPr>
  </w:style>
  <w:style w:type="character" w:customStyle="1" w:styleId="273">
    <w:name w:val="14_black1"/>
    <w:uiPriority w:val="0"/>
    <w:rPr>
      <w:color w:val="000000"/>
      <w:sz w:val="21"/>
    </w:rPr>
  </w:style>
  <w:style w:type="character" w:customStyle="1" w:styleId="274">
    <w:name w:val="样式 小四1"/>
    <w:uiPriority w:val="0"/>
    <w:rPr>
      <w:rFonts w:ascii="Tahoma" w:hAnsi="Tahoma" w:eastAsia="仿宋_GB2312"/>
      <w:kern w:val="2"/>
      <w:sz w:val="24"/>
      <w:lang w:val="en-US" w:eastAsia="zh-CN" w:bidi="ar-SA"/>
    </w:rPr>
  </w:style>
  <w:style w:type="character" w:customStyle="1" w:styleId="275">
    <w:name w:val="Char Char3"/>
    <w:uiPriority w:val="0"/>
    <w:rPr>
      <w:rFonts w:ascii="Arial" w:hAnsi="Arial" w:eastAsia="黑体"/>
      <w:b/>
      <w:kern w:val="2"/>
      <w:sz w:val="32"/>
      <w:lang w:val="en-US" w:eastAsia="zh-CN" w:bidi="ar-SA"/>
    </w:rPr>
  </w:style>
  <w:style w:type="character" w:customStyle="1" w:styleId="276">
    <w:name w:val="style51"/>
    <w:uiPriority w:val="0"/>
    <w:rPr>
      <w:rFonts w:hint="eastAsia" w:ascii="宋体" w:hAnsi="宋体" w:eastAsia="宋体"/>
      <w:color w:val="333333"/>
      <w:sz w:val="23"/>
      <w:szCs w:val="23"/>
      <w:u w:val="none"/>
    </w:rPr>
  </w:style>
  <w:style w:type="character" w:customStyle="1" w:styleId="277">
    <w:name w:val="font3"/>
    <w:basedOn w:val="63"/>
    <w:uiPriority w:val="0"/>
  </w:style>
  <w:style w:type="character" w:customStyle="1" w:styleId="278">
    <w:name w:val="样式4 Char"/>
    <w:link w:val="279"/>
    <w:uiPriority w:val="0"/>
    <w:rPr>
      <w:rFonts w:ascii="Calibri" w:hAnsi="Calibri" w:eastAsia="宋体"/>
      <w:kern w:val="2"/>
      <w:sz w:val="24"/>
      <w:szCs w:val="22"/>
      <w:lang w:val="en-US" w:eastAsia="zh-CN" w:bidi="ar-SA"/>
    </w:rPr>
  </w:style>
  <w:style w:type="paragraph" w:customStyle="1" w:styleId="279">
    <w:name w:val="样式4"/>
    <w:basedOn w:val="1"/>
    <w:link w:val="278"/>
    <w:qFormat/>
    <w:uiPriority w:val="0"/>
    <w:pPr>
      <w:spacing w:line="360" w:lineRule="auto"/>
    </w:pPr>
    <w:rPr>
      <w:sz w:val="24"/>
    </w:rPr>
  </w:style>
  <w:style w:type="character" w:customStyle="1" w:styleId="280">
    <w:name w:val="样式 正文缩进 + 首行缩进:  2 字符 Char"/>
    <w:link w:val="281"/>
    <w:uiPriority w:val="0"/>
    <w:rPr>
      <w:rFonts w:ascii="Times New Roman" w:hAnsi="Times New Roman"/>
      <w:kern w:val="2"/>
      <w:sz w:val="24"/>
    </w:rPr>
  </w:style>
  <w:style w:type="paragraph" w:customStyle="1" w:styleId="281">
    <w:name w:val="样式 正文缩进 + 首行缩进:  2 字符"/>
    <w:basedOn w:val="17"/>
    <w:link w:val="280"/>
    <w:uiPriority w:val="0"/>
    <w:pPr>
      <w:spacing w:line="360" w:lineRule="auto"/>
      <w:ind w:firstLine="200" w:firstLineChars="200"/>
    </w:pPr>
    <w:rPr>
      <w:rFonts w:ascii="Times New Roman" w:hAnsi="Times New Roman"/>
      <w:sz w:val="24"/>
    </w:rPr>
  </w:style>
  <w:style w:type="character" w:customStyle="1" w:styleId="282">
    <w:name w:val="inf1"/>
    <w:uiPriority w:val="0"/>
    <w:rPr>
      <w:rFonts w:hint="eastAsia" w:ascii="宋体" w:hAnsi="宋体" w:eastAsia="宋体"/>
      <w:color w:val="000000"/>
      <w:sz w:val="20"/>
      <w:szCs w:val="20"/>
    </w:rPr>
  </w:style>
  <w:style w:type="character" w:customStyle="1" w:styleId="283">
    <w:name w:val="h3 Char"/>
    <w:uiPriority w:val="0"/>
    <w:rPr>
      <w:rFonts w:ascii="Times New Roman" w:hAnsi="Times New Roman"/>
      <w:b/>
      <w:bCs/>
      <w:kern w:val="2"/>
      <w:sz w:val="32"/>
      <w:szCs w:val="32"/>
    </w:rPr>
  </w:style>
  <w:style w:type="character" w:customStyle="1" w:styleId="284">
    <w:name w:val="apple-style-span"/>
    <w:basedOn w:val="63"/>
    <w:uiPriority w:val="0"/>
  </w:style>
  <w:style w:type="character" w:customStyle="1" w:styleId="285">
    <w:name w:val="批注框文本 字符"/>
    <w:link w:val="37"/>
    <w:qFormat/>
    <w:uiPriority w:val="99"/>
    <w:rPr>
      <w:kern w:val="2"/>
      <w:sz w:val="18"/>
      <w:szCs w:val="18"/>
    </w:rPr>
  </w:style>
  <w:style w:type="character" w:customStyle="1" w:styleId="286">
    <w:name w:val="样式 首行缩进:  0.85 厘米 Char"/>
    <w:link w:val="287"/>
    <w:qFormat/>
    <w:uiPriority w:val="0"/>
    <w:rPr>
      <w:rFonts w:eastAsia="宋体" w:cs="宋体"/>
      <w:kern w:val="2"/>
      <w:sz w:val="24"/>
      <w:lang w:val="en-US" w:eastAsia="zh-CN" w:bidi="ar-SA"/>
    </w:rPr>
  </w:style>
  <w:style w:type="paragraph" w:customStyle="1" w:styleId="287">
    <w:name w:val="样式 首行缩进:  0.85 厘米"/>
    <w:basedOn w:val="1"/>
    <w:link w:val="286"/>
    <w:uiPriority w:val="0"/>
    <w:pPr>
      <w:spacing w:line="360" w:lineRule="auto"/>
      <w:ind w:firstLine="480"/>
    </w:pPr>
    <w:rPr>
      <w:rFonts w:cs="宋体"/>
      <w:sz w:val="24"/>
      <w:szCs w:val="20"/>
    </w:rPr>
  </w:style>
  <w:style w:type="character" w:customStyle="1" w:styleId="288">
    <w:name w:val="style31"/>
    <w:uiPriority w:val="0"/>
    <w:rPr>
      <w:color w:val="666666"/>
    </w:rPr>
  </w:style>
  <w:style w:type="character" w:customStyle="1" w:styleId="289">
    <w:name w:val="_正文段落 Char"/>
    <w:link w:val="290"/>
    <w:uiPriority w:val="0"/>
    <w:rPr>
      <w:rFonts w:ascii="Times New Roman" w:hAnsi="Times New Roman"/>
      <w:kern w:val="2"/>
      <w:sz w:val="21"/>
      <w:szCs w:val="24"/>
    </w:rPr>
  </w:style>
  <w:style w:type="paragraph" w:customStyle="1" w:styleId="290">
    <w:name w:val="_正文段落"/>
    <w:basedOn w:val="1"/>
    <w:link w:val="289"/>
    <w:uiPriority w:val="0"/>
    <w:pPr>
      <w:spacing w:beforeLines="15" w:afterLines="15" w:line="360" w:lineRule="auto"/>
      <w:ind w:firstLine="200" w:firstLineChars="200"/>
    </w:pPr>
    <w:rPr>
      <w:rFonts w:ascii="Times New Roman" w:hAnsi="Times New Roman"/>
      <w:szCs w:val="24"/>
    </w:rPr>
  </w:style>
  <w:style w:type="character" w:customStyle="1" w:styleId="291">
    <w:name w:val="列表1"/>
    <w:basedOn w:val="63"/>
    <w:qFormat/>
    <w:uiPriority w:val="0"/>
  </w:style>
  <w:style w:type="character" w:customStyle="1" w:styleId="292">
    <w:name w:val="Char Char61"/>
    <w:uiPriority w:val="0"/>
    <w:rPr>
      <w:rFonts w:ascii="Calibri" w:hAnsi="Calibri" w:eastAsia="宋体"/>
      <w:b/>
      <w:bCs/>
      <w:kern w:val="2"/>
      <w:sz w:val="28"/>
      <w:szCs w:val="28"/>
      <w:lang w:bidi="ar-SA"/>
    </w:rPr>
  </w:style>
  <w:style w:type="character" w:customStyle="1" w:styleId="293">
    <w:name w:val="数据小节格式"/>
    <w:uiPriority w:val="0"/>
    <w:rPr>
      <w:rFonts w:ascii="新宋体" w:hAnsi="新宋体" w:eastAsia="华文中宋"/>
      <w:b/>
      <w:bCs/>
      <w:sz w:val="27"/>
      <w:szCs w:val="26"/>
      <w:shd w:val="clear" w:color="auto" w:fill="auto"/>
    </w:rPr>
  </w:style>
  <w:style w:type="character" w:customStyle="1" w:styleId="294">
    <w:name w:val="自定义正文 Char Char"/>
    <w:uiPriority w:val="0"/>
    <w:rPr>
      <w:rFonts w:eastAsia="宋体"/>
      <w:kern w:val="2"/>
      <w:sz w:val="24"/>
      <w:szCs w:val="24"/>
      <w:lang w:val="en-US" w:eastAsia="zh-CN" w:bidi="ar-SA"/>
    </w:rPr>
  </w:style>
  <w:style w:type="character" w:customStyle="1" w:styleId="295">
    <w:name w:val="apple-converted-space"/>
    <w:uiPriority w:val="0"/>
  </w:style>
  <w:style w:type="character" w:customStyle="1" w:styleId="296">
    <w:name w:val="表格文字 Char"/>
    <w:link w:val="297"/>
    <w:uiPriority w:val="0"/>
    <w:rPr>
      <w:rFonts w:ascii="Times New Roman" w:hAnsi="Times New Roman"/>
      <w:kern w:val="2"/>
      <w:sz w:val="18"/>
      <w:szCs w:val="24"/>
    </w:rPr>
  </w:style>
  <w:style w:type="paragraph" w:customStyle="1" w:styleId="297">
    <w:name w:val="表格文字"/>
    <w:basedOn w:val="1"/>
    <w:link w:val="296"/>
    <w:uiPriority w:val="0"/>
    <w:pPr>
      <w:jc w:val="left"/>
      <w:textAlignment w:val="top"/>
    </w:pPr>
    <w:rPr>
      <w:rFonts w:ascii="Times New Roman" w:hAnsi="Times New Roman"/>
      <w:sz w:val="18"/>
      <w:szCs w:val="24"/>
    </w:rPr>
  </w:style>
  <w:style w:type="character" w:customStyle="1" w:styleId="298">
    <w:name w:val="正文文本缩进 3 字符"/>
    <w:link w:val="46"/>
    <w:uiPriority w:val="0"/>
    <w:rPr>
      <w:rFonts w:ascii="仿宋_GB2312" w:hAnsi="宋体" w:eastAsia="仿宋_GB2312"/>
      <w:color w:val="000000"/>
      <w:kern w:val="2"/>
      <w:sz w:val="24"/>
      <w:szCs w:val="24"/>
    </w:rPr>
  </w:style>
  <w:style w:type="character" w:customStyle="1" w:styleId="299">
    <w:name w:val="我的正文 Char"/>
    <w:link w:val="300"/>
    <w:uiPriority w:val="0"/>
    <w:rPr>
      <w:rFonts w:eastAsia="仿宋_GB2312" w:cs="宋体"/>
      <w:kern w:val="2"/>
      <w:sz w:val="24"/>
    </w:rPr>
  </w:style>
  <w:style w:type="paragraph" w:customStyle="1" w:styleId="300">
    <w:name w:val="我的正文"/>
    <w:basedOn w:val="1"/>
    <w:link w:val="299"/>
    <w:uiPriority w:val="0"/>
    <w:pPr>
      <w:spacing w:afterLines="100" w:line="360" w:lineRule="auto"/>
      <w:ind w:firstLine="480" w:firstLineChars="200"/>
    </w:pPr>
    <w:rPr>
      <w:rFonts w:eastAsia="仿宋_GB2312"/>
      <w:sz w:val="24"/>
      <w:szCs w:val="20"/>
    </w:rPr>
  </w:style>
  <w:style w:type="character" w:customStyle="1" w:styleId="301">
    <w:name w:val="7.表小四 Char"/>
    <w:link w:val="302"/>
    <w:uiPriority w:val="0"/>
    <w:rPr>
      <w:rFonts w:ascii="宋体" w:hAnsi="宋体" w:eastAsia="宋体"/>
      <w:kern w:val="2"/>
      <w:sz w:val="24"/>
      <w:szCs w:val="24"/>
      <w:lang w:val="en-US" w:eastAsia="zh-CN" w:bidi="ar-SA"/>
    </w:rPr>
  </w:style>
  <w:style w:type="paragraph" w:customStyle="1" w:styleId="302">
    <w:name w:val="7.表小四"/>
    <w:basedOn w:val="1"/>
    <w:link w:val="301"/>
    <w:qFormat/>
    <w:uiPriority w:val="0"/>
    <w:pPr>
      <w:spacing w:beforeLines="50" w:afterLines="50"/>
    </w:pPr>
    <w:rPr>
      <w:rFonts w:ascii="宋体" w:hAnsi="宋体"/>
      <w:sz w:val="24"/>
      <w:szCs w:val="24"/>
    </w:rPr>
  </w:style>
  <w:style w:type="character" w:customStyle="1" w:styleId="303">
    <w:name w:val="标题 1 Char Char"/>
    <w:uiPriority w:val="0"/>
    <w:rPr>
      <w:rFonts w:eastAsia="宋体"/>
      <w:b/>
      <w:spacing w:val="-2"/>
      <w:sz w:val="24"/>
      <w:lang w:val="en-US" w:eastAsia="zh-CN" w:bidi="ar-SA"/>
    </w:rPr>
  </w:style>
  <w:style w:type="character" w:customStyle="1" w:styleId="304">
    <w:name w:val="b11_01b Char Char"/>
    <w:uiPriority w:val="0"/>
    <w:rPr>
      <w:rFonts w:ascii="Verdana" w:hAnsi="Verdana" w:eastAsia="宋体"/>
      <w:b/>
      <w:bCs/>
      <w:color w:val="4A82CA"/>
      <w:sz w:val="17"/>
      <w:szCs w:val="17"/>
      <w:lang w:val="en-US" w:eastAsia="zh-CN" w:bidi="ar-SA"/>
    </w:rPr>
  </w:style>
  <w:style w:type="character" w:customStyle="1" w:styleId="305">
    <w:name w:val="方案正文 Char"/>
    <w:link w:val="306"/>
    <w:uiPriority w:val="0"/>
    <w:rPr>
      <w:rFonts w:ascii="Calibri" w:hAnsi="Calibri" w:eastAsia="仿宋_GB2312"/>
      <w:kern w:val="2"/>
      <w:sz w:val="32"/>
      <w:szCs w:val="24"/>
      <w:lang w:val="en-US" w:eastAsia="zh-CN" w:bidi="ar-SA"/>
    </w:rPr>
  </w:style>
  <w:style w:type="paragraph" w:customStyle="1" w:styleId="306">
    <w:name w:val="方案正文"/>
    <w:basedOn w:val="1"/>
    <w:link w:val="305"/>
    <w:qFormat/>
    <w:uiPriority w:val="0"/>
    <w:pPr>
      <w:adjustRightInd w:val="0"/>
      <w:snapToGrid w:val="0"/>
      <w:spacing w:line="560" w:lineRule="exact"/>
      <w:ind w:firstLine="200" w:firstLineChars="200"/>
    </w:pPr>
    <w:rPr>
      <w:rFonts w:eastAsia="仿宋_GB2312"/>
      <w:sz w:val="32"/>
      <w:szCs w:val="24"/>
    </w:rPr>
  </w:style>
  <w:style w:type="character" w:customStyle="1" w:styleId="307">
    <w:name w:val="Char Char81"/>
    <w:uiPriority w:val="0"/>
    <w:rPr>
      <w:rFonts w:ascii="Arial" w:hAnsi="Arial" w:eastAsia="黑体"/>
      <w:b/>
      <w:bCs/>
      <w:kern w:val="2"/>
      <w:sz w:val="32"/>
      <w:szCs w:val="32"/>
      <w:lang w:val="en-US" w:eastAsia="zh-CN" w:bidi="ar-SA"/>
    </w:rPr>
  </w:style>
  <w:style w:type="character" w:customStyle="1" w:styleId="308">
    <w:name w:val="标准正文格式 Char Char"/>
    <w:uiPriority w:val="0"/>
    <w:rPr>
      <w:rFonts w:ascii="宋体" w:eastAsia="仿宋_GB2312" w:cs="宋体"/>
      <w:color w:val="000000"/>
      <w:sz w:val="24"/>
      <w:lang w:val="en-US" w:eastAsia="zh-CN" w:bidi="ar-SA"/>
    </w:rPr>
  </w:style>
  <w:style w:type="character" w:customStyle="1" w:styleId="309">
    <w:name w:val="页脚 Char Char"/>
    <w:uiPriority w:val="0"/>
    <w:rPr>
      <w:kern w:val="2"/>
      <w:sz w:val="18"/>
      <w:szCs w:val="18"/>
      <w:lang w:bidi="ar-SA"/>
    </w:rPr>
  </w:style>
  <w:style w:type="character" w:customStyle="1" w:styleId="310">
    <w:name w:val="Char Char22"/>
    <w:uiPriority w:val="0"/>
    <w:rPr>
      <w:rFonts w:ascii="宋体" w:hAnsi="Courier New" w:eastAsia="宋体"/>
      <w:sz w:val="21"/>
      <w:lang w:val="en-US" w:eastAsia="zh-CN" w:bidi="ar-SA"/>
    </w:rPr>
  </w:style>
  <w:style w:type="character" w:customStyle="1" w:styleId="311">
    <w:name w:val="投标正文 Char"/>
    <w:link w:val="312"/>
    <w:uiPriority w:val="0"/>
    <w:rPr>
      <w:rFonts w:ascii="宋体" w:hAnsi="宋体" w:eastAsia="宋体"/>
      <w:kern w:val="2"/>
      <w:sz w:val="24"/>
      <w:szCs w:val="24"/>
      <w:lang w:val="en-US" w:eastAsia="zh-CN" w:bidi="ar-SA"/>
    </w:rPr>
  </w:style>
  <w:style w:type="paragraph" w:customStyle="1" w:styleId="312">
    <w:name w:val="投标正文"/>
    <w:basedOn w:val="1"/>
    <w:link w:val="311"/>
    <w:qFormat/>
    <w:uiPriority w:val="0"/>
    <w:pPr>
      <w:adjustRightInd w:val="0"/>
      <w:snapToGrid w:val="0"/>
      <w:spacing w:line="360" w:lineRule="auto"/>
      <w:ind w:firstLine="480" w:firstLineChars="200"/>
    </w:pPr>
    <w:rPr>
      <w:rFonts w:ascii="宋体" w:hAnsi="宋体"/>
      <w:sz w:val="24"/>
      <w:szCs w:val="24"/>
    </w:rPr>
  </w:style>
  <w:style w:type="character" w:customStyle="1" w:styleId="313">
    <w:name w:val="封面日期 Char Char"/>
    <w:uiPriority w:val="0"/>
    <w:rPr>
      <w:rFonts w:eastAsia="楷体_GB2312"/>
      <w:kern w:val="2"/>
      <w:sz w:val="32"/>
      <w:lang w:val="en-US" w:eastAsia="zh-CN" w:bidi="ar-SA"/>
    </w:rPr>
  </w:style>
  <w:style w:type="character" w:customStyle="1" w:styleId="314">
    <w:name w:val="正文0缩进 Char"/>
    <w:link w:val="315"/>
    <w:uiPriority w:val="0"/>
    <w:rPr>
      <w:rFonts w:ascii="宋体" w:hAnsi="宋体"/>
      <w:sz w:val="24"/>
      <w:szCs w:val="24"/>
    </w:rPr>
  </w:style>
  <w:style w:type="paragraph" w:customStyle="1" w:styleId="315">
    <w:name w:val="正文0缩进"/>
    <w:basedOn w:val="1"/>
    <w:link w:val="314"/>
    <w:qFormat/>
    <w:uiPriority w:val="0"/>
    <w:pPr>
      <w:spacing w:line="360" w:lineRule="auto"/>
    </w:pPr>
    <w:rPr>
      <w:rFonts w:ascii="宋体" w:hAnsi="宋体"/>
      <w:kern w:val="0"/>
      <w:sz w:val="24"/>
      <w:szCs w:val="24"/>
    </w:rPr>
  </w:style>
  <w:style w:type="character" w:customStyle="1" w:styleId="316">
    <w:name w:val="正文首行缩进 2 Char"/>
    <w:link w:val="317"/>
    <w:uiPriority w:val="0"/>
    <w:rPr>
      <w:rFonts w:eastAsia="仿宋"/>
      <w:sz w:val="24"/>
      <w:szCs w:val="24"/>
    </w:rPr>
  </w:style>
  <w:style w:type="paragraph" w:customStyle="1" w:styleId="317">
    <w:name w:val="正文首行缩进 22"/>
    <w:basedOn w:val="318"/>
    <w:link w:val="316"/>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318">
    <w:name w:val="正文文本缩进1"/>
    <w:basedOn w:val="1"/>
    <w:uiPriority w:val="0"/>
    <w:pPr>
      <w:spacing w:after="120"/>
      <w:ind w:left="420" w:leftChars="200"/>
    </w:pPr>
    <w:rPr>
      <w:rFonts w:cs="黑体"/>
    </w:rPr>
  </w:style>
  <w:style w:type="character" w:customStyle="1" w:styleId="319">
    <w:name w:val="表格中文字 Char"/>
    <w:link w:val="320"/>
    <w:uiPriority w:val="0"/>
    <w:rPr>
      <w:rFonts w:ascii="新宋体" w:hAnsi="新宋体" w:eastAsia="新宋体"/>
      <w:sz w:val="24"/>
      <w:szCs w:val="24"/>
      <w:lang w:bidi="ar-SA"/>
    </w:rPr>
  </w:style>
  <w:style w:type="paragraph" w:customStyle="1" w:styleId="320">
    <w:name w:val="表格中文字"/>
    <w:basedOn w:val="1"/>
    <w:link w:val="319"/>
    <w:uiPriority w:val="0"/>
    <w:pPr>
      <w:spacing w:line="288" w:lineRule="auto"/>
    </w:pPr>
    <w:rPr>
      <w:rFonts w:ascii="新宋体" w:hAnsi="新宋体" w:eastAsia="新宋体"/>
      <w:kern w:val="0"/>
      <w:sz w:val="24"/>
      <w:szCs w:val="24"/>
    </w:rPr>
  </w:style>
  <w:style w:type="character" w:styleId="321">
    <w:name w:val="Placeholder Text"/>
    <w:uiPriority w:val="0"/>
    <w:rPr>
      <w:color w:val="808080"/>
    </w:rPr>
  </w:style>
  <w:style w:type="character" w:customStyle="1" w:styleId="322">
    <w:name w:val="标题4-dyf Char Char"/>
    <w:uiPriority w:val="0"/>
    <w:rPr>
      <w:rFonts w:ascii="Cambria" w:hAnsi="Cambria" w:eastAsia="宋体"/>
      <w:b/>
      <w:bCs/>
      <w:color w:val="000000"/>
      <w:kern w:val="2"/>
      <w:sz w:val="21"/>
      <w:szCs w:val="21"/>
      <w:lang w:val="en-US" w:eastAsia="zh-CN" w:bidi="ar-SA"/>
    </w:rPr>
  </w:style>
  <w:style w:type="character" w:customStyle="1" w:styleId="323">
    <w:name w:val="封面日期 Char Char1"/>
    <w:uiPriority w:val="0"/>
    <w:rPr>
      <w:rFonts w:ascii="Calibri" w:hAnsi="Calibri" w:eastAsia="楷体_GB2312"/>
      <w:kern w:val="2"/>
      <w:sz w:val="32"/>
      <w:lang w:val="en-US" w:eastAsia="zh-CN" w:bidi="ar-SA"/>
    </w:rPr>
  </w:style>
  <w:style w:type="character" w:customStyle="1" w:styleId="324">
    <w:name w:val="viewdoctitle"/>
    <w:basedOn w:val="63"/>
    <w:uiPriority w:val="0"/>
  </w:style>
  <w:style w:type="character" w:customStyle="1" w:styleId="325">
    <w:name w:val="black10"/>
    <w:basedOn w:val="63"/>
    <w:uiPriority w:val="0"/>
  </w:style>
  <w:style w:type="character" w:customStyle="1" w:styleId="326">
    <w:name w:val="Char Char121"/>
    <w:uiPriority w:val="0"/>
    <w:rPr>
      <w:rFonts w:ascii="宋体" w:hAnsi="Courier New" w:eastAsia="宋体" w:cs="Times New Roman"/>
      <w:spacing w:val="-4"/>
      <w:sz w:val="18"/>
      <w:szCs w:val="20"/>
    </w:rPr>
  </w:style>
  <w:style w:type="character" w:customStyle="1" w:styleId="327">
    <w:name w:val="段 Char Char"/>
    <w:link w:val="328"/>
    <w:uiPriority w:val="0"/>
    <w:rPr>
      <w:rFonts w:ascii="宋体" w:hAnsi="Times New Roman"/>
      <w:sz w:val="21"/>
      <w:lang w:val="en-US" w:eastAsia="zh-CN" w:bidi="ar-SA"/>
    </w:rPr>
  </w:style>
  <w:style w:type="paragraph" w:customStyle="1" w:styleId="328">
    <w:name w:val="段"/>
    <w:link w:val="327"/>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9">
    <w:name w:val="f9"/>
    <w:basedOn w:val="63"/>
    <w:uiPriority w:val="0"/>
  </w:style>
  <w:style w:type="character" w:customStyle="1" w:styleId="330">
    <w:name w:val="ZJGIS-四级标题 Char"/>
    <w:link w:val="331"/>
    <w:uiPriority w:val="0"/>
    <w:rPr>
      <w:rFonts w:ascii="Arial" w:hAnsi="Arial" w:eastAsia="仿宋_GB2312" w:cs="Times New Roman"/>
      <w:b/>
      <w:bCs/>
      <w:sz w:val="28"/>
      <w:szCs w:val="28"/>
    </w:rPr>
  </w:style>
  <w:style w:type="paragraph" w:customStyle="1" w:styleId="331">
    <w:name w:val="ZJGIS-四级标题"/>
    <w:basedOn w:val="5"/>
    <w:link w:val="330"/>
    <w:qFormat/>
    <w:uiPriority w:val="0"/>
    <w:pPr>
      <w:numPr>
        <w:ilvl w:val="3"/>
        <w:numId w:val="10"/>
      </w:numPr>
      <w:spacing w:before="120" w:after="120" w:line="240" w:lineRule="auto"/>
    </w:pPr>
    <w:rPr>
      <w:rFonts w:eastAsia="仿宋_GB2312"/>
      <w:kern w:val="0"/>
    </w:rPr>
  </w:style>
  <w:style w:type="character" w:customStyle="1" w:styleId="332">
    <w:name w:val="不明显参考1"/>
    <w:qFormat/>
    <w:uiPriority w:val="31"/>
    <w:rPr>
      <w:smallCaps/>
      <w:color w:val="C0504D"/>
      <w:u w:val="single"/>
    </w:rPr>
  </w:style>
  <w:style w:type="character" w:customStyle="1" w:styleId="333">
    <w:name w:val="样式 样式 正文首行缩进 + 首行缩进:  2 字符 + 首行缩进:  2 字符 Char"/>
    <w:link w:val="334"/>
    <w:uiPriority w:val="0"/>
    <w:rPr>
      <w:rFonts w:cs="宋体"/>
      <w:kern w:val="2"/>
      <w:sz w:val="24"/>
    </w:rPr>
  </w:style>
  <w:style w:type="paragraph" w:customStyle="1" w:styleId="334">
    <w:name w:val="样式 样式 正文首行缩进 + 首行缩进:  2 字符 + 首行缩进:  2 字符"/>
    <w:basedOn w:val="1"/>
    <w:link w:val="333"/>
    <w:qFormat/>
    <w:uiPriority w:val="0"/>
    <w:pPr>
      <w:spacing w:line="440" w:lineRule="exact"/>
      <w:ind w:firstLine="200" w:firstLineChars="200"/>
    </w:pPr>
    <w:rPr>
      <w:sz w:val="24"/>
      <w:szCs w:val="20"/>
    </w:rPr>
  </w:style>
  <w:style w:type="character" w:customStyle="1" w:styleId="335">
    <w:name w:val="Char Char31"/>
    <w:uiPriority w:val="0"/>
    <w:rPr>
      <w:rFonts w:ascii="Arial" w:hAnsi="Arial" w:eastAsia="黑体"/>
      <w:b/>
      <w:kern w:val="2"/>
      <w:sz w:val="32"/>
      <w:lang w:val="en-US" w:eastAsia="zh-CN" w:bidi="ar-SA"/>
    </w:rPr>
  </w:style>
  <w:style w:type="character" w:customStyle="1" w:styleId="336">
    <w:name w:val="b titlename wangputoptitle"/>
    <w:basedOn w:val="63"/>
    <w:uiPriority w:val="0"/>
  </w:style>
  <w:style w:type="character" w:customStyle="1" w:styleId="337">
    <w:name w:val="tw4winExternal"/>
    <w:uiPriority w:val="0"/>
    <w:rPr>
      <w:rFonts w:ascii="Courier New" w:hAnsi="Courier New"/>
      <w:color w:val="808080"/>
    </w:rPr>
  </w:style>
  <w:style w:type="character" w:customStyle="1" w:styleId="338">
    <w:name w:val="glossaryitem"/>
    <w:uiPriority w:val="0"/>
    <w:rPr>
      <w:u w:val="none"/>
    </w:rPr>
  </w:style>
  <w:style w:type="character" w:customStyle="1" w:styleId="339">
    <w:name w:val="title_emph1"/>
    <w:uiPriority w:val="0"/>
    <w:rPr>
      <w:rFonts w:hint="default" w:ascii="Arial" w:hAnsi="Arial" w:cs="Arial"/>
      <w:b/>
      <w:bCs/>
      <w:sz w:val="18"/>
      <w:szCs w:val="18"/>
    </w:rPr>
  </w:style>
  <w:style w:type="character" w:customStyle="1" w:styleId="340">
    <w:name w:val="Char Char1"/>
    <w:uiPriority w:val="0"/>
    <w:rPr>
      <w:kern w:val="2"/>
      <w:sz w:val="18"/>
      <w:szCs w:val="18"/>
    </w:rPr>
  </w:style>
  <w:style w:type="character" w:customStyle="1" w:styleId="341">
    <w:name w:val="正文段落 Char"/>
    <w:link w:val="342"/>
    <w:uiPriority w:val="0"/>
    <w:rPr>
      <w:rFonts w:ascii="Times New Roman" w:hAnsi="Times New Roman"/>
      <w:kern w:val="2"/>
      <w:sz w:val="24"/>
    </w:rPr>
  </w:style>
  <w:style w:type="paragraph" w:customStyle="1" w:styleId="342">
    <w:name w:val="正文段落"/>
    <w:basedOn w:val="1"/>
    <w:link w:val="341"/>
    <w:uiPriority w:val="0"/>
    <w:pPr>
      <w:spacing w:line="300" w:lineRule="auto"/>
      <w:ind w:firstLine="510"/>
    </w:pPr>
    <w:rPr>
      <w:rFonts w:ascii="Times New Roman" w:hAnsi="Times New Roman"/>
      <w:sz w:val="24"/>
      <w:szCs w:val="20"/>
    </w:rPr>
  </w:style>
  <w:style w:type="character" w:customStyle="1" w:styleId="343">
    <w:name w:val="paramname2"/>
    <w:basedOn w:val="63"/>
    <w:uiPriority w:val="0"/>
  </w:style>
  <w:style w:type="character" w:customStyle="1" w:styleId="344">
    <w:name w:val="样式 首行缩进:  2 字符 Char"/>
    <w:link w:val="345"/>
    <w:uiPriority w:val="0"/>
    <w:rPr>
      <w:rFonts w:ascii="宋体" w:hAnsi="宋体" w:eastAsia="宋体" w:cs="Times New Roman"/>
      <w:bCs/>
      <w:color w:val="000000"/>
      <w:sz w:val="24"/>
      <w:szCs w:val="24"/>
    </w:rPr>
  </w:style>
  <w:style w:type="paragraph" w:customStyle="1" w:styleId="345">
    <w:name w:val="样式 首行缩进:  2 字符"/>
    <w:basedOn w:val="1"/>
    <w:link w:val="344"/>
    <w:uiPriority w:val="0"/>
    <w:pPr>
      <w:widowControl/>
      <w:numPr>
        <w:ilvl w:val="0"/>
        <w:numId w:val="11"/>
      </w:numPr>
    </w:pPr>
    <w:rPr>
      <w:rFonts w:ascii="宋体" w:hAnsi="宋体"/>
      <w:bCs/>
      <w:color w:val="000000"/>
      <w:kern w:val="0"/>
      <w:sz w:val="24"/>
      <w:szCs w:val="24"/>
    </w:rPr>
  </w:style>
  <w:style w:type="character" w:customStyle="1" w:styleId="346">
    <w:name w:val="h4 Char2"/>
    <w:uiPriority w:val="0"/>
    <w:rPr>
      <w:rFonts w:ascii="Arial" w:hAnsi="Arial" w:eastAsia="黑体"/>
      <w:b/>
      <w:bCs/>
      <w:kern w:val="2"/>
      <w:sz w:val="28"/>
      <w:szCs w:val="28"/>
      <w:lang w:val="en-US" w:eastAsia="zh-CN" w:bidi="ar-SA"/>
    </w:rPr>
  </w:style>
  <w:style w:type="character" w:customStyle="1" w:styleId="347">
    <w:name w:val="大汉方案正文 Char Char Char"/>
    <w:link w:val="348"/>
    <w:uiPriority w:val="0"/>
    <w:rPr>
      <w:rFonts w:ascii="Arial" w:hAnsi="Arial" w:eastAsia="宋体"/>
      <w:sz w:val="24"/>
      <w:szCs w:val="24"/>
      <w:lang w:bidi="ar-SA"/>
    </w:rPr>
  </w:style>
  <w:style w:type="paragraph" w:customStyle="1" w:styleId="348">
    <w:name w:val="大汉方案正文 Char"/>
    <w:basedOn w:val="1"/>
    <w:link w:val="347"/>
    <w:uiPriority w:val="0"/>
    <w:pPr>
      <w:spacing w:line="360" w:lineRule="auto"/>
      <w:ind w:firstLine="200" w:firstLineChars="200"/>
    </w:pPr>
    <w:rPr>
      <w:rFonts w:ascii="Arial" w:hAnsi="Arial"/>
      <w:kern w:val="0"/>
      <w:sz w:val="24"/>
      <w:szCs w:val="24"/>
    </w:rPr>
  </w:style>
  <w:style w:type="character" w:customStyle="1" w:styleId="349">
    <w:name w:val="表格正文 Char Char"/>
    <w:link w:val="350"/>
    <w:uiPriority w:val="0"/>
    <w:rPr>
      <w:rFonts w:ascii="Times New Roman" w:hAnsi="Times New Roman" w:eastAsia="仿宋_GB2312"/>
      <w:szCs w:val="21"/>
    </w:rPr>
  </w:style>
  <w:style w:type="paragraph" w:customStyle="1" w:styleId="350">
    <w:name w:val="表格正文"/>
    <w:basedOn w:val="1"/>
    <w:link w:val="349"/>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351">
    <w:name w:val="正文标准样式ty Char2"/>
    <w:link w:val="352"/>
    <w:uiPriority w:val="0"/>
    <w:rPr>
      <w:rFonts w:eastAsia="宋体" w:cs="宋体"/>
      <w:kern w:val="2"/>
      <w:sz w:val="24"/>
      <w:lang w:val="en-US" w:eastAsia="zh-CN" w:bidi="ar-SA"/>
    </w:rPr>
  </w:style>
  <w:style w:type="paragraph" w:customStyle="1" w:styleId="352">
    <w:name w:val="正文标准样式ty"/>
    <w:basedOn w:val="1"/>
    <w:link w:val="351"/>
    <w:uiPriority w:val="0"/>
    <w:pPr>
      <w:spacing w:line="360" w:lineRule="auto"/>
      <w:ind w:firstLine="480" w:firstLineChars="200"/>
    </w:pPr>
    <w:rPr>
      <w:rFonts w:cs="宋体"/>
      <w:sz w:val="24"/>
      <w:szCs w:val="20"/>
    </w:rPr>
  </w:style>
  <w:style w:type="character" w:customStyle="1" w:styleId="353">
    <w:name w:val="Char Char13"/>
    <w:uiPriority w:val="0"/>
    <w:rPr>
      <w:rFonts w:ascii="Calibri" w:hAnsi="Calibri" w:eastAsia="宋体" w:cs="Times New Roman"/>
      <w:sz w:val="18"/>
      <w:szCs w:val="18"/>
    </w:rPr>
  </w:style>
  <w:style w:type="character" w:customStyle="1" w:styleId="354">
    <w:name w:val="Char Char71"/>
    <w:uiPriority w:val="0"/>
    <w:rPr>
      <w:rFonts w:eastAsia="宋体"/>
      <w:b/>
      <w:kern w:val="2"/>
      <w:sz w:val="32"/>
      <w:lang w:bidi="ar-SA"/>
    </w:rPr>
  </w:style>
  <w:style w:type="character" w:customStyle="1" w:styleId="355">
    <w:name w:val="Char Char91"/>
    <w:uiPriority w:val="0"/>
    <w:rPr>
      <w:rFonts w:eastAsia="宋体"/>
      <w:b/>
      <w:kern w:val="44"/>
      <w:sz w:val="44"/>
      <w:lang w:bidi="ar-SA"/>
    </w:rPr>
  </w:style>
  <w:style w:type="character" w:customStyle="1" w:styleId="356">
    <w:name w:val="吉奥表格正文 Char"/>
    <w:link w:val="357"/>
    <w:uiPriority w:val="0"/>
    <w:rPr>
      <w:rFonts w:ascii="Times New Roman" w:hAnsi="Times New Roman" w:eastAsia="仿宋_GB2312"/>
      <w:szCs w:val="21"/>
    </w:rPr>
  </w:style>
  <w:style w:type="paragraph" w:customStyle="1" w:styleId="357">
    <w:name w:val="吉奥表格正文"/>
    <w:basedOn w:val="1"/>
    <w:link w:val="356"/>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358">
    <w:name w:val="+SymcPara Char"/>
    <w:link w:val="359"/>
    <w:locked/>
    <w:uiPriority w:val="0"/>
    <w:rPr>
      <w:rFonts w:ascii="宋体" w:hAnsi="宋体" w:cs="Arial"/>
      <w:lang w:val="en-US" w:eastAsia="en-US" w:bidi="ar-SA"/>
    </w:rPr>
  </w:style>
  <w:style w:type="paragraph" w:customStyle="1" w:styleId="359">
    <w:name w:val="+SymcPara"/>
    <w:link w:val="358"/>
    <w:qFormat/>
    <w:uiPriority w:val="0"/>
    <w:pPr>
      <w:overflowPunct w:val="0"/>
      <w:autoSpaceDE w:val="0"/>
      <w:autoSpaceDN w:val="0"/>
      <w:adjustRightInd w:val="0"/>
      <w:spacing w:after="200"/>
      <w:textAlignment w:val="baseline"/>
    </w:pPr>
    <w:rPr>
      <w:rFonts w:ascii="宋体" w:hAnsi="宋体" w:eastAsia="宋体" w:cs="Arial"/>
      <w:lang w:val="en-US" w:eastAsia="en-US" w:bidi="ar-SA"/>
    </w:rPr>
  </w:style>
  <w:style w:type="character" w:customStyle="1" w:styleId="360">
    <w:name w:val="a Char Char"/>
    <w:uiPriority w:val="0"/>
    <w:rPr>
      <w:rFonts w:ascii="宋体" w:hAnsi="宋体" w:eastAsia="仿宋_GB2312"/>
      <w:sz w:val="24"/>
      <w:lang w:val="en-US" w:eastAsia="zh-CN" w:bidi="ar-SA"/>
    </w:rPr>
  </w:style>
  <w:style w:type="character" w:customStyle="1" w:styleId="361">
    <w:name w:val="7.表小四 Char Char"/>
    <w:uiPriority w:val="0"/>
    <w:rPr>
      <w:rFonts w:ascii="宋体" w:hAnsi="宋体" w:eastAsia="宋体"/>
      <w:kern w:val="2"/>
      <w:sz w:val="24"/>
      <w:szCs w:val="24"/>
      <w:lang w:val="en-US" w:eastAsia="zh-CN" w:bidi="ar-SA"/>
    </w:rPr>
  </w:style>
  <w:style w:type="character" w:customStyle="1" w:styleId="362">
    <w:name w:val="ca-16"/>
    <w:basedOn w:val="63"/>
    <w:uiPriority w:val="0"/>
  </w:style>
  <w:style w:type="character" w:customStyle="1" w:styleId="363">
    <w:name w:val="副标题 字符"/>
    <w:link w:val="42"/>
    <w:uiPriority w:val="11"/>
    <w:rPr>
      <w:rFonts w:ascii="Times New Roman" w:hAnsi="Times New Roman" w:eastAsia="Times New Roman"/>
      <w:kern w:val="2"/>
      <w:sz w:val="18"/>
      <w:szCs w:val="18"/>
      <w:lang w:val="en-US" w:eastAsia="zh-CN"/>
    </w:rPr>
  </w:style>
  <w:style w:type="character" w:customStyle="1" w:styleId="364">
    <w:name w:val="正文（缩进） Char"/>
    <w:link w:val="365"/>
    <w:uiPriority w:val="0"/>
    <w:rPr>
      <w:kern w:val="2"/>
      <w:sz w:val="24"/>
      <w:szCs w:val="24"/>
    </w:rPr>
  </w:style>
  <w:style w:type="paragraph" w:customStyle="1" w:styleId="365">
    <w:name w:val="正文（缩进）"/>
    <w:basedOn w:val="1"/>
    <w:link w:val="364"/>
    <w:uiPriority w:val="0"/>
    <w:pPr>
      <w:spacing w:beforeLines="50" w:afterLines="50" w:line="360" w:lineRule="auto"/>
      <w:ind w:firstLine="480" w:firstLineChars="200"/>
    </w:pPr>
    <w:rPr>
      <w:sz w:val="24"/>
      <w:szCs w:val="24"/>
    </w:rPr>
  </w:style>
  <w:style w:type="character" w:customStyle="1" w:styleId="366">
    <w:name w:val="文档正文1 Char"/>
    <w:link w:val="367"/>
    <w:uiPriority w:val="0"/>
    <w:rPr>
      <w:rFonts w:ascii="仿宋_GB2312" w:hAnsi="仿宋" w:eastAsia="仿宋_GB2312"/>
      <w:kern w:val="2"/>
      <w:sz w:val="30"/>
      <w:szCs w:val="30"/>
      <w:lang w:bidi="ar-SA"/>
    </w:rPr>
  </w:style>
  <w:style w:type="paragraph" w:customStyle="1" w:styleId="367">
    <w:name w:val="文档正文1"/>
    <w:basedOn w:val="1"/>
    <w:link w:val="366"/>
    <w:qFormat/>
    <w:uiPriority w:val="0"/>
    <w:pPr>
      <w:spacing w:line="360" w:lineRule="auto"/>
      <w:ind w:firstLine="600"/>
    </w:pPr>
    <w:rPr>
      <w:rFonts w:ascii="仿宋_GB2312" w:hAnsi="仿宋" w:eastAsia="仿宋_GB2312"/>
      <w:sz w:val="30"/>
      <w:szCs w:val="30"/>
    </w:rPr>
  </w:style>
  <w:style w:type="character" w:customStyle="1" w:styleId="368">
    <w:name w:val="正文缩进 字符"/>
    <w:link w:val="17"/>
    <w:uiPriority w:val="0"/>
    <w:rPr>
      <w:rFonts w:eastAsia="宋体"/>
      <w:kern w:val="2"/>
      <w:sz w:val="21"/>
      <w:lang w:val="en-US" w:eastAsia="zh-CN" w:bidi="ar-SA"/>
    </w:rPr>
  </w:style>
  <w:style w:type="character" w:customStyle="1" w:styleId="369">
    <w:name w:val="Indent Normal Char Char"/>
    <w:uiPriority w:val="0"/>
    <w:rPr>
      <w:kern w:val="2"/>
      <w:sz w:val="21"/>
      <w:lang w:bidi="ar-SA"/>
    </w:rPr>
  </w:style>
  <w:style w:type="character" w:customStyle="1" w:styleId="370">
    <w:name w:val="标题 4 Char1"/>
    <w:uiPriority w:val="0"/>
    <w:rPr>
      <w:rFonts w:ascii="Cambria" w:hAnsi="Cambria" w:eastAsia="宋体" w:cs="Times New Roman"/>
      <w:b/>
      <w:bCs/>
      <w:kern w:val="2"/>
      <w:sz w:val="28"/>
      <w:szCs w:val="28"/>
    </w:rPr>
  </w:style>
  <w:style w:type="character" w:customStyle="1" w:styleId="371">
    <w:name w:val="列出段落 Char Char"/>
    <w:uiPriority w:val="0"/>
    <w:rPr>
      <w:rFonts w:ascii="Calibri" w:hAnsi="Calibri" w:eastAsia="宋体"/>
      <w:kern w:val="2"/>
      <w:sz w:val="21"/>
      <w:szCs w:val="24"/>
      <w:lang w:val="en-US" w:eastAsia="zh-CN" w:bidi="ar-SA"/>
    </w:rPr>
  </w:style>
  <w:style w:type="character" w:customStyle="1" w:styleId="372">
    <w:name w:val="mark8"/>
    <w:uiPriority w:val="0"/>
    <w:rPr>
      <w:b/>
      <w:bCs/>
      <w:sz w:val="21"/>
      <w:szCs w:val="21"/>
    </w:rPr>
  </w:style>
  <w:style w:type="character" w:customStyle="1" w:styleId="373">
    <w:name w:val="paragraph1 Char"/>
    <w:link w:val="374"/>
    <w:uiPriority w:val="0"/>
    <w:rPr>
      <w:rFonts w:eastAsia="楷体_GB2312"/>
      <w:kern w:val="2"/>
      <w:sz w:val="24"/>
      <w:lang w:val="en-US" w:eastAsia="zh-CN" w:bidi="ar-SA"/>
    </w:rPr>
  </w:style>
  <w:style w:type="paragraph" w:customStyle="1" w:styleId="374">
    <w:name w:val="paragraph1"/>
    <w:basedOn w:val="1"/>
    <w:link w:val="373"/>
    <w:uiPriority w:val="0"/>
    <w:pPr>
      <w:spacing w:afterLines="30" w:line="360" w:lineRule="auto"/>
      <w:ind w:firstLine="420" w:firstLineChars="200"/>
    </w:pPr>
    <w:rPr>
      <w:rFonts w:eastAsia="楷体_GB2312"/>
      <w:sz w:val="24"/>
      <w:szCs w:val="20"/>
    </w:rPr>
  </w:style>
  <w:style w:type="character" w:customStyle="1" w:styleId="375">
    <w:name w:val="页眉 字符"/>
    <w:link w:val="39"/>
    <w:uiPriority w:val="0"/>
    <w:rPr>
      <w:kern w:val="2"/>
      <w:sz w:val="18"/>
      <w:szCs w:val="18"/>
    </w:rPr>
  </w:style>
  <w:style w:type="character" w:customStyle="1" w:styleId="376">
    <w:name w:val="纯文本 字符"/>
    <w:link w:val="31"/>
    <w:uiPriority w:val="0"/>
    <w:rPr>
      <w:rFonts w:ascii="宋体" w:hAnsi="Courier New"/>
      <w:kern w:val="2"/>
      <w:sz w:val="24"/>
      <w:szCs w:val="24"/>
    </w:rPr>
  </w:style>
  <w:style w:type="character" w:customStyle="1" w:styleId="377">
    <w:name w:val="样式 样式3 + 宋体 五号 Char Char Char Char"/>
    <w:uiPriority w:val="0"/>
    <w:rPr>
      <w:rFonts w:hint="eastAsia" w:ascii="宋体" w:hAnsi="宋体" w:eastAsia="宋体"/>
      <w:b/>
      <w:bCs/>
      <w:kern w:val="2"/>
      <w:sz w:val="21"/>
      <w:szCs w:val="24"/>
      <w:lang w:val="en-US" w:eastAsia="zh-CN" w:bidi="ar-SA"/>
    </w:rPr>
  </w:style>
  <w:style w:type="character" w:customStyle="1" w:styleId="378">
    <w:name w:val="日期 字符"/>
    <w:link w:val="34"/>
    <w:uiPriority w:val="0"/>
    <w:rPr>
      <w:rFonts w:eastAsia="楷体_GB2312"/>
      <w:kern w:val="2"/>
      <w:sz w:val="32"/>
      <w:lang w:val="en-US" w:eastAsia="zh-CN" w:bidi="ar-SA"/>
    </w:rPr>
  </w:style>
  <w:style w:type="character" w:customStyle="1" w:styleId="379">
    <w:name w:val="正文文本 2 字符"/>
    <w:link w:val="50"/>
    <w:uiPriority w:val="0"/>
    <w:rPr>
      <w:rFonts w:ascii="宋体" w:hAnsi="宋体" w:eastAsia="宋体"/>
      <w:color w:val="000000"/>
      <w:kern w:val="2"/>
      <w:sz w:val="24"/>
      <w:szCs w:val="24"/>
      <w:lang w:val="en-US" w:eastAsia="zh-CN" w:bidi="ar-SA"/>
    </w:rPr>
  </w:style>
  <w:style w:type="character" w:customStyle="1" w:styleId="380">
    <w:name w:val="mark"/>
    <w:uiPriority w:val="0"/>
    <w:rPr>
      <w:rFonts w:cs="Times New Roman"/>
    </w:rPr>
  </w:style>
  <w:style w:type="character" w:customStyle="1" w:styleId="381">
    <w:name w:val="Char Char131"/>
    <w:uiPriority w:val="0"/>
    <w:rPr>
      <w:rFonts w:ascii="Calibri" w:hAnsi="Calibri" w:eastAsia="宋体" w:cs="Times New Roman"/>
      <w:sz w:val="18"/>
      <w:szCs w:val="18"/>
    </w:rPr>
  </w:style>
  <w:style w:type="character" w:customStyle="1" w:styleId="382">
    <w:name w:val="Char2 Char"/>
    <w:uiPriority w:val="0"/>
    <w:rPr>
      <w:rFonts w:ascii="Verdana" w:hAnsi="宋体" w:eastAsia="宋体" w:cs="Times New Roman"/>
      <w:sz w:val="28"/>
      <w:szCs w:val="28"/>
    </w:rPr>
  </w:style>
  <w:style w:type="character" w:customStyle="1" w:styleId="383">
    <w:name w:val="页眉 Char"/>
    <w:uiPriority w:val="99"/>
    <w:rPr>
      <w:kern w:val="2"/>
      <w:sz w:val="18"/>
      <w:szCs w:val="18"/>
      <w:lang w:bidi="ar-SA"/>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uiPriority w:val="0"/>
    <w:pPr>
      <w:spacing w:line="360" w:lineRule="auto"/>
      <w:ind w:firstLine="480" w:firstLineChars="200"/>
      <w:jc w:val="left"/>
    </w:pPr>
    <w:rPr>
      <w:kern w:val="0"/>
      <w:sz w:val="24"/>
      <w:szCs w:val="20"/>
    </w:rPr>
  </w:style>
  <w:style w:type="character" w:customStyle="1" w:styleId="386">
    <w:name w:val="paramname3"/>
    <w:uiPriority w:val="0"/>
    <w:rPr>
      <w:color w:val="999999"/>
    </w:rPr>
  </w:style>
  <w:style w:type="character" w:customStyle="1" w:styleId="387">
    <w:name w:val="Char Char41"/>
    <w:uiPriority w:val="0"/>
    <w:rPr>
      <w:rFonts w:ascii="Calibri" w:hAnsi="Calibri" w:eastAsia="宋体"/>
      <w:sz w:val="18"/>
      <w:szCs w:val="18"/>
      <w:lang w:bidi="ar-SA"/>
    </w:rPr>
  </w:style>
  <w:style w:type="character" w:customStyle="1" w:styleId="388">
    <w:name w:val="华电 正文 Char Char"/>
    <w:uiPriority w:val="0"/>
    <w:rPr>
      <w:rFonts w:ascii="宋体" w:hAnsi="宋体" w:eastAsia="宋体"/>
      <w:sz w:val="22"/>
      <w:lang w:bidi="ar-SA"/>
    </w:rPr>
  </w:style>
  <w:style w:type="character" w:customStyle="1" w:styleId="389">
    <w:name w:val="Char Char"/>
    <w:uiPriority w:val="0"/>
    <w:rPr>
      <w:rFonts w:ascii="Arial" w:hAnsi="Arial" w:eastAsia="黑体"/>
      <w:b/>
      <w:bCs/>
      <w:kern w:val="2"/>
      <w:sz w:val="28"/>
      <w:szCs w:val="28"/>
      <w:lang w:val="en-US" w:eastAsia="zh-CN" w:bidi="ar-SA"/>
    </w:rPr>
  </w:style>
  <w:style w:type="paragraph" w:customStyle="1" w:styleId="390">
    <w:name w:val="表文字"/>
    <w:uiPriority w:val="0"/>
    <w:rPr>
      <w:rFonts w:ascii="宋体" w:hAnsi="Times New Roman" w:eastAsia="宋体" w:cs="Times New Roman"/>
      <w:kern w:val="2"/>
      <w:lang w:val="en-US" w:eastAsia="zh-CN" w:bidi="ar-SA"/>
    </w:rPr>
  </w:style>
  <w:style w:type="paragraph" w:customStyle="1" w:styleId="391">
    <w:name w:val="样式 标题 2Chapter X.X. Statementh22Header 2l2Level 2 Headhea..."/>
    <w:basedOn w:val="3"/>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uiPriority w:val="0"/>
    <w:pPr>
      <w:spacing w:afterLines="50"/>
      <w:ind w:left="720"/>
      <w:jc w:val="left"/>
    </w:pPr>
    <w:rPr>
      <w:rFonts w:ascii="宋体" w:hAnsi="Times New Roman"/>
      <w:i/>
      <w:snapToGrid w:val="0"/>
      <w:color w:val="0000FF"/>
      <w:kern w:val="0"/>
      <w:szCs w:val="20"/>
    </w:rPr>
  </w:style>
  <w:style w:type="paragraph" w:customStyle="1" w:styleId="396">
    <w:name w:val="正文缩进2字符"/>
    <w:basedOn w:val="315"/>
    <w:qFormat/>
    <w:uiPriority w:val="0"/>
    <w:pPr>
      <w:ind w:firstLine="480" w:firstLineChars="200"/>
    </w:pPr>
  </w:style>
  <w:style w:type="paragraph" w:customStyle="1" w:styleId="397">
    <w:name w:val="正文段"/>
    <w:basedOn w:val="1"/>
    <w:uiPriority w:val="0"/>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uiPriority w:val="0"/>
    <w:pPr>
      <w:spacing w:line="360" w:lineRule="auto"/>
      <w:ind w:firstLine="560" w:firstLineChars="200"/>
    </w:pPr>
    <w:rPr>
      <w:rFonts w:ascii="仿宋" w:hAnsi="宋体" w:eastAsia="仿宋" w:cs="宋体"/>
      <w:sz w:val="28"/>
      <w:szCs w:val="20"/>
    </w:rPr>
  </w:style>
  <w:style w:type="paragraph" w:customStyle="1" w:styleId="399">
    <w:name w:val="msolistparagraph"/>
    <w:basedOn w:val="1"/>
    <w:uiPriority w:val="0"/>
    <w:pPr>
      <w:ind w:firstLine="420" w:firstLineChars="200"/>
    </w:pPr>
  </w:style>
  <w:style w:type="paragraph" w:customStyle="1" w:styleId="400">
    <w:name w:val="15"/>
    <w:basedOn w:val="1"/>
    <w:uiPriority w:val="0"/>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0"/>
    <w:pPr>
      <w:spacing w:line="288" w:lineRule="auto"/>
      <w:jc w:val="center"/>
    </w:pPr>
    <w:rPr>
      <w:rFonts w:ascii="新宋体" w:hAnsi="Times New Roman" w:eastAsia="新宋体"/>
      <w:sz w:val="24"/>
      <w:szCs w:val="24"/>
    </w:rPr>
  </w:style>
  <w:style w:type="paragraph" w:customStyle="1" w:styleId="402">
    <w:name w:val="xl76"/>
    <w:basedOn w:val="1"/>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uiPriority w:val="0"/>
    <w:pPr>
      <w:spacing w:afterLines="50"/>
      <w:ind w:left="720" w:hanging="432"/>
      <w:jc w:val="left"/>
    </w:pPr>
    <w:rPr>
      <w:rFonts w:ascii="宋体" w:hAnsi="Times New Roman"/>
      <w:snapToGrid w:val="0"/>
      <w:kern w:val="0"/>
      <w:szCs w:val="20"/>
    </w:rPr>
  </w:style>
  <w:style w:type="paragraph" w:customStyle="1" w:styleId="404">
    <w:name w:val="S4-I-L15-U"/>
    <w:basedOn w:val="1"/>
    <w:uiPriority w:val="0"/>
    <w:pPr>
      <w:spacing w:line="360" w:lineRule="auto"/>
    </w:pPr>
    <w:rPr>
      <w:rFonts w:ascii="Times New Roman" w:hAnsi="Times New Roman"/>
      <w:b/>
      <w:i/>
      <w:sz w:val="24"/>
      <w:szCs w:val="24"/>
      <w:u w:val="single"/>
    </w:rPr>
  </w:style>
  <w:style w:type="paragraph" w:customStyle="1" w:styleId="405">
    <w:name w:val="xl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uiPriority w:val="0"/>
    <w:pPr>
      <w:spacing w:after="120"/>
    </w:pPr>
    <w:rPr>
      <w:rFonts w:ascii="Times New Roman" w:hAnsi="Times New Roman"/>
      <w:sz w:val="28"/>
      <w:szCs w:val="24"/>
    </w:rPr>
  </w:style>
  <w:style w:type="paragraph" w:customStyle="1" w:styleId="407">
    <w:name w:val="xl70"/>
    <w:basedOn w:val="1"/>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uiPriority w:val="0"/>
    <w:pPr>
      <w:adjustRightInd w:val="0"/>
      <w:snapToGrid w:val="0"/>
      <w:spacing w:line="400" w:lineRule="atLeast"/>
      <w:ind w:firstLine="200" w:firstLineChars="200"/>
    </w:pPr>
    <w:rPr>
      <w:rFonts w:ascii="宋体" w:hAnsi="Times New Roman"/>
      <w:szCs w:val="24"/>
    </w:rPr>
  </w:style>
  <w:style w:type="paragraph" w:customStyle="1" w:styleId="409">
    <w:name w:val="tab0/2"/>
    <w:basedOn w:val="1"/>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uiPriority w:val="0"/>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0"/>
    <w:pPr>
      <w:spacing w:line="360" w:lineRule="auto"/>
      <w:jc w:val="center"/>
    </w:pPr>
    <w:rPr>
      <w:rFonts w:ascii="宋体" w:hAnsi="宋体"/>
      <w:b/>
      <w:sz w:val="24"/>
      <w:szCs w:val="24"/>
    </w:rPr>
  </w:style>
  <w:style w:type="paragraph" w:customStyle="1" w:styleId="412">
    <w:name w:val="Char"/>
    <w:basedOn w:val="1"/>
    <w:uiPriority w:val="0"/>
    <w:rPr>
      <w:rFonts w:ascii="仿宋_GB2312" w:hAnsi="Times New Roman" w:eastAsia="仿宋_GB2312"/>
      <w:b/>
      <w:sz w:val="32"/>
      <w:szCs w:val="32"/>
    </w:rPr>
  </w:style>
  <w:style w:type="paragraph" w:customStyle="1" w:styleId="413">
    <w:name w:val="font11"/>
    <w:basedOn w:val="1"/>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uiPriority w:val="0"/>
    <w:pPr>
      <w:widowControl w:val="0"/>
      <w:spacing w:line="240" w:lineRule="exact"/>
      <w:ind w:left="-105" w:leftChars="-50" w:right="-105" w:rightChars="-50"/>
      <w:jc w:val="center"/>
    </w:pPr>
    <w:rPr>
      <w:rFonts w:ascii="Times New Roman" w:hAnsi="Times New Roman" w:eastAsia="宋体" w:cs="Times New Roman"/>
      <w:bCs/>
      <w:sz w:val="18"/>
      <w:szCs w:val="18"/>
      <w:lang w:val="en-US" w:eastAsia="zh-CN" w:bidi="ar-SA"/>
    </w:rPr>
  </w:style>
  <w:style w:type="paragraph" w:customStyle="1" w:styleId="415">
    <w:name w:val="图表"/>
    <w:basedOn w:val="1"/>
    <w:uiPriority w:val="0"/>
    <w:pPr>
      <w:adjustRightInd w:val="0"/>
      <w:snapToGrid w:val="0"/>
      <w:jc w:val="center"/>
    </w:pPr>
    <w:rPr>
      <w:rFonts w:ascii="宋体" w:hAnsi="宋体"/>
      <w:szCs w:val="21"/>
    </w:rPr>
  </w:style>
  <w:style w:type="paragraph" w:customStyle="1" w:styleId="416">
    <w:name w:val="正文浙江中烟安全"/>
    <w:basedOn w:val="1"/>
    <w:uiPriority w:val="0"/>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418">
    <w:name w:val="af17cgridlangnp1033langf"/>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19">
    <w:name w:val="样式 样式 正文文本缩进 + 仿宋_GB2312 小四 首行缩进:  0 厘米 行距: 1.5 倍行距 + (中文) 仿宋_GB..."/>
    <w:basedOn w:val="420"/>
    <w:uiPriority w:val="0"/>
    <w:pPr>
      <w:ind w:firstLine="480" w:firstLineChars="200"/>
    </w:pPr>
  </w:style>
  <w:style w:type="paragraph" w:customStyle="1" w:styleId="420">
    <w:name w:val="样式 正文文本缩进 + 仿宋_GB2312 小四 首行缩进:  0 厘米 行距: 1.5 倍行距"/>
    <w:basedOn w:val="25"/>
    <w:uiPriority w:val="0"/>
    <w:pPr>
      <w:spacing w:line="360" w:lineRule="auto"/>
      <w:ind w:firstLine="0"/>
    </w:pPr>
    <w:rPr>
      <w:rFonts w:ascii="仿宋_GB2312" w:hAnsi="Times New Roman" w:eastAsia="新宋体"/>
      <w:spacing w:val="0"/>
      <w:sz w:val="24"/>
    </w:rPr>
  </w:style>
  <w:style w:type="paragraph" w:customStyle="1" w:styleId="421">
    <w:name w:val="xl86"/>
    <w:basedOn w:val="1"/>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08"/>
    <w:qFormat/>
    <w:uiPriority w:val="0"/>
    <w:pPr>
      <w:ind w:firstLine="562"/>
    </w:pPr>
    <w:rPr>
      <w:rFonts w:ascii="仿宋_GB2312" w:eastAsia="仿宋_GB2312"/>
      <w:b/>
      <w:sz w:val="28"/>
      <w:szCs w:val="28"/>
    </w:rPr>
  </w:style>
  <w:style w:type="paragraph" w:customStyle="1" w:styleId="423">
    <w:name w:val="图名"/>
    <w:basedOn w:val="18"/>
    <w:qFormat/>
    <w:uiPriority w:val="0"/>
    <w:pPr>
      <w:spacing w:beforeLines="50" w:afterLines="50"/>
      <w:jc w:val="center"/>
    </w:pPr>
    <w:rPr>
      <w:rFonts w:ascii="Times New Roman" w:hAnsi="Times New Roman"/>
      <w:kern w:val="0"/>
      <w:sz w:val="24"/>
      <w:szCs w:val="24"/>
    </w:rPr>
  </w:style>
  <w:style w:type="paragraph" w:styleId="42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uiPriority w:val="0"/>
    <w:pPr>
      <w:autoSpaceDE w:val="0"/>
      <w:autoSpaceDN w:val="0"/>
      <w:adjustRightInd w:val="0"/>
      <w:spacing w:line="360" w:lineRule="auto"/>
    </w:pPr>
    <w:rPr>
      <w:rFonts w:hint="eastAsia" w:ascii="宋体" w:hAnsi="宋体"/>
      <w:sz w:val="24"/>
      <w:szCs w:val="20"/>
    </w:rPr>
  </w:style>
  <w:style w:type="paragraph" w:customStyle="1" w:styleId="428">
    <w:name w:val="xl1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uiPriority w:val="0"/>
    <w:pPr>
      <w:spacing w:before="120"/>
      <w:jc w:val="right"/>
    </w:pPr>
    <w:rPr>
      <w:rFonts w:ascii="Times New Roman" w:hAnsi="Times New Roman" w:eastAsia="宋体" w:cs="Times New Roman"/>
      <w:sz w:val="18"/>
      <w:lang w:val="en-US" w:eastAsia="zh-CN" w:bidi="ar-SA"/>
    </w:rPr>
  </w:style>
  <w:style w:type="paragraph" w:customStyle="1" w:styleId="431">
    <w:name w:val="文档正文 Char"/>
    <w:basedOn w:val="1"/>
    <w:uiPriority w:val="0"/>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uiPriority w:val="0"/>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qFormat/>
    <w:uiPriority w:val="0"/>
    <w:pPr>
      <w:spacing w:beforeLines="50" w:afterLines="50"/>
      <w:jc w:val="center"/>
    </w:pPr>
    <w:rPr>
      <w:rFonts w:ascii="黑体"/>
      <w:kern w:val="0"/>
      <w:sz w:val="24"/>
      <w:szCs w:val="24"/>
    </w:rPr>
  </w:style>
  <w:style w:type="paragraph" w:customStyle="1" w:styleId="434">
    <w:name w:val="Char Char Char"/>
    <w:basedOn w:val="1"/>
    <w:uiPriority w:val="0"/>
    <w:rPr>
      <w:rFonts w:ascii="Tahoma" w:hAnsi="Tahoma"/>
      <w:sz w:val="24"/>
      <w:szCs w:val="20"/>
    </w:rPr>
  </w:style>
  <w:style w:type="paragraph" w:customStyle="1" w:styleId="435">
    <w:name w:val="样式 样式 标题 4 + 段后: 0.5 行1"/>
    <w:basedOn w:val="436"/>
    <w:next w:val="36"/>
    <w:uiPriority w:val="0"/>
    <w:pPr>
      <w:numPr>
        <w:ilvl w:val="1"/>
        <w:numId w:val="5"/>
      </w:numPr>
      <w:tabs>
        <w:tab w:val="left" w:pos="2040"/>
      </w:tabs>
      <w:spacing w:after="120"/>
      <w:ind w:left="0" w:firstLine="0"/>
    </w:pPr>
  </w:style>
  <w:style w:type="paragraph" w:customStyle="1" w:styleId="436">
    <w:name w:val="样式 标题 4 + 段后: 0.5 行"/>
    <w:basedOn w:val="5"/>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3"/>
    <w:next w:val="1"/>
    <w:uiPriority w:val="0"/>
    <w:pPr>
      <w:tabs>
        <w:tab w:val="left" w:pos="709"/>
      </w:tabs>
      <w:spacing w:line="360" w:lineRule="auto"/>
    </w:pPr>
    <w:rPr>
      <w:rFonts w:ascii="Times New Roman" w:hAnsi="Times New Roman"/>
      <w:kern w:val="0"/>
      <w:sz w:val="28"/>
      <w:szCs w:val="28"/>
    </w:rPr>
  </w:style>
  <w:style w:type="paragraph" w:customStyle="1" w:styleId="438">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uiPriority w:val="0"/>
    <w:pPr>
      <w:ind w:left="1890" w:leftChars="900"/>
    </w:pPr>
    <w:rPr>
      <w:rFonts w:ascii="Times New Roman" w:hAnsi="Times New Roman"/>
      <w:sz w:val="24"/>
      <w:szCs w:val="24"/>
    </w:rPr>
  </w:style>
  <w:style w:type="paragraph" w:customStyle="1" w:styleId="440">
    <w:name w:val="linyang-正文"/>
    <w:basedOn w:val="1"/>
    <w:uiPriority w:val="0"/>
    <w:pPr>
      <w:spacing w:before="120" w:after="120" w:line="400" w:lineRule="exact"/>
      <w:ind w:firstLine="200" w:firstLineChars="200"/>
    </w:pPr>
    <w:rPr>
      <w:rFonts w:ascii="Times New Roman" w:hAnsi="Times New Roman"/>
      <w:sz w:val="24"/>
      <w:szCs w:val="24"/>
    </w:rPr>
  </w:style>
  <w:style w:type="paragraph" w:customStyle="1" w:styleId="441">
    <w:name w:val="标题2"/>
    <w:basedOn w:val="3"/>
    <w:next w:val="4"/>
    <w:uiPriority w:val="0"/>
    <w:pPr>
      <w:numPr>
        <w:ilvl w:val="1"/>
        <w:numId w:val="13"/>
      </w:numPr>
      <w:spacing w:beforeLines="100" w:afterLines="100" w:line="360" w:lineRule="auto"/>
    </w:pPr>
    <w:rPr>
      <w:rFonts w:ascii="Times New Roman" w:hAnsi="Times New Roman"/>
      <w:sz w:val="30"/>
    </w:rPr>
  </w:style>
  <w:style w:type="paragraph" w:customStyle="1" w:styleId="442">
    <w:name w:val="text"/>
    <w:basedOn w:val="1"/>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uiPriority w:val="0"/>
    <w:pPr>
      <w:shd w:val="clear" w:color="auto" w:fill="000080"/>
    </w:pPr>
    <w:rPr>
      <w:rFonts w:ascii="Tahoma" w:hAnsi="Tahoma" w:cs="Tahoma"/>
      <w:kern w:val="0"/>
      <w:szCs w:val="24"/>
    </w:rPr>
  </w:style>
  <w:style w:type="paragraph" w:customStyle="1" w:styleId="444">
    <w:name w:val="xl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uiPriority w:val="0"/>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uiPriority w:val="0"/>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uiPriority w:val="0"/>
    <w:pPr>
      <w:widowControl/>
      <w:spacing w:before="100" w:beforeAutospacing="1" w:after="100" w:afterAutospacing="1"/>
    </w:pPr>
    <w:rPr>
      <w:rFonts w:ascii="宋体" w:hAnsi="宋体" w:cs="宋体"/>
      <w:color w:val="000000"/>
      <w:kern w:val="0"/>
      <w:szCs w:val="21"/>
    </w:rPr>
  </w:style>
  <w:style w:type="paragraph" w:customStyle="1" w:styleId="451">
    <w:name w:val="S4-L15-C"/>
    <w:basedOn w:val="1"/>
    <w:uiPriority w:val="0"/>
    <w:pPr>
      <w:spacing w:after="120" w:line="360" w:lineRule="auto"/>
      <w:jc w:val="center"/>
    </w:pPr>
    <w:rPr>
      <w:rFonts w:ascii="Times New Roman" w:hAnsi="Times New Roman"/>
      <w:szCs w:val="21"/>
    </w:rPr>
  </w:style>
  <w:style w:type="paragraph" w:customStyle="1" w:styleId="452">
    <w:name w:val="P2"/>
    <w:basedOn w:val="1"/>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uiPriority w:val="0"/>
    <w:pPr>
      <w:spacing w:beforeLines="0" w:afterLines="0" w:line="360" w:lineRule="auto"/>
    </w:pPr>
    <w:rPr>
      <w:b/>
      <w:sz w:val="30"/>
      <w:szCs w:val="20"/>
    </w:rPr>
  </w:style>
  <w:style w:type="paragraph" w:customStyle="1" w:styleId="455">
    <w:name w:val="Normal0"/>
    <w:uiPriority w:val="0"/>
    <w:rPr>
      <w:rFonts w:ascii="Times New Roman" w:hAnsi="Times New Roman" w:eastAsia="宋体" w:cs="Times New Roman"/>
      <w:lang w:val="en-US" w:eastAsia="en-US" w:bidi="ar-SA"/>
    </w:rPr>
  </w:style>
  <w:style w:type="paragraph" w:customStyle="1" w:styleId="456">
    <w:name w:val="Char6"/>
    <w:basedOn w:val="1"/>
    <w:uiPriority w:val="0"/>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uiPriority w:val="0"/>
    <w:rPr>
      <w:rFonts w:ascii="Arial" w:hAnsi="Arial"/>
      <w:sz w:val="30"/>
    </w:rPr>
  </w:style>
  <w:style w:type="paragraph" w:customStyle="1" w:styleId="458">
    <w:name w:val="书籍标题3"/>
    <w:basedOn w:val="1"/>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uiPriority w:val="0"/>
    <w:pPr>
      <w:spacing w:beforeLines="20" w:afterLines="20"/>
    </w:pPr>
    <w:rPr>
      <w:rFonts w:ascii="楷体_GB2312" w:hAnsi="宋体" w:eastAsia="楷体_GB2312" w:cs="Arial"/>
      <w:kern w:val="0"/>
      <w:sz w:val="24"/>
      <w:szCs w:val="24"/>
    </w:rPr>
  </w:style>
  <w:style w:type="paragraph" w:customStyle="1" w:styleId="460">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uiPriority w:val="0"/>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uiPriority w:val="0"/>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uiPriority w:val="0"/>
    <w:pPr>
      <w:widowControl/>
      <w:spacing w:before="100" w:beforeAutospacing="1" w:after="100" w:afterAutospacing="1"/>
      <w:jc w:val="left"/>
    </w:pPr>
    <w:rPr>
      <w:rFonts w:ascii="宋体" w:hAnsi="宋体"/>
      <w:kern w:val="0"/>
      <w:sz w:val="24"/>
      <w:szCs w:val="20"/>
    </w:rPr>
  </w:style>
  <w:style w:type="paragraph" w:customStyle="1" w:styleId="467">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uiPriority w:val="0"/>
    <w:pPr>
      <w:ind w:firstLine="420"/>
    </w:pPr>
    <w:rPr>
      <w:rFonts w:ascii="Times New Roman" w:hAnsi="Times New Roman"/>
      <w:szCs w:val="20"/>
    </w:rPr>
  </w:style>
  <w:style w:type="paragraph" w:customStyle="1" w:styleId="469">
    <w:name w:val="pa-17"/>
    <w:basedOn w:val="1"/>
    <w:uiPriority w:val="0"/>
    <w:pPr>
      <w:widowControl/>
      <w:spacing w:before="150" w:after="150"/>
      <w:jc w:val="left"/>
    </w:pPr>
    <w:rPr>
      <w:rFonts w:ascii="宋体" w:hAnsi="宋体" w:cs="宋体"/>
      <w:kern w:val="0"/>
      <w:sz w:val="24"/>
      <w:szCs w:val="24"/>
    </w:rPr>
  </w:style>
  <w:style w:type="paragraph" w:customStyle="1" w:styleId="470">
    <w:name w:val="小四 段落 宋体 Char Char"/>
    <w:basedOn w:val="1"/>
    <w:uiPriority w:val="0"/>
    <w:pPr>
      <w:spacing w:line="360" w:lineRule="auto"/>
      <w:ind w:firstLine="480" w:firstLineChars="200"/>
    </w:pPr>
    <w:rPr>
      <w:rFonts w:ascii="宋体" w:hAnsi="宋体"/>
      <w:sz w:val="24"/>
      <w:szCs w:val="24"/>
    </w:rPr>
  </w:style>
  <w:style w:type="paragraph" w:customStyle="1" w:styleId="471">
    <w:name w:val="Char9"/>
    <w:basedOn w:val="1"/>
    <w:uiPriority w:val="0"/>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uiPriority w:val="0"/>
    <w:pPr>
      <w:spacing w:beforeLines="50" w:line="360" w:lineRule="exact"/>
      <w:ind w:firstLine="200" w:firstLineChars="200"/>
    </w:pPr>
    <w:rPr>
      <w:rFonts w:ascii="宋体" w:hAnsi="Times New Roman" w:cs="宋体"/>
      <w:bCs/>
      <w:kern w:val="0"/>
      <w:sz w:val="24"/>
    </w:rPr>
  </w:style>
  <w:style w:type="paragraph" w:customStyle="1" w:styleId="473">
    <w:name w:val="批注主题11"/>
    <w:basedOn w:val="21"/>
    <w:next w:val="21"/>
    <w:uiPriority w:val="0"/>
    <w:rPr>
      <w:b/>
      <w:bCs/>
      <w:kern w:val="0"/>
      <w:sz w:val="20"/>
      <w:szCs w:val="20"/>
    </w:rPr>
  </w:style>
  <w:style w:type="paragraph" w:customStyle="1" w:styleId="474">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uiPriority w:val="0"/>
    <w:pPr>
      <w:tabs>
        <w:tab w:val="left" w:pos="1140"/>
      </w:tabs>
      <w:spacing w:after="120"/>
    </w:pPr>
    <w:rPr>
      <w:bCs/>
    </w:rPr>
  </w:style>
  <w:style w:type="paragraph" w:customStyle="1" w:styleId="476">
    <w:name w:val="样式 标题1"/>
    <w:basedOn w:val="477"/>
    <w:next w:val="478"/>
    <w:uiPriority w:val="0"/>
    <w:pPr>
      <w:tabs>
        <w:tab w:val="left" w:pos="1140"/>
      </w:tabs>
      <w:spacing w:after="50"/>
      <w:ind w:left="1140" w:hanging="720"/>
    </w:pPr>
    <w:rPr>
      <w:bCs w:val="0"/>
      <w:sz w:val="32"/>
    </w:rPr>
  </w:style>
  <w:style w:type="paragraph" w:customStyle="1" w:styleId="477">
    <w:name w:val="样式 标题 1 + 段后: 0.5 行"/>
    <w:basedOn w:val="2"/>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uiPriority w:val="0"/>
    <w:pPr>
      <w:spacing w:after="120"/>
    </w:pPr>
  </w:style>
  <w:style w:type="paragraph" w:customStyle="1" w:styleId="479">
    <w:name w:val="样式 标题 2"/>
    <w:basedOn w:val="3"/>
    <w:next w:val="480"/>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uiPriority w:val="0"/>
    <w:pPr>
      <w:spacing w:after="120"/>
    </w:pPr>
  </w:style>
  <w:style w:type="paragraph" w:customStyle="1" w:styleId="481">
    <w:name w:val="样式 标题 3"/>
    <w:basedOn w:val="4"/>
    <w:next w:val="482"/>
    <w:uiPriority w:val="0"/>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uiPriority w:val="0"/>
    <w:pPr>
      <w:tabs>
        <w:tab w:val="left" w:pos="864"/>
        <w:tab w:val="left" w:pos="2040"/>
        <w:tab w:val="left" w:pos="2100"/>
      </w:tabs>
      <w:spacing w:after="120"/>
      <w:ind w:left="0" w:firstLine="0"/>
    </w:pPr>
  </w:style>
  <w:style w:type="paragraph" w:customStyle="1" w:styleId="483">
    <w:name w:val="样式 标题 4"/>
    <w:basedOn w:val="484"/>
    <w:next w:val="485"/>
    <w:uiPriority w:val="0"/>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uiPriority w:val="0"/>
    <w:pPr>
      <w:numPr>
        <w:numId w:val="0"/>
      </w:numPr>
      <w:tabs>
        <w:tab w:val="left" w:pos="864"/>
      </w:tabs>
      <w:spacing w:after="120"/>
      <w:ind w:left="864" w:hanging="864"/>
    </w:pPr>
  </w:style>
  <w:style w:type="paragraph" w:customStyle="1" w:styleId="485">
    <w:name w:val="样式 正文"/>
    <w:basedOn w:val="1"/>
    <w:next w:val="1"/>
    <w:uiPriority w:val="0"/>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7">
    <w:name w:val="_Style 1481"/>
    <w:next w:val="1"/>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2"/>
    <w:uiPriority w:val="0"/>
    <w:pPr>
      <w:keepNext/>
      <w:keepLines/>
      <w:autoSpaceDE/>
      <w:autoSpaceDN/>
      <w:adjustRightInd/>
      <w:spacing w:after="120"/>
      <w:jc w:val="both"/>
    </w:pPr>
    <w:rPr>
      <w:rFonts w:ascii="黑体" w:eastAsia="黑体" w:cs="宋体"/>
      <w:kern w:val="44"/>
    </w:rPr>
  </w:style>
  <w:style w:type="paragraph" w:customStyle="1" w:styleId="489">
    <w:name w:val="Paragraph1"/>
    <w:basedOn w:val="1"/>
    <w:uiPriority w:val="0"/>
    <w:pPr>
      <w:spacing w:before="80" w:afterLines="50"/>
    </w:pPr>
    <w:rPr>
      <w:rFonts w:ascii="宋体" w:hAnsi="Times New Roman"/>
      <w:snapToGrid w:val="0"/>
      <w:kern w:val="0"/>
      <w:szCs w:val="20"/>
    </w:rPr>
  </w:style>
  <w:style w:type="paragraph" w:customStyle="1" w:styleId="490">
    <w:name w:val="4"/>
    <w:basedOn w:val="1"/>
    <w:uiPriority w:val="0"/>
  </w:style>
  <w:style w:type="paragraph" w:customStyle="1" w:styleId="491">
    <w:name w:val="ZJGIS-一级标题"/>
    <w:basedOn w:val="2"/>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uiPriority w:val="99"/>
    <w:rPr>
      <w:rFonts w:ascii="Calibri" w:hAnsi="Calibri" w:eastAsia="宋体" w:cs="Times New Roman"/>
      <w:kern w:val="2"/>
      <w:sz w:val="21"/>
      <w:szCs w:val="22"/>
      <w:lang w:val="en-US" w:eastAsia="zh-CN" w:bidi="ar-SA"/>
    </w:rPr>
  </w:style>
  <w:style w:type="paragraph" w:customStyle="1" w:styleId="493">
    <w:name w:val="xl77"/>
    <w:basedOn w:val="1"/>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uiPriority w:val="0"/>
    <w:pPr>
      <w:widowControl/>
      <w:spacing w:after="160" w:line="240" w:lineRule="exact"/>
      <w:jc w:val="left"/>
    </w:pPr>
    <w:rPr>
      <w:rFonts w:ascii="Verdana" w:hAnsi="Verdana"/>
      <w:kern w:val="0"/>
      <w:sz w:val="20"/>
      <w:szCs w:val="20"/>
      <w:lang w:eastAsia="en-US"/>
    </w:rPr>
  </w:style>
  <w:style w:type="paragraph" w:customStyle="1" w:styleId="497">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499">
    <w:name w:val="Char4"/>
    <w:basedOn w:val="1"/>
    <w:uiPriority w:val="0"/>
    <w:pPr>
      <w:tabs>
        <w:tab w:val="left" w:pos="432"/>
      </w:tabs>
      <w:ind w:left="432" w:hanging="432"/>
    </w:pPr>
    <w:rPr>
      <w:rFonts w:ascii="Times New Roman" w:hAnsi="Times New Roman"/>
      <w:sz w:val="24"/>
      <w:szCs w:val="24"/>
    </w:rPr>
  </w:style>
  <w:style w:type="paragraph" w:customStyle="1" w:styleId="500">
    <w:name w:val="table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uiPriority w:val="0"/>
    <w:pPr>
      <w:spacing w:beforeLines="50" w:after="120" w:line="300" w:lineRule="auto"/>
      <w:ind w:firstLine="480"/>
    </w:pPr>
    <w:rPr>
      <w:rFonts w:ascii="Helvetica" w:hAnsi="Helvetica"/>
      <w:kern w:val="0"/>
      <w:sz w:val="24"/>
      <w:szCs w:val="24"/>
    </w:rPr>
  </w:style>
  <w:style w:type="paragraph" w:customStyle="1" w:styleId="502">
    <w:name w:val="xl9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uiPriority w:val="0"/>
    <w:pPr>
      <w:tabs>
        <w:tab w:val="left" w:pos="840"/>
      </w:tabs>
      <w:spacing w:afterLines="50" w:line="360" w:lineRule="auto"/>
      <w:ind w:right="240"/>
      <w:jc w:val="both"/>
    </w:pPr>
    <w:rPr>
      <w:rFonts w:ascii="Times New Roman" w:hAnsi="Times New Roman" w:eastAsia="宋体" w:cs="Times New Roman"/>
      <w:sz w:val="21"/>
      <w:szCs w:val="21"/>
      <w:lang w:val="en-US" w:eastAsia="zh-CN" w:bidi="ar-SA"/>
    </w:rPr>
  </w:style>
  <w:style w:type="paragraph" w:customStyle="1" w:styleId="504">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uiPriority w:val="0"/>
    <w:pPr>
      <w:widowControl/>
      <w:spacing w:before="360" w:after="360"/>
      <w:jc w:val="center"/>
    </w:pPr>
    <w:rPr>
      <w:rFonts w:ascii="宋体" w:hAnsi="宋体" w:cs="宋体"/>
      <w:kern w:val="0"/>
      <w:sz w:val="24"/>
      <w:szCs w:val="24"/>
    </w:rPr>
  </w:style>
  <w:style w:type="paragraph" w:customStyle="1" w:styleId="506">
    <w:name w:val="pbulletcmt"/>
    <w:basedOn w:val="1"/>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uiPriority w:val="0"/>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uiPriority w:val="0"/>
    <w:pPr>
      <w:adjustRightInd w:val="0"/>
      <w:spacing w:line="360" w:lineRule="atLeast"/>
      <w:textAlignment w:val="baseline"/>
    </w:pPr>
    <w:rPr>
      <w:rFonts w:ascii="Tahoma" w:hAnsi="Tahoma"/>
      <w:sz w:val="24"/>
      <w:szCs w:val="20"/>
    </w:rPr>
  </w:style>
  <w:style w:type="paragraph" w:customStyle="1" w:styleId="513">
    <w:name w:val="圆点"/>
    <w:basedOn w:val="1"/>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uiPriority w:val="0"/>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uiPriority w:val="0"/>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2"/>
    <w:uiPriority w:val="0"/>
    <w:pPr>
      <w:keepNext/>
      <w:keepLines/>
      <w:autoSpaceDE/>
      <w:autoSpaceDN/>
      <w:adjustRightInd/>
      <w:spacing w:line="480" w:lineRule="auto"/>
      <w:jc w:val="both"/>
    </w:pPr>
    <w:rPr>
      <w:rFonts w:eastAsia="宋体"/>
      <w:kern w:val="44"/>
      <w:sz w:val="21"/>
      <w:szCs w:val="44"/>
    </w:rPr>
  </w:style>
  <w:style w:type="paragraph" w:customStyle="1" w:styleId="517">
    <w:name w:val="_Style 148"/>
    <w:next w:val="1"/>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uiPriority w:val="0"/>
    <w:rPr>
      <w:rFonts w:ascii="仿宋_GB2312" w:hAnsi="Times New Roman" w:eastAsia="仿宋_GB2312"/>
      <w:b/>
      <w:sz w:val="32"/>
      <w:szCs w:val="32"/>
    </w:rPr>
  </w:style>
  <w:style w:type="paragraph" w:customStyle="1" w:styleId="519">
    <w:name w:val="样式6"/>
    <w:basedOn w:val="1"/>
    <w:uiPriority w:val="0"/>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6"/>
    <w:uiPriority w:val="0"/>
    <w:pPr>
      <w:spacing w:after="60"/>
      <w:ind w:left="420" w:firstLine="200" w:firstLineChars="200"/>
    </w:pPr>
    <w:rPr>
      <w:rFonts w:ascii="Times New Roman" w:hAnsi="Times New Roman"/>
      <w:szCs w:val="24"/>
    </w:rPr>
  </w:style>
  <w:style w:type="paragraph" w:customStyle="1" w:styleId="521">
    <w:name w:val="xl114"/>
    <w:basedOn w:val="1"/>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uiPriority w:val="0"/>
    <w:pPr>
      <w:numPr>
        <w:ilvl w:val="0"/>
        <w:numId w:val="14"/>
      </w:numPr>
      <w:spacing w:line="400" w:lineRule="exact"/>
    </w:pPr>
    <w:rPr>
      <w:rFonts w:ascii="Arial" w:hAnsi="Arial"/>
      <w:szCs w:val="24"/>
    </w:rPr>
  </w:style>
  <w:style w:type="paragraph" w:customStyle="1" w:styleId="523">
    <w:name w:val="GP有序编号2级"/>
    <w:basedOn w:val="1"/>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uiPriority w:val="0"/>
    <w:pPr>
      <w:spacing w:after="120"/>
    </w:pPr>
  </w:style>
  <w:style w:type="paragraph" w:customStyle="1" w:styleId="526">
    <w:name w:val="标题 3Chapter X.X.X. + 段后: 0.5 行 + 段后: 0.5 行 + 段后: 0.5 行1"/>
    <w:basedOn w:val="527"/>
    <w:qFormat/>
    <w:uiPriority w:val="0"/>
  </w:style>
  <w:style w:type="paragraph" w:customStyle="1" w:styleId="527">
    <w:name w:val="样式 样式 标题 3Chapter X.X.X. + 段后: 0.5 行 + 段后: 0.5 行"/>
    <w:basedOn w:val="528"/>
    <w:uiPriority w:val="0"/>
  </w:style>
  <w:style w:type="paragraph" w:customStyle="1" w:styleId="528">
    <w:name w:val="样式 标题 3Chapter X.X.X. + 段后: 0.5 行"/>
    <w:basedOn w:val="4"/>
    <w:uiPriority w:val="0"/>
    <w:pPr>
      <w:keepLines w:val="0"/>
      <w:spacing w:before="120" w:afterLines="50" w:line="240" w:lineRule="auto"/>
      <w:jc w:val="left"/>
    </w:pPr>
    <w:rPr>
      <w:rFonts w:ascii="宋体" w:cs="宋体"/>
      <w:snapToGrid w:val="0"/>
      <w:kern w:val="0"/>
      <w:sz w:val="24"/>
      <w:szCs w:val="20"/>
    </w:rPr>
  </w:style>
  <w:style w:type="paragraph" w:customStyle="1" w:styleId="529">
    <w:name w:val="xl63"/>
    <w:basedOn w:val="1"/>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uiPriority w:val="0"/>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33">
    <w:name w:val="段(正文）"/>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4">
    <w:name w:val="S4-L15-No"/>
    <w:basedOn w:val="535"/>
    <w:uiPriority w:val="0"/>
    <w:pPr>
      <w:tabs>
        <w:tab w:val="left" w:pos="720"/>
      </w:tabs>
      <w:ind w:hanging="720"/>
    </w:pPr>
  </w:style>
  <w:style w:type="paragraph" w:customStyle="1" w:styleId="535">
    <w:name w:val="S4-L15"/>
    <w:basedOn w:val="1"/>
    <w:uiPriority w:val="0"/>
    <w:pPr>
      <w:spacing w:after="120" w:line="360" w:lineRule="auto"/>
      <w:ind w:left="720" w:firstLine="392"/>
    </w:pPr>
    <w:rPr>
      <w:rFonts w:ascii="Times New Roman" w:hAnsi="Times New Roman"/>
      <w:szCs w:val="21"/>
      <w:lang w:val="fr-FR"/>
    </w:rPr>
  </w:style>
  <w:style w:type="paragraph" w:customStyle="1" w:styleId="536">
    <w:name w:val="a1"/>
    <w:basedOn w:val="1"/>
    <w:uiPriority w:val="0"/>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uiPriority w:val="0"/>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4"/>
    <w:next w:val="1"/>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uiPriority w:val="0"/>
    <w:pPr>
      <w:tabs>
        <w:tab w:val="left" w:pos="432"/>
      </w:tabs>
      <w:ind w:left="432" w:hanging="432"/>
    </w:pPr>
    <w:rPr>
      <w:rFonts w:ascii="Tahoma" w:hAnsi="Tahoma"/>
      <w:sz w:val="24"/>
      <w:szCs w:val="20"/>
    </w:rPr>
  </w:style>
  <w:style w:type="paragraph" w:customStyle="1" w:styleId="542">
    <w:name w:val="Bullet2"/>
    <w:basedOn w:val="1"/>
    <w:uiPriority w:val="0"/>
    <w:pPr>
      <w:spacing w:afterLines="50"/>
      <w:ind w:left="1440" w:hanging="360"/>
      <w:jc w:val="left"/>
    </w:pPr>
    <w:rPr>
      <w:rFonts w:ascii="宋体" w:hAnsi="Times New Roman"/>
      <w:snapToGrid w:val="0"/>
      <w:color w:val="000080"/>
      <w:kern w:val="0"/>
      <w:szCs w:val="20"/>
    </w:rPr>
  </w:style>
  <w:style w:type="paragraph" w:customStyle="1" w:styleId="543">
    <w:name w:val="样式"/>
    <w:basedOn w:val="1"/>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uiPriority w:val="0"/>
    <w:pPr>
      <w:spacing w:line="360" w:lineRule="auto"/>
      <w:ind w:firstLine="480" w:firstLineChars="200"/>
    </w:pPr>
    <w:rPr>
      <w:rFonts w:ascii="宋体" w:hAnsi="宋体" w:cs="宋体"/>
      <w:sz w:val="24"/>
      <w:szCs w:val="20"/>
    </w:rPr>
  </w:style>
  <w:style w:type="paragraph" w:customStyle="1" w:styleId="546">
    <w:name w:val="文本框内文字"/>
    <w:basedOn w:val="1"/>
    <w:uiPriority w:val="0"/>
    <w:pPr>
      <w:spacing w:line="0" w:lineRule="atLeast"/>
    </w:pPr>
    <w:rPr>
      <w:rFonts w:ascii="Times New Roman" w:hAnsi="Times New Roman" w:eastAsia="仿宋_GB2312"/>
      <w:sz w:val="22"/>
      <w:szCs w:val="24"/>
    </w:rPr>
  </w:style>
  <w:style w:type="paragraph" w:customStyle="1" w:styleId="547">
    <w:name w:val="Char3"/>
    <w:basedOn w:val="1"/>
    <w:uiPriority w:val="0"/>
    <w:rPr>
      <w:rFonts w:ascii="仿宋_GB2312" w:hAnsi="Times New Roman" w:eastAsia="仿宋_GB2312"/>
      <w:b/>
      <w:sz w:val="32"/>
      <w:szCs w:val="20"/>
    </w:rPr>
  </w:style>
  <w:style w:type="paragraph" w:customStyle="1" w:styleId="548">
    <w:name w:val="此正文"/>
    <w:basedOn w:val="1"/>
    <w:uiPriority w:val="0"/>
    <w:pPr>
      <w:spacing w:line="360" w:lineRule="auto"/>
      <w:ind w:firstLine="200" w:firstLineChars="200"/>
    </w:pPr>
    <w:rPr>
      <w:rFonts w:ascii="Times New Roman" w:hAnsi="Times New Roman"/>
      <w:sz w:val="24"/>
      <w:szCs w:val="24"/>
    </w:rPr>
  </w:style>
  <w:style w:type="paragraph" w:customStyle="1" w:styleId="549">
    <w:name w:val="Char Char Char Char1 Char Char1"/>
    <w:basedOn w:val="1"/>
    <w:uiPriority w:val="0"/>
    <w:pPr>
      <w:widowControl/>
      <w:spacing w:after="160" w:line="240" w:lineRule="exact"/>
      <w:jc w:val="left"/>
    </w:pPr>
    <w:rPr>
      <w:rFonts w:ascii="Verdana" w:hAnsi="Verdana"/>
      <w:kern w:val="0"/>
      <w:sz w:val="20"/>
      <w:szCs w:val="20"/>
      <w:lang w:eastAsia="en-US"/>
    </w:rPr>
  </w:style>
  <w:style w:type="paragraph" w:customStyle="1" w:styleId="550">
    <w:name w:val="_Style 13"/>
    <w:basedOn w:val="1"/>
    <w:uiPriority w:val="0"/>
    <w:pPr>
      <w:tabs>
        <w:tab w:val="left" w:pos="360"/>
      </w:tabs>
      <w:ind w:firstLine="420" w:firstLineChars="150"/>
    </w:pPr>
    <w:rPr>
      <w:rFonts w:ascii="Times New Roman" w:hAnsi="Times New Roman"/>
      <w:szCs w:val="20"/>
    </w:rPr>
  </w:style>
  <w:style w:type="paragraph" w:customStyle="1" w:styleId="551">
    <w:name w:val="Bullet 2"/>
    <w:basedOn w:val="24"/>
    <w:uiPriority w:val="0"/>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uiPriority w:val="0"/>
    <w:pPr>
      <w:adjustRightInd w:val="0"/>
      <w:spacing w:line="360" w:lineRule="auto"/>
    </w:pPr>
    <w:rPr>
      <w:rFonts w:ascii="Times New Roman" w:hAnsi="Times New Roman"/>
      <w:kern w:val="0"/>
      <w:sz w:val="24"/>
      <w:szCs w:val="20"/>
    </w:rPr>
  </w:style>
  <w:style w:type="paragraph" w:customStyle="1" w:styleId="553">
    <w:name w:val="contentarticl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uiPriority w:val="0"/>
    <w:pPr>
      <w:keepNext/>
      <w:widowControl/>
      <w:spacing w:before="80" w:after="80"/>
      <w:jc w:val="center"/>
    </w:pPr>
    <w:rPr>
      <w:rFonts w:ascii="Times New Roman" w:hAnsi="Times New Roman"/>
      <w:szCs w:val="20"/>
    </w:rPr>
  </w:style>
  <w:style w:type="paragraph" w:customStyle="1" w:styleId="556">
    <w:name w:val="Char Char1 Char11"/>
    <w:basedOn w:val="1"/>
    <w:uiPriority w:val="0"/>
    <w:rPr>
      <w:rFonts w:ascii="仿宋_GB2312" w:hAnsi="Times New Roman" w:eastAsia="仿宋_GB2312"/>
      <w:b/>
      <w:sz w:val="32"/>
      <w:szCs w:val="32"/>
    </w:rPr>
  </w:style>
  <w:style w:type="paragraph" w:customStyle="1" w:styleId="557">
    <w:name w:val="xl73"/>
    <w:basedOn w:val="1"/>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uiPriority w:val="0"/>
    <w:rPr>
      <w:rFonts w:ascii="Tahoma" w:hAnsi="Tahoma"/>
      <w:sz w:val="24"/>
      <w:szCs w:val="20"/>
    </w:rPr>
  </w:style>
  <w:style w:type="paragraph" w:customStyle="1" w:styleId="559">
    <w:name w:val="页面边线"/>
    <w:basedOn w:val="1"/>
    <w:uiPriority w:val="0"/>
    <w:pPr>
      <w:adjustRightInd w:val="0"/>
      <w:spacing w:line="360" w:lineRule="atLeast"/>
      <w:textAlignment w:val="baseline"/>
    </w:pPr>
    <w:rPr>
      <w:rFonts w:ascii="Century" w:hAnsi="Century"/>
      <w:kern w:val="0"/>
      <w:szCs w:val="20"/>
      <w:lang w:eastAsia="ja-JP"/>
    </w:rPr>
  </w:style>
  <w:style w:type="paragraph" w:customStyle="1" w:styleId="560">
    <w:name w:val="样式2"/>
    <w:basedOn w:val="3"/>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uiPriority w:val="0"/>
    <w:pPr>
      <w:wordWrap w:val="0"/>
      <w:spacing w:before="120" w:line="320" w:lineRule="exact"/>
      <w:ind w:firstLine="200" w:firstLineChars="200"/>
    </w:pPr>
    <w:rPr>
      <w:rFonts w:ascii="Arial" w:hAnsi="Arial"/>
      <w:szCs w:val="20"/>
    </w:rPr>
  </w:style>
  <w:style w:type="paragraph" w:customStyle="1" w:styleId="563">
    <w:name w:val="_Style 118"/>
    <w:basedOn w:val="1"/>
    <w:uiPriority w:val="0"/>
  </w:style>
  <w:style w:type="paragraph" w:customStyle="1" w:styleId="564">
    <w:name w:val="标准有序列表（L1）"/>
    <w:basedOn w:val="17"/>
    <w:uiPriority w:val="0"/>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uiPriority w:val="0"/>
    <w:pPr>
      <w:jc w:val="center"/>
    </w:pPr>
    <w:rPr>
      <w:rFonts w:ascii="Times New Roman" w:hAnsi="Times New Roman" w:eastAsia="幼圆" w:cs="宋体"/>
      <w:b/>
      <w:sz w:val="28"/>
      <w:szCs w:val="28"/>
    </w:rPr>
  </w:style>
  <w:style w:type="paragraph" w:customStyle="1" w:styleId="566">
    <w:name w:val="_Style 11811"/>
    <w:basedOn w:val="1"/>
    <w:uiPriority w:val="0"/>
  </w:style>
  <w:style w:type="paragraph" w:customStyle="1" w:styleId="567">
    <w:name w:val="Char Char Char Char Char Char Char Char"/>
    <w:basedOn w:val="1"/>
    <w:uiPriority w:val="0"/>
    <w:pPr>
      <w:tabs>
        <w:tab w:val="left" w:pos="360"/>
      </w:tabs>
    </w:pPr>
    <w:rPr>
      <w:rFonts w:ascii="Times New Roman" w:hAnsi="Times New Roman"/>
      <w:sz w:val="24"/>
      <w:szCs w:val="24"/>
    </w:rPr>
  </w:style>
  <w:style w:type="paragraph" w:customStyle="1" w:styleId="568">
    <w:name w:val="xl66"/>
    <w:basedOn w:val="1"/>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uiPriority w:val="0"/>
    <w:rPr>
      <w:rFonts w:ascii="Times New Roman" w:hAnsi="Times New Roman" w:eastAsia="仿宋_GB2312" w:cs="宋体"/>
      <w:sz w:val="24"/>
      <w:szCs w:val="20"/>
    </w:rPr>
  </w:style>
  <w:style w:type="paragraph" w:customStyle="1" w:styleId="570">
    <w:name w:val="样式 小四 行距: 1.5 倍行距 首行缩进:  2 字符"/>
    <w:basedOn w:val="1"/>
    <w:uiPriority w:val="0"/>
    <w:pPr>
      <w:spacing w:line="360" w:lineRule="auto"/>
      <w:ind w:firstLine="480" w:firstLineChars="200"/>
    </w:pPr>
    <w:rPr>
      <w:rFonts w:ascii="Times New Roman" w:hAnsi="Times New Roman" w:cs="宋体"/>
      <w:sz w:val="24"/>
      <w:szCs w:val="20"/>
    </w:rPr>
  </w:style>
  <w:style w:type="paragraph" w:customStyle="1" w:styleId="571">
    <w:name w:val="表内文字"/>
    <w:basedOn w:val="1"/>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uiPriority w:val="0"/>
    <w:pPr>
      <w:widowControl/>
      <w:spacing w:before="100" w:beforeAutospacing="1" w:after="100" w:afterAutospacing="1"/>
      <w:jc w:val="left"/>
    </w:pPr>
    <w:rPr>
      <w:rFonts w:hint="eastAsia" w:ascii="宋体" w:hAnsi="宋体"/>
      <w:color w:val="000000"/>
      <w:sz w:val="24"/>
    </w:rPr>
  </w:style>
  <w:style w:type="paragraph" w:customStyle="1" w:styleId="573">
    <w:name w:val="Char Char11"/>
    <w:basedOn w:val="1"/>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uiPriority w:val="0"/>
    <w:pPr>
      <w:ind w:firstLine="420" w:firstLineChars="200"/>
    </w:pPr>
    <w:rPr>
      <w:szCs w:val="24"/>
    </w:rPr>
  </w:style>
  <w:style w:type="paragraph" w:customStyle="1" w:styleId="576">
    <w:name w:val="样式 标题 2 + 五号"/>
    <w:basedOn w:val="3"/>
    <w:uiPriority w:val="0"/>
    <w:pPr>
      <w:spacing w:before="0" w:after="0" w:line="240" w:lineRule="auto"/>
    </w:pPr>
    <w:rPr>
      <w:rFonts w:ascii="宋体" w:hAnsi="宋体" w:eastAsia="宋体"/>
      <w:sz w:val="21"/>
    </w:rPr>
  </w:style>
  <w:style w:type="paragraph" w:customStyle="1" w:styleId="577">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uiPriority w:val="0"/>
    <w:pPr>
      <w:spacing w:line="360" w:lineRule="auto"/>
    </w:pPr>
    <w:rPr>
      <w:sz w:val="24"/>
      <w:szCs w:val="24"/>
    </w:rPr>
  </w:style>
  <w:style w:type="paragraph" w:customStyle="1" w:styleId="579">
    <w:name w:val="Style-正文"/>
    <w:basedOn w:val="1"/>
    <w:uiPriority w:val="0"/>
    <w:pPr>
      <w:spacing w:line="360" w:lineRule="auto"/>
      <w:ind w:firstLine="420"/>
    </w:pPr>
    <w:rPr>
      <w:rFonts w:ascii="宋体" w:hAnsi="宋体"/>
      <w:sz w:val="24"/>
      <w:szCs w:val="24"/>
    </w:rPr>
  </w:style>
  <w:style w:type="paragraph" w:customStyle="1" w:styleId="580">
    <w:name w:val="金保文档标准正文 Char"/>
    <w:basedOn w:val="1"/>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2"/>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uiPriority w:val="0"/>
    <w:rPr>
      <w:rFonts w:ascii="Times New Roman" w:hAnsi="Times New Roman"/>
      <w:szCs w:val="24"/>
    </w:rPr>
  </w:style>
  <w:style w:type="paragraph" w:customStyle="1" w:styleId="583">
    <w:name w:val="样式 标题 1 + 五号"/>
    <w:basedOn w:val="2"/>
    <w:uiPriority w:val="0"/>
    <w:pPr>
      <w:keepNext/>
      <w:keepLines/>
      <w:autoSpaceDE/>
      <w:autoSpaceDN/>
      <w:adjustRightInd/>
      <w:spacing w:line="240" w:lineRule="auto"/>
    </w:pPr>
    <w:rPr>
      <w:rFonts w:eastAsia="宋体"/>
      <w:kern w:val="44"/>
      <w:sz w:val="32"/>
      <w:szCs w:val="32"/>
    </w:rPr>
  </w:style>
  <w:style w:type="paragraph" w:customStyle="1" w:styleId="584">
    <w:name w:val="xl119"/>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uiPriority w:val="0"/>
    <w:rPr>
      <w:rFonts w:ascii="宋体" w:hAnsi="Courier New"/>
      <w:szCs w:val="20"/>
    </w:rPr>
  </w:style>
  <w:style w:type="paragraph" w:customStyle="1" w:styleId="586">
    <w:name w:val="S4-I-U-L15-No-dot"/>
    <w:basedOn w:val="1"/>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uiPriority w:val="0"/>
    <w:rPr>
      <w:rFonts w:ascii="Tahoma" w:hAnsi="Tahoma"/>
      <w:sz w:val="24"/>
      <w:szCs w:val="20"/>
    </w:rPr>
  </w:style>
  <w:style w:type="paragraph" w:customStyle="1" w:styleId="590">
    <w:name w:val="样式 样式3 + 宋体 五号 Char Char Char"/>
    <w:basedOn w:val="1"/>
    <w:uiPriority w:val="0"/>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uiPriority w:val="0"/>
    <w:pPr>
      <w:spacing w:after="120"/>
    </w:pPr>
  </w:style>
  <w:style w:type="paragraph" w:customStyle="1" w:styleId="592">
    <w:name w:val="样式 标题 2 + 宋体 小四 段前: 0 磅 段后: 0 磅 行距: 1.5 倍行距"/>
    <w:basedOn w:val="3"/>
    <w:uiPriority w:val="0"/>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uiPriority w:val="0"/>
    <w:pPr>
      <w:widowControl/>
      <w:spacing w:after="160" w:line="240" w:lineRule="exact"/>
      <w:jc w:val="left"/>
    </w:pPr>
    <w:rPr>
      <w:rFonts w:ascii="Times New Roman" w:hAnsi="Times New Roman"/>
      <w:szCs w:val="20"/>
    </w:rPr>
  </w:style>
  <w:style w:type="paragraph" w:customStyle="1" w:styleId="594">
    <w:name w:val="二级标题"/>
    <w:basedOn w:val="3"/>
    <w:qFormat/>
    <w:uiPriority w:val="0"/>
    <w:pPr>
      <w:tabs>
        <w:tab w:val="left" w:pos="1116"/>
      </w:tabs>
      <w:ind w:left="1116" w:hanging="576"/>
    </w:pPr>
    <w:rPr>
      <w:rFonts w:ascii="黑体" w:hAnsi="Cambria"/>
      <w:kern w:val="0"/>
    </w:rPr>
  </w:style>
  <w:style w:type="paragraph" w:customStyle="1" w:styleId="595">
    <w:name w:val="文档结构图1"/>
    <w:basedOn w:val="1"/>
    <w:uiPriority w:val="0"/>
    <w:rPr>
      <w:rFonts w:ascii="宋体"/>
      <w:kern w:val="0"/>
      <w:sz w:val="18"/>
      <w:szCs w:val="18"/>
    </w:rPr>
  </w:style>
  <w:style w:type="paragraph" w:customStyle="1" w:styleId="596">
    <w:name w:val="xl8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uiPriority w:val="0"/>
    <w:pPr>
      <w:tabs>
        <w:tab w:val="left" w:pos="432"/>
      </w:tabs>
      <w:ind w:left="432" w:hanging="432"/>
    </w:pPr>
    <w:rPr>
      <w:rFonts w:ascii="Tahoma" w:hAnsi="Tahoma"/>
      <w:sz w:val="24"/>
      <w:szCs w:val="20"/>
    </w:rPr>
  </w:style>
  <w:style w:type="paragraph" w:customStyle="1" w:styleId="598">
    <w:name w:val="正文文本 New New"/>
    <w:basedOn w:val="524"/>
    <w:uiPriority w:val="0"/>
    <w:pPr>
      <w:spacing w:after="120"/>
    </w:pPr>
    <w:rPr>
      <w:sz w:val="28"/>
      <w:szCs w:val="24"/>
    </w:rPr>
  </w:style>
  <w:style w:type="paragraph" w:customStyle="1" w:styleId="599">
    <w:name w:val="xl118"/>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uiPriority w:val="0"/>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uiPriority w:val="0"/>
    <w:rPr>
      <w:rFonts w:ascii="宋体" w:hAnsi="宋体" w:eastAsia="宋体" w:cs="Times New Roman"/>
      <w:sz w:val="24"/>
      <w:lang w:val="zh-CN" w:eastAsia="zh-CN" w:bidi="ar-SA"/>
    </w:rPr>
  </w:style>
  <w:style w:type="paragraph" w:customStyle="1" w:styleId="603">
    <w:name w:val="SZF表"/>
    <w:basedOn w:val="604"/>
    <w:uiPriority w:val="0"/>
    <w:rPr>
      <w:rFonts w:ascii="宋体" w:hAnsi="宋体"/>
      <w:bCs/>
      <w:szCs w:val="21"/>
    </w:rPr>
  </w:style>
  <w:style w:type="paragraph" w:customStyle="1" w:styleId="604">
    <w:name w:val="SZF图"/>
    <w:basedOn w:val="1"/>
    <w:uiPriority w:val="0"/>
    <w:pPr>
      <w:spacing w:beforeLines="50" w:afterLines="50" w:line="360" w:lineRule="auto"/>
      <w:jc w:val="center"/>
    </w:pPr>
    <w:rPr>
      <w:rFonts w:ascii="Times New Roman" w:hAnsi="Times New Roman"/>
      <w:b/>
      <w:szCs w:val="24"/>
    </w:rPr>
  </w:style>
  <w:style w:type="paragraph" w:customStyle="1" w:styleId="605">
    <w:name w:val="Figure Description"/>
    <w:next w:val="1"/>
    <w:uiPriority w:val="0"/>
    <w:pPr>
      <w:numPr>
        <w:ilvl w:val="4"/>
        <w:numId w:val="21"/>
      </w:numPr>
      <w:tabs>
        <w:tab w:val="clear" w:pos="2040"/>
      </w:tabs>
      <w:snapToGrid w:val="0"/>
      <w:spacing w:before="80" w:after="320"/>
      <w:ind w:left="1701" w:firstLine="0"/>
      <w:jc w:val="center"/>
    </w:pPr>
    <w:rPr>
      <w:rFonts w:ascii="Arial" w:hAnsi="Arial" w:eastAsia="黑体" w:cs="Times New Roman"/>
      <w:sz w:val="18"/>
      <w:lang w:val="en-US" w:eastAsia="en-US" w:bidi="ar-SA"/>
    </w:rPr>
  </w:style>
  <w:style w:type="paragraph" w:customStyle="1" w:styleId="606">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uiPriority w:val="0"/>
    <w:rPr>
      <w:rFonts w:ascii="Tahoma" w:hAnsi="Tahoma"/>
      <w:sz w:val="24"/>
      <w:szCs w:val="20"/>
    </w:rPr>
  </w:style>
  <w:style w:type="paragraph" w:customStyle="1" w:styleId="608">
    <w:name w:val="文档结构图2"/>
    <w:basedOn w:val="1"/>
    <w:uiPriority w:val="0"/>
    <w:rPr>
      <w:rFonts w:ascii="宋体"/>
      <w:kern w:val="0"/>
      <w:sz w:val="18"/>
      <w:szCs w:val="18"/>
    </w:rPr>
  </w:style>
  <w:style w:type="paragraph" w:customStyle="1" w:styleId="609">
    <w:name w:val="xl72"/>
    <w:basedOn w:val="1"/>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uiPriority w:val="0"/>
    <w:pPr>
      <w:ind w:firstLine="480" w:firstLineChars="200"/>
    </w:pPr>
  </w:style>
  <w:style w:type="paragraph" w:customStyle="1" w:styleId="611">
    <w:name w:val="大汉正文"/>
    <w:basedOn w:val="1"/>
    <w:uiPriority w:val="0"/>
    <w:pPr>
      <w:spacing w:line="360" w:lineRule="auto"/>
      <w:ind w:firstLine="200" w:firstLineChars="200"/>
      <w:jc w:val="left"/>
    </w:pPr>
    <w:rPr>
      <w:rFonts w:ascii="宋体" w:hAnsi="Times New Roman"/>
      <w:kern w:val="0"/>
      <w:sz w:val="24"/>
      <w:szCs w:val="24"/>
    </w:rPr>
  </w:style>
  <w:style w:type="paragraph" w:customStyle="1" w:styleId="612">
    <w:name w:val="Table_Medium"/>
    <w:basedOn w:val="600"/>
    <w:uiPriority w:val="0"/>
    <w:rPr>
      <w:sz w:val="18"/>
    </w:rPr>
  </w:style>
  <w:style w:type="paragraph" w:customStyle="1" w:styleId="613">
    <w:name w:val="IBM 正文"/>
    <w:basedOn w:val="1"/>
    <w:uiPriority w:val="0"/>
    <w:pPr>
      <w:spacing w:line="360" w:lineRule="atLeast"/>
    </w:pPr>
    <w:rPr>
      <w:rFonts w:ascii="Times New Roman" w:hAnsi="Times New Roman"/>
      <w:sz w:val="24"/>
      <w:szCs w:val="20"/>
    </w:rPr>
  </w:style>
  <w:style w:type="paragraph" w:customStyle="1" w:styleId="614">
    <w:name w:val="Char Char1 Char1"/>
    <w:basedOn w:val="1"/>
    <w:uiPriority w:val="0"/>
    <w:rPr>
      <w:rFonts w:ascii="仿宋_GB2312" w:hAnsi="Times New Roman" w:eastAsia="仿宋_GB2312"/>
      <w:b/>
      <w:sz w:val="32"/>
      <w:szCs w:val="32"/>
    </w:rPr>
  </w:style>
  <w:style w:type="paragraph" w:customStyle="1" w:styleId="615">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
    <w:basedOn w:val="1"/>
    <w:uiPriority w:val="0"/>
    <w:pPr>
      <w:tabs>
        <w:tab w:val="left" w:pos="432"/>
      </w:tabs>
      <w:ind w:left="432" w:hanging="432"/>
    </w:pPr>
    <w:rPr>
      <w:rFonts w:ascii="Tahoma" w:hAnsi="Tahoma"/>
      <w:sz w:val="24"/>
      <w:szCs w:val="20"/>
    </w:rPr>
  </w:style>
  <w:style w:type="paragraph" w:customStyle="1" w:styleId="617">
    <w:name w:val="页眉1"/>
    <w:basedOn w:val="1"/>
    <w:uiPriority w:val="0"/>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uiPriority w:val="0"/>
    <w:pPr>
      <w:tabs>
        <w:tab w:val="left" w:pos="432"/>
      </w:tabs>
      <w:ind w:left="432" w:hanging="432"/>
    </w:pPr>
    <w:rPr>
      <w:rFonts w:ascii="Tahoma" w:hAnsi="Tahoma"/>
      <w:sz w:val="24"/>
      <w:szCs w:val="20"/>
    </w:rPr>
  </w:style>
  <w:style w:type="paragraph" w:customStyle="1" w:styleId="619">
    <w:name w:val="Tabletext"/>
    <w:basedOn w:val="1"/>
    <w:uiPriority w:val="0"/>
    <w:pPr>
      <w:keepLines/>
      <w:spacing w:afterLines="50"/>
      <w:jc w:val="left"/>
    </w:pPr>
    <w:rPr>
      <w:rFonts w:ascii="宋体" w:hAnsi="Times New Roman"/>
      <w:snapToGrid w:val="0"/>
      <w:kern w:val="0"/>
      <w:szCs w:val="20"/>
    </w:rPr>
  </w:style>
  <w:style w:type="paragraph" w:customStyle="1" w:styleId="620">
    <w:name w:val="P3"/>
    <w:basedOn w:val="1"/>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uiPriority w:val="0"/>
    <w:pPr>
      <w:tabs>
        <w:tab w:val="left" w:pos="1050"/>
      </w:tabs>
      <w:spacing w:line="240" w:lineRule="auto"/>
      <w:ind w:left="-258" w:leftChars="-258"/>
    </w:pPr>
    <w:rPr>
      <w:rFonts w:eastAsia="仿宋_GB2312"/>
      <w:sz w:val="28"/>
    </w:rPr>
  </w:style>
  <w:style w:type="paragraph" w:customStyle="1" w:styleId="622">
    <w:name w:val="大表 mt"/>
    <w:basedOn w:val="1"/>
    <w:uiPriority w:val="0"/>
    <w:pPr>
      <w:widowControl/>
      <w:jc w:val="left"/>
    </w:pPr>
    <w:rPr>
      <w:rFonts w:ascii="宋体" w:hAnsi="宋体" w:cs="宋体"/>
      <w:kern w:val="0"/>
      <w:szCs w:val="21"/>
    </w:rPr>
  </w:style>
  <w:style w:type="paragraph" w:customStyle="1" w:styleId="623">
    <w:name w:val="Char Char Char11"/>
    <w:basedOn w:val="1"/>
    <w:uiPriority w:val="0"/>
  </w:style>
  <w:style w:type="paragraph" w:customStyle="1" w:styleId="624">
    <w:name w:val="段落正文"/>
    <w:basedOn w:val="1"/>
    <w:uiPriority w:val="0"/>
    <w:pPr>
      <w:spacing w:line="360" w:lineRule="auto"/>
      <w:ind w:firstLine="560" w:firstLineChars="200"/>
    </w:pPr>
    <w:rPr>
      <w:rFonts w:ascii="Times New Roman" w:hAnsi="Times New Roman"/>
      <w:sz w:val="28"/>
      <w:szCs w:val="28"/>
    </w:rPr>
  </w:style>
  <w:style w:type="paragraph" w:customStyle="1" w:styleId="625">
    <w:name w:val="footnote"/>
    <w:basedOn w:val="1"/>
    <w:uiPriority w:val="0"/>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uiPriority w:val="0"/>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uiPriority w:val="0"/>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2"/>
    <w:uiPriority w:val="0"/>
    <w:pPr>
      <w:spacing w:line="360" w:lineRule="auto"/>
      <w:ind w:firstLine="0"/>
    </w:pPr>
    <w:rPr>
      <w:rFonts w:ascii="宋体" w:hAnsi="宋体" w:cs="宋体"/>
      <w:kern w:val="0"/>
    </w:rPr>
  </w:style>
  <w:style w:type="paragraph" w:customStyle="1" w:styleId="631">
    <w:name w:val="graytext"/>
    <w:basedOn w:val="1"/>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uiPriority w:val="0"/>
    <w:pPr>
      <w:widowControl/>
      <w:spacing w:after="160" w:line="360" w:lineRule="auto"/>
      <w:jc w:val="left"/>
    </w:pPr>
    <w:rPr>
      <w:rFonts w:ascii="Verdana" w:hAnsi="Verdana"/>
      <w:kern w:val="0"/>
      <w:sz w:val="24"/>
      <w:szCs w:val="20"/>
      <w:lang w:eastAsia="en-US"/>
    </w:rPr>
  </w:style>
  <w:style w:type="paragraph" w:customStyle="1" w:styleId="634">
    <w:name w:val="font10"/>
    <w:basedOn w:val="1"/>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uiPriority w:val="0"/>
    <w:pPr>
      <w:widowControl/>
      <w:spacing w:after="160" w:line="240" w:lineRule="exact"/>
      <w:jc w:val="left"/>
    </w:pPr>
    <w:rPr>
      <w:rFonts w:ascii="Times New Roman" w:hAnsi="Times New Roman"/>
      <w:szCs w:val="20"/>
    </w:rPr>
  </w:style>
  <w:style w:type="paragraph" w:customStyle="1" w:styleId="636">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uiPriority w:val="0"/>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uiPriority w:val="0"/>
    <w:pPr>
      <w:tabs>
        <w:tab w:val="left" w:pos="360"/>
        <w:tab w:val="left" w:pos="704"/>
      </w:tabs>
      <w:spacing w:line="360" w:lineRule="auto"/>
    </w:pPr>
    <w:rPr>
      <w:rFonts w:ascii="宋体" w:hAnsi="宋体"/>
      <w:spacing w:val="-8"/>
      <w:sz w:val="24"/>
      <w:szCs w:val="20"/>
    </w:rPr>
  </w:style>
  <w:style w:type="paragraph" w:customStyle="1" w:styleId="640">
    <w:name w:val="规范正文"/>
    <w:basedOn w:val="1"/>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uiPriority w:val="0"/>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uiPriority w:val="0"/>
    <w:pPr>
      <w:numPr>
        <w:numId w:val="0"/>
      </w:numPr>
      <w:tabs>
        <w:tab w:val="left" w:pos="864"/>
      </w:tabs>
      <w:ind w:left="425" w:hanging="425"/>
    </w:pPr>
    <w:rPr>
      <w:szCs w:val="21"/>
    </w:rPr>
  </w:style>
  <w:style w:type="paragraph" w:customStyle="1" w:styleId="643">
    <w:name w:val="样式 标题 4Chapter X.X.X. + 段后: 0.5 行1"/>
    <w:basedOn w:val="5"/>
    <w:next w:val="5"/>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2"/>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uiPriority w:val="0"/>
    <w:pPr>
      <w:widowControl/>
      <w:spacing w:before="60" w:after="60"/>
      <w:ind w:right="360"/>
      <w:jc w:val="left"/>
    </w:pPr>
    <w:rPr>
      <w:rFonts w:ascii="Garamond" w:hAnsi="Garamond"/>
      <w:color w:val="FF0000"/>
      <w:kern w:val="0"/>
      <w:sz w:val="24"/>
      <w:szCs w:val="20"/>
      <w:lang w:eastAsia="en-US"/>
    </w:rPr>
  </w:style>
  <w:style w:type="paragraph" w:customStyle="1" w:styleId="649">
    <w:name w:val="Char111"/>
    <w:basedOn w:val="1"/>
    <w:uiPriority w:val="0"/>
    <w:rPr>
      <w:rFonts w:ascii="仿宋_GB2312" w:hAnsi="Times New Roman" w:eastAsia="仿宋_GB2312"/>
      <w:b/>
      <w:sz w:val="32"/>
      <w:szCs w:val="32"/>
    </w:rPr>
  </w:style>
  <w:style w:type="paragraph" w:customStyle="1" w:styleId="650">
    <w:name w:val="正文文本 21"/>
    <w:basedOn w:val="1"/>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uiPriority w:val="0"/>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3">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uiPriority w:val="0"/>
    <w:pPr>
      <w:ind w:firstLine="420" w:firstLineChars="200"/>
    </w:pPr>
  </w:style>
  <w:style w:type="paragraph" w:customStyle="1" w:styleId="655">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uiPriority w:val="0"/>
    <w:pPr>
      <w:suppressLineNumbers/>
      <w:suppressAutoHyphens/>
    </w:pPr>
    <w:rPr>
      <w:kern w:val="1"/>
      <w:sz w:val="21"/>
      <w:lang w:eastAsia="ar-SA"/>
    </w:rPr>
  </w:style>
  <w:style w:type="paragraph" w:customStyle="1" w:styleId="661">
    <w:name w:val="样式　标题4"/>
    <w:basedOn w:val="643"/>
    <w:next w:val="1"/>
    <w:uiPriority w:val="0"/>
    <w:pPr>
      <w:numPr>
        <w:ilvl w:val="0"/>
        <w:numId w:val="0"/>
      </w:numPr>
      <w:ind w:left="425" w:hanging="425"/>
    </w:pPr>
  </w:style>
  <w:style w:type="paragraph" w:customStyle="1" w:styleId="662">
    <w:name w:val="Char2 Char Char Char"/>
    <w:basedOn w:val="1"/>
    <w:uiPriority w:val="0"/>
    <w:rPr>
      <w:rFonts w:ascii="仿宋_GB2312" w:hAnsi="Times New Roman" w:eastAsia="仿宋_GB2312"/>
      <w:b/>
      <w:sz w:val="32"/>
      <w:szCs w:val="32"/>
    </w:rPr>
  </w:style>
  <w:style w:type="paragraph" w:customStyle="1" w:styleId="663">
    <w:name w:val="Paragraph4"/>
    <w:basedOn w:val="1"/>
    <w:uiPriority w:val="0"/>
    <w:pPr>
      <w:spacing w:before="80" w:afterLines="50"/>
      <w:ind w:left="2250"/>
    </w:pPr>
    <w:rPr>
      <w:rFonts w:ascii="宋体" w:hAnsi="Times New Roman"/>
      <w:snapToGrid w:val="0"/>
      <w:kern w:val="0"/>
      <w:szCs w:val="20"/>
    </w:rPr>
  </w:style>
  <w:style w:type="paragraph" w:customStyle="1" w:styleId="664">
    <w:name w:val="xl87"/>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
    <w:basedOn w:val="1"/>
    <w:uiPriority w:val="0"/>
    <w:pPr>
      <w:widowControl/>
      <w:spacing w:after="160" w:line="240" w:lineRule="exact"/>
      <w:jc w:val="left"/>
    </w:pPr>
    <w:rPr>
      <w:rFonts w:ascii="Verdana" w:hAnsi="Verdana"/>
      <w:kern w:val="0"/>
      <w:sz w:val="20"/>
      <w:szCs w:val="20"/>
      <w:lang w:eastAsia="en-US"/>
    </w:rPr>
  </w:style>
  <w:style w:type="paragraph" w:customStyle="1" w:styleId="667">
    <w:name w:val="正文缩进11"/>
    <w:basedOn w:val="1"/>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uiPriority w:val="0"/>
    <w:pPr>
      <w:adjustRightInd w:val="0"/>
      <w:spacing w:line="360" w:lineRule="auto"/>
      <w:ind w:firstLine="480"/>
    </w:pPr>
    <w:rPr>
      <w:rFonts w:ascii="宋体" w:hAnsi="宋体"/>
      <w:kern w:val="0"/>
      <w:sz w:val="24"/>
      <w:szCs w:val="20"/>
    </w:rPr>
  </w:style>
  <w:style w:type="paragraph" w:customStyle="1" w:styleId="671">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uiPriority w:val="0"/>
    <w:pPr>
      <w:widowControl w:val="0"/>
      <w:autoSpaceDE w:val="0"/>
      <w:autoSpaceDN w:val="0"/>
      <w:adjustRightInd w:val="0"/>
    </w:pPr>
    <w:rPr>
      <w:rFonts w:ascii="楷体" w:hAnsi="Calibri" w:eastAsia="楷体" w:cs="楷体"/>
      <w:color w:val="000000"/>
      <w:sz w:val="24"/>
      <w:szCs w:val="24"/>
      <w:lang w:val="en-US" w:eastAsia="zh-CN" w:bidi="ar-SA"/>
    </w:rPr>
  </w:style>
  <w:style w:type="paragraph" w:customStyle="1" w:styleId="675">
    <w:name w:val="Char1 Char Char Char"/>
    <w:basedOn w:val="1"/>
    <w:uiPriority w:val="0"/>
    <w:rPr>
      <w:rFonts w:ascii="Tahoma" w:hAnsi="Tahoma"/>
      <w:sz w:val="24"/>
      <w:szCs w:val="20"/>
    </w:rPr>
  </w:style>
  <w:style w:type="paragraph" w:customStyle="1" w:styleId="676">
    <w:name w:val="font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677">
    <w:name w:val="Char31"/>
    <w:basedOn w:val="1"/>
    <w:uiPriority w:val="0"/>
    <w:rPr>
      <w:rFonts w:ascii="仿宋_GB2312" w:hAnsi="Times New Roman" w:eastAsia="仿宋_GB2312"/>
      <w:b/>
      <w:sz w:val="32"/>
      <w:szCs w:val="32"/>
    </w:rPr>
  </w:style>
  <w:style w:type="paragraph" w:customStyle="1" w:styleId="678">
    <w:name w:val="要点2"/>
    <w:basedOn w:val="1"/>
    <w:uiPriority w:val="0"/>
    <w:pPr>
      <w:spacing w:line="360" w:lineRule="auto"/>
      <w:ind w:left="420" w:hanging="420"/>
    </w:pPr>
    <w:rPr>
      <w:rFonts w:ascii="Times New Roman" w:hAnsi="Times New Roman"/>
      <w:b/>
      <w:szCs w:val="21"/>
      <w:shd w:val="pct10" w:color="auto" w:fill="FFFFFF"/>
    </w:rPr>
  </w:style>
  <w:style w:type="paragraph" w:customStyle="1" w:styleId="679">
    <w:name w:val="Table - Text"/>
    <w:basedOn w:val="1"/>
    <w:uiPriority w:val="0"/>
    <w:pPr>
      <w:widowControl/>
      <w:spacing w:before="60" w:afterLines="50"/>
      <w:jc w:val="left"/>
    </w:pPr>
    <w:rPr>
      <w:rFonts w:ascii="Times New Roman" w:hAnsi="Times New Roman"/>
      <w:kern w:val="0"/>
      <w:szCs w:val="20"/>
      <w:lang w:eastAsia="en-US"/>
    </w:rPr>
  </w:style>
  <w:style w:type="paragraph" w:customStyle="1" w:styleId="680">
    <w:name w:val="Item Lis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681">
    <w:name w:val="样式 模板描述"/>
    <w:basedOn w:val="1"/>
    <w:next w:val="485"/>
    <w:uiPriority w:val="0"/>
    <w:pPr>
      <w:spacing w:afterLines="50"/>
      <w:jc w:val="left"/>
    </w:pPr>
    <w:rPr>
      <w:rFonts w:ascii="宋体" w:hAnsi="Times New Roman" w:cs="宋体"/>
      <w:i/>
      <w:iCs/>
      <w:snapToGrid w:val="0"/>
      <w:color w:val="0000FF"/>
      <w:kern w:val="0"/>
      <w:szCs w:val="21"/>
    </w:rPr>
  </w:style>
  <w:style w:type="paragraph" w:customStyle="1" w:styleId="682">
    <w:name w:val="Main Title"/>
    <w:basedOn w:val="1"/>
    <w:uiPriority w:val="0"/>
    <w:pPr>
      <w:spacing w:before="480" w:afterLines="50"/>
      <w:jc w:val="center"/>
    </w:pPr>
    <w:rPr>
      <w:rFonts w:ascii="宋体" w:hAnsi="Times New Roman"/>
      <w:b/>
      <w:snapToGrid w:val="0"/>
      <w:kern w:val="28"/>
      <w:sz w:val="32"/>
      <w:szCs w:val="20"/>
    </w:rPr>
  </w:style>
  <w:style w:type="paragraph" w:customStyle="1" w:styleId="683">
    <w:name w:val="font12"/>
    <w:basedOn w:val="1"/>
    <w:uiPriority w:val="0"/>
    <w:pPr>
      <w:widowControl/>
      <w:spacing w:before="100" w:beforeAutospacing="1" w:after="100" w:afterAutospacing="1"/>
      <w:jc w:val="left"/>
    </w:pPr>
    <w:rPr>
      <w:rFonts w:ascii="宋体" w:hAnsi="宋体" w:cs="宋体"/>
      <w:color w:val="333333"/>
      <w:kern w:val="0"/>
      <w:sz w:val="22"/>
    </w:rPr>
  </w:style>
  <w:style w:type="paragraph" w:customStyle="1" w:styleId="684">
    <w:name w:val="正文文本缩进11"/>
    <w:basedOn w:val="1"/>
    <w:uiPriority w:val="0"/>
    <w:pPr>
      <w:spacing w:after="120"/>
      <w:ind w:left="420" w:leftChars="200"/>
    </w:pPr>
    <w:rPr>
      <w:rFonts w:cs="黑体"/>
    </w:rPr>
  </w:style>
  <w:style w:type="paragraph" w:customStyle="1" w:styleId="685">
    <w:name w:val="font6"/>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686">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7">
    <w:name w:val="标书_正文"/>
    <w:basedOn w:val="1"/>
    <w:uiPriority w:val="0"/>
    <w:pPr>
      <w:spacing w:line="360" w:lineRule="auto"/>
    </w:pPr>
    <w:rPr>
      <w:rFonts w:ascii="宋体" w:hAnsi="Times New Roman"/>
      <w:b/>
      <w:kern w:val="0"/>
      <w:sz w:val="32"/>
      <w:szCs w:val="32"/>
    </w:rPr>
  </w:style>
  <w:style w:type="paragraph" w:customStyle="1" w:styleId="688">
    <w:name w:val="样式 正文段落 + (西文) 仿宋_GB2312 行距: 1.5 倍行距"/>
    <w:basedOn w:val="342"/>
    <w:uiPriority w:val="0"/>
    <w:pPr>
      <w:spacing w:line="360" w:lineRule="auto"/>
      <w:ind w:firstLine="560" w:firstLineChars="200"/>
    </w:pPr>
    <w:rPr>
      <w:rFonts w:ascii="仿宋" w:hAnsi="宋体" w:eastAsia="仿宋" w:cs="宋体"/>
      <w:kern w:val="0"/>
      <w:sz w:val="28"/>
    </w:rPr>
  </w:style>
  <w:style w:type="paragraph" w:customStyle="1" w:styleId="689">
    <w:name w:val="样式 三号 加粗 段后: 0.5 行"/>
    <w:basedOn w:val="1"/>
    <w:uiPriority w:val="0"/>
    <w:pPr>
      <w:spacing w:afterLines="50"/>
      <w:jc w:val="left"/>
    </w:pPr>
    <w:rPr>
      <w:rFonts w:ascii="宋体" w:hAnsi="Times New Roman" w:cs="宋体"/>
      <w:b/>
      <w:bCs/>
      <w:snapToGrid w:val="0"/>
      <w:kern w:val="0"/>
      <w:sz w:val="32"/>
      <w:szCs w:val="20"/>
    </w:rPr>
  </w:style>
  <w:style w:type="paragraph" w:customStyle="1" w:styleId="690">
    <w:name w:val="Blockquote"/>
    <w:basedOn w:val="1"/>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1">
    <w:name w:val="GP有序编号1级"/>
    <w:basedOn w:val="1"/>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2">
    <w:name w:val="样式 纯文本 + 首行缩进:  2 字符 Char Char Char Char Char Char Char Char Char Char Char Char Char Char Char Char Char Char Char Char Char Char Char Char"/>
    <w:basedOn w:val="31"/>
    <w:uiPriority w:val="0"/>
    <w:pPr>
      <w:spacing w:beforeLines="0" w:afterLines="0" w:line="360" w:lineRule="auto"/>
      <w:jc w:val="left"/>
    </w:pPr>
    <w:rPr>
      <w:rFonts w:eastAsia="仿宋_GB2312" w:cs="Arial"/>
      <w:sz w:val="28"/>
      <w:szCs w:val="20"/>
    </w:rPr>
  </w:style>
  <w:style w:type="paragraph" w:customStyle="1" w:styleId="693">
    <w:name w:val="msoaccenttext2"/>
    <w:uiPriority w:val="0"/>
    <w:rPr>
      <w:rFonts w:ascii="Century Schoolbook" w:hAnsi="Century Schoolbook" w:eastAsia="宋体" w:cs="宋体"/>
      <w:color w:val="000000"/>
      <w:kern w:val="28"/>
      <w:sz w:val="15"/>
      <w:szCs w:val="15"/>
      <w:lang w:val="en-US" w:eastAsia="zh-CN" w:bidi="ar-SA"/>
    </w:rPr>
  </w:style>
  <w:style w:type="paragraph" w:customStyle="1" w:styleId="694">
    <w:name w:val="Char Char Char Char Char Char Char Char Char Char1"/>
    <w:basedOn w:val="1"/>
    <w:uiPriority w:val="0"/>
    <w:pPr>
      <w:tabs>
        <w:tab w:val="left" w:pos="360"/>
      </w:tabs>
      <w:ind w:left="480" w:hanging="480" w:hangingChars="200"/>
    </w:pPr>
    <w:rPr>
      <w:rFonts w:ascii="仿宋_GB2312" w:hAnsi="Times New Roman" w:eastAsia="仿宋_GB2312"/>
      <w:b/>
      <w:sz w:val="24"/>
      <w:szCs w:val="24"/>
    </w:rPr>
  </w:style>
  <w:style w:type="paragraph" w:customStyle="1" w:styleId="695">
    <w:name w:val="FA正文+标号"/>
    <w:basedOn w:val="1"/>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6">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7">
    <w:name w:val="样式 标题 3Chapter X.X.X. + 段后: 0.5 行1"/>
    <w:basedOn w:val="4"/>
    <w:next w:val="1"/>
    <w:uiPriority w:val="0"/>
    <w:pPr>
      <w:keepLines w:val="0"/>
      <w:spacing w:before="120" w:afterLines="50" w:line="240" w:lineRule="auto"/>
      <w:jc w:val="left"/>
    </w:pPr>
    <w:rPr>
      <w:rFonts w:ascii="宋体" w:cs="宋体"/>
      <w:snapToGrid w:val="0"/>
      <w:kern w:val="0"/>
      <w:sz w:val="24"/>
      <w:szCs w:val="20"/>
    </w:rPr>
  </w:style>
  <w:style w:type="paragraph" w:customStyle="1" w:styleId="698">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699">
    <w:name w:val="xl67"/>
    <w:basedOn w:val="1"/>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0">
    <w:name w:val="正文样式1"/>
    <w:basedOn w:val="1"/>
    <w:uiPriority w:val="0"/>
    <w:pPr>
      <w:spacing w:line="360" w:lineRule="auto"/>
      <w:ind w:firstLine="200" w:firstLineChars="200"/>
    </w:pPr>
    <w:rPr>
      <w:rFonts w:ascii="Times New Roman" w:hAnsi="Times New Roman" w:cs="宋体"/>
      <w:sz w:val="24"/>
      <w:szCs w:val="20"/>
    </w:rPr>
  </w:style>
  <w:style w:type="paragraph" w:customStyle="1" w:styleId="701">
    <w:name w:val="mod_selection1"/>
    <w:basedOn w:val="1"/>
    <w:uiPriority w:val="0"/>
    <w:pPr>
      <w:widowControl/>
      <w:ind w:left="75"/>
      <w:jc w:val="left"/>
    </w:pPr>
    <w:rPr>
      <w:rFonts w:ascii="Arial" w:hAnsi="Arial" w:cs="Arial"/>
      <w:b/>
      <w:bCs/>
      <w:kern w:val="0"/>
      <w:sz w:val="20"/>
      <w:szCs w:val="20"/>
    </w:rPr>
  </w:style>
  <w:style w:type="paragraph" w:customStyle="1" w:styleId="702">
    <w:name w:val="itemlis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03">
    <w:name w:val="Char5"/>
    <w:basedOn w:val="1"/>
    <w:uiPriority w:val="0"/>
    <w:pPr>
      <w:tabs>
        <w:tab w:val="left" w:pos="432"/>
      </w:tabs>
      <w:ind w:left="432" w:hanging="432"/>
    </w:pPr>
    <w:rPr>
      <w:rFonts w:ascii="Times New Roman" w:hAnsi="Times New Roman"/>
      <w:sz w:val="24"/>
      <w:szCs w:val="24"/>
    </w:rPr>
  </w:style>
  <w:style w:type="paragraph" w:customStyle="1" w:styleId="704">
    <w:name w:val="二级."/>
    <w:basedOn w:val="3"/>
    <w:uiPriority w:val="0"/>
    <w:pPr>
      <w:tabs>
        <w:tab w:val="left" w:pos="0"/>
      </w:tabs>
      <w:spacing w:before="0" w:after="0" w:line="528" w:lineRule="auto"/>
      <w:ind w:left="181" w:hanging="181"/>
    </w:pPr>
    <w:rPr>
      <w:bCs w:val="0"/>
      <w:kern w:val="0"/>
      <w:sz w:val="36"/>
      <w:szCs w:val="20"/>
    </w:rPr>
  </w:style>
  <w:style w:type="paragraph" w:customStyle="1" w:styleId="705">
    <w:name w:val="标准小四"/>
    <w:basedOn w:val="1"/>
    <w:uiPriority w:val="0"/>
    <w:pPr>
      <w:spacing w:line="360" w:lineRule="auto"/>
      <w:ind w:firstLine="480" w:firstLineChars="200"/>
    </w:pPr>
    <w:rPr>
      <w:rFonts w:ascii="Arial" w:hAnsi="Arial"/>
      <w:sz w:val="24"/>
      <w:szCs w:val="21"/>
    </w:rPr>
  </w:style>
  <w:style w:type="paragraph" w:customStyle="1" w:styleId="706">
    <w:name w:val="xl65"/>
    <w:basedOn w:val="1"/>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7">
    <w:name w:val="Char Char Char Char Char Char Char Char1"/>
    <w:basedOn w:val="1"/>
    <w:uiPriority w:val="0"/>
    <w:rPr>
      <w:rFonts w:ascii="仿宋_GB2312" w:hAnsi="Times New Roman" w:eastAsia="仿宋_GB2312"/>
      <w:b/>
      <w:sz w:val="32"/>
      <w:szCs w:val="32"/>
    </w:rPr>
  </w:style>
  <w:style w:type="paragraph" w:customStyle="1" w:styleId="708">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09">
    <w:name w:val="列出段落12"/>
    <w:basedOn w:val="1"/>
    <w:qFormat/>
    <w:uiPriority w:val="0"/>
    <w:pPr>
      <w:ind w:firstLine="420" w:firstLineChars="200"/>
    </w:pPr>
  </w:style>
  <w:style w:type="paragraph" w:customStyle="1" w:styleId="710">
    <w:name w:val="Char Char Char Char Char Char1"/>
    <w:basedOn w:val="1"/>
    <w:uiPriority w:val="0"/>
    <w:pPr>
      <w:widowControl/>
      <w:spacing w:after="160" w:line="240" w:lineRule="exact"/>
      <w:jc w:val="left"/>
    </w:pPr>
    <w:rPr>
      <w:rFonts w:ascii="Verdana" w:hAnsi="Verdana"/>
      <w:kern w:val="0"/>
      <w:sz w:val="20"/>
      <w:szCs w:val="20"/>
      <w:lang w:eastAsia="en-US"/>
    </w:rPr>
  </w:style>
  <w:style w:type="paragraph" w:customStyle="1" w:styleId="711">
    <w:name w:val="列出段落2"/>
    <w:basedOn w:val="1"/>
    <w:qFormat/>
    <w:uiPriority w:val="34"/>
    <w:pPr>
      <w:ind w:firstLine="420" w:firstLineChars="200"/>
    </w:pPr>
    <w:rPr>
      <w:szCs w:val="24"/>
    </w:rPr>
  </w:style>
  <w:style w:type="paragraph" w:customStyle="1" w:styleId="712">
    <w:name w:val="正文首行缩进 21"/>
    <w:basedOn w:val="684"/>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3">
    <w:name w:val="psubhead2cmt"/>
    <w:basedOn w:val="1"/>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4">
    <w:name w:val="Table Description"/>
    <w:next w:val="1"/>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715">
    <w:name w:val="表格内文"/>
    <w:uiPriority w:val="0"/>
    <w:pPr>
      <w:widowControl w:val="0"/>
      <w:spacing w:line="360" w:lineRule="auto"/>
      <w:jc w:val="both"/>
    </w:pPr>
    <w:rPr>
      <w:rFonts w:ascii="宋体" w:hAnsi="Times New Roman" w:eastAsia="宋体" w:cs="宋体"/>
      <w:color w:val="000000"/>
      <w:kern w:val="2"/>
      <w:sz w:val="21"/>
      <w:lang w:val="en-US" w:eastAsia="zh-CN" w:bidi="ar-SA"/>
    </w:rPr>
  </w:style>
  <w:style w:type="paragraph" w:customStyle="1" w:styleId="716">
    <w:name w:val="日期1"/>
    <w:basedOn w:val="1"/>
    <w:next w:val="1"/>
    <w:uiPriority w:val="0"/>
    <w:pPr>
      <w:adjustRightInd w:val="0"/>
      <w:spacing w:line="312" w:lineRule="atLeast"/>
      <w:textAlignment w:val="baseline"/>
    </w:pPr>
    <w:rPr>
      <w:rFonts w:ascii="Times New Roman" w:hAnsi="Times New Roman"/>
      <w:kern w:val="0"/>
      <w:sz w:val="24"/>
      <w:szCs w:val="20"/>
    </w:rPr>
  </w:style>
  <w:style w:type="paragraph" w:customStyle="1" w:styleId="717">
    <w:name w:val="p15"/>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18">
    <w:name w:val="左对齐的表内文字"/>
    <w:basedOn w:val="1"/>
    <w:uiPriority w:val="0"/>
    <w:rPr>
      <w:rFonts w:ascii="Times New Roman" w:hAnsi="Times New Roman" w:eastAsia="仿宋_GB2312" w:cs="宋体"/>
      <w:szCs w:val="20"/>
    </w:rPr>
  </w:style>
  <w:style w:type="paragraph" w:customStyle="1" w:styleId="719">
    <w:name w:val="样式 标题 2Chapter X.X. Statementh22Header 2l2Level 2 Headhea...1"/>
    <w:basedOn w:val="4"/>
    <w:uiPriority w:val="0"/>
    <w:pPr>
      <w:keepLines w:val="0"/>
      <w:spacing w:before="120" w:afterLines="50" w:line="240" w:lineRule="auto"/>
      <w:jc w:val="left"/>
    </w:pPr>
    <w:rPr>
      <w:rFonts w:ascii="宋体" w:cs="宋体"/>
      <w:snapToGrid w:val="0"/>
      <w:kern w:val="0"/>
      <w:sz w:val="24"/>
      <w:szCs w:val="20"/>
    </w:rPr>
  </w:style>
  <w:style w:type="paragraph" w:customStyle="1" w:styleId="720">
    <w:name w:val="样式 Arial 小四 首行缩进:  0.85 厘米"/>
    <w:basedOn w:val="1"/>
    <w:uiPriority w:val="0"/>
    <w:pPr>
      <w:spacing w:line="360" w:lineRule="auto"/>
      <w:ind w:left="-2" w:leftChars="-1" w:firstLine="479" w:firstLineChars="228"/>
    </w:pPr>
    <w:rPr>
      <w:rFonts w:ascii="Times New Roman" w:hAnsi="Arial" w:cs="宋体"/>
      <w:szCs w:val="21"/>
    </w:rPr>
  </w:style>
  <w:style w:type="paragraph" w:customStyle="1" w:styleId="721">
    <w:name w:val="样式 左侧:  1 厘米 段后: 0.5 行"/>
    <w:basedOn w:val="1"/>
    <w:uiPriority w:val="0"/>
    <w:pPr>
      <w:spacing w:afterLines="50"/>
      <w:ind w:firstLine="425"/>
      <w:jc w:val="left"/>
    </w:pPr>
    <w:rPr>
      <w:rFonts w:ascii="宋体" w:hAnsi="Times New Roman" w:cs="宋体"/>
      <w:snapToGrid w:val="0"/>
      <w:kern w:val="0"/>
      <w:szCs w:val="20"/>
    </w:rPr>
  </w:style>
  <w:style w:type="paragraph" w:customStyle="1" w:styleId="722">
    <w:name w:val="首行缩进"/>
    <w:basedOn w:val="1"/>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3">
    <w:name w:val="样式 标题 5 + 五号 居中 段前: 1.5 磅 段后: 1.5 磅 行距: 多倍行距 1.57 字行"/>
    <w:basedOn w:val="6"/>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4">
    <w:name w:val="xl28"/>
    <w:basedOn w:val="1"/>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5">
    <w:name w:val="插图"/>
    <w:next w:val="56"/>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6">
    <w:name w:val="无间隔2"/>
    <w:uiPriority w:val="0"/>
    <w:rPr>
      <w:rFonts w:ascii="Times New Roman" w:hAnsi="Times New Roman" w:eastAsia="Times New Roman" w:cs="Times New Roman"/>
      <w:kern w:val="2"/>
      <w:sz w:val="22"/>
      <w:szCs w:val="22"/>
      <w:lang w:val="en-US" w:eastAsia="zh-CN" w:bidi="ar-SA"/>
    </w:rPr>
  </w:style>
  <w:style w:type="paragraph" w:customStyle="1" w:styleId="727">
    <w:name w:val="S4-B-L15"/>
    <w:basedOn w:val="1"/>
    <w:uiPriority w:val="0"/>
    <w:pPr>
      <w:spacing w:line="360" w:lineRule="auto"/>
    </w:pPr>
    <w:rPr>
      <w:rFonts w:ascii="Times New Roman" w:hAnsi="Times New Roman"/>
      <w:b/>
      <w:bCs/>
      <w:sz w:val="24"/>
      <w:szCs w:val="24"/>
    </w:rPr>
  </w:style>
  <w:style w:type="paragraph" w:customStyle="1" w:styleId="728">
    <w:name w:val="GP标题1"/>
    <w:basedOn w:val="1"/>
    <w:next w:val="1"/>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29">
    <w:name w:val="Char11"/>
    <w:basedOn w:val="1"/>
    <w:uiPriority w:val="0"/>
    <w:pPr>
      <w:spacing w:beforeLines="20" w:afterLines="20"/>
    </w:pPr>
    <w:rPr>
      <w:rFonts w:ascii="楷体_GB2312" w:hAnsi="宋体" w:eastAsia="楷体_GB2312" w:cs="Arial"/>
      <w:kern w:val="0"/>
      <w:sz w:val="24"/>
      <w:szCs w:val="24"/>
    </w:rPr>
  </w:style>
  <w:style w:type="paragraph" w:customStyle="1" w:styleId="730">
    <w:name w:val="正文文本缩进 21"/>
    <w:basedOn w:val="1"/>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1">
    <w:name w:val="Char1 Char Char Char2"/>
    <w:basedOn w:val="1"/>
    <w:uiPriority w:val="0"/>
    <w:rPr>
      <w:rFonts w:ascii="Tahoma" w:hAnsi="Tahoma"/>
      <w:sz w:val="24"/>
      <w:szCs w:val="20"/>
    </w:rPr>
  </w:style>
  <w:style w:type="paragraph" w:customStyle="1" w:styleId="732">
    <w:name w:val="列表（编号二级）（绿盟科技）"/>
    <w:basedOn w:val="656"/>
    <w:qFormat/>
    <w:uiPriority w:val="0"/>
    <w:pPr>
      <w:numPr>
        <w:ilvl w:val="1"/>
      </w:numPr>
      <w:spacing w:beforeLines="0"/>
      <w:ind w:left="1260"/>
    </w:pPr>
  </w:style>
  <w:style w:type="paragraph" w:customStyle="1" w:styleId="733">
    <w:name w:val="huide00"/>
    <w:basedOn w:val="1"/>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4">
    <w:name w:val="xl117"/>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5">
    <w:name w:val="Paragraph3"/>
    <w:basedOn w:val="1"/>
    <w:uiPriority w:val="0"/>
    <w:pPr>
      <w:spacing w:before="80" w:afterLines="50"/>
      <w:ind w:left="1530"/>
    </w:pPr>
    <w:rPr>
      <w:rFonts w:ascii="宋体" w:hAnsi="Times New Roman"/>
      <w:snapToGrid w:val="0"/>
      <w:kern w:val="0"/>
      <w:szCs w:val="20"/>
    </w:rPr>
  </w:style>
  <w:style w:type="paragraph" w:customStyle="1" w:styleId="736">
    <w:name w:val="正文样式"/>
    <w:basedOn w:val="1"/>
    <w:uiPriority w:val="0"/>
    <w:pPr>
      <w:spacing w:line="360" w:lineRule="auto"/>
      <w:ind w:firstLine="200" w:firstLineChars="200"/>
    </w:pPr>
    <w:rPr>
      <w:rFonts w:ascii="宋体" w:hAnsi="Times New Roman"/>
      <w:sz w:val="24"/>
      <w:szCs w:val="24"/>
    </w:rPr>
  </w:style>
  <w:style w:type="paragraph" w:customStyle="1" w:styleId="737">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8">
    <w:name w:val="标书_标题2"/>
    <w:basedOn w:val="3"/>
    <w:uiPriority w:val="0"/>
    <w:pPr>
      <w:spacing w:after="0" w:line="415" w:lineRule="auto"/>
    </w:pPr>
    <w:rPr>
      <w:sz w:val="28"/>
      <w:szCs w:val="20"/>
    </w:rPr>
  </w:style>
  <w:style w:type="paragraph" w:customStyle="1" w:styleId="739">
    <w:name w:val="表格标题"/>
    <w:basedOn w:val="660"/>
    <w:uiPriority w:val="0"/>
    <w:pPr>
      <w:numPr>
        <w:ilvl w:val="0"/>
        <w:numId w:val="26"/>
      </w:numPr>
      <w:tabs>
        <w:tab w:val="clear" w:pos="360"/>
      </w:tabs>
      <w:ind w:left="0" w:firstLine="0"/>
      <w:jc w:val="center"/>
    </w:pPr>
    <w:rPr>
      <w:b/>
      <w:bCs/>
      <w:i/>
      <w:iCs/>
    </w:rPr>
  </w:style>
  <w:style w:type="paragraph" w:customStyle="1" w:styleId="740">
    <w:name w:val="_Style 1181"/>
    <w:basedOn w:val="1"/>
    <w:uiPriority w:val="0"/>
  </w:style>
  <w:style w:type="paragraph" w:customStyle="1" w:styleId="741">
    <w:name w:val="Char2"/>
    <w:basedOn w:val="1"/>
    <w:uiPriority w:val="0"/>
    <w:rPr>
      <w:rFonts w:ascii="仿宋_GB2312" w:hAnsi="Times New Roman" w:eastAsia="仿宋_GB2312"/>
      <w:b/>
      <w:sz w:val="32"/>
      <w:szCs w:val="20"/>
    </w:rPr>
  </w:style>
  <w:style w:type="paragraph" w:customStyle="1" w:styleId="742">
    <w:name w:val="ZJGIS-三级标题"/>
    <w:basedOn w:val="4"/>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3">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4">
    <w:name w:val="Char Char1 Char Char Char Char1 Char Char Char1"/>
    <w:basedOn w:val="1"/>
    <w:uiPriority w:val="0"/>
    <w:pPr>
      <w:adjustRightInd w:val="0"/>
      <w:spacing w:line="360" w:lineRule="atLeast"/>
      <w:textAlignment w:val="baseline"/>
    </w:pPr>
    <w:rPr>
      <w:rFonts w:ascii="Tahoma" w:hAnsi="Tahoma"/>
      <w:sz w:val="24"/>
      <w:szCs w:val="20"/>
    </w:rPr>
  </w:style>
  <w:style w:type="paragraph" w:customStyle="1" w:styleId="745">
    <w:name w:val="Char Char10"/>
    <w:basedOn w:val="1"/>
    <w:uiPriority w:val="0"/>
    <w:rPr>
      <w:rFonts w:ascii="Tahoma" w:hAnsi="Tahoma"/>
      <w:sz w:val="24"/>
      <w:szCs w:val="20"/>
    </w:rPr>
  </w:style>
  <w:style w:type="paragraph" w:customStyle="1" w:styleId="746">
    <w:name w:val="Table Contents"/>
    <w:basedOn w:val="1"/>
    <w:uiPriority w:val="0"/>
    <w:pPr>
      <w:suppressAutoHyphens/>
      <w:autoSpaceDE w:val="0"/>
      <w:spacing w:after="120"/>
      <w:jc w:val="left"/>
    </w:pPr>
    <w:rPr>
      <w:rFonts w:ascii="Helvetica" w:hAnsi="Helvetica"/>
      <w:kern w:val="1"/>
      <w:sz w:val="20"/>
      <w:szCs w:val="20"/>
    </w:rPr>
  </w:style>
  <w:style w:type="paragraph" w:customStyle="1" w:styleId="747">
    <w:name w:val="样式7"/>
    <w:basedOn w:val="1"/>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48">
    <w:name w:val="列表内容"/>
    <w:basedOn w:val="1"/>
    <w:next w:val="1"/>
    <w:uiPriority w:val="0"/>
    <w:pPr>
      <w:widowControl/>
      <w:numPr>
        <w:ilvl w:val="0"/>
        <w:numId w:val="27"/>
      </w:numPr>
      <w:jc w:val="left"/>
    </w:pPr>
    <w:rPr>
      <w:rFonts w:ascii="Times New Roman" w:hAnsi="Times New Roman"/>
      <w:kern w:val="0"/>
      <w:sz w:val="18"/>
      <w:szCs w:val="24"/>
    </w:rPr>
  </w:style>
  <w:style w:type="paragraph" w:customStyle="1" w:styleId="749">
    <w:name w:val="正文样式 首行缩进:  0.74 厘米"/>
    <w:basedOn w:val="1"/>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0">
    <w:name w:val="一级项目符号"/>
    <w:basedOn w:val="1"/>
    <w:uiPriority w:val="0"/>
    <w:pPr>
      <w:widowControl/>
      <w:numPr>
        <w:ilvl w:val="0"/>
        <w:numId w:val="28"/>
      </w:numPr>
      <w:spacing w:line="360" w:lineRule="auto"/>
    </w:pPr>
    <w:rPr>
      <w:rFonts w:ascii="Times New Roman" w:hAnsi="Times New Roman"/>
      <w:kern w:val="0"/>
      <w:sz w:val="24"/>
      <w:szCs w:val="20"/>
    </w:rPr>
  </w:style>
  <w:style w:type="paragraph" w:customStyle="1" w:styleId="751">
    <w:name w:val="pa-30"/>
    <w:basedOn w:val="1"/>
    <w:uiPriority w:val="0"/>
    <w:pPr>
      <w:widowControl/>
      <w:spacing w:before="150" w:after="150"/>
      <w:jc w:val="left"/>
    </w:pPr>
    <w:rPr>
      <w:rFonts w:ascii="宋体" w:hAnsi="宋体" w:cs="宋体"/>
      <w:kern w:val="0"/>
      <w:sz w:val="24"/>
      <w:szCs w:val="24"/>
    </w:rPr>
  </w:style>
  <w:style w:type="paragraph" w:customStyle="1" w:styleId="752">
    <w:name w:val="表格_内容"/>
    <w:basedOn w:val="1"/>
    <w:qFormat/>
    <w:uiPriority w:val="0"/>
    <w:rPr>
      <w:rFonts w:ascii="宋体" w:hAnsi="宋体"/>
      <w:szCs w:val="21"/>
    </w:rPr>
  </w:style>
  <w:style w:type="paragraph" w:customStyle="1" w:styleId="753">
    <w:name w:val="MM Title"/>
    <w:basedOn w:val="54"/>
    <w:uiPriority w:val="0"/>
    <w:rPr>
      <w:rFonts w:ascii="Calibri" w:hAnsi="Calibri" w:cs="Arial"/>
      <w:b w:val="0"/>
      <w:sz w:val="18"/>
    </w:rPr>
  </w:style>
  <w:style w:type="paragraph" w:customStyle="1" w:styleId="754">
    <w:name w:val="样式 正文 段落文字 + 宋体 小四 左侧:  0 厘米 首行缩进:  2 字符 段后: 0 磅 行距: 固定值 24..."/>
    <w:basedOn w:val="1"/>
    <w:uiPriority w:val="0"/>
    <w:pPr>
      <w:spacing w:line="480" w:lineRule="exact"/>
      <w:ind w:firstLine="480" w:firstLineChars="200"/>
    </w:pPr>
    <w:rPr>
      <w:rFonts w:ascii="宋体" w:hAnsi="宋体" w:cs="宋体"/>
      <w:sz w:val="24"/>
      <w:szCs w:val="20"/>
    </w:rPr>
  </w:style>
  <w:style w:type="paragraph" w:customStyle="1" w:styleId="755">
    <w:name w:val="xl79"/>
    <w:basedOn w:val="1"/>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6">
    <w:name w:val="表格"/>
    <w:basedOn w:val="1"/>
    <w:uiPriority w:val="0"/>
    <w:pPr>
      <w:adjustRightInd w:val="0"/>
      <w:spacing w:beforeLines="25" w:afterLines="25"/>
      <w:textAlignment w:val="baseline"/>
    </w:pPr>
    <w:rPr>
      <w:rFonts w:ascii="Arial" w:hAnsi="Arial" w:eastAsia="仿宋_GB2312"/>
      <w:kern w:val="0"/>
      <w:sz w:val="24"/>
      <w:szCs w:val="28"/>
    </w:rPr>
  </w:style>
  <w:style w:type="paragraph" w:customStyle="1" w:styleId="757">
    <w:name w:val="修订1"/>
    <w:semiHidden/>
    <w:uiPriority w:val="99"/>
    <w:rPr>
      <w:rFonts w:ascii="Calibri" w:hAnsi="Calibri" w:eastAsia="宋体" w:cs="Times New Roman"/>
      <w:kern w:val="2"/>
      <w:sz w:val="21"/>
      <w:szCs w:val="22"/>
      <w:lang w:val="en-US" w:eastAsia="zh-CN" w:bidi="ar-SA"/>
    </w:rPr>
  </w:style>
  <w:style w:type="paragraph" w:customStyle="1" w:styleId="758">
    <w:name w:val="封面1级标题"/>
    <w:basedOn w:val="1"/>
    <w:next w:val="1"/>
    <w:uiPriority w:val="0"/>
    <w:pPr>
      <w:spacing w:beforeLines="800"/>
      <w:jc w:val="center"/>
    </w:pPr>
    <w:rPr>
      <w:rFonts w:ascii="Arial" w:hAnsi="Arial" w:eastAsia="黑体" w:cs="宋体"/>
      <w:b/>
      <w:sz w:val="72"/>
      <w:szCs w:val="72"/>
    </w:rPr>
  </w:style>
  <w:style w:type="paragraph" w:customStyle="1" w:styleId="759">
    <w:name w:val="xl122"/>
    <w:basedOn w:val="1"/>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0">
    <w:name w:val="表格标题栏"/>
    <w:basedOn w:val="1"/>
    <w:uiPriority w:val="0"/>
    <w:pPr>
      <w:shd w:val="pct5" w:color="auto" w:fill="auto"/>
      <w:jc w:val="center"/>
      <w:textAlignment w:val="center"/>
    </w:pPr>
    <w:rPr>
      <w:rFonts w:ascii="新宋体" w:hAnsi="新宋体" w:eastAsia="华文中宋"/>
      <w:b/>
      <w:sz w:val="28"/>
      <w:szCs w:val="28"/>
    </w:rPr>
  </w:style>
  <w:style w:type="paragraph" w:customStyle="1" w:styleId="761">
    <w:name w:val="5级"/>
    <w:basedOn w:val="1"/>
    <w:next w:val="17"/>
    <w:uiPriority w:val="0"/>
    <w:pPr>
      <w:numPr>
        <w:ilvl w:val="4"/>
        <w:numId w:val="29"/>
      </w:numPr>
    </w:pPr>
    <w:rPr>
      <w:rFonts w:eastAsia="黑体"/>
      <w:kern w:val="0"/>
      <w:sz w:val="24"/>
      <w:szCs w:val="20"/>
    </w:rPr>
  </w:style>
  <w:style w:type="paragraph" w:customStyle="1" w:styleId="762">
    <w:name w:val="Body"/>
    <w:basedOn w:val="1"/>
    <w:uiPriority w:val="0"/>
    <w:pPr>
      <w:widowControl/>
      <w:spacing w:before="120" w:afterLines="50"/>
    </w:pPr>
    <w:rPr>
      <w:rFonts w:ascii="宋体" w:hAnsi="Times New Roman"/>
      <w:snapToGrid w:val="0"/>
      <w:kern w:val="0"/>
      <w:szCs w:val="20"/>
    </w:rPr>
  </w:style>
  <w:style w:type="paragraph" w:customStyle="1" w:styleId="763">
    <w:name w:val="标准标题2"/>
    <w:basedOn w:val="3"/>
    <w:uiPriority w:val="0"/>
    <w:pPr>
      <w:spacing w:line="360" w:lineRule="auto"/>
    </w:pPr>
    <w:rPr>
      <w:rFonts w:eastAsia="仿宋_GB2312"/>
      <w:bCs w:val="0"/>
      <w:sz w:val="28"/>
    </w:rPr>
  </w:style>
  <w:style w:type="paragraph" w:customStyle="1" w:styleId="764">
    <w:name w:val="xl83"/>
    <w:basedOn w:val="1"/>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5">
    <w:name w:val="img"/>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766">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7">
    <w:name w:val="一"/>
    <w:basedOn w:val="157"/>
    <w:uiPriority w:val="0"/>
    <w:pPr>
      <w:widowControl/>
      <w:spacing w:line="560" w:lineRule="exact"/>
      <w:ind w:left="720" w:firstLine="0" w:firstLineChars="0"/>
      <w:jc w:val="left"/>
      <w:outlineLvl w:val="0"/>
    </w:pPr>
    <w:rPr>
      <w:rFonts w:ascii="宋体" w:hAnsi="宋体"/>
      <w:b/>
      <w:bCs/>
      <w:sz w:val="30"/>
      <w:szCs w:val="30"/>
    </w:rPr>
  </w:style>
  <w:style w:type="paragraph" w:customStyle="1" w:styleId="768">
    <w:name w:val="font13"/>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69">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0">
    <w:name w:val="样式 标题 3h33rd levelHeading 3 - oldH3Fab-3level_3PIM 3Leve..."/>
    <w:basedOn w:val="4"/>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1">
    <w:name w:val="Char Char Char Char3"/>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2">
    <w:name w:val="样式 四号 行距: 1.5 倍行距"/>
    <w:basedOn w:val="1"/>
    <w:uiPriority w:val="0"/>
    <w:pPr>
      <w:spacing w:line="312" w:lineRule="auto"/>
      <w:ind w:firstLine="202" w:firstLineChars="202"/>
    </w:pPr>
    <w:rPr>
      <w:rFonts w:ascii="Times New Roman" w:hAnsi="Times New Roman" w:cs="宋体"/>
      <w:sz w:val="24"/>
      <w:szCs w:val="20"/>
    </w:rPr>
  </w:style>
  <w:style w:type="paragraph" w:customStyle="1" w:styleId="773">
    <w:name w:val="浅色列表 - 强调文字颜色 31"/>
    <w:uiPriority w:val="71"/>
    <w:rPr>
      <w:rFonts w:ascii="Calibri" w:hAnsi="Calibri" w:eastAsia="宋体" w:cs="Times New Roman"/>
      <w:kern w:val="2"/>
      <w:sz w:val="21"/>
      <w:szCs w:val="22"/>
      <w:lang w:val="en-US" w:eastAsia="zh-CN" w:bidi="ar-SA"/>
    </w:rPr>
  </w:style>
  <w:style w:type="paragraph" w:customStyle="1" w:styleId="774">
    <w:name w:val="_Style 164"/>
    <w:basedOn w:val="1"/>
    <w:uiPriority w:val="0"/>
    <w:rPr>
      <w:rFonts w:ascii="Times New Roman" w:hAnsi="Times New Roman"/>
      <w:szCs w:val="20"/>
    </w:rPr>
  </w:style>
  <w:style w:type="paragraph" w:customStyle="1" w:styleId="775">
    <w:name w:val="GP公文标题1"/>
    <w:basedOn w:val="1"/>
    <w:next w:val="1"/>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6">
    <w:name w:val="paracharcharcharcharcharcharcharcharchar1charcharcharcha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77">
    <w:name w:val="Char Char Char Char Char Char Char1"/>
    <w:basedOn w:val="1"/>
    <w:uiPriority w:val="0"/>
    <w:pPr>
      <w:tabs>
        <w:tab w:val="left" w:pos="432"/>
      </w:tabs>
      <w:ind w:left="432" w:hanging="432"/>
    </w:pPr>
    <w:rPr>
      <w:rFonts w:ascii="Tahoma" w:hAnsi="Tahoma"/>
      <w:sz w:val="24"/>
      <w:szCs w:val="20"/>
    </w:rPr>
  </w:style>
  <w:style w:type="paragraph" w:customStyle="1" w:styleId="778">
    <w:name w:val="Table Text"/>
    <w:basedOn w:val="1"/>
    <w:uiPriority w:val="0"/>
    <w:pPr>
      <w:widowControl/>
      <w:spacing w:before="60" w:after="60"/>
      <w:jc w:val="left"/>
    </w:pPr>
    <w:rPr>
      <w:rFonts w:ascii="Times New Roman" w:hAnsi="Times New Roman"/>
      <w:kern w:val="0"/>
      <w:sz w:val="24"/>
      <w:szCs w:val="24"/>
    </w:rPr>
  </w:style>
  <w:style w:type="paragraph" w:customStyle="1" w:styleId="779">
    <w:name w:val="button"/>
    <w:basedOn w:val="1"/>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0">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1">
    <w:name w:val="xl75"/>
    <w:basedOn w:val="1"/>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2">
    <w:name w:val="彩色列表1"/>
    <w:basedOn w:val="1"/>
    <w:uiPriority w:val="0"/>
    <w:pPr>
      <w:tabs>
        <w:tab w:val="left" w:pos="1200"/>
      </w:tabs>
      <w:ind w:left="1200" w:hanging="360"/>
    </w:pPr>
  </w:style>
  <w:style w:type="paragraph" w:customStyle="1" w:styleId="783">
    <w:name w:val="封面2级标题"/>
    <w:basedOn w:val="1"/>
    <w:next w:val="270"/>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4">
    <w:name w:val="彩色列表 - 强调文字颜色 11"/>
    <w:basedOn w:val="1"/>
    <w:qFormat/>
    <w:uiPriority w:val="34"/>
    <w:pPr>
      <w:ind w:firstLine="420" w:firstLineChars="200"/>
    </w:pPr>
  </w:style>
  <w:style w:type="paragraph" w:customStyle="1" w:styleId="785">
    <w:name w:val="样式 标题 3Chapter X.X.X. + 五号 段后: 0.5 行"/>
    <w:basedOn w:val="4"/>
    <w:uiPriority w:val="0"/>
    <w:pPr>
      <w:keepLines w:val="0"/>
      <w:spacing w:before="120" w:afterLines="50" w:line="240" w:lineRule="auto"/>
      <w:jc w:val="left"/>
    </w:pPr>
    <w:rPr>
      <w:rFonts w:ascii="宋体" w:cs="宋体"/>
      <w:snapToGrid w:val="0"/>
      <w:kern w:val="0"/>
      <w:sz w:val="21"/>
      <w:szCs w:val="20"/>
    </w:rPr>
  </w:style>
  <w:style w:type="paragraph" w:customStyle="1" w:styleId="786">
    <w:name w:val="ZJGIS-二级标题"/>
    <w:basedOn w:val="3"/>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7">
    <w:name w:val="pa-7"/>
    <w:basedOn w:val="1"/>
    <w:uiPriority w:val="0"/>
    <w:pPr>
      <w:widowControl/>
      <w:spacing w:before="150" w:after="150"/>
      <w:jc w:val="left"/>
    </w:pPr>
    <w:rPr>
      <w:rFonts w:ascii="宋体" w:hAnsi="宋体" w:cs="宋体"/>
      <w:kern w:val="0"/>
      <w:sz w:val="24"/>
      <w:szCs w:val="24"/>
    </w:rPr>
  </w:style>
  <w:style w:type="paragraph" w:customStyle="1" w:styleId="788">
    <w:name w:val="注意事项"/>
    <w:basedOn w:val="1"/>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89">
    <w:name w:val="标书正文格式"/>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0">
    <w:name w:val="Char Char1 Char Char Char Char Char Char Char Char Char Char Char Char Char Char1"/>
    <w:basedOn w:val="1"/>
    <w:uiPriority w:val="0"/>
    <w:pPr>
      <w:widowControl/>
      <w:spacing w:after="160" w:line="240" w:lineRule="exact"/>
      <w:jc w:val="left"/>
    </w:pPr>
    <w:rPr>
      <w:rFonts w:ascii="Times New Roman" w:hAnsi="Times New Roman"/>
      <w:szCs w:val="20"/>
    </w:rPr>
  </w:style>
  <w:style w:type="paragraph" w:customStyle="1" w:styleId="791">
    <w:name w:val="CM12"/>
    <w:basedOn w:val="674"/>
    <w:next w:val="674"/>
    <w:uiPriority w:val="0"/>
    <w:pPr>
      <w:spacing w:line="468" w:lineRule="atLeast"/>
    </w:pPr>
    <w:rPr>
      <w:rFonts w:ascii="宋体" w:hAnsi="Times New Roman" w:eastAsia="宋体" w:cs="Times New Roman"/>
      <w:color w:val="auto"/>
    </w:rPr>
  </w:style>
  <w:style w:type="paragraph" w:customStyle="1" w:styleId="792">
    <w:name w:val="样式 楷体_GB2312 四号 行距: 多倍行距 1.25 字行"/>
    <w:basedOn w:val="1"/>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3">
    <w:name w:val="四级"/>
    <w:basedOn w:val="5"/>
    <w:uiPriority w:val="0"/>
    <w:pPr>
      <w:tabs>
        <w:tab w:val="left" w:pos="284"/>
      </w:tabs>
      <w:spacing w:before="160" w:after="170" w:line="240" w:lineRule="auto"/>
      <w:ind w:left="828" w:hanging="544"/>
    </w:pPr>
    <w:rPr>
      <w:bCs w:val="0"/>
      <w:sz w:val="30"/>
      <w:szCs w:val="20"/>
    </w:rPr>
  </w:style>
  <w:style w:type="paragraph" w:customStyle="1" w:styleId="794">
    <w:name w:val="Char Char Char1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795">
    <w:name w:val="图表引用"/>
    <w:basedOn w:val="1"/>
    <w:qFormat/>
    <w:uiPriority w:val="0"/>
    <w:pPr>
      <w:spacing w:line="360" w:lineRule="auto"/>
      <w:jc w:val="center"/>
    </w:pPr>
    <w:rPr>
      <w:rFonts w:ascii="仿宋_GB2312" w:eastAsia="仿宋_GB2312"/>
      <w:b/>
      <w:sz w:val="24"/>
      <w:szCs w:val="28"/>
    </w:rPr>
  </w:style>
  <w:style w:type="paragraph" w:customStyle="1" w:styleId="796">
    <w:name w:val="样式 正文段落 + 首行缩进:  0 字符"/>
    <w:basedOn w:val="342"/>
    <w:uiPriority w:val="0"/>
    <w:pPr>
      <w:spacing w:line="360" w:lineRule="auto"/>
      <w:ind w:firstLine="0"/>
    </w:pPr>
    <w:rPr>
      <w:rFonts w:ascii="宋体" w:hAnsi="宋体" w:cs="宋体"/>
      <w:kern w:val="0"/>
    </w:rPr>
  </w:style>
  <w:style w:type="paragraph" w:customStyle="1" w:styleId="797">
    <w:name w:val="Char8"/>
    <w:basedOn w:val="1"/>
    <w:uiPriority w:val="0"/>
    <w:pPr>
      <w:tabs>
        <w:tab w:val="left" w:pos="432"/>
      </w:tabs>
      <w:ind w:left="432" w:hanging="432"/>
    </w:pPr>
    <w:rPr>
      <w:rFonts w:ascii="Times New Roman" w:hAnsi="Times New Roman"/>
      <w:sz w:val="24"/>
      <w:szCs w:val="24"/>
    </w:rPr>
  </w:style>
  <w:style w:type="paragraph" w:customStyle="1" w:styleId="798">
    <w:name w:val="Char Char Char1"/>
    <w:basedOn w:val="1"/>
    <w:uiPriority w:val="0"/>
    <w:rPr>
      <w:rFonts w:ascii="Times New Roman" w:hAnsi="Times New Roman" w:eastAsia="仿宋_GB2312" w:cs="宋体"/>
      <w:sz w:val="24"/>
      <w:szCs w:val="20"/>
    </w:rPr>
  </w:style>
  <w:style w:type="paragraph" w:customStyle="1" w:styleId="799">
    <w:name w:val="ZJGIS-五级标题"/>
    <w:basedOn w:val="6"/>
    <w:qFormat/>
    <w:uiPriority w:val="0"/>
    <w:pPr>
      <w:numPr>
        <w:ilvl w:val="4"/>
        <w:numId w:val="10"/>
      </w:numPr>
      <w:spacing w:before="120" w:after="120" w:line="240" w:lineRule="auto"/>
    </w:pPr>
    <w:rPr>
      <w:rFonts w:ascii="Times New Roman" w:hAnsi="Times New Roman"/>
      <w:sz w:val="24"/>
      <w:szCs w:val="24"/>
    </w:rPr>
  </w:style>
  <w:style w:type="paragraph" w:customStyle="1" w:styleId="800">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1">
    <w:name w:val="ZJGIS表格表头"/>
    <w:basedOn w:val="1"/>
    <w:qFormat/>
    <w:uiPriority w:val="0"/>
    <w:pPr>
      <w:jc w:val="center"/>
    </w:pPr>
    <w:rPr>
      <w:rFonts w:ascii="Arial" w:hAnsi="Arial" w:eastAsia="黑体"/>
      <w:b/>
    </w:rPr>
  </w:style>
  <w:style w:type="paragraph" w:customStyle="1" w:styleId="802">
    <w:name w:val="吉奥封面(黑体小初)"/>
    <w:basedOn w:val="168"/>
    <w:uiPriority w:val="0"/>
    <w:pPr>
      <w:spacing w:before="480"/>
      <w:ind w:firstLine="0" w:firstLineChars="0"/>
      <w:jc w:val="center"/>
    </w:pPr>
    <w:rPr>
      <w:rFonts w:eastAsia="黑体"/>
      <w:sz w:val="72"/>
      <w:szCs w:val="72"/>
    </w:rPr>
  </w:style>
  <w:style w:type="paragraph" w:customStyle="1" w:styleId="803">
    <w:name w:val="样式 标题 3 + 首行缩进:  2 字符1"/>
    <w:basedOn w:val="4"/>
    <w:uiPriority w:val="0"/>
    <w:pPr>
      <w:spacing w:line="360" w:lineRule="auto"/>
    </w:pPr>
    <w:rPr>
      <w:rFonts w:ascii="Times New Roman" w:hAnsi="Times New Roman" w:cs="宋体"/>
      <w:szCs w:val="20"/>
    </w:rPr>
  </w:style>
  <w:style w:type="character" w:customStyle="1" w:styleId="804">
    <w:name w:val="一级标题 Char"/>
    <w:link w:val="805"/>
    <w:locked/>
    <w:uiPriority w:val="0"/>
    <w:rPr>
      <w:rFonts w:ascii="宋体" w:hAnsi="宋体"/>
      <w:b/>
      <w:kern w:val="2"/>
      <w:sz w:val="36"/>
      <w:szCs w:val="36"/>
    </w:rPr>
  </w:style>
  <w:style w:type="paragraph" w:customStyle="1" w:styleId="805">
    <w:name w:val="一级标题"/>
    <w:basedOn w:val="31"/>
    <w:link w:val="804"/>
    <w:qFormat/>
    <w:uiPriority w:val="0"/>
    <w:pPr>
      <w:spacing w:line="360" w:lineRule="auto"/>
      <w:jc w:val="center"/>
    </w:pPr>
    <w:rPr>
      <w:rFonts w:hAnsi="宋体"/>
      <w:b/>
      <w:sz w:val="36"/>
      <w:szCs w:val="36"/>
    </w:rPr>
  </w:style>
  <w:style w:type="character" w:customStyle="1" w:styleId="806">
    <w:name w:val="纯文本 Char1"/>
    <w:uiPriority w:val="0"/>
    <w:rPr>
      <w:rFonts w:ascii="宋体" w:hAnsi="Courier New"/>
      <w:kern w:val="2"/>
      <w:sz w:val="24"/>
      <w:szCs w:val="24"/>
    </w:rPr>
  </w:style>
  <w:style w:type="paragraph" w:customStyle="1" w:styleId="807">
    <w:name w:val="正文5"/>
    <w:uiPriority w:val="0"/>
    <w:pPr>
      <w:widowControl w:val="0"/>
      <w:jc w:val="both"/>
    </w:pPr>
    <w:rPr>
      <w:rFonts w:ascii="Times New Roman" w:hAnsi="Times New Roman" w:eastAsia="宋体" w:cs="Times New Roman"/>
      <w:kern w:val="2"/>
      <w:sz w:val="21"/>
      <w:lang w:val="en-US" w:eastAsia="zh-CN" w:bidi="ar-SA"/>
    </w:rPr>
  </w:style>
  <w:style w:type="paragraph" w:customStyle="1" w:styleId="808">
    <w:name w:val="纯文本2"/>
    <w:basedOn w:val="807"/>
    <w:uiPriority w:val="0"/>
    <w:pPr>
      <w:widowControl/>
      <w:jc w:val="left"/>
    </w:pPr>
    <w:rPr>
      <w:rFonts w:ascii="宋体" w:hAnsi="Courier New"/>
    </w:rPr>
  </w:style>
  <w:style w:type="character" w:customStyle="1" w:styleId="809">
    <w:name w:val="正文文本 Char1"/>
    <w:basedOn w:val="63"/>
    <w:semiHidden/>
    <w:uiPriority w:val="0"/>
  </w:style>
  <w:style w:type="character" w:customStyle="1" w:styleId="810">
    <w:name w:val="正文文本 字符1"/>
    <w:basedOn w:val="63"/>
    <w:semiHidden/>
    <w:qFormat/>
    <w:uiPriority w:val="99"/>
  </w:style>
  <w:style w:type="paragraph" w:customStyle="1" w:styleId="811">
    <w:name w:val="修订2"/>
    <w:hidden/>
    <w:semiHidden/>
    <w:uiPriority w:val="99"/>
    <w:rPr>
      <w:rFonts w:ascii="Calibri" w:hAnsi="Calibri" w:eastAsia="宋体" w:cs="Times New Roman"/>
      <w:kern w:val="2"/>
      <w:sz w:val="21"/>
      <w:szCs w:val="22"/>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38ED63-AB86-4A6E-A127-C5413A6A1AC0}">
  <ds:schemaRefs/>
</ds:datastoreItem>
</file>

<file path=docProps/app.xml><?xml version="1.0" encoding="utf-8"?>
<Properties xmlns="http://schemas.openxmlformats.org/officeDocument/2006/extended-properties" xmlns:vt="http://schemas.openxmlformats.org/officeDocument/2006/docPropsVTypes">
  <Template>Normal.dotm</Template>
  <Company>上海上海远瞩计算机技术有限公司</Company>
  <Pages>107</Pages>
  <Words>11298</Words>
  <Characters>64403</Characters>
  <Lines>536</Lines>
  <Paragraphs>151</Paragraphs>
  <TotalTime>20</TotalTime>
  <ScaleCrop>false</ScaleCrop>
  <LinksUpToDate>false</LinksUpToDate>
  <CharactersWithSpaces>75550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2020-10-19T03:11:00Z</dcterms:created>
  <dc:creator>NTKO</dc:creator>
  <cp:lastModifiedBy>map</cp:lastModifiedBy>
  <cp:lastPrinted>2021-01-14T07:25:00Z</cp:lastPrinted>
  <dcterms:modified xsi:type="dcterms:W3CDTF">2021-01-17T13:09:16Z</dcterms:modified>
  <dc:title>浙江省政府采购中心关于浙江省</dc:title>
  <cp:revision>202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