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bookmarkStart w:id="0" w:name="PO_15528_PM002_1"/>
      <w:r>
        <w:rPr>
          <w:rFonts w:hint="eastAsia" w:ascii="宋体" w:hAnsi="宋体"/>
          <w:color w:val="000000" w:themeColor="text1"/>
          <w:sz w:val="36"/>
          <w:szCs w:val="36"/>
          <w14:textFill>
            <w14:solidFill>
              <w14:schemeClr w14:val="tx1"/>
            </w14:solidFill>
          </w14:textFill>
        </w:rPr>
        <w:t>国家体育总局体育信息中心赛事管理及竞赛信息服务项目采购招标文件</w:t>
      </w:r>
      <w:bookmarkEnd w:id="0"/>
    </w:p>
    <w:p>
      <w:pPr>
        <w:spacing w:before="312" w:beforeLines="100" w:line="360" w:lineRule="auto"/>
        <w:ind w:right="-108"/>
        <w:jc w:val="center"/>
        <w:rPr>
          <w:rFonts w:ascii="宋体" w:hAnsi="宋体"/>
          <w:b/>
          <w:color w:val="000000" w:themeColor="text1"/>
          <w:spacing w:val="40"/>
          <w:sz w:val="84"/>
          <w:szCs w:val="84"/>
          <w14:textFill>
            <w14:solidFill>
              <w14:schemeClr w14:val="tx1"/>
            </w14:solidFill>
          </w14:textFill>
        </w:rPr>
      </w:pP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项目编号：</w:t>
      </w:r>
      <w:bookmarkStart w:id="1" w:name="PO_15528_PM001"/>
      <w:r>
        <w:rPr>
          <w:rFonts w:ascii="宋体" w:hAnsi="宋体"/>
          <w:color w:val="000000" w:themeColor="text1"/>
          <w:sz w:val="36"/>
          <w:szCs w:val="36"/>
          <w14:textFill>
            <w14:solidFill>
              <w14:schemeClr w14:val="tx1"/>
            </w14:solidFill>
          </w14:textFill>
        </w:rPr>
        <w:t>ZB2020</w:t>
      </w:r>
      <w:r>
        <w:rPr>
          <w:rFonts w:hint="eastAsia" w:ascii="宋体" w:hAnsi="宋体"/>
          <w:color w:val="000000" w:themeColor="text1"/>
          <w:sz w:val="36"/>
          <w:szCs w:val="36"/>
          <w14:textFill>
            <w14:solidFill>
              <w14:schemeClr w14:val="tx1"/>
            </w14:solidFill>
          </w14:textFill>
        </w:rPr>
        <w:t>-</w:t>
      </w:r>
      <w:bookmarkEnd w:id="1"/>
      <w:r>
        <w:rPr>
          <w:rFonts w:hint="eastAsia" w:ascii="宋体" w:hAnsi="宋体"/>
          <w:color w:val="000000" w:themeColor="text1"/>
          <w:sz w:val="36"/>
          <w:szCs w:val="36"/>
          <w14:textFill>
            <w14:solidFill>
              <w14:schemeClr w14:val="tx1"/>
            </w14:solidFill>
          </w14:textFill>
        </w:rPr>
        <w:t>38</w:t>
      </w:r>
    </w:p>
    <w:p>
      <w:pPr>
        <w:spacing w:before="312" w:beforeLines="100"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招</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ind w:right="-110"/>
        <w:rPr>
          <w:rFonts w:ascii="宋体" w:hAnsi="宋体"/>
          <w:color w:val="000000" w:themeColor="text1"/>
          <w:sz w:val="32"/>
          <w:szCs w:val="32"/>
          <w14:textFill>
            <w14:solidFill>
              <w14:schemeClr w14:val="tx1"/>
            </w14:solidFill>
          </w14:textFill>
        </w:rPr>
      </w:pPr>
    </w:p>
    <w:p>
      <w:pPr>
        <w:ind w:right="-110"/>
        <w:rPr>
          <w:rFonts w:ascii="宋体" w:hAnsi="宋体"/>
          <w:color w:val="000000" w:themeColor="text1"/>
          <w:sz w:val="32"/>
          <w:szCs w:val="32"/>
          <w14:textFill>
            <w14:solidFill>
              <w14:schemeClr w14:val="tx1"/>
            </w14:solidFill>
          </w14:textFill>
        </w:rPr>
      </w:pPr>
    </w:p>
    <w:p>
      <w:pPr>
        <w:spacing w:line="500" w:lineRule="exact"/>
        <w:ind w:right="532" w:firstLine="540" w:firstLineChars="1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采购单位：国家体育总局体育器材装备中心</w:t>
      </w:r>
    </w:p>
    <w:p>
      <w:pPr>
        <w:spacing w:line="500" w:lineRule="exact"/>
        <w:ind w:right="532"/>
        <w:rPr>
          <w:rFonts w:ascii="宋体" w:hAnsi="宋体"/>
          <w:color w:val="000000" w:themeColor="text1"/>
          <w:sz w:val="36"/>
          <w:szCs w:val="36"/>
          <w14:textFill>
            <w14:solidFill>
              <w14:schemeClr w14:val="tx1"/>
            </w14:solidFill>
          </w14:textFill>
        </w:rPr>
      </w:pPr>
    </w:p>
    <w:p>
      <w:pPr>
        <w:wordWrap w:val="0"/>
        <w:spacing w:line="500" w:lineRule="exact"/>
        <w:ind w:right="-108" w:firstLine="540" w:firstLineChars="1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址：北京市东城区体育馆路3号</w:t>
      </w:r>
    </w:p>
    <w:p>
      <w:pPr>
        <w:wordWrap w:val="0"/>
        <w:spacing w:line="500" w:lineRule="exact"/>
        <w:ind w:right="-108" w:firstLine="663" w:firstLineChars="150"/>
        <w:rPr>
          <w:rFonts w:hAnsi="宋体"/>
          <w:b/>
          <w:color w:val="000000" w:themeColor="text1"/>
          <w:sz w:val="36"/>
          <w:szCs w:val="36"/>
          <w14:textFill>
            <w14:solidFill>
              <w14:schemeClr w14:val="tx1"/>
            </w14:solidFill>
          </w14:textFill>
        </w:rPr>
      </w:pPr>
      <w:r>
        <w:rPr>
          <w:rFonts w:hAnsi="宋体"/>
          <w:b/>
          <w:color w:val="000000" w:themeColor="text1"/>
          <w:sz w:val="44"/>
          <w:szCs w:val="44"/>
          <w14:textFill>
            <w14:solidFill>
              <w14:schemeClr w14:val="tx1"/>
            </w14:solidFill>
          </w14:textFill>
        </w:rPr>
        <w:br w:type="page"/>
      </w:r>
      <w:r>
        <w:rPr>
          <w:rFonts w:hint="eastAsia" w:hAnsi="宋体"/>
          <w:b/>
          <w:color w:val="000000" w:themeColor="text1"/>
          <w:sz w:val="44"/>
          <w:szCs w:val="44"/>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目    录</w:t>
      </w:r>
    </w:p>
    <w:p>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pPr>
        <w:pStyle w:val="40"/>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fldChar w:fldCharType="begin"/>
      </w:r>
      <w:r>
        <w:rPr>
          <w:rFonts w:ascii="宋体" w:hAnsi="宋体" w:eastAsia="仿宋_GB2312"/>
          <w:color w:val="000000" w:themeColor="text1"/>
          <w:sz w:val="30"/>
          <w:szCs w:val="30"/>
          <w14:textFill>
            <w14:solidFill>
              <w14:schemeClr w14:val="tx1"/>
            </w14:solidFill>
          </w14:textFill>
        </w:rPr>
        <w:instrText xml:space="preserve"> TOC \o "1-1" \h \z \u </w:instrText>
      </w:r>
      <w:r>
        <w:rPr>
          <w:rFonts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"_Toc51935127" </w:instrText>
      </w:r>
      <w:r>
        <w:fldChar w:fldCharType="separate"/>
      </w:r>
      <w:r>
        <w:rPr>
          <w:rStyle w:val="68"/>
          <w:rFonts w:hint="eastAsia" w:hAnsi="宋体"/>
          <w:b/>
          <w:color w:val="000000" w:themeColor="text1"/>
          <w14:textFill>
            <w14:solidFill>
              <w14:schemeClr w14:val="tx1"/>
            </w14:solidFill>
          </w14:textFill>
        </w:rPr>
        <w:t>第一章</w:t>
      </w:r>
      <w:r>
        <w:rPr>
          <w:rStyle w:val="68"/>
          <w:rFonts w:hAnsi="宋体"/>
          <w:b/>
          <w:color w:val="000000" w:themeColor="text1"/>
          <w14:textFill>
            <w14:solidFill>
              <w14:schemeClr w14:val="tx1"/>
            </w14:solidFill>
          </w14:textFill>
        </w:rPr>
        <w:t xml:space="preserve">  </w:t>
      </w:r>
      <w:r>
        <w:rPr>
          <w:rStyle w:val="68"/>
          <w:rFonts w:hint="eastAsia" w:hAnsi="宋体"/>
          <w:b/>
          <w:color w:val="000000" w:themeColor="text1"/>
          <w14:textFill>
            <w14:solidFill>
              <w14:schemeClr w14:val="tx1"/>
            </w14:solidFill>
          </w14:textFill>
        </w:rPr>
        <w:t>公开招标采购公告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0"/>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"_Toc51935128" </w:instrText>
      </w:r>
      <w:r>
        <w:fldChar w:fldCharType="separate"/>
      </w:r>
      <w:r>
        <w:rPr>
          <w:rStyle w:val="68"/>
          <w:rFonts w:hint="eastAsia" w:ascii="仿宋" w:hAnsi="仿宋"/>
          <w:b/>
          <w:color w:val="000000" w:themeColor="text1"/>
          <w14:textFill>
            <w14:solidFill>
              <w14:schemeClr w14:val="tx1"/>
            </w14:solidFill>
          </w14:textFill>
        </w:rPr>
        <w:t>第二章</w:t>
      </w:r>
      <w:r>
        <w:rPr>
          <w:rStyle w:val="68"/>
          <w:rFonts w:ascii="仿宋" w:hAnsi="仿宋"/>
          <w:b/>
          <w:color w:val="000000" w:themeColor="text1"/>
          <w14:textFill>
            <w14:solidFill>
              <w14:schemeClr w14:val="tx1"/>
            </w14:solidFill>
          </w14:textFill>
        </w:rPr>
        <w:t xml:space="preserve">  </w:t>
      </w:r>
      <w:r>
        <w:rPr>
          <w:rStyle w:val="68"/>
          <w:rFonts w:hint="eastAsia" w:ascii="仿宋" w:hAnsi="仿宋"/>
          <w:b/>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0"/>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"_Toc51935129" </w:instrText>
      </w:r>
      <w:r>
        <w:fldChar w:fldCharType="separate"/>
      </w:r>
      <w:r>
        <w:rPr>
          <w:rStyle w:val="68"/>
          <w:rFonts w:hint="eastAsia" w:hAnsi="宋体"/>
          <w:b/>
          <w:color w:val="000000" w:themeColor="text1"/>
          <w14:textFill>
            <w14:solidFill>
              <w14:schemeClr w14:val="tx1"/>
            </w14:solidFill>
          </w14:textFill>
        </w:rPr>
        <w:t>第三章</w:t>
      </w:r>
      <w:r>
        <w:rPr>
          <w:rStyle w:val="68"/>
          <w:rFonts w:hAnsi="宋体"/>
          <w:b/>
          <w:color w:val="000000" w:themeColor="text1"/>
          <w14:textFill>
            <w14:solidFill>
              <w14:schemeClr w14:val="tx1"/>
            </w14:solidFill>
          </w14:textFill>
        </w:rPr>
        <w:t xml:space="preserve">  </w:t>
      </w:r>
      <w:r>
        <w:rPr>
          <w:rStyle w:val="68"/>
          <w:rFonts w:hint="eastAsia" w:hAnsi="宋体"/>
          <w:b/>
          <w:color w:val="000000" w:themeColor="text1"/>
          <w14:textFill>
            <w14:solidFill>
              <w14:schemeClr w14:val="tx1"/>
            </w14:solidFill>
          </w14:textFill>
        </w:rPr>
        <w:t>评标办法及评分标准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0"/>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"_Toc51935130" </w:instrText>
      </w:r>
      <w:r>
        <w:fldChar w:fldCharType="separate"/>
      </w:r>
      <w:r>
        <w:rPr>
          <w:rStyle w:val="68"/>
          <w:rFonts w:hint="eastAsia" w:hAnsi="宋体"/>
          <w:b/>
          <w:color w:val="000000" w:themeColor="text1"/>
          <w14:textFill>
            <w14:solidFill>
              <w14:schemeClr w14:val="tx1"/>
            </w14:solidFill>
          </w14:textFill>
        </w:rPr>
        <w:t>第四章</w:t>
      </w:r>
      <w:r>
        <w:rPr>
          <w:rStyle w:val="68"/>
          <w:rFonts w:hAnsi="宋体"/>
          <w:b/>
          <w:color w:val="000000" w:themeColor="text1"/>
          <w14:textFill>
            <w14:solidFill>
              <w14:schemeClr w14:val="tx1"/>
            </w14:solidFill>
          </w14:textFill>
        </w:rPr>
        <w:t xml:space="preserve">  </w:t>
      </w:r>
      <w:r>
        <w:rPr>
          <w:rStyle w:val="68"/>
          <w:rFonts w:hint="eastAsia" w:hAnsi="宋体"/>
          <w:b/>
          <w:color w:val="000000" w:themeColor="text1"/>
          <w14:textFill>
            <w14:solidFill>
              <w14:schemeClr w14:val="tx1"/>
            </w14:solidFill>
          </w14:textFill>
        </w:rPr>
        <w:t>招标需求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0"/>
        <w:tabs>
          <w:tab w:val="right" w:leader="dot" w:pos="8834"/>
        </w:tabs>
        <w:rPr>
          <w:rFonts w:asciiTheme="minorHAnsi" w:hAnsiTheme="minorHAnsi" w:eastAsiaTheme="minorEastAsia" w:cstheme="minorBidi"/>
          <w:b/>
          <w:color w:val="000000" w:themeColor="text1"/>
          <w:sz w:val="21"/>
          <w:szCs w:val="22"/>
          <w14:textFill>
            <w14:solidFill>
              <w14:schemeClr w14:val="tx1"/>
            </w14:solidFill>
          </w14:textFill>
        </w:rPr>
      </w:pPr>
      <w:r>
        <w:fldChar w:fldCharType="begin"/>
      </w:r>
      <w:r>
        <w:instrText xml:space="preserve"> HYPERLINK \l "_Toc51935132" </w:instrText>
      </w:r>
      <w:r>
        <w:fldChar w:fldCharType="separate"/>
      </w:r>
      <w:r>
        <w:rPr>
          <w:rStyle w:val="68"/>
          <w:rFonts w:hint="eastAsia" w:ascii="仿宋" w:hAnsi="仿宋"/>
          <w:b/>
          <w:color w:val="000000" w:themeColor="text1"/>
          <w14:textFill>
            <w14:solidFill>
              <w14:schemeClr w14:val="tx1"/>
            </w14:solidFill>
          </w14:textFill>
        </w:rPr>
        <w:t>第五章</w:t>
      </w:r>
      <w:r>
        <w:rPr>
          <w:rStyle w:val="68"/>
          <w:rFonts w:ascii="仿宋" w:hAnsi="仿宋"/>
          <w:b/>
          <w:color w:val="000000" w:themeColor="text1"/>
          <w14:textFill>
            <w14:solidFill>
              <w14:schemeClr w14:val="tx1"/>
            </w14:solidFill>
          </w14:textFill>
        </w:rPr>
        <w:t xml:space="preserve">  </w:t>
      </w:r>
      <w:r>
        <w:rPr>
          <w:rStyle w:val="68"/>
          <w:rFonts w:hint="eastAsia" w:ascii="宋体" w:hAnsi="宋体"/>
          <w:b/>
          <w:color w:val="000000" w:themeColor="text1"/>
          <w14:textFill>
            <w14:solidFill>
              <w14:schemeClr w14:val="tx1"/>
            </w14:solidFill>
          </w14:textFill>
        </w:rPr>
        <w:t>采购合同（模板）</w:t>
      </w:r>
      <w:r>
        <w:rPr>
          <w:b/>
          <w:color w:val="000000" w:themeColor="text1"/>
          <w14:textFill>
            <w14:solidFill>
              <w14:schemeClr w14:val="tx1"/>
            </w14:solidFill>
          </w14:textFill>
        </w:rPr>
        <w:tab/>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PAGEREF _Toc51935132 \h </w:instrText>
      </w:r>
      <w:r>
        <w:rPr>
          <w:b/>
          <w:color w:val="000000" w:themeColor="text1"/>
          <w14:textFill>
            <w14:solidFill>
              <w14:schemeClr w14:val="tx1"/>
            </w14:solidFill>
          </w14:textFill>
        </w:rPr>
        <w:fldChar w:fldCharType="separate"/>
      </w:r>
      <w:r>
        <w:rPr>
          <w:b/>
          <w:color w:val="000000" w:themeColor="text1"/>
          <w14:textFill>
            <w14:solidFill>
              <w14:schemeClr w14:val="tx1"/>
            </w14:solidFill>
          </w14:textFill>
        </w:rPr>
        <w:t>64</w:t>
      </w:r>
      <w:r>
        <w:rPr>
          <w:b/>
          <w:color w:val="000000" w:themeColor="text1"/>
          <w14:textFill>
            <w14:solidFill>
              <w14:schemeClr w14:val="tx1"/>
            </w14:solidFill>
          </w14:textFill>
        </w:rPr>
        <w:fldChar w:fldCharType="end"/>
      </w:r>
      <w:r>
        <w:rPr>
          <w:b/>
          <w:color w:val="000000" w:themeColor="text1"/>
          <w14:textFill>
            <w14:solidFill>
              <w14:schemeClr w14:val="tx1"/>
            </w14:solidFill>
          </w14:textFill>
        </w:rPr>
        <w:fldChar w:fldCharType="end"/>
      </w:r>
    </w:p>
    <w:p>
      <w:pPr>
        <w:pStyle w:val="40"/>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"_Toc51935133" </w:instrText>
      </w:r>
      <w:r>
        <w:fldChar w:fldCharType="separate"/>
      </w:r>
      <w:r>
        <w:rPr>
          <w:rStyle w:val="68"/>
          <w:rFonts w:hint="eastAsia" w:hAnsi="宋体"/>
          <w:b/>
          <w:color w:val="000000" w:themeColor="text1"/>
          <w14:textFill>
            <w14:solidFill>
              <w14:schemeClr w14:val="tx1"/>
            </w14:solidFill>
          </w14:textFill>
        </w:rPr>
        <w:t>第六章</w:t>
      </w:r>
      <w:r>
        <w:rPr>
          <w:rStyle w:val="68"/>
          <w:rFonts w:hAnsi="宋体"/>
          <w:b/>
          <w:color w:val="000000" w:themeColor="text1"/>
          <w14:textFill>
            <w14:solidFill>
              <w14:schemeClr w14:val="tx1"/>
            </w14:solidFill>
          </w14:textFill>
        </w:rPr>
        <w:t xml:space="preserve">  </w:t>
      </w:r>
      <w:r>
        <w:rPr>
          <w:rStyle w:val="68"/>
          <w:rFonts w:hint="eastAsia" w:hAnsi="宋体"/>
          <w:b/>
          <w:color w:val="000000" w:themeColor="text1"/>
          <w14:textFill>
            <w14:solidFill>
              <w14:schemeClr w14:val="tx1"/>
            </w14:solidFill>
          </w14:textFill>
        </w:rPr>
        <w:t>投标文件格式附件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fldChar w:fldCharType="end"/>
      </w:r>
    </w:p>
    <w:p>
      <w:pPr>
        <w:pStyle w:val="31"/>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Ansi="宋体" w:eastAsia="仿宋_GB2312"/>
          <w:color w:val="000000" w:themeColor="text1"/>
          <w:sz w:val="32"/>
          <w:szCs w:val="32"/>
          <w14:textFill>
            <w14:solidFill>
              <w14:schemeClr w14:val="tx1"/>
            </w14:solidFill>
          </w14:textFill>
        </w:rPr>
        <w:br w:type="page"/>
      </w:r>
      <w:bookmarkStart w:id="2" w:name="_Toc51935127"/>
      <w:r>
        <w:rPr>
          <w:rFonts w:hint="eastAsia" w:hAnsi="宋体"/>
          <w:b/>
          <w:color w:val="000000" w:themeColor="text1"/>
          <w:sz w:val="36"/>
          <w:szCs w:val="36"/>
          <w14:textFill>
            <w14:solidFill>
              <w14:schemeClr w14:val="tx1"/>
            </w14:solidFill>
          </w14:textFill>
        </w:rPr>
        <w:t>第一章  公开招标采购公告</w:t>
      </w:r>
      <w:bookmarkEnd w:id="2"/>
    </w:p>
    <w:p>
      <w:pPr>
        <w:pStyle w:val="397"/>
        <w:widowControl w:val="0"/>
        <w:spacing w:afterLines="0"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pPr>
        <w:snapToGrid w:val="0"/>
        <w:spacing w:line="276" w:lineRule="auto"/>
        <w:rPr>
          <w:rFonts w:ascii="仿宋" w:hAnsi="仿宋" w:eastAsia="仿宋" w:cs="Arial"/>
          <w:b/>
          <w:color w:val="000000" w:themeColor="text1"/>
          <w:sz w:val="30"/>
          <w:szCs w:val="30"/>
          <w14:textFill>
            <w14:solidFill>
              <w14:schemeClr w14:val="tx1"/>
            </w14:solidFill>
          </w14:textFill>
        </w:rPr>
      </w:pPr>
    </w:p>
    <w:p>
      <w:pPr>
        <w:snapToGrid w:val="0"/>
        <w:spacing w:line="276" w:lineRule="auto"/>
        <w:ind w:firstLine="602" w:firstLineChars="200"/>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一、项目编号：</w:t>
      </w:r>
      <w:bookmarkStart w:id="3" w:name="PO_15528_PM001_1"/>
      <w:r>
        <w:rPr>
          <w:rFonts w:ascii="仿宋" w:hAnsi="仿宋" w:eastAsia="仿宋" w:cs="Arial"/>
          <w:b/>
          <w:color w:val="000000" w:themeColor="text1"/>
          <w:sz w:val="30"/>
          <w:szCs w:val="30"/>
          <w14:textFill>
            <w14:solidFill>
              <w14:schemeClr w14:val="tx1"/>
            </w14:solidFill>
          </w14:textFill>
        </w:rPr>
        <w:t>ZB2020</w:t>
      </w:r>
      <w:r>
        <w:rPr>
          <w:rFonts w:hint="eastAsia" w:ascii="仿宋" w:hAnsi="仿宋" w:eastAsia="仿宋" w:cs="Arial"/>
          <w:b/>
          <w:color w:val="000000" w:themeColor="text1"/>
          <w:sz w:val="30"/>
          <w:szCs w:val="30"/>
          <w14:textFill>
            <w14:solidFill>
              <w14:schemeClr w14:val="tx1"/>
            </w14:solidFill>
          </w14:textFill>
        </w:rPr>
        <w:t>-</w:t>
      </w:r>
      <w:bookmarkEnd w:id="3"/>
      <w:r>
        <w:rPr>
          <w:rFonts w:hint="eastAsia" w:ascii="仿宋" w:hAnsi="仿宋" w:eastAsia="仿宋" w:cs="Arial"/>
          <w:b/>
          <w:color w:val="000000" w:themeColor="text1"/>
          <w:sz w:val="30"/>
          <w:szCs w:val="30"/>
          <w14:textFill>
            <w14:solidFill>
              <w14:schemeClr w14:val="tx1"/>
            </w14:solidFill>
          </w14:textFill>
        </w:rPr>
        <w:t>38</w:t>
      </w:r>
    </w:p>
    <w:p>
      <w:pPr>
        <w:snapToGrid w:val="0"/>
        <w:spacing w:line="276" w:lineRule="auto"/>
        <w:ind w:firstLine="602" w:firstLineChars="200"/>
        <w:rPr>
          <w:rFonts w:ascii="仿宋" w:hAnsi="仿宋" w:eastAsia="仿宋" w:cs="Arial"/>
          <w:b/>
          <w:color w:val="000000" w:themeColor="text1"/>
          <w:sz w:val="30"/>
          <w:szCs w:val="30"/>
          <w14:textFill>
            <w14:solidFill>
              <w14:schemeClr w14:val="tx1"/>
            </w14:solidFill>
          </w14:textFill>
        </w:rPr>
      </w:pPr>
    </w:p>
    <w:p>
      <w:pPr>
        <w:snapToGrid w:val="0"/>
        <w:spacing w:line="276" w:lineRule="auto"/>
        <w:ind w:firstLine="602" w:firstLineChars="200"/>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二、公告期限：5个工作日</w:t>
      </w:r>
    </w:p>
    <w:p>
      <w:pPr>
        <w:snapToGrid w:val="0"/>
        <w:spacing w:line="276" w:lineRule="auto"/>
        <w:ind w:firstLine="602" w:firstLineChars="200"/>
        <w:rPr>
          <w:rFonts w:ascii="仿宋" w:hAnsi="仿宋" w:eastAsia="仿宋" w:cs="Arial"/>
          <w:b/>
          <w:color w:val="000000" w:themeColor="text1"/>
          <w:sz w:val="30"/>
          <w:szCs w:val="30"/>
          <w14:textFill>
            <w14:solidFill>
              <w14:schemeClr w14:val="tx1"/>
            </w14:solidFill>
          </w14:textFill>
        </w:rPr>
      </w:pPr>
    </w:p>
    <w:p>
      <w:pPr>
        <w:snapToGrid w:val="0"/>
        <w:spacing w:line="276" w:lineRule="auto"/>
        <w:ind w:firstLine="602" w:firstLineChars="200"/>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三、采购项目内容、数量及预算</w:t>
      </w:r>
      <w:bookmarkStart w:id="4" w:name="PO_15528_PM004"/>
      <w:r>
        <w:rPr>
          <w:rFonts w:ascii="仿宋" w:hAnsi="仿宋" w:eastAsia="仿宋" w:cs="Arial"/>
          <w:b/>
          <w:color w:val="000000" w:themeColor="text1"/>
          <w:sz w:val="30"/>
          <w:szCs w:val="30"/>
          <w14:textFill>
            <w14:solidFill>
              <w14:schemeClr w14:val="tx1"/>
            </w14:solidFill>
          </w14:textFill>
        </w:rPr>
        <w:t xml:space="preserve"> </w:t>
      </w:r>
    </w:p>
    <w:tbl>
      <w:tblPr>
        <w:tblStyle w:val="59"/>
        <w:tblW w:w="4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85"/>
        <w:gridCol w:w="1559"/>
        <w:gridCol w:w="1842"/>
        <w:gridCol w:w="110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499"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1203"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945"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w:t>
            </w:r>
            <w:r>
              <w:rPr>
                <w:rFonts w:ascii="仿宋" w:hAnsi="仿宋" w:eastAsia="仿宋" w:cs="Arial"/>
                <w:b/>
                <w:color w:val="000000" w:themeColor="text1"/>
                <w:sz w:val="28"/>
                <w:szCs w:val="28"/>
                <w14:textFill>
                  <w14:solidFill>
                    <w14:schemeClr w14:val="tx1"/>
                  </w14:solidFill>
                </w14:textFill>
              </w:rPr>
              <w:t>(万元)</w:t>
            </w:r>
          </w:p>
        </w:tc>
        <w:tc>
          <w:tcPr>
            <w:tcW w:w="1116"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c>
          <w:tcPr>
            <w:tcW w:w="670"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最高限价</w:t>
            </w:r>
            <w:r>
              <w:rPr>
                <w:rFonts w:ascii="仿宋" w:hAnsi="仿宋" w:eastAsia="仿宋" w:cs="Arial"/>
                <w:b/>
                <w:color w:val="000000" w:themeColor="text1"/>
                <w:sz w:val="28"/>
                <w:szCs w:val="28"/>
                <w14:textFill>
                  <w14:solidFill>
                    <w14:schemeClr w14:val="tx1"/>
                  </w14:solidFill>
                </w14:textFill>
              </w:rPr>
              <w:t>(万元)</w:t>
            </w:r>
          </w:p>
        </w:tc>
        <w:tc>
          <w:tcPr>
            <w:tcW w:w="567"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99"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w:t>
            </w:r>
          </w:p>
        </w:tc>
        <w:tc>
          <w:tcPr>
            <w:tcW w:w="1203"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赛事管理信息系统服务</w:t>
            </w:r>
          </w:p>
        </w:tc>
        <w:tc>
          <w:tcPr>
            <w:tcW w:w="945"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395.9392</w:t>
            </w:r>
          </w:p>
        </w:tc>
        <w:tc>
          <w:tcPr>
            <w:tcW w:w="1116"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详见采购文件第四章招标需求</w:t>
            </w:r>
          </w:p>
        </w:tc>
        <w:tc>
          <w:tcPr>
            <w:tcW w:w="670"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p>
        </w:tc>
        <w:tc>
          <w:tcPr>
            <w:tcW w:w="567"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499"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w:t>
            </w:r>
          </w:p>
        </w:tc>
        <w:tc>
          <w:tcPr>
            <w:tcW w:w="1203"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竞赛通用设备集成保障服务</w:t>
            </w:r>
          </w:p>
        </w:tc>
        <w:tc>
          <w:tcPr>
            <w:tcW w:w="945"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620.5289</w:t>
            </w:r>
          </w:p>
        </w:tc>
        <w:tc>
          <w:tcPr>
            <w:tcW w:w="1116"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详见采购文件第四章招标需求</w:t>
            </w:r>
          </w:p>
        </w:tc>
        <w:tc>
          <w:tcPr>
            <w:tcW w:w="670"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p>
        </w:tc>
        <w:tc>
          <w:tcPr>
            <w:tcW w:w="567"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499"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w:t>
            </w:r>
          </w:p>
        </w:tc>
        <w:tc>
          <w:tcPr>
            <w:tcW w:w="1203"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竞赛信息系统服务</w:t>
            </w:r>
          </w:p>
        </w:tc>
        <w:tc>
          <w:tcPr>
            <w:tcW w:w="945"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432.3608</w:t>
            </w:r>
          </w:p>
        </w:tc>
        <w:tc>
          <w:tcPr>
            <w:tcW w:w="1116"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详见采购文件第四章招标需求</w:t>
            </w:r>
          </w:p>
        </w:tc>
        <w:tc>
          <w:tcPr>
            <w:tcW w:w="670"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p>
        </w:tc>
        <w:tc>
          <w:tcPr>
            <w:tcW w:w="567"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p>
        </w:tc>
      </w:tr>
      <w:bookmarkEnd w:id="4"/>
    </w:tbl>
    <w:p>
      <w:pPr>
        <w:snapToGrid w:val="0"/>
        <w:spacing w:line="460" w:lineRule="exact"/>
        <w:rPr>
          <w:rFonts w:ascii="仿宋" w:hAnsi="仿宋" w:eastAsia="仿宋" w:cs="Arial"/>
          <w:b/>
          <w:bCs/>
          <w:color w:val="000000" w:themeColor="text1"/>
          <w:sz w:val="30"/>
          <w:szCs w:val="30"/>
          <w14:textFill>
            <w14:solidFill>
              <w14:schemeClr w14:val="tx1"/>
            </w14:solidFill>
          </w14:textFill>
        </w:rPr>
      </w:pPr>
    </w:p>
    <w:p>
      <w:pPr>
        <w:snapToGrid w:val="0"/>
        <w:spacing w:line="460" w:lineRule="exact"/>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pPr>
        <w:numPr>
          <w:ilvl w:val="0"/>
          <w:numId w:val="31"/>
        </w:num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符合《中华人民共和国政府采购法》第二十二条的规定；</w:t>
      </w:r>
    </w:p>
    <w:p>
      <w:pPr>
        <w:numPr>
          <w:ilvl w:val="0"/>
          <w:numId w:val="31"/>
        </w:num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numPr>
          <w:ilvl w:val="0"/>
          <w:numId w:val="31"/>
        </w:num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ascii="仿宋" w:hAnsi="仿宋" w:eastAsia="仿宋" w:cs="Arial"/>
          <w:bCs/>
          <w:color w:val="000000" w:themeColor="text1"/>
          <w:sz w:val="28"/>
          <w:szCs w:val="28"/>
          <w14:textFill>
            <w14:solidFill>
              <w14:schemeClr w14:val="tx1"/>
            </w14:solidFill>
          </w14:textFill>
        </w:rPr>
        <w:t>单位负责人为同一人或者存在</w:t>
      </w:r>
      <w:r>
        <w:rPr>
          <w:rFonts w:hint="eastAsia" w:ascii="仿宋" w:hAnsi="仿宋" w:eastAsia="仿宋" w:cs="Arial"/>
          <w:bCs/>
          <w:color w:val="000000" w:themeColor="text1"/>
          <w:sz w:val="28"/>
          <w:szCs w:val="28"/>
          <w14:textFill>
            <w14:solidFill>
              <w14:schemeClr w14:val="tx1"/>
            </w14:solidFill>
          </w14:textFill>
        </w:rPr>
        <w:t>直接</w:t>
      </w:r>
      <w:r>
        <w:rPr>
          <w:rFonts w:ascii="仿宋" w:hAnsi="仿宋" w:eastAsia="仿宋" w:cs="Arial"/>
          <w:bCs/>
          <w:color w:val="000000" w:themeColor="text1"/>
          <w:sz w:val="28"/>
          <w:szCs w:val="28"/>
          <w14:textFill>
            <w14:solidFill>
              <w14:schemeClr w14:val="tx1"/>
            </w14:solidFill>
          </w14:textFill>
        </w:rPr>
        <w:t>控股、管理关系的不同供应商，不得参加同一分包的政府采购活动。</w:t>
      </w:r>
    </w:p>
    <w:p>
      <w:pPr>
        <w:numPr>
          <w:ilvl w:val="0"/>
          <w:numId w:val="31"/>
        </w:numPr>
        <w:snapToGrid w:val="0"/>
        <w:spacing w:line="460" w:lineRule="exact"/>
        <w:ind w:firstLine="602"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投标人的特定条件：无</w:t>
      </w:r>
    </w:p>
    <w:p>
      <w:pPr>
        <w:numPr>
          <w:ilvl w:val="0"/>
          <w:numId w:val="31"/>
        </w:numPr>
        <w:snapToGrid w:val="0"/>
        <w:spacing w:line="460" w:lineRule="exact"/>
        <w:ind w:firstLine="602"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本项目所有标项均不接受联合体投标。</w:t>
      </w:r>
    </w:p>
    <w:p>
      <w:pPr>
        <w:tabs>
          <w:tab w:val="left" w:pos="786"/>
        </w:tabs>
        <w:snapToGrid w:val="0"/>
        <w:spacing w:line="460" w:lineRule="exact"/>
        <w:ind w:left="1388"/>
        <w:rPr>
          <w:rFonts w:ascii="仿宋" w:hAnsi="仿宋" w:eastAsia="仿宋" w:cs="Arial"/>
          <w:bCs/>
          <w:color w:val="000000" w:themeColor="text1"/>
          <w:sz w:val="28"/>
          <w:szCs w:val="28"/>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五、投标报名：</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1、报名时间：</w:t>
      </w:r>
      <w:r>
        <w:rPr>
          <w:rFonts w:ascii="仿宋" w:hAnsi="仿宋" w:eastAsia="仿宋"/>
          <w:color w:val="000000" w:themeColor="text1"/>
          <w:kern w:val="0"/>
          <w:sz w:val="30"/>
          <w:szCs w:val="30"/>
          <w14:textFill>
            <w14:solidFill>
              <w14:schemeClr w14:val="tx1"/>
            </w14:solidFill>
          </w14:textFill>
        </w:rPr>
        <w:t>2020年1</w:t>
      </w:r>
      <w:r>
        <w:rPr>
          <w:rFonts w:hint="eastAsia" w:ascii="仿宋" w:hAnsi="仿宋" w:eastAsia="仿宋"/>
          <w:color w:val="000000" w:themeColor="text1"/>
          <w:kern w:val="0"/>
          <w:sz w:val="30"/>
          <w:szCs w:val="30"/>
          <w14:textFill>
            <w14:solidFill>
              <w14:schemeClr w14:val="tx1"/>
            </w14:solidFill>
          </w14:textFill>
        </w:rPr>
        <w:t>1</w:t>
      </w:r>
      <w:r>
        <w:rPr>
          <w:rFonts w:ascii="仿宋" w:hAnsi="仿宋" w:eastAsia="仿宋"/>
          <w:color w:val="000000" w:themeColor="text1"/>
          <w:kern w:val="0"/>
          <w:sz w:val="30"/>
          <w:szCs w:val="30"/>
          <w14:textFill>
            <w14:solidFill>
              <w14:schemeClr w14:val="tx1"/>
            </w14:solidFill>
          </w14:textFill>
        </w:rPr>
        <w:t>月</w:t>
      </w:r>
      <w:r>
        <w:rPr>
          <w:rFonts w:hint="eastAsia" w:ascii="仿宋" w:hAnsi="仿宋" w:eastAsia="仿宋"/>
          <w:color w:val="000000" w:themeColor="text1"/>
          <w:kern w:val="0"/>
          <w:sz w:val="30"/>
          <w:szCs w:val="30"/>
          <w:lang w:val="en-US" w:eastAsia="zh-CN"/>
          <w14:textFill>
            <w14:solidFill>
              <w14:schemeClr w14:val="tx1"/>
            </w14:solidFill>
          </w14:textFill>
        </w:rPr>
        <w:t>10</w:t>
      </w:r>
      <w:r>
        <w:rPr>
          <w:rFonts w:ascii="仿宋" w:hAnsi="仿宋" w:eastAsia="仿宋"/>
          <w:color w:val="000000" w:themeColor="text1"/>
          <w:kern w:val="0"/>
          <w:sz w:val="30"/>
          <w:szCs w:val="30"/>
          <w14:textFill>
            <w14:solidFill>
              <w14:schemeClr w14:val="tx1"/>
            </w14:solidFill>
          </w14:textFill>
        </w:rPr>
        <w:t>日</w:t>
      </w:r>
      <w:r>
        <w:rPr>
          <w:rFonts w:hint="eastAsia" w:ascii="仿宋" w:hAnsi="仿宋" w:eastAsia="仿宋"/>
          <w:color w:val="000000" w:themeColor="text1"/>
          <w:kern w:val="0"/>
          <w:sz w:val="30"/>
          <w:szCs w:val="30"/>
          <w14:textFill>
            <w14:solidFill>
              <w14:schemeClr w14:val="tx1"/>
            </w14:solidFill>
          </w14:textFill>
        </w:rPr>
        <w:t xml:space="preserve"> 至2020年11月</w:t>
      </w:r>
      <w:r>
        <w:rPr>
          <w:rFonts w:hint="eastAsia" w:ascii="仿宋" w:hAnsi="仿宋" w:eastAsia="仿宋"/>
          <w:color w:val="000000" w:themeColor="text1"/>
          <w:kern w:val="0"/>
          <w:sz w:val="30"/>
          <w:szCs w:val="30"/>
          <w:lang w:val="en-US" w:eastAsia="zh-CN"/>
          <w14:textFill>
            <w14:solidFill>
              <w14:schemeClr w14:val="tx1"/>
            </w14:solidFill>
          </w14:textFill>
        </w:rPr>
        <w:t>16</w:t>
      </w:r>
      <w:r>
        <w:rPr>
          <w:rFonts w:hint="eastAsia" w:ascii="仿宋" w:hAnsi="仿宋" w:eastAsia="仿宋"/>
          <w:color w:val="000000" w:themeColor="text1"/>
          <w:kern w:val="0"/>
          <w:sz w:val="30"/>
          <w:szCs w:val="30"/>
          <w14:textFill>
            <w14:solidFill>
              <w14:schemeClr w14:val="tx1"/>
            </w14:solidFill>
          </w14:textFill>
        </w:rPr>
        <w:t>日上</w:t>
      </w:r>
      <w:r>
        <w:rPr>
          <w:rFonts w:hint="eastAsia" w:ascii="仿宋" w:hAnsi="仿宋" w:eastAsia="仿宋"/>
          <w:color w:val="000000" w:themeColor="text1"/>
          <w:kern w:val="0"/>
          <w:sz w:val="28"/>
          <w:szCs w:val="28"/>
          <w14:textFill>
            <w14:solidFill>
              <w14:schemeClr w14:val="tx1"/>
            </w14:solidFill>
          </w14:textFill>
        </w:rPr>
        <w:t>午08:30-12:00；下午13:00-17:00（节假日除外）。</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2、报名方式：本项目需通过政采云平台网上报名。</w:t>
      </w:r>
    </w:p>
    <w:p>
      <w:pPr>
        <w:snapToGrid w:val="0"/>
        <w:spacing w:line="440" w:lineRule="exact"/>
        <w:ind w:firstLine="6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政采云平台供应商注册链接：</w:t>
      </w:r>
    </w:p>
    <w:p>
      <w:pPr>
        <w:snapToGrid w:val="0"/>
        <w:spacing w:line="440" w:lineRule="exact"/>
        <w:ind w:firstLine="420" w:firstLineChars="200"/>
        <w:rPr>
          <w:rFonts w:ascii="仿宋" w:hAnsi="仿宋" w:eastAsia="仿宋"/>
          <w:color w:val="000000" w:themeColor="text1"/>
          <w:kern w:val="0"/>
          <w:sz w:val="30"/>
          <w:szCs w:val="30"/>
          <w14:textFill>
            <w14:solidFill>
              <w14:schemeClr w14:val="tx1"/>
            </w14:solidFill>
          </w14:textFill>
        </w:rPr>
      </w:pPr>
      <w:r>
        <w:fldChar w:fldCharType="begin"/>
      </w:r>
      <w:r>
        <w:instrText xml:space="preserve"> HYPERLINK "https://middle.zcygov.cn/v-settle-front/enter/account?entranceType=1&amp;settleCategory=1&amp;isLoginAdd=true" </w:instrText>
      </w:r>
      <w:r>
        <w:fldChar w:fldCharType="separate"/>
      </w:r>
      <w:r>
        <w:rPr>
          <w:rStyle w:val="68"/>
          <w:rFonts w:ascii="仿宋" w:hAnsi="仿宋" w:eastAsia="仿宋"/>
          <w:color w:val="000000" w:themeColor="text1"/>
          <w:kern w:val="0"/>
          <w:sz w:val="30"/>
          <w:szCs w:val="30"/>
          <w14:textFill>
            <w14:solidFill>
              <w14:schemeClr w14:val="tx1"/>
            </w14:solidFill>
          </w14:textFill>
        </w:rPr>
        <w:t>https://middle.zcygov.cn/v-settle-front/enter/account?entranceType=1&amp;settleCategory=1&amp;isLoginAdd=true</w:t>
      </w:r>
      <w:r>
        <w:rPr>
          <w:rStyle w:val="68"/>
          <w:rFonts w:ascii="仿宋" w:hAnsi="仿宋" w:eastAsia="仿宋"/>
          <w:color w:val="000000" w:themeColor="text1"/>
          <w:kern w:val="0"/>
          <w:sz w:val="30"/>
          <w:szCs w:val="30"/>
          <w14:textFill>
            <w14:solidFill>
              <w14:schemeClr w14:val="tx1"/>
            </w14:solidFill>
          </w14:textFill>
        </w:rPr>
        <w:fldChar w:fldCharType="end"/>
      </w:r>
      <w:r>
        <w:rPr>
          <w:rFonts w:hint="eastAsia" w:ascii="仿宋" w:hAnsi="仿宋" w:eastAsia="仿宋"/>
          <w:color w:val="000000" w:themeColor="text1"/>
          <w:kern w:val="0"/>
          <w:sz w:val="30"/>
          <w:szCs w:val="30"/>
          <w14:textFill>
            <w14:solidFill>
              <w14:schemeClr w14:val="tx1"/>
            </w14:solidFill>
          </w14:textFill>
        </w:rPr>
        <w:t>注册成功后，用账号密码登录后台界面；</w:t>
      </w:r>
    </w:p>
    <w:p>
      <w:pPr>
        <w:snapToGrid w:val="0"/>
        <w:spacing w:line="440" w:lineRule="exact"/>
        <w:ind w:firstLine="602" w:firstLineChars="200"/>
        <w:rPr>
          <w:rFonts w:ascii="仿宋" w:hAnsi="仿宋" w:eastAsia="仿宋"/>
          <w:b/>
          <w:color w:val="000000" w:themeColor="text1"/>
          <w:kern w:val="0"/>
          <w:sz w:val="30"/>
          <w:szCs w:val="30"/>
          <w14:textFill>
            <w14:solidFill>
              <w14:schemeClr w14:val="tx1"/>
            </w14:solidFill>
          </w14:textFill>
        </w:rPr>
      </w:pPr>
      <w:r>
        <w:rPr>
          <w:rFonts w:hint="eastAsia" w:ascii="仿宋" w:hAnsi="仿宋" w:eastAsia="仿宋"/>
          <w:b/>
          <w:color w:val="000000" w:themeColor="text1"/>
          <w:kern w:val="0"/>
          <w:sz w:val="30"/>
          <w:szCs w:val="30"/>
          <w14:textFill>
            <w14:solidFill>
              <w14:schemeClr w14:val="tx1"/>
            </w14:solidFill>
          </w14:textFill>
        </w:rPr>
        <w:t>3、供应商报名路径：项目管理-项目采购-获取采购文件，找到本项目的项目名称申请获取采购文件，按照系统界面要求填写供应商相关信息，同时将以下文件扫描件作为附件上传。</w:t>
      </w:r>
    </w:p>
    <w:p>
      <w:pPr>
        <w:snapToGrid w:val="0"/>
        <w:spacing w:line="440" w:lineRule="exact"/>
        <w:ind w:left="630" w:leftChars="300"/>
        <w:rPr>
          <w:rFonts w:ascii="仿宋" w:hAnsi="仿宋" w:eastAsia="仿宋"/>
          <w:b/>
          <w:color w:val="000000" w:themeColor="text1"/>
          <w:kern w:val="0"/>
          <w:sz w:val="30"/>
          <w:szCs w:val="30"/>
          <w14:textFill>
            <w14:solidFill>
              <w14:schemeClr w14:val="tx1"/>
            </w14:solidFill>
          </w14:textFill>
        </w:rPr>
      </w:pPr>
      <w:r>
        <w:rPr>
          <w:rFonts w:hint="eastAsia" w:ascii="仿宋" w:hAnsi="仿宋" w:eastAsia="仿宋"/>
          <w:b/>
          <w:color w:val="000000" w:themeColor="text1"/>
          <w:kern w:val="0"/>
          <w:sz w:val="30"/>
          <w:szCs w:val="30"/>
          <w14:textFill>
            <w14:solidFill>
              <w14:schemeClr w14:val="tx1"/>
            </w14:solidFill>
          </w14:textFill>
        </w:rPr>
        <w:t>（1）法定代表人授权委托书扫描件（法定代表人手写签字或盖章，并加盖单位公章）；</w:t>
      </w:r>
    </w:p>
    <w:p>
      <w:pPr>
        <w:snapToGrid w:val="0"/>
        <w:spacing w:line="440" w:lineRule="exact"/>
        <w:ind w:firstLine="600"/>
        <w:rPr>
          <w:rFonts w:ascii="仿宋" w:hAnsi="仿宋" w:eastAsia="仿宋"/>
          <w:b/>
          <w:color w:val="000000" w:themeColor="text1"/>
          <w:kern w:val="0"/>
          <w:sz w:val="30"/>
          <w:szCs w:val="30"/>
          <w14:textFill>
            <w14:solidFill>
              <w14:schemeClr w14:val="tx1"/>
            </w14:solidFill>
          </w14:textFill>
        </w:rPr>
      </w:pPr>
      <w:r>
        <w:rPr>
          <w:rFonts w:hint="eastAsia" w:ascii="仿宋" w:hAnsi="仿宋" w:eastAsia="仿宋"/>
          <w:b/>
          <w:color w:val="000000" w:themeColor="text1"/>
          <w:kern w:val="0"/>
          <w:sz w:val="30"/>
          <w:szCs w:val="30"/>
          <w14:textFill>
            <w14:solidFill>
              <w14:schemeClr w14:val="tx1"/>
            </w14:solidFill>
          </w14:textFill>
        </w:rPr>
        <w:t>（2）授权代表身份证扫描件</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p>
    <w:p>
      <w:pPr>
        <w:snapToGrid w:val="0"/>
        <w:spacing w:line="440" w:lineRule="exact"/>
        <w:ind w:firstLine="602" w:firstLineChars="200"/>
        <w:jc w:val="center"/>
        <w:rPr>
          <w:rFonts w:ascii="仿宋" w:hAnsi="仿宋" w:eastAsia="仿宋"/>
          <w:b/>
          <w:color w:val="000000" w:themeColor="text1"/>
          <w:kern w:val="0"/>
          <w:sz w:val="30"/>
          <w:szCs w:val="30"/>
          <w14:textFill>
            <w14:solidFill>
              <w14:schemeClr w14:val="tx1"/>
            </w14:solidFill>
          </w14:textFill>
        </w:rPr>
      </w:pPr>
      <w:r>
        <w:rPr>
          <w:rFonts w:hint="eastAsia" w:ascii="仿宋" w:hAnsi="仿宋" w:eastAsia="仿宋"/>
          <w:b/>
          <w:color w:val="000000" w:themeColor="text1"/>
          <w:kern w:val="0"/>
          <w:sz w:val="30"/>
          <w:szCs w:val="30"/>
          <w14:textFill>
            <w14:solidFill>
              <w14:schemeClr w14:val="tx1"/>
            </w14:solidFill>
          </w14:textFill>
        </w:rPr>
        <w:t>法定代表人的授权委托书</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国家体育总局体育器材装备中心：</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本授权委托书声明：注册于（公司住址）的（公司名称）法定代表人（法定代表人姓名、职务）代表本公司授权在下面签字的（法定代表人授权代表职务、姓名）为本公司的合法代理人，就贵方组织的（项目名称）项目，采购编号： ，标项  ，以本公司名义办理报名登记。</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本授权书于 年 月 日 签字生效，特此声明。</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法定代表人印刷体姓名： 签字： 电话：</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授权代表印刷体姓名： 签字： 职务： 电话：</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授权代表身份证号： （身份证扫描件附后）</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公司全称（公章）：</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未在规定时间内按要求提交以上文件进行报名登记，而直接编制报价文件参与报价的企业，其报价将被拒绝。</w:t>
      </w:r>
    </w:p>
    <w:p>
      <w:pPr>
        <w:snapToGrid w:val="0"/>
        <w:spacing w:line="440" w:lineRule="exact"/>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3、招标文件售价：0元，招标文件请至公告附件处下载。</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六、投标保证金：</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themeColor="text1"/>
          <w:kern w:val="0"/>
          <w:sz w:val="30"/>
          <w:szCs w:val="30"/>
          <w14:textFill>
            <w14:solidFill>
              <w14:schemeClr w14:val="tx1"/>
            </w14:solidFill>
          </w14:textFill>
        </w:rPr>
        <w:t>投标保证金（人民币）：</w:t>
      </w:r>
      <w:bookmarkStart w:id="5" w:name="PO_15528_PM021"/>
      <w:r>
        <w:rPr>
          <w:rFonts w:hint="eastAsia" w:ascii="仿宋" w:hAnsi="仿宋" w:eastAsia="仿宋"/>
          <w:color w:val="000000"/>
          <w:kern w:val="0"/>
          <w:sz w:val="30"/>
          <w:szCs w:val="30"/>
        </w:rPr>
        <w:t>按标项缴纳,标项1:60000元;标项2: 60000元;标项3: 60000元</w:t>
      </w:r>
      <w:bookmarkEnd w:id="5"/>
      <w:r>
        <w:rPr>
          <w:rFonts w:hint="eastAsia" w:ascii="仿宋" w:hAnsi="仿宋" w:eastAsia="仿宋"/>
          <w:color w:val="000000"/>
          <w:kern w:val="0"/>
          <w:sz w:val="30"/>
          <w:szCs w:val="30"/>
        </w:rPr>
        <w:t>。</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如需缴纳保证金，</w:t>
      </w:r>
      <w:r>
        <w:rPr>
          <w:rFonts w:hint="eastAsia" w:ascii="仿宋" w:hAnsi="仿宋" w:eastAsia="仿宋" w:cs="Arial"/>
          <w:color w:val="000000" w:themeColor="text1"/>
          <w:sz w:val="30"/>
          <w:szCs w:val="30"/>
          <w14:textFill>
            <w14:solidFill>
              <w14:schemeClr w14:val="tx1"/>
            </w14:solidFill>
          </w14:textFill>
        </w:rPr>
        <w:t>投标人应于</w:t>
      </w:r>
      <w:r>
        <w:rPr>
          <w:rFonts w:ascii="仿宋" w:hAnsi="仿宋" w:eastAsia="仿宋" w:cs="Arial"/>
          <w:color w:val="000000" w:themeColor="text1"/>
          <w:sz w:val="30"/>
          <w:szCs w:val="30"/>
          <w14:textFill>
            <w14:solidFill>
              <w14:schemeClr w14:val="tx1"/>
            </w14:solidFill>
          </w14:textFill>
        </w:rPr>
        <w:t>2020</w:t>
      </w:r>
      <w:r>
        <w:rPr>
          <w:rFonts w:hint="eastAsia" w:ascii="仿宋" w:hAnsi="仿宋" w:eastAsia="仿宋" w:cs="Arial"/>
          <w:color w:val="000000" w:themeColor="text1"/>
          <w:sz w:val="30"/>
          <w:szCs w:val="30"/>
          <w14:textFill>
            <w14:solidFill>
              <w14:schemeClr w14:val="tx1"/>
            </w14:solidFill>
          </w14:textFill>
        </w:rPr>
        <w:t>年1</w:t>
      </w:r>
      <w:r>
        <w:rPr>
          <w:rFonts w:hint="eastAsia" w:ascii="仿宋" w:hAnsi="仿宋" w:eastAsia="仿宋" w:cs="Arial"/>
          <w:color w:val="000000" w:themeColor="text1"/>
          <w:sz w:val="30"/>
          <w:szCs w:val="30"/>
          <w:lang w:val="en-US" w:eastAsia="zh-CN"/>
          <w14:textFill>
            <w14:solidFill>
              <w14:schemeClr w14:val="tx1"/>
            </w14:solidFill>
          </w14:textFill>
        </w:rPr>
        <w:t>2</w:t>
      </w:r>
      <w:r>
        <w:rPr>
          <w:rFonts w:hint="eastAsia" w:ascii="仿宋" w:hAnsi="仿宋" w:eastAsia="仿宋" w:cs="Arial"/>
          <w:color w:val="000000" w:themeColor="text1"/>
          <w:sz w:val="30"/>
          <w:szCs w:val="30"/>
          <w14:textFill>
            <w14:solidFill>
              <w14:schemeClr w14:val="tx1"/>
            </w14:solidFill>
          </w14:textFill>
        </w:rPr>
        <w:t>月</w:t>
      </w:r>
      <w:r>
        <w:rPr>
          <w:rFonts w:hint="eastAsia" w:ascii="仿宋" w:hAnsi="仿宋" w:eastAsia="仿宋" w:cs="Arial"/>
          <w:color w:val="000000" w:themeColor="text1"/>
          <w:sz w:val="30"/>
          <w:szCs w:val="30"/>
          <w:lang w:val="en-US" w:eastAsia="zh-CN"/>
          <w14:textFill>
            <w14:solidFill>
              <w14:schemeClr w14:val="tx1"/>
            </w14:solidFill>
          </w14:textFill>
        </w:rPr>
        <w:t>1</w:t>
      </w:r>
      <w:r>
        <w:rPr>
          <w:rFonts w:hint="eastAsia" w:ascii="仿宋" w:hAnsi="仿宋" w:eastAsia="仿宋" w:cs="Arial"/>
          <w:color w:val="000000" w:themeColor="text1"/>
          <w:sz w:val="30"/>
          <w:szCs w:val="30"/>
          <w14:textFill>
            <w14:solidFill>
              <w14:schemeClr w14:val="tx1"/>
            </w14:solidFill>
          </w14:textFill>
        </w:rPr>
        <w:t>日9:30时</w:t>
      </w:r>
      <w:r>
        <w:rPr>
          <w:rFonts w:hint="eastAsia" w:ascii="仿宋" w:hAnsi="仿宋" w:eastAsia="仿宋" w:cs="Arial"/>
          <w:color w:val="000000" w:themeColor="text1"/>
          <w:sz w:val="28"/>
          <w:szCs w:val="28"/>
          <w14:textFill>
            <w14:solidFill>
              <w14:schemeClr w14:val="tx1"/>
            </w14:solidFill>
          </w14:textFill>
        </w:rPr>
        <w:t>前将投标保证金以网银、汇票、电汇、转帐支票、银行保函方式（</w:t>
      </w:r>
      <w:r>
        <w:rPr>
          <w:rFonts w:hint="eastAsia" w:ascii="仿宋" w:hAnsi="仿宋" w:eastAsia="仿宋"/>
          <w:color w:val="000000" w:themeColor="text1"/>
          <w:sz w:val="28"/>
          <w:szCs w:val="28"/>
          <w14:textFill>
            <w14:solidFill>
              <w14:schemeClr w14:val="tx1"/>
            </w14:solidFill>
          </w14:textFill>
        </w:rPr>
        <w:t>招标方不接受以现金支票、现金、支付宝、微信及个人转账方式交纳的保证金</w:t>
      </w:r>
      <w:r>
        <w:rPr>
          <w:rFonts w:hint="eastAsia" w:ascii="仿宋" w:hAnsi="仿宋" w:eastAsia="仿宋" w:cs="Arial"/>
          <w:color w:val="000000" w:themeColor="text1"/>
          <w:sz w:val="28"/>
          <w:szCs w:val="28"/>
          <w14:textFill>
            <w14:solidFill>
              <w14:schemeClr w14:val="tx1"/>
            </w14:solidFill>
          </w14:textFill>
        </w:rPr>
        <w:t>）交至国家体育总局体育器材装备中心。投标保证金为银行保函形式的，银行保函有效期需比投标有效期长28天。</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开户名：  国家体育总局体育器材装备中心</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开户银行：工行北京体育馆路支行</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银行账号：0200008109089053553</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未按前述各款要求提交投标保证金的投标将视为无效投标。</w:t>
      </w:r>
    </w:p>
    <w:p>
      <w:pPr>
        <w:snapToGrid w:val="0"/>
        <w:spacing w:line="440" w:lineRule="exact"/>
        <w:ind w:firstLine="560" w:firstLineChars="200"/>
        <w:rPr>
          <w:rFonts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投标人递交投标保证金时须提供投标人全称、开户行、银行帐号等银行信息, 并加盖投标人公章，以便招标方退还投标保证金</w:t>
      </w:r>
      <w:r>
        <w:rPr>
          <w:rFonts w:ascii="仿宋" w:hAnsi="仿宋" w:eastAsia="仿宋" w:cs="Arial"/>
          <w:b/>
          <w:bCs/>
          <w:color w:val="000000" w:themeColor="text1"/>
          <w:sz w:val="28"/>
          <w:szCs w:val="28"/>
          <w14:textFill>
            <w14:solidFill>
              <w14:schemeClr w14:val="tx1"/>
            </w14:solidFill>
          </w14:textFill>
        </w:rPr>
        <w:t>。</w:t>
      </w:r>
    </w:p>
    <w:p>
      <w:pPr>
        <w:snapToGrid w:val="0"/>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hAnsi="仿宋" w:eastAsia="仿宋" w:cs="Arial"/>
          <w:color w:val="000000" w:themeColor="text1"/>
          <w:sz w:val="28"/>
          <w:szCs w:val="28"/>
          <w14:textFill>
            <w14:solidFill>
              <w14:schemeClr w14:val="tx1"/>
            </w14:solidFill>
          </w14:textFill>
        </w:rPr>
        <w:t>。</w:t>
      </w:r>
    </w:p>
    <w:p>
      <w:pPr>
        <w:snapToGrid w:val="0"/>
        <w:spacing w:line="44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投标人有如下情况之一，将被没收其投标保证金，投标人不得要求全部或部分返还:</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1、在投标文件有效期内撤回投标文件的；</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投标人在投标过程中弄虚作假，提供虚假材料的；</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3、中标人无正当理由未能按本文件规定签订采购合同；</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w:t>
      </w:r>
      <w:r>
        <w:rPr>
          <w:rFonts w:ascii="仿宋" w:hAnsi="仿宋" w:eastAsia="仿宋" w:cs="Arial"/>
          <w:color w:val="000000" w:themeColor="text1"/>
          <w:sz w:val="28"/>
          <w:szCs w:val="28"/>
          <w14:textFill>
            <w14:solidFill>
              <w14:schemeClr w14:val="tx1"/>
            </w14:solidFill>
          </w14:textFill>
        </w:rPr>
        <w:t>投标人拒绝在开标记录上签字确认，经</w:t>
      </w:r>
      <w:r>
        <w:rPr>
          <w:rFonts w:hint="eastAsia" w:ascii="仿宋" w:hAnsi="仿宋" w:eastAsia="仿宋" w:cs="Arial"/>
          <w:color w:val="000000" w:themeColor="text1"/>
          <w:sz w:val="28"/>
          <w:szCs w:val="28"/>
          <w14:textFill>
            <w14:solidFill>
              <w14:schemeClr w14:val="tx1"/>
            </w14:solidFill>
          </w14:textFill>
        </w:rPr>
        <w:t>相关</w:t>
      </w:r>
      <w:r>
        <w:rPr>
          <w:rFonts w:ascii="仿宋" w:hAnsi="仿宋" w:eastAsia="仿宋" w:cs="Arial"/>
          <w:color w:val="000000" w:themeColor="text1"/>
          <w:sz w:val="28"/>
          <w:szCs w:val="28"/>
          <w14:textFill>
            <w14:solidFill>
              <w14:schemeClr w14:val="tx1"/>
            </w14:solidFill>
          </w14:textFill>
        </w:rPr>
        <w:t>招标投标监督管理机构核实开标记录无误后，投标人仍拒绝签字确认；</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将中标项目转让给他人的；</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6、</w:t>
      </w:r>
      <w:r>
        <w:rPr>
          <w:rFonts w:ascii="仿宋" w:hAnsi="仿宋" w:eastAsia="仿宋" w:cs="Arial"/>
          <w:color w:val="000000" w:themeColor="text1"/>
          <w:sz w:val="28"/>
          <w:szCs w:val="28"/>
          <w14:textFill>
            <w14:solidFill>
              <w14:schemeClr w14:val="tx1"/>
            </w14:solidFill>
          </w14:textFill>
        </w:rPr>
        <w:t>由于投标人未能遵守招标文件的其它规定而致使招标方的招标工作失败或对招标工作产生极其不利的影响，包括但不限于投标人的恶意串谋、欺诈、威胁、贿赂等。</w:t>
      </w:r>
    </w:p>
    <w:p>
      <w:pPr>
        <w:snapToGrid w:val="0"/>
        <w:spacing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7、其他严重扰乱招投标程序的；</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投标人在投标截止时间前撤回已提交的投标文件的，采购人或者招标方应当自收到投标人书面撤回通知之日起５个工作日内，退还已收取的投标保证金，但因投标人自身原因导致无法及时退还的除外。</w:t>
      </w:r>
    </w:p>
    <w:p>
      <w:pPr>
        <w:snapToGrid w:val="0"/>
        <w:spacing w:line="440" w:lineRule="exact"/>
        <w:rPr>
          <w:rFonts w:ascii="仿宋" w:hAnsi="仿宋" w:eastAsia="仿宋"/>
          <w:color w:val="000000" w:themeColor="text1"/>
          <w:kern w:val="0"/>
          <w:sz w:val="30"/>
          <w:szCs w:val="30"/>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七、投标截止时间和地点：</w:t>
      </w:r>
    </w:p>
    <w:p>
      <w:pPr>
        <w:snapToGrid w:val="0"/>
        <w:spacing w:line="440" w:lineRule="exact"/>
        <w:ind w:firstLine="600"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投标人应于</w:t>
      </w:r>
      <w:bookmarkStart w:id="6" w:name="PO_15528_PM015"/>
      <w:r>
        <w:rPr>
          <w:rFonts w:hint="eastAsia" w:ascii="仿宋" w:hAnsi="仿宋" w:eastAsia="仿宋" w:cs="Arial"/>
          <w:color w:val="000000" w:themeColor="text1"/>
          <w:sz w:val="30"/>
          <w:szCs w:val="30"/>
          <w14:textFill>
            <w14:solidFill>
              <w14:schemeClr w14:val="tx1"/>
            </w14:solidFill>
          </w14:textFill>
        </w:rPr>
        <w:t>2020年1</w:t>
      </w:r>
      <w:r>
        <w:rPr>
          <w:rFonts w:hint="eastAsia" w:ascii="仿宋" w:hAnsi="仿宋" w:eastAsia="仿宋" w:cs="Arial"/>
          <w:color w:val="000000" w:themeColor="text1"/>
          <w:sz w:val="30"/>
          <w:szCs w:val="30"/>
          <w:lang w:val="en-US" w:eastAsia="zh-CN"/>
          <w14:textFill>
            <w14:solidFill>
              <w14:schemeClr w14:val="tx1"/>
            </w14:solidFill>
          </w14:textFill>
        </w:rPr>
        <w:t>2</w:t>
      </w:r>
      <w:r>
        <w:rPr>
          <w:rFonts w:hint="eastAsia" w:ascii="仿宋" w:hAnsi="仿宋" w:eastAsia="仿宋" w:cs="Arial"/>
          <w:color w:val="000000" w:themeColor="text1"/>
          <w:sz w:val="30"/>
          <w:szCs w:val="30"/>
          <w14:textFill>
            <w14:solidFill>
              <w14:schemeClr w14:val="tx1"/>
            </w14:solidFill>
          </w14:textFill>
        </w:rPr>
        <w:t>月</w:t>
      </w:r>
      <w:r>
        <w:rPr>
          <w:rFonts w:hint="eastAsia" w:ascii="仿宋" w:hAnsi="仿宋" w:eastAsia="仿宋" w:cs="Arial"/>
          <w:color w:val="000000" w:themeColor="text1"/>
          <w:sz w:val="30"/>
          <w:szCs w:val="30"/>
          <w:lang w:val="en-US" w:eastAsia="zh-CN"/>
          <w14:textFill>
            <w14:solidFill>
              <w14:schemeClr w14:val="tx1"/>
            </w14:solidFill>
          </w14:textFill>
        </w:rPr>
        <w:t>1</w:t>
      </w:r>
      <w:r>
        <w:rPr>
          <w:rFonts w:hint="eastAsia" w:ascii="仿宋" w:hAnsi="仿宋" w:eastAsia="仿宋" w:cs="Arial"/>
          <w:color w:val="000000" w:themeColor="text1"/>
          <w:sz w:val="30"/>
          <w:szCs w:val="30"/>
          <w14:textFill>
            <w14:solidFill>
              <w14:schemeClr w14:val="tx1"/>
            </w14:solidFill>
          </w14:textFill>
        </w:rPr>
        <w:t>日9：30</w:t>
      </w:r>
      <w:bookmarkEnd w:id="6"/>
      <w:r>
        <w:rPr>
          <w:rFonts w:hint="eastAsia" w:ascii="仿宋" w:hAnsi="仿宋" w:eastAsia="仿宋" w:cs="Arial"/>
          <w:color w:val="000000" w:themeColor="text1"/>
          <w:sz w:val="30"/>
          <w:szCs w:val="30"/>
          <w14:textFill>
            <w14:solidFill>
              <w14:schemeClr w14:val="tx1"/>
            </w14:solidFill>
          </w14:textFill>
        </w:rPr>
        <w:t>前</w:t>
      </w:r>
      <w:r>
        <w:rPr>
          <w:rFonts w:hint="eastAsia" w:ascii="仿宋" w:hAnsi="仿宋" w:eastAsia="仿宋" w:cs="Arial"/>
          <w:color w:val="000000" w:themeColor="text1"/>
          <w:sz w:val="28"/>
          <w:szCs w:val="28"/>
          <w14:textFill>
            <w14:solidFill>
              <w14:schemeClr w14:val="tx1"/>
            </w14:solidFill>
          </w14:textFill>
        </w:rPr>
        <w:t>派授权代表</w:t>
      </w:r>
      <w:r>
        <w:rPr>
          <w:rFonts w:hint="eastAsia" w:ascii="仿宋" w:hAnsi="仿宋" w:eastAsia="仿宋" w:cs="Arial"/>
          <w:color w:val="000000" w:themeColor="text1"/>
          <w:sz w:val="30"/>
          <w:szCs w:val="30"/>
          <w14:textFill>
            <w14:solidFill>
              <w14:schemeClr w14:val="tx1"/>
            </w14:solidFill>
          </w14:textFill>
        </w:rPr>
        <w:t>将投标文件密封送交到</w:t>
      </w:r>
      <w:bookmarkStart w:id="7" w:name="PO_15528_PM016"/>
      <w:r>
        <w:rPr>
          <w:rFonts w:hint="eastAsia" w:ascii="仿宋" w:hAnsi="仿宋" w:eastAsia="仿宋" w:cs="Arial"/>
          <w:color w:val="000000" w:themeColor="text1"/>
          <w:sz w:val="30"/>
          <w:szCs w:val="30"/>
          <w14:textFill>
            <w14:solidFill>
              <w14:schemeClr w14:val="tx1"/>
            </w14:solidFill>
          </w14:textFill>
        </w:rPr>
        <w:t>国家体育总局体育器材装备中心501会议室</w:t>
      </w:r>
      <w:r>
        <w:rPr>
          <w:rFonts w:ascii="仿宋" w:hAnsi="仿宋" w:eastAsia="仿宋" w:cs="Arial"/>
          <w:color w:val="000000" w:themeColor="text1"/>
          <w:sz w:val="30"/>
          <w:szCs w:val="30"/>
          <w14:textFill>
            <w14:solidFill>
              <w14:schemeClr w14:val="tx1"/>
            </w14:solidFill>
          </w14:textFill>
        </w:rPr>
        <w:t xml:space="preserve"> </w:t>
      </w:r>
      <w:bookmarkEnd w:id="7"/>
      <w:r>
        <w:rPr>
          <w:rFonts w:hint="eastAsia" w:ascii="仿宋" w:hAnsi="仿宋" w:eastAsia="仿宋" w:cs="Arial"/>
          <w:color w:val="000000" w:themeColor="text1"/>
          <w:sz w:val="30"/>
          <w:szCs w:val="30"/>
          <w14:textFill>
            <w14:solidFill>
              <w14:schemeClr w14:val="tx1"/>
            </w14:solidFill>
          </w14:textFill>
        </w:rPr>
        <w:t>，逾期送达或未密封将予以拒收。</w:t>
      </w:r>
      <w:r>
        <w:rPr>
          <w:rFonts w:hint="eastAsia" w:ascii="仿宋" w:hAnsi="仿宋" w:eastAsia="仿宋" w:cs="Arial"/>
          <w:color w:val="000000" w:themeColor="text1"/>
          <w:sz w:val="28"/>
          <w:szCs w:val="28"/>
          <w14:textFill>
            <w14:solidFill>
              <w14:schemeClr w14:val="tx1"/>
            </w14:solidFill>
          </w14:textFill>
        </w:rPr>
        <w:t>（授权代表应当是投标人的在职正式职工，并携带身份证及法定代表人授权书有效证明出席）</w:t>
      </w:r>
      <w:r>
        <w:rPr>
          <w:rFonts w:hint="eastAsia" w:ascii="仿宋" w:hAnsi="仿宋" w:eastAsia="仿宋" w:cs="Arial"/>
          <w:b/>
          <w:color w:val="000000" w:themeColor="text1"/>
          <w:sz w:val="28"/>
          <w:szCs w:val="28"/>
          <w14:textFill>
            <w14:solidFill>
              <w14:schemeClr w14:val="tx1"/>
            </w14:solidFill>
          </w14:textFill>
        </w:rPr>
        <w:t>投标人在递交投标文件时另行提供投标文件送达回执、政府采购活动现场确认声明书（格式详见附件，不密封进投标文件）。</w:t>
      </w:r>
    </w:p>
    <w:p>
      <w:pPr>
        <w:snapToGrid w:val="0"/>
        <w:spacing w:line="440" w:lineRule="exact"/>
        <w:ind w:firstLine="600" w:firstLineChars="200"/>
        <w:rPr>
          <w:rFonts w:ascii="仿宋" w:hAnsi="仿宋" w:eastAsia="仿宋" w:cs="Arial"/>
          <w:color w:val="000000" w:themeColor="text1"/>
          <w:sz w:val="30"/>
          <w:szCs w:val="30"/>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八、开标时间及地点：</w:t>
      </w:r>
      <w:r>
        <w:rPr>
          <w:rFonts w:hint="eastAsia" w:ascii="仿宋" w:hAnsi="仿宋" w:eastAsia="仿宋" w:cs="Arial"/>
          <w:b/>
          <w:bCs/>
          <w:color w:val="000000" w:themeColor="text1"/>
          <w:sz w:val="30"/>
          <w:szCs w:val="30"/>
          <w14:textFill>
            <w14:solidFill>
              <w14:schemeClr w14:val="tx1"/>
            </w14:solidFill>
          </w14:textFill>
        </w:rPr>
        <w:tab/>
      </w:r>
    </w:p>
    <w:p>
      <w:pPr>
        <w:snapToGrid w:val="0"/>
        <w:spacing w:line="440" w:lineRule="exact"/>
        <w:ind w:firstLine="60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本次招标将于</w:t>
      </w:r>
      <w:r>
        <w:rPr>
          <w:rFonts w:ascii="仿宋" w:hAnsi="仿宋" w:eastAsia="仿宋" w:cs="Arial"/>
          <w:color w:val="000000" w:themeColor="text1"/>
          <w:sz w:val="30"/>
          <w:szCs w:val="30"/>
          <w14:textFill>
            <w14:solidFill>
              <w14:schemeClr w14:val="tx1"/>
            </w14:solidFill>
          </w14:textFill>
        </w:rPr>
        <w:t>2020</w:t>
      </w:r>
      <w:r>
        <w:rPr>
          <w:rFonts w:hint="eastAsia" w:ascii="仿宋" w:hAnsi="仿宋" w:eastAsia="仿宋" w:cs="Arial"/>
          <w:color w:val="000000" w:themeColor="text1"/>
          <w:sz w:val="30"/>
          <w:szCs w:val="30"/>
          <w14:textFill>
            <w14:solidFill>
              <w14:schemeClr w14:val="tx1"/>
            </w14:solidFill>
          </w14:textFill>
        </w:rPr>
        <w:t>年1</w:t>
      </w:r>
      <w:r>
        <w:rPr>
          <w:rFonts w:hint="eastAsia" w:ascii="仿宋" w:hAnsi="仿宋" w:eastAsia="仿宋" w:cs="Arial"/>
          <w:color w:val="000000" w:themeColor="text1"/>
          <w:sz w:val="30"/>
          <w:szCs w:val="30"/>
          <w:lang w:val="en-US" w:eastAsia="zh-CN"/>
          <w14:textFill>
            <w14:solidFill>
              <w14:schemeClr w14:val="tx1"/>
            </w14:solidFill>
          </w14:textFill>
        </w:rPr>
        <w:t>2</w:t>
      </w:r>
      <w:r>
        <w:rPr>
          <w:rFonts w:hint="eastAsia" w:ascii="仿宋" w:hAnsi="仿宋" w:eastAsia="仿宋" w:cs="Arial"/>
          <w:color w:val="000000" w:themeColor="text1"/>
          <w:sz w:val="30"/>
          <w:szCs w:val="30"/>
          <w14:textFill>
            <w14:solidFill>
              <w14:schemeClr w14:val="tx1"/>
            </w14:solidFill>
          </w14:textFill>
        </w:rPr>
        <w:t>月</w:t>
      </w:r>
      <w:r>
        <w:rPr>
          <w:rFonts w:hint="eastAsia" w:ascii="仿宋" w:hAnsi="仿宋" w:eastAsia="仿宋" w:cs="Arial"/>
          <w:color w:val="000000" w:themeColor="text1"/>
          <w:sz w:val="30"/>
          <w:szCs w:val="30"/>
          <w:lang w:val="en-US" w:eastAsia="zh-CN"/>
          <w14:textFill>
            <w14:solidFill>
              <w14:schemeClr w14:val="tx1"/>
            </w14:solidFill>
          </w14:textFill>
        </w:rPr>
        <w:t>1</w:t>
      </w:r>
      <w:r>
        <w:rPr>
          <w:rFonts w:hint="eastAsia" w:ascii="仿宋" w:hAnsi="仿宋" w:eastAsia="仿宋" w:cs="Arial"/>
          <w:color w:val="000000" w:themeColor="text1"/>
          <w:sz w:val="30"/>
          <w:szCs w:val="30"/>
          <w14:textFill>
            <w14:solidFill>
              <w14:schemeClr w14:val="tx1"/>
            </w14:solidFill>
          </w14:textFill>
        </w:rPr>
        <w:t>日 9:30 在</w:t>
      </w:r>
      <w:bookmarkStart w:id="8" w:name="PO_15528_PM016_1"/>
      <w:r>
        <w:rPr>
          <w:rFonts w:hint="eastAsia" w:ascii="仿宋" w:hAnsi="仿宋" w:eastAsia="仿宋" w:cs="Arial"/>
          <w:color w:val="000000" w:themeColor="text1"/>
          <w:sz w:val="30"/>
          <w:szCs w:val="30"/>
          <w14:textFill>
            <w14:solidFill>
              <w14:schemeClr w14:val="tx1"/>
            </w14:solidFill>
          </w14:textFill>
        </w:rPr>
        <w:t>国家体育总局体育器材装备中心501会议室</w:t>
      </w:r>
      <w:bookmarkEnd w:id="8"/>
      <w:r>
        <w:rPr>
          <w:rFonts w:hint="eastAsia" w:ascii="仿宋" w:hAnsi="仿宋" w:eastAsia="仿宋" w:cs="Arial"/>
          <w:color w:val="000000" w:themeColor="text1"/>
          <w:sz w:val="30"/>
          <w:szCs w:val="30"/>
          <w14:textFill>
            <w14:solidFill>
              <w14:schemeClr w14:val="tx1"/>
            </w14:solidFill>
          </w14:textFill>
        </w:rPr>
        <w:t>开标，</w:t>
      </w:r>
      <w:r>
        <w:rPr>
          <w:rFonts w:hint="eastAsia" w:ascii="仿宋" w:hAnsi="仿宋" w:eastAsia="仿宋" w:cs="Arial"/>
          <w:color w:val="000000" w:themeColor="text1"/>
          <w:sz w:val="28"/>
          <w:szCs w:val="28"/>
          <w14:textFill>
            <w14:solidFill>
              <w14:schemeClr w14:val="tx1"/>
            </w14:solidFill>
          </w14:textFill>
        </w:rPr>
        <w:t>投标人可以派授权代表出席开标会议。</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九、业务咨询</w:t>
      </w:r>
    </w:p>
    <w:tbl>
      <w:tblPr>
        <w:tblStyle w:val="58"/>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俞冠男</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themeColor="text1"/>
                <w:sz w:val="28"/>
                <w:szCs w:val="28"/>
                <w14:textFill>
                  <w14:solidFill>
                    <w14:schemeClr w14:val="tx1"/>
                  </w14:solidFill>
                </w14:textFill>
              </w:rPr>
            </w:pPr>
            <w:bookmarkStart w:id="9" w:name="PO_15528_PM033"/>
            <w:r>
              <w:rPr>
                <w:rFonts w:ascii="仿宋" w:hAnsi="仿宋" w:eastAsia="仿宋" w:cs="仿宋"/>
                <w:color w:val="000000" w:themeColor="text1"/>
                <w:sz w:val="28"/>
                <w:szCs w:val="28"/>
                <w14:textFill>
                  <w14:solidFill>
                    <w14:schemeClr w14:val="tx1"/>
                  </w14:solidFill>
                </w14:textFill>
              </w:rPr>
              <w:t>010-8718</w:t>
            </w:r>
            <w:bookmarkEnd w:id="9"/>
            <w:r>
              <w:rPr>
                <w:rFonts w:hint="eastAsia" w:ascii="仿宋" w:hAnsi="仿宋" w:eastAsia="仿宋" w:cs="仿宋"/>
                <w:color w:val="000000" w:themeColor="text1"/>
                <w:sz w:val="28"/>
                <w:szCs w:val="28"/>
                <w14:textFill>
                  <w14:solidFill>
                    <w14:schemeClr w14:val="tx1"/>
                  </w14:solidFill>
                </w14:textFill>
              </w:rPr>
              <w:t>2681</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六楼</w:t>
            </w:r>
            <w:bookmarkStart w:id="10" w:name="PO_409_PM001385"/>
            <w:r>
              <w:rPr>
                <w:rFonts w:hint="eastAsia" w:ascii="仿宋" w:hAnsi="仿宋" w:eastAsia="仿宋" w:cs="仿宋"/>
                <w:color w:val="000000" w:themeColor="text1"/>
                <w:sz w:val="28"/>
                <w:szCs w:val="28"/>
                <w14:textFill>
                  <w14:solidFill>
                    <w14:schemeClr w14:val="tx1"/>
                  </w14:solidFill>
                </w14:textFill>
              </w:rPr>
              <w:t>集中采购处</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师 同</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010-87182648</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四楼（财务室）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周立泉</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010-87182673</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六楼（集中采购处）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8"/>
                <w:szCs w:val="28"/>
                <w14:textFill>
                  <w14:solidFill>
                    <w14:schemeClr w14:val="tx1"/>
                  </w14:solidFill>
                </w14:textFill>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8"/>
                <w:szCs w:val="28"/>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4008371020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其他问题</w:t>
            </w:r>
          </w:p>
        </w:tc>
      </w:tr>
    </w:tbl>
    <w:p>
      <w:pPr>
        <w:snapToGrid w:val="0"/>
        <w:spacing w:line="440" w:lineRule="exact"/>
        <w:ind w:left="23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 xml:space="preserve">                            </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十、采购需求咨询</w:t>
      </w:r>
      <w:bookmarkStart w:id="11" w:name="PO_TDCUS_ITEM_PRC_TABLE_1_1"/>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03" w:type="pct"/>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采购单位</w:t>
            </w:r>
          </w:p>
        </w:tc>
        <w:tc>
          <w:tcPr>
            <w:tcW w:w="3297" w:type="pct"/>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国家体育总局体育信息中心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03" w:type="pct"/>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3297" w:type="pct"/>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北京市东城区体育馆路1</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pct"/>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咨询事项</w:t>
            </w:r>
          </w:p>
        </w:tc>
        <w:tc>
          <w:tcPr>
            <w:tcW w:w="3297" w:type="pct"/>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03" w:type="pct"/>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联系人及联系方式</w:t>
            </w:r>
          </w:p>
        </w:tc>
        <w:tc>
          <w:tcPr>
            <w:tcW w:w="3297" w:type="pct"/>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刘硕</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13581680211</w:t>
            </w:r>
          </w:p>
        </w:tc>
      </w:tr>
      <w:bookmarkEnd w:id="11"/>
    </w:tbl>
    <w:p>
      <w:pPr>
        <w:pStyle w:val="31"/>
        <w:spacing w:before="156" w:after="156" w:line="360" w:lineRule="auto"/>
        <w:outlineLvl w:val="0"/>
        <w:rPr>
          <w:rFonts w:ascii="仿宋" w:hAnsi="仿宋" w:eastAsia="仿宋"/>
          <w:b/>
          <w:color w:val="000000" w:themeColor="text1"/>
          <w:sz w:val="36"/>
          <w:szCs w:val="36"/>
          <w14:textFill>
            <w14:solidFill>
              <w14:schemeClr w14:val="tx1"/>
            </w14:solidFill>
          </w14:textFill>
        </w:rPr>
      </w:pPr>
      <w:bookmarkStart w:id="12" w:name="_Toc51935128"/>
    </w:p>
    <w:p>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第二章  投标人须知</w:t>
      </w:r>
      <w:bookmarkEnd w:id="12"/>
      <w:r>
        <w:rPr>
          <w:rFonts w:hint="eastAsia" w:hAnsi="宋体"/>
          <w:b/>
          <w:color w:val="000000" w:themeColor="text1"/>
          <w:sz w:val="36"/>
          <w:szCs w:val="36"/>
          <w14:textFill>
            <w14:solidFill>
              <w14:schemeClr w14:val="tx1"/>
            </w14:solidFill>
          </w14:textFill>
        </w:rPr>
        <w:t xml:space="preserve"> </w:t>
      </w:r>
    </w:p>
    <w:p>
      <w:pPr>
        <w:pStyle w:val="31"/>
        <w:spacing w:before="156" w:after="156" w:line="360" w:lineRule="auto"/>
        <w:outlineLvl w:val="0"/>
        <w:rPr>
          <w:rFonts w:hAnsi="宋体"/>
          <w:b/>
          <w:color w:val="000000" w:themeColor="text1"/>
          <w:sz w:val="36"/>
          <w:szCs w:val="36"/>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前附表</w:t>
      </w:r>
    </w:p>
    <w:tbl>
      <w:tblPr>
        <w:tblStyle w:val="58"/>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1261"/>
        <w:gridCol w:w="69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内 容</w:t>
            </w:r>
          </w:p>
        </w:tc>
        <w:tc>
          <w:tcPr>
            <w:tcW w:w="6971"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项目名称及数量</w:t>
            </w:r>
          </w:p>
        </w:tc>
        <w:tc>
          <w:tcPr>
            <w:tcW w:w="69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信用记录</w:t>
            </w:r>
          </w:p>
        </w:tc>
        <w:tc>
          <w:tcPr>
            <w:tcW w:w="6971"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color w:val="000000" w:themeColor="text1"/>
                <w:sz w:val="24"/>
                <w:szCs w:val="24"/>
                <w14:textFill>
                  <w14:solidFill>
                    <w14:schemeClr w14:val="tx1"/>
                  </w14:solidFill>
                </w14:textFill>
              </w:rPr>
              <w:t>其投标将作无效标处理</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政府采购节能环保产品</w:t>
            </w:r>
          </w:p>
        </w:tc>
        <w:tc>
          <w:tcPr>
            <w:tcW w:w="69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投标产品若属于节能环保产品的，请提供财政部、环境保护保部发布有效期内环境标志产品政府采购清单以及财政部、发改委联合发布有效期内节能产品政府采购清单。</w:t>
            </w:r>
          </w:p>
          <w:p>
            <w:pPr>
              <w:snapToGrid w:val="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招标需求中要求提供的产品属于节能清单中政府强制采购节能产品品目的，投标人须提供该清单内产品，</w:t>
            </w:r>
            <w:r>
              <w:rPr>
                <w:rFonts w:hint="eastAsia" w:ascii="仿宋" w:hAnsi="仿宋" w:eastAsia="仿宋"/>
                <w:b/>
                <w:color w:val="000000" w:themeColor="text1"/>
                <w:sz w:val="24"/>
                <w:szCs w:val="24"/>
                <w14:textFill>
                  <w14:solidFill>
                    <w14:schemeClr w14:val="tx1"/>
                  </w14:solidFill>
                </w14:textFill>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小微企业有关政策</w:t>
            </w:r>
          </w:p>
        </w:tc>
        <w:tc>
          <w:tcPr>
            <w:tcW w:w="6971" w:type="dxa"/>
            <w:tcBorders>
              <w:top w:val="single" w:color="auto" w:sz="4" w:space="0"/>
              <w:left w:val="single" w:color="auto" w:sz="4" w:space="0"/>
              <w:bottom w:val="single" w:color="auto" w:sz="4" w:space="0"/>
              <w:right w:val="single" w:color="auto" w:sz="4" w:space="0"/>
            </w:tcBorders>
            <w:vAlign w:val="center"/>
          </w:tcPr>
          <w:p>
            <w:pPr>
              <w:snapToGrid w:val="0"/>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1、根据财库〔2011〕181号的相关规定，在评审时对小型和微型企业的投标报价给予</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[小微企业价格扣除比例6]</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snapToGrid w:val="0"/>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答疑与澄清</w:t>
            </w:r>
          </w:p>
        </w:tc>
        <w:tc>
          <w:tcPr>
            <w:tcW w:w="69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投标人如对招标文件有异议，应当于公告发布之日起至</w:t>
            </w:r>
            <w:r>
              <w:rPr>
                <w:rFonts w:hint="eastAsia" w:ascii="仿宋" w:hAnsi="仿宋" w:eastAsia="仿宋"/>
                <w:bCs/>
                <w:color w:val="000000" w:themeColor="text1"/>
                <w:sz w:val="24"/>
                <w:szCs w:val="24"/>
                <w14:textFill>
                  <w14:solidFill>
                    <w14:schemeClr w14:val="tx1"/>
                  </w14:solidFill>
                </w14:textFill>
              </w:rPr>
              <w:t>公告期限满第7个工作日内</w:t>
            </w:r>
            <w:r>
              <w:rPr>
                <w:rFonts w:hint="eastAsia" w:ascii="仿宋" w:hAnsi="仿宋" w:eastAsia="仿宋"/>
                <w:color w:val="000000" w:themeColor="text1"/>
                <w:sz w:val="24"/>
                <w:szCs w:val="24"/>
                <w14:textFill>
                  <w14:solidFill>
                    <w14:schemeClr w14:val="tx1"/>
                  </w14:solidFill>
                </w14:textFill>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6</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是否允许采购进口产品</w:t>
            </w:r>
          </w:p>
        </w:tc>
        <w:tc>
          <w:tcPr>
            <w:tcW w:w="69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7</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是否允许转包</w:t>
            </w:r>
          </w:p>
        </w:tc>
        <w:tc>
          <w:tcPr>
            <w:tcW w:w="69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转包：否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8</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是否接受联合体投标</w:t>
            </w:r>
          </w:p>
        </w:tc>
        <w:tc>
          <w:tcPr>
            <w:tcW w:w="69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bookmarkStart w:id="13" w:name="PO_15528_PM007_1"/>
            <w:r>
              <w:rPr>
                <w:rFonts w:ascii="仿宋" w:hAnsi="仿宋" w:eastAsia="仿宋"/>
                <w:color w:val="000000" w:themeColor="text1"/>
                <w:sz w:val="24"/>
                <w:szCs w:val="24"/>
                <w14:textFill>
                  <w14:solidFill>
                    <w14:schemeClr w14:val="tx1"/>
                  </w14:solidFill>
                </w14:textFill>
              </w:rPr>
              <w:t>不允许联合体投标</w:t>
            </w:r>
            <w:bookmarkEnd w:id="13"/>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（接受联合体投标的请提供联合体协议书。）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9</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是否现场踏勘</w:t>
            </w:r>
          </w:p>
        </w:tc>
        <w:tc>
          <w:tcPr>
            <w:tcW w:w="69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bookmarkStart w:id="14" w:name="PO_15528_PM040"/>
            <w:r>
              <w:rPr>
                <w:rFonts w:hint="eastAsia" w:ascii="仿宋" w:hAnsi="仿宋" w:eastAsia="仿宋"/>
                <w:color w:val="000000" w:themeColor="text1"/>
                <w:sz w:val="24"/>
                <w:szCs w:val="24"/>
                <w14:textFill>
                  <w14:solidFill>
                    <w14:schemeClr w14:val="tx1"/>
                  </w14:solidFill>
                </w14:textFill>
              </w:rPr>
              <w:t>不组织现场踏勘</w:t>
            </w:r>
            <w:bookmarkEnd w:id="14"/>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10</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是否提供演示</w:t>
            </w:r>
          </w:p>
        </w:tc>
        <w:tc>
          <w:tcPr>
            <w:tcW w:w="69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bookmarkStart w:id="15" w:name="PO_15528_PM041"/>
            <w:r>
              <w:rPr>
                <w:rFonts w:hint="eastAsia" w:ascii="仿宋" w:hAnsi="仿宋" w:eastAsia="仿宋"/>
                <w:color w:val="000000" w:themeColor="text1"/>
                <w:sz w:val="24"/>
                <w:szCs w:val="24"/>
                <w14:textFill>
                  <w14:solidFill>
                    <w14:schemeClr w14:val="tx1"/>
                  </w14:solidFill>
                </w14:textFill>
              </w:rPr>
              <w:t>不进行演示</w:t>
            </w:r>
            <w:bookmarkEnd w:id="15"/>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11</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是否提供样品</w:t>
            </w:r>
          </w:p>
        </w:tc>
        <w:tc>
          <w:tcPr>
            <w:tcW w:w="69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bookmarkStart w:id="16" w:name="PO_15528_PM043"/>
            <w:r>
              <w:rPr>
                <w:rFonts w:hint="eastAsia" w:ascii="仿宋" w:hAnsi="仿宋" w:eastAsia="仿宋"/>
                <w:color w:val="000000" w:themeColor="text1"/>
                <w:sz w:val="24"/>
                <w:szCs w:val="24"/>
                <w14:textFill>
                  <w14:solidFill>
                    <w14:schemeClr w14:val="tx1"/>
                  </w14:solidFill>
                </w14:textFill>
              </w:rPr>
              <w:t>不要求提供样品</w:t>
            </w:r>
            <w:bookmarkEnd w:id="16"/>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12</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投标文件组成</w:t>
            </w:r>
          </w:p>
        </w:tc>
        <w:tc>
          <w:tcPr>
            <w:tcW w:w="69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投标文件由开标一览表、资质文件、技术及商务文件、报价文件正本</w:t>
            </w:r>
            <w:r>
              <w:rPr>
                <w:rFonts w:hint="eastAsia" w:ascii="仿宋" w:hAnsi="仿宋" w:eastAsia="仿宋"/>
                <w:b/>
                <w:color w:val="000000" w:themeColor="text1"/>
                <w:sz w:val="24"/>
                <w:szCs w:val="24"/>
                <w14:textFill>
                  <w14:solidFill>
                    <w14:schemeClr w14:val="tx1"/>
                  </w14:solidFill>
                </w14:textFill>
              </w:rPr>
              <w:t>各</w:t>
            </w:r>
            <w:r>
              <w:rPr>
                <w:rFonts w:hint="eastAsia" w:ascii="仿宋" w:hAnsi="仿宋" w:eastAsia="仿宋" w:cs="Arial"/>
                <w:b/>
                <w:color w:val="000000" w:themeColor="text1"/>
                <w:sz w:val="24"/>
                <w:szCs w:val="24"/>
                <w:u w:val="single"/>
                <w14:textFill>
                  <w14:solidFill>
                    <w14:schemeClr w14:val="tx1"/>
                  </w14:solidFill>
                </w14:textFill>
              </w:rPr>
              <w:t xml:space="preserve"> 1 </w:t>
            </w:r>
            <w:r>
              <w:rPr>
                <w:rFonts w:hint="eastAsia" w:ascii="仿宋" w:hAnsi="仿宋" w:eastAsia="仿宋"/>
                <w:b/>
                <w:color w:val="000000" w:themeColor="text1"/>
                <w:sz w:val="24"/>
                <w:szCs w:val="24"/>
                <w14:textFill>
                  <w14:solidFill>
                    <w14:schemeClr w14:val="tx1"/>
                  </w14:solidFill>
                </w14:textFill>
              </w:rPr>
              <w:t>份</w:t>
            </w:r>
            <w:r>
              <w:rPr>
                <w:rFonts w:hint="eastAsia" w:ascii="仿宋" w:hAnsi="仿宋" w:eastAsia="仿宋"/>
                <w:color w:val="000000" w:themeColor="text1"/>
                <w:sz w:val="24"/>
                <w:szCs w:val="24"/>
                <w14:textFill>
                  <w14:solidFill>
                    <w14:schemeClr w14:val="tx1"/>
                  </w14:solidFill>
                </w14:textFill>
              </w:rPr>
              <w:t>；资质文件、技术及商务文件、报价文件副本</w:t>
            </w:r>
            <w:r>
              <w:rPr>
                <w:rFonts w:hint="eastAsia" w:ascii="仿宋" w:hAnsi="仿宋" w:eastAsia="仿宋"/>
                <w:b/>
                <w:color w:val="000000" w:themeColor="text1"/>
                <w:sz w:val="24"/>
                <w:szCs w:val="24"/>
                <w14:textFill>
                  <w14:solidFill>
                    <w14:schemeClr w14:val="tx1"/>
                  </w14:solidFill>
                </w14:textFill>
              </w:rPr>
              <w:t>各</w:t>
            </w:r>
            <w:bookmarkStart w:id="17" w:name="PO_15528_PM045"/>
            <w:r>
              <w:rPr>
                <w:rFonts w:ascii="仿宋" w:hAnsi="仿宋" w:eastAsia="仿宋"/>
                <w:b/>
                <w:color w:val="000000" w:themeColor="text1"/>
                <w:sz w:val="24"/>
                <w:szCs w:val="24"/>
                <w14:textFill>
                  <w14:solidFill>
                    <w14:schemeClr w14:val="tx1"/>
                  </w14:solidFill>
                </w14:textFill>
              </w:rPr>
              <w:t>3</w:t>
            </w:r>
            <w:bookmarkEnd w:id="17"/>
            <w:r>
              <w:rPr>
                <w:rFonts w:hint="eastAsia" w:ascii="仿宋" w:hAnsi="仿宋" w:eastAsia="仿宋"/>
                <w:b/>
                <w:color w:val="000000" w:themeColor="text1"/>
                <w:sz w:val="24"/>
                <w:szCs w:val="24"/>
                <w14:textFill>
                  <w14:solidFill>
                    <w14:schemeClr w14:val="tx1"/>
                  </w14:solidFill>
                </w14:textFill>
              </w:rPr>
              <w:t>份</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13</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中标结果公告</w:t>
            </w:r>
          </w:p>
        </w:tc>
        <w:tc>
          <w:tcPr>
            <w:tcW w:w="69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中国政府采购网(</w:t>
            </w:r>
            <w:r>
              <w:rPr>
                <w:rFonts w:hint="eastAsia" w:ascii="仿宋" w:hAnsi="仿宋" w:eastAsia="仿宋"/>
                <w:color w:val="000000" w:themeColor="text1"/>
                <w:sz w:val="24"/>
                <w:szCs w:val="24"/>
                <w14:textFill>
                  <w14:solidFill>
                    <w14:schemeClr w14:val="tx1"/>
                  </w14:solidFill>
                </w14:textFill>
              </w:rPr>
              <w:t xml:space="preserve"> </w:t>
            </w:r>
            <w:r>
              <w:fldChar w:fldCharType="begin"/>
            </w:r>
            <w:r>
              <w:instrText xml:space="preserve"> HYPERLINK "http://www.ccgp.gov.cn" </w:instrText>
            </w:r>
            <w:r>
              <w:fldChar w:fldCharType="separate"/>
            </w:r>
            <w:r>
              <w:rPr>
                <w:rStyle w:val="68"/>
                <w:rFonts w:hint="eastAsia" w:ascii="仿宋" w:hAnsi="仿宋" w:eastAsia="仿宋"/>
                <w:color w:val="000000" w:themeColor="text1"/>
                <w:sz w:val="24"/>
                <w:szCs w:val="24"/>
                <w14:textFill>
                  <w14:solidFill>
                    <w14:schemeClr w14:val="tx1"/>
                  </w14:solidFill>
                </w14:textFill>
              </w:rPr>
              <w:t>http://www.ccgp.gov.cn</w:t>
            </w:r>
            <w:r>
              <w:rPr>
                <w:rStyle w:val="68"/>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中标公告，公告期限为1个工作日，采购项目负责人根据报名时预留地址寄送</w:t>
            </w:r>
            <w:r>
              <w:rPr>
                <w:rFonts w:hint="eastAsia" w:ascii="仿宋" w:hAnsi="仿宋" w:eastAsia="仿宋" w:cs="Arial"/>
                <w:color w:val="000000" w:themeColor="text1"/>
                <w:sz w:val="24"/>
                <w:szCs w:val="24"/>
                <w14:textFill>
                  <w14:solidFill>
                    <w14:schemeClr w14:val="tx1"/>
                  </w14:solidFill>
                </w14:textFill>
              </w:rPr>
              <w:t>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14</w:t>
            </w:r>
          </w:p>
        </w:tc>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投标保证金</w:t>
            </w:r>
          </w:p>
        </w:tc>
        <w:tc>
          <w:tcPr>
            <w:tcW w:w="69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交纳：投标保证金应按《招标采购公告》六规定交纳。</w:t>
            </w:r>
          </w:p>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退还：中标通知书发出之日起5个工作日内，未中标的投标人提供交入投标保证金时取得的第二联“供应商退款凭据”到招标方采购项目联系人，招标方以电汇或转账等方式退还投标保证金。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15</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合同签订时间</w:t>
            </w:r>
          </w:p>
        </w:tc>
        <w:tc>
          <w:tcPr>
            <w:tcW w:w="69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16</w:t>
            </w:r>
          </w:p>
        </w:tc>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履约保证金</w:t>
            </w:r>
          </w:p>
        </w:tc>
        <w:tc>
          <w:tcPr>
            <w:tcW w:w="69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17</w:t>
            </w:r>
          </w:p>
        </w:tc>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付款方式</w:t>
            </w:r>
          </w:p>
        </w:tc>
        <w:tc>
          <w:tcPr>
            <w:tcW w:w="69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采购人自行支付，详见采购合同模板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18</w:t>
            </w:r>
          </w:p>
        </w:tc>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投标文件有效期</w:t>
            </w:r>
          </w:p>
        </w:tc>
        <w:tc>
          <w:tcPr>
            <w:tcW w:w="69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19</w:t>
            </w:r>
          </w:p>
        </w:tc>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投标文件的接收</w:t>
            </w:r>
          </w:p>
        </w:tc>
        <w:tc>
          <w:tcPr>
            <w:tcW w:w="69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招标方于投标截止时间前半小时内接收投标文件，投标文件送达回执、政府采购活动现场确认声明书（格式详见附件）应单独提供，如投标人递交投标文件时未提供回执，视同不需要回执。</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投标人递交投标文件时</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如出现下列情况之一的，投标文件将被拒收：</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1、未按规定密封或标记的投标文件；</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2、由于包装不妥，在送交途中严重破损或失散的投标文件；</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3、仅以非纸制文本形式的投标文件；</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4、未成功办理投标人报名手续的；</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5、超过投标截止时间送达的投标文件。</w:t>
            </w:r>
          </w:p>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20</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招标方代理费用</w:t>
            </w:r>
          </w:p>
        </w:tc>
        <w:tc>
          <w:tcPr>
            <w:tcW w:w="6971"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before="260" w:after="260" w:line="276" w:lineRule="auto"/>
              <w:jc w:val="left"/>
              <w:outlineLvl w:val="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本次招标收取中标服务费，中标服务费按照差额定率累进计费方式计取，由中标人在收到中标通知书后7个工作日内以汇款方式向招标单位一次支付。收费标准：</w:t>
            </w:r>
          </w:p>
          <w:tbl>
            <w:tblPr>
              <w:tblStyle w:val="58"/>
              <w:tblW w:w="0" w:type="auto"/>
              <w:tblCellSpacing w:w="0" w:type="dxa"/>
              <w:tblInd w:w="0" w:type="dxa"/>
              <w:shd w:val="clear" w:color="auto" w:fill="F0E7B4"/>
              <w:tblLayout w:type="autofit"/>
              <w:tblCellMar>
                <w:top w:w="0" w:type="dxa"/>
                <w:left w:w="0" w:type="dxa"/>
                <w:bottom w:w="0" w:type="dxa"/>
                <w:right w:w="0" w:type="dxa"/>
              </w:tblCellMar>
            </w:tblPr>
            <w:tblGrid>
              <w:gridCol w:w="2765"/>
              <w:gridCol w:w="3143"/>
            </w:tblGrid>
            <w:tr>
              <w:tblPrEx>
                <w:shd w:val="clear" w:color="auto" w:fill="F0E7B4"/>
                <w:tblCellMar>
                  <w:top w:w="0" w:type="dxa"/>
                  <w:left w:w="0" w:type="dxa"/>
                  <w:bottom w:w="0" w:type="dxa"/>
                  <w:right w:w="0" w:type="dxa"/>
                </w:tblCellMar>
              </w:tblPrEx>
              <w:trPr>
                <w:trHeight w:val="317" w:hRule="atLeast"/>
                <w:tblCellSpacing w:w="0" w:type="dxa"/>
              </w:trPr>
              <w:tc>
                <w:tcPr>
                  <w:tcW w:w="2765" w:type="dxa"/>
                  <w:shd w:val="clear" w:color="auto" w:fill="F0E7B4"/>
                </w:tcPr>
                <w:p>
                  <w:pPr>
                    <w:widowControl/>
                    <w:spacing w:after="75" w:line="270" w:lineRule="atLeast"/>
                    <w:jc w:val="center"/>
                    <w:rPr>
                      <w:rFonts w:ascii="Verdana" w:hAnsi="Verdana" w:cs="宋体"/>
                      <w:color w:val="000000" w:themeColor="text1"/>
                      <w:kern w:val="0"/>
                      <w:sz w:val="18"/>
                      <w:szCs w:val="18"/>
                      <w14:textFill>
                        <w14:solidFill>
                          <w14:schemeClr w14:val="tx1"/>
                        </w14:solidFill>
                      </w14:textFill>
                    </w:rPr>
                  </w:pPr>
                  <w:r>
                    <w:rPr>
                      <w:rFonts w:ascii="Verdana" w:hAnsi="Verdana" w:cs="宋体"/>
                      <w:b/>
                      <w:bCs/>
                      <w:color w:val="000000" w:themeColor="text1"/>
                      <w:kern w:val="0"/>
                      <w:sz w:val="18"/>
                      <w:szCs w:val="18"/>
                      <w14:textFill>
                        <w14:solidFill>
                          <w14:schemeClr w14:val="tx1"/>
                        </w14:solidFill>
                      </w14:textFill>
                    </w:rPr>
                    <w:t>中标金额（万元）</w:t>
                  </w:r>
                </w:p>
              </w:tc>
              <w:tc>
                <w:tcPr>
                  <w:tcW w:w="3143" w:type="dxa"/>
                  <w:shd w:val="clear" w:color="auto" w:fill="F0E7B4"/>
                  <w:vAlign w:val="center"/>
                </w:tcPr>
                <w:p>
                  <w:pPr>
                    <w:widowControl/>
                    <w:spacing w:after="75" w:line="270" w:lineRule="atLeast"/>
                    <w:rPr>
                      <w:rFonts w:ascii="Verdana" w:hAnsi="Verdana" w:cs="宋体"/>
                      <w:color w:val="000000" w:themeColor="text1"/>
                      <w:kern w:val="0"/>
                      <w:sz w:val="18"/>
                      <w:szCs w:val="18"/>
                      <w14:textFill>
                        <w14:solidFill>
                          <w14:schemeClr w14:val="tx1"/>
                        </w14:solidFill>
                      </w14:textFill>
                    </w:rPr>
                  </w:pPr>
                  <w:r>
                    <w:rPr>
                      <w:rFonts w:hint="eastAsia" w:ascii="Verdana" w:hAnsi="Verdana" w:cs="宋体"/>
                      <w:b/>
                      <w:bCs/>
                      <w:color w:val="000000" w:themeColor="text1"/>
                      <w:kern w:val="0"/>
                      <w:sz w:val="18"/>
                      <w:szCs w:val="18"/>
                      <w14:textFill>
                        <w14:solidFill>
                          <w14:schemeClr w14:val="tx1"/>
                        </w14:solidFill>
                      </w14:textFill>
                    </w:rPr>
                    <w:t>货物</w:t>
                  </w:r>
                  <w:r>
                    <w:rPr>
                      <w:rFonts w:ascii="Verdana" w:hAnsi="Verdana" w:cs="宋体"/>
                      <w:b/>
                      <w:bCs/>
                      <w:color w:val="000000" w:themeColor="text1"/>
                      <w:kern w:val="0"/>
                      <w:sz w:val="18"/>
                      <w:szCs w:val="18"/>
                      <w14:textFill>
                        <w14:solidFill>
                          <w14:schemeClr w14:val="tx1"/>
                        </w14:solidFill>
                      </w14:textFill>
                    </w:rPr>
                    <w:t>招标</w:t>
                  </w:r>
                  <w:r>
                    <w:rPr>
                      <w:rFonts w:hint="eastAsia" w:ascii="Verdana" w:hAnsi="Verdana" w:cs="宋体"/>
                      <w:b/>
                      <w:bCs/>
                      <w:color w:val="000000" w:themeColor="text1"/>
                      <w:kern w:val="0"/>
                      <w:sz w:val="18"/>
                      <w:szCs w:val="18"/>
                      <w14:textFill>
                        <w14:solidFill>
                          <w14:schemeClr w14:val="tx1"/>
                        </w14:solidFill>
                      </w14:textFill>
                    </w:rPr>
                    <w:t xml:space="preserve">       服务招标</w:t>
                  </w:r>
                </w:p>
              </w:tc>
            </w:tr>
            <w:tr>
              <w:tblPrEx>
                <w:shd w:val="clear" w:color="auto" w:fill="F0E7B4"/>
                <w:tblCellMar>
                  <w:top w:w="0" w:type="dxa"/>
                  <w:left w:w="0" w:type="dxa"/>
                  <w:bottom w:w="0" w:type="dxa"/>
                  <w:right w:w="0" w:type="dxa"/>
                </w:tblCellMar>
              </w:tblPrEx>
              <w:trPr>
                <w:trHeight w:val="317" w:hRule="atLeast"/>
                <w:tblCellSpacing w:w="0" w:type="dxa"/>
              </w:trPr>
              <w:tc>
                <w:tcPr>
                  <w:tcW w:w="2765" w:type="dxa"/>
                  <w:shd w:val="clear" w:color="auto" w:fill="F0E7B4"/>
                </w:tcPr>
                <w:p>
                  <w:pPr>
                    <w:widowControl/>
                    <w:spacing w:after="75" w:line="270" w:lineRule="atLeast"/>
                    <w:jc w:val="center"/>
                    <w:rPr>
                      <w:rFonts w:ascii="Verdana" w:hAnsi="Verdana" w:cs="宋体"/>
                      <w:color w:val="000000" w:themeColor="text1"/>
                      <w:kern w:val="0"/>
                      <w:sz w:val="18"/>
                      <w:szCs w:val="18"/>
                      <w14:textFill>
                        <w14:solidFill>
                          <w14:schemeClr w14:val="tx1"/>
                        </w14:solidFill>
                      </w14:textFill>
                    </w:rPr>
                  </w:pPr>
                  <w:r>
                    <w:rPr>
                      <w:rFonts w:ascii="Verdana" w:hAnsi="Verdana" w:cs="宋体"/>
                      <w:color w:val="000000" w:themeColor="text1"/>
                      <w:kern w:val="0"/>
                      <w:sz w:val="18"/>
                      <w:szCs w:val="18"/>
                      <w14:textFill>
                        <w14:solidFill>
                          <w14:schemeClr w14:val="tx1"/>
                        </w14:solidFill>
                      </w14:textFill>
                    </w:rPr>
                    <w:t>100以下</w:t>
                  </w:r>
                </w:p>
              </w:tc>
              <w:tc>
                <w:tcPr>
                  <w:tcW w:w="3143" w:type="dxa"/>
                  <w:shd w:val="clear" w:color="auto" w:fill="F0E7B4"/>
                </w:tcPr>
                <w:p>
                  <w:pPr>
                    <w:widowControl/>
                    <w:spacing w:after="75" w:line="270" w:lineRule="atLeast"/>
                    <w:rPr>
                      <w:rFonts w:ascii="Verdana" w:hAnsi="Verdana" w:cs="宋体"/>
                      <w:color w:val="000000" w:themeColor="text1"/>
                      <w:kern w:val="0"/>
                      <w:sz w:val="18"/>
                      <w:szCs w:val="18"/>
                      <w14:textFill>
                        <w14:solidFill>
                          <w14:schemeClr w14:val="tx1"/>
                        </w14:solidFill>
                      </w14:textFill>
                    </w:rPr>
                  </w:pPr>
                  <w:r>
                    <w:rPr>
                      <w:rFonts w:ascii="Verdana" w:hAnsi="Verdana" w:cs="宋体"/>
                      <w:color w:val="000000" w:themeColor="text1"/>
                      <w:kern w:val="0"/>
                      <w:sz w:val="18"/>
                      <w:szCs w:val="18"/>
                      <w14:textFill>
                        <w14:solidFill>
                          <w14:schemeClr w14:val="tx1"/>
                        </w14:solidFill>
                      </w14:textFill>
                    </w:rPr>
                    <w:t>1.5%</w:t>
                  </w:r>
                  <w:r>
                    <w:rPr>
                      <w:rFonts w:hint="eastAsia" w:ascii="Verdana" w:hAnsi="Verdana" w:cs="宋体"/>
                      <w:color w:val="000000" w:themeColor="text1"/>
                      <w:kern w:val="0"/>
                      <w:sz w:val="18"/>
                      <w:szCs w:val="18"/>
                      <w14:textFill>
                        <w14:solidFill>
                          <w14:schemeClr w14:val="tx1"/>
                        </w14:solidFill>
                      </w14:textFill>
                    </w:rPr>
                    <w:t xml:space="preserve">          1</w:t>
                  </w:r>
                  <w:r>
                    <w:rPr>
                      <w:rFonts w:ascii="Verdana" w:hAnsi="Verdana" w:cs="宋体"/>
                      <w:color w:val="000000" w:themeColor="text1"/>
                      <w:kern w:val="0"/>
                      <w:sz w:val="18"/>
                      <w:szCs w:val="18"/>
                      <w14:textFill>
                        <w14:solidFill>
                          <w14:schemeClr w14:val="tx1"/>
                        </w14:solidFill>
                      </w14:textFill>
                    </w:rPr>
                    <w:t>.5%</w:t>
                  </w:r>
                  <w:r>
                    <w:rPr>
                      <w:rFonts w:hint="eastAsia" w:ascii="Verdana" w:hAnsi="Verdana" w:cs="宋体"/>
                      <w:color w:val="000000" w:themeColor="text1"/>
                      <w:kern w:val="0"/>
                      <w:sz w:val="18"/>
                      <w:szCs w:val="18"/>
                      <w14:textFill>
                        <w14:solidFill>
                          <w14:schemeClr w14:val="tx1"/>
                        </w14:solidFill>
                      </w14:textFill>
                    </w:rPr>
                    <w:t xml:space="preserve">        </w:t>
                  </w:r>
                </w:p>
              </w:tc>
            </w:tr>
            <w:tr>
              <w:tblPrEx>
                <w:shd w:val="clear" w:color="auto" w:fill="F0E7B4"/>
                <w:tblCellMar>
                  <w:top w:w="0" w:type="dxa"/>
                  <w:left w:w="0" w:type="dxa"/>
                  <w:bottom w:w="0" w:type="dxa"/>
                  <w:right w:w="0" w:type="dxa"/>
                </w:tblCellMar>
              </w:tblPrEx>
              <w:trPr>
                <w:trHeight w:val="973" w:hRule="atLeast"/>
                <w:tblCellSpacing w:w="0" w:type="dxa"/>
              </w:trPr>
              <w:tc>
                <w:tcPr>
                  <w:tcW w:w="2765" w:type="dxa"/>
                  <w:shd w:val="clear" w:color="auto" w:fill="F0E7B4"/>
                </w:tcPr>
                <w:p>
                  <w:pPr>
                    <w:widowControl/>
                    <w:spacing w:after="75" w:line="270" w:lineRule="atLeast"/>
                    <w:jc w:val="center"/>
                    <w:rPr>
                      <w:rFonts w:ascii="Verdana" w:hAnsi="Verdana" w:cs="宋体"/>
                      <w:color w:val="000000" w:themeColor="text1"/>
                      <w:kern w:val="0"/>
                      <w:sz w:val="18"/>
                      <w:szCs w:val="18"/>
                      <w14:textFill>
                        <w14:solidFill>
                          <w14:schemeClr w14:val="tx1"/>
                        </w14:solidFill>
                      </w14:textFill>
                    </w:rPr>
                  </w:pPr>
                  <w:r>
                    <w:rPr>
                      <w:rFonts w:ascii="Verdana" w:hAnsi="Verdana" w:cs="宋体"/>
                      <w:color w:val="000000" w:themeColor="text1"/>
                      <w:kern w:val="0"/>
                      <w:sz w:val="18"/>
                      <w:szCs w:val="18"/>
                      <w14:textFill>
                        <w14:solidFill>
                          <w14:schemeClr w14:val="tx1"/>
                        </w14:solidFill>
                      </w14:textFill>
                    </w:rPr>
                    <w:t>100-500</w:t>
                  </w:r>
                </w:p>
                <w:p>
                  <w:pPr>
                    <w:widowControl/>
                    <w:spacing w:after="75" w:line="270" w:lineRule="atLeast"/>
                    <w:jc w:val="center"/>
                    <w:rPr>
                      <w:rFonts w:ascii="Verdana" w:hAnsi="Verdana" w:cs="宋体"/>
                      <w:color w:val="000000" w:themeColor="text1"/>
                      <w:kern w:val="0"/>
                      <w:sz w:val="18"/>
                      <w:szCs w:val="18"/>
                      <w14:textFill>
                        <w14:solidFill>
                          <w14:schemeClr w14:val="tx1"/>
                        </w14:solidFill>
                      </w14:textFill>
                    </w:rPr>
                  </w:pPr>
                  <w:r>
                    <w:rPr>
                      <w:rFonts w:hint="eastAsia" w:ascii="Verdana" w:hAnsi="Verdana" w:cs="宋体"/>
                      <w:color w:val="000000" w:themeColor="text1"/>
                      <w:kern w:val="0"/>
                      <w:sz w:val="18"/>
                      <w:szCs w:val="18"/>
                      <w14:textFill>
                        <w14:solidFill>
                          <w14:schemeClr w14:val="tx1"/>
                        </w14:solidFill>
                      </w14:textFill>
                    </w:rPr>
                    <w:t>500-1000</w:t>
                  </w:r>
                </w:p>
                <w:p>
                  <w:pPr>
                    <w:widowControl/>
                    <w:spacing w:after="75" w:line="270" w:lineRule="atLeast"/>
                    <w:jc w:val="center"/>
                    <w:rPr>
                      <w:rFonts w:ascii="Verdana" w:hAnsi="Verdana" w:cs="宋体"/>
                      <w:color w:val="000000" w:themeColor="text1"/>
                      <w:kern w:val="0"/>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1000—5000</w:t>
                  </w:r>
                </w:p>
              </w:tc>
              <w:tc>
                <w:tcPr>
                  <w:tcW w:w="3143" w:type="dxa"/>
                  <w:shd w:val="clear" w:color="auto" w:fill="F0E7B4"/>
                </w:tcPr>
                <w:p>
                  <w:pPr>
                    <w:widowControl/>
                    <w:spacing w:after="75" w:line="270" w:lineRule="atLeast"/>
                    <w:rPr>
                      <w:rFonts w:ascii="Verdana" w:hAnsi="Verdana" w:cs="宋体"/>
                      <w:color w:val="000000" w:themeColor="text1"/>
                      <w:kern w:val="0"/>
                      <w:sz w:val="18"/>
                      <w:szCs w:val="18"/>
                      <w14:textFill>
                        <w14:solidFill>
                          <w14:schemeClr w14:val="tx1"/>
                        </w14:solidFill>
                      </w14:textFill>
                    </w:rPr>
                  </w:pPr>
                  <w:r>
                    <w:rPr>
                      <w:rFonts w:hint="eastAsia" w:ascii="Verdana" w:hAnsi="Verdana" w:cs="宋体"/>
                      <w:color w:val="000000" w:themeColor="text1"/>
                      <w:kern w:val="0"/>
                      <w:sz w:val="18"/>
                      <w:szCs w:val="18"/>
                      <w14:textFill>
                        <w14:solidFill>
                          <w14:schemeClr w14:val="tx1"/>
                        </w14:solidFill>
                      </w14:textFill>
                    </w:rPr>
                    <w:t>1.1</w:t>
                  </w:r>
                  <w:r>
                    <w:rPr>
                      <w:rFonts w:ascii="Verdana" w:hAnsi="Verdana" w:cs="宋体"/>
                      <w:color w:val="000000" w:themeColor="text1"/>
                      <w:kern w:val="0"/>
                      <w:sz w:val="18"/>
                      <w:szCs w:val="18"/>
                      <w14:textFill>
                        <w14:solidFill>
                          <w14:schemeClr w14:val="tx1"/>
                        </w14:solidFill>
                      </w14:textFill>
                    </w:rPr>
                    <w:t>%</w:t>
                  </w:r>
                  <w:r>
                    <w:rPr>
                      <w:rFonts w:hint="eastAsia" w:ascii="Verdana" w:hAnsi="Verdana" w:cs="宋体"/>
                      <w:color w:val="000000" w:themeColor="text1"/>
                      <w:kern w:val="0"/>
                      <w:sz w:val="18"/>
                      <w:szCs w:val="18"/>
                      <w14:textFill>
                        <w14:solidFill>
                          <w14:schemeClr w14:val="tx1"/>
                        </w14:solidFill>
                      </w14:textFill>
                    </w:rPr>
                    <w:t xml:space="preserve">          0.8%    </w:t>
                  </w:r>
                </w:p>
                <w:p>
                  <w:pPr>
                    <w:widowControl/>
                    <w:spacing w:after="75" w:line="270" w:lineRule="atLeast"/>
                    <w:rPr>
                      <w:rFonts w:ascii="Verdana" w:hAnsi="Verdana" w:cs="宋体"/>
                      <w:color w:val="000000" w:themeColor="text1"/>
                      <w:kern w:val="0"/>
                      <w:sz w:val="18"/>
                      <w:szCs w:val="18"/>
                      <w14:textFill>
                        <w14:solidFill>
                          <w14:schemeClr w14:val="tx1"/>
                        </w14:solidFill>
                      </w14:textFill>
                    </w:rPr>
                  </w:pPr>
                  <w:r>
                    <w:rPr>
                      <w:rFonts w:hint="eastAsia" w:ascii="Verdana" w:hAnsi="Verdana" w:cs="宋体"/>
                      <w:color w:val="000000" w:themeColor="text1"/>
                      <w:kern w:val="0"/>
                      <w:sz w:val="18"/>
                      <w:szCs w:val="18"/>
                      <w14:textFill>
                        <w14:solidFill>
                          <w14:schemeClr w14:val="tx1"/>
                        </w14:solidFill>
                      </w14:textFill>
                    </w:rPr>
                    <w:t>0.8%          0.45%</w:t>
                  </w:r>
                </w:p>
                <w:p>
                  <w:pPr>
                    <w:widowControl/>
                    <w:spacing w:after="75" w:line="270" w:lineRule="atLeast"/>
                    <w:rPr>
                      <w:rFonts w:ascii="Verdana" w:hAnsi="Verdana" w:cs="宋体"/>
                      <w:color w:val="000000" w:themeColor="text1"/>
                      <w:kern w:val="0"/>
                      <w:sz w:val="18"/>
                      <w:szCs w:val="18"/>
                      <w14:textFill>
                        <w14:solidFill>
                          <w14:schemeClr w14:val="tx1"/>
                        </w14:solidFill>
                      </w14:textFill>
                    </w:rPr>
                  </w:pPr>
                  <w:r>
                    <w:rPr>
                      <w:rFonts w:ascii="Verdana" w:hAnsi="Verdana" w:cs="宋体"/>
                      <w:color w:val="000000" w:themeColor="text1"/>
                      <w:kern w:val="0"/>
                      <w:sz w:val="18"/>
                      <w:szCs w:val="18"/>
                      <w14:textFill>
                        <w14:solidFill>
                          <w14:schemeClr w14:val="tx1"/>
                        </w14:solidFill>
                      </w14:textFill>
                    </w:rPr>
                    <w:t>0.5%</w:t>
                  </w:r>
                  <w:r>
                    <w:rPr>
                      <w:rFonts w:hint="eastAsia" w:ascii="Verdana" w:hAnsi="Verdana" w:cs="宋体"/>
                      <w:color w:val="000000" w:themeColor="text1"/>
                      <w:kern w:val="0"/>
                      <w:sz w:val="18"/>
                      <w:szCs w:val="18"/>
                      <w14:textFill>
                        <w14:solidFill>
                          <w14:schemeClr w14:val="tx1"/>
                        </w14:solidFill>
                      </w14:textFill>
                    </w:rPr>
                    <w:t xml:space="preserve">          0.25%</w:t>
                  </w:r>
                </w:p>
              </w:tc>
            </w:tr>
          </w:tbl>
          <w:p>
            <w:pPr>
              <w:snapToGrid w:val="0"/>
              <w:ind w:firstLine="720" w:firstLineChars="3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21</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解释权</w:t>
            </w:r>
          </w:p>
        </w:tc>
        <w:tc>
          <w:tcPr>
            <w:tcW w:w="697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本招标文件的解释权属于国家体育总局体育器材装备中心。</w:t>
            </w:r>
          </w:p>
        </w:tc>
      </w:tr>
    </w:tbl>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ascii="仿宋" w:hAnsi="仿宋" w:eastAsia="仿宋_GB2312"/>
          <w:color w:val="000000" w:themeColor="text1"/>
          <w:sz w:val="30"/>
          <w:szCs w:val="30"/>
          <w14:textFill>
            <w14:solidFill>
              <w14:schemeClr w14:val="tx1"/>
            </w14:solidFill>
          </w14:textFill>
        </w:rPr>
        <w:br w:type="page"/>
      </w:r>
      <w:r>
        <w:rPr>
          <w:rFonts w:hint="eastAsia" w:ascii="仿宋" w:hAnsi="仿宋" w:eastAsia="仿宋"/>
          <w:b/>
          <w:color w:val="000000" w:themeColor="text1"/>
          <w:sz w:val="30"/>
          <w:szCs w:val="30"/>
          <w14:textFill>
            <w14:solidFill>
              <w14:schemeClr w14:val="tx1"/>
            </w14:solidFill>
          </w14:textFill>
        </w:rPr>
        <w:t>一、总  则</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（一）适用范围</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pPr>
        <w:snapToGrid w:val="0"/>
        <w:spacing w:before="156" w:beforeLines="50" w:line="460" w:lineRule="exact"/>
        <w:ind w:firstLine="413" w:firstLineChars="147"/>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（二）定义 </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1、“招标方”系指组织本项目采购的国家体育总局体育器材装备中心。</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2、“投标人”系指向招标方提交投标文件的单位或个人。</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3、“采购人” 系指委托招标方采购本次货物、服务项目的国家机关、事业单位和团体组织。</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4、“货物”系指招标文件规定投标人须向采购人提供的一切材料、设备、机械、仪器仪表、工具及其它有关技术资料和文字材料。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5、“服务”系指招标文件规定投标人须承担的劳务以及其他类似的义务。</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6、“项目”系指投标人按招标文件规定向采购人提供的需求总称。</w:t>
      </w:r>
    </w:p>
    <w:p>
      <w:pPr>
        <w:snapToGrid w:val="0"/>
        <w:spacing w:before="156" w:beforeLines="50" w:line="460" w:lineRule="exact"/>
        <w:ind w:firstLine="551" w:firstLineChars="196"/>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（三）投标人及委托有关说明</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1、授权代表须携带有效身份证件。如授权代表不是法定代表人，须有法定代表人出具的授权委托书（投标文件正本用原件，副本用复印件，格式见附件）。</w:t>
      </w:r>
    </w:p>
    <w:p>
      <w:pPr>
        <w:pStyle w:val="31"/>
        <w:snapToGrid w:val="0"/>
        <w:spacing w:before="156" w:after="156" w:line="460" w:lineRule="exact"/>
        <w:ind w:left="2" w:leftChars="1"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pPr>
        <w:pStyle w:val="31"/>
        <w:snapToGrid w:val="0"/>
        <w:spacing w:before="156" w:after="156" w:line="460" w:lineRule="exact"/>
        <w:ind w:left="2" w:leftChars="1"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4、单位负责人为同一人或者存在直接控股、管理关系的不同供应商，不得参加同一合同项下的政府采购活动。</w:t>
      </w:r>
    </w:p>
    <w:p>
      <w:pPr>
        <w:pStyle w:val="31"/>
        <w:snapToGrid w:val="0"/>
        <w:spacing w:beforeLines="0" w:afterLines="0" w:line="460" w:lineRule="exact"/>
        <w:ind w:left="2" w:leftChars="1"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5、投标人应仔细阅读招标文件的所有内容，按照招标文件的要求提交投标文件，并对所提供的全部资料的真实性承担法律责任。</w:t>
      </w:r>
    </w:p>
    <w:p>
      <w:pPr>
        <w:snapToGrid w:val="0"/>
        <w:spacing w:before="156" w:beforeLines="50" w:line="460" w:lineRule="exact"/>
        <w:ind w:firstLine="551" w:firstLineChars="196"/>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（四）投标费用</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不论投标结果如何，投标人均应自行承担所有与投标有关的全部费用（招标文件有其他相反规定除外）。</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（五）质疑</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1、投标人对采购事项有疑问的，可以向招标方提出询问。</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2、招标程序受《中华人民共和国政府采购法》</w:t>
      </w:r>
      <w:r>
        <w:rPr>
          <w:rFonts w:hint="eastAsia" w:ascii="仿宋" w:hAnsi="仿宋" w:eastAsia="仿宋" w:cs="Arial"/>
          <w:bCs/>
          <w:color w:val="000000" w:themeColor="text1"/>
          <w:sz w:val="28"/>
          <w:szCs w:val="28"/>
          <w14:textFill>
            <w14:solidFill>
              <w14:schemeClr w14:val="tx1"/>
            </w14:solidFill>
          </w14:textFill>
        </w:rPr>
        <w:t>等</w:t>
      </w:r>
      <w:r>
        <w:rPr>
          <w:rFonts w:hint="eastAsia" w:ascii="仿宋" w:hAnsi="仿宋" w:eastAsia="仿宋" w:cs="Arial"/>
          <w:color w:val="000000" w:themeColor="text1"/>
          <w:sz w:val="28"/>
          <w:szCs w:val="28"/>
          <w14:textFill>
            <w14:solidFill>
              <w14:schemeClr w14:val="tx1"/>
            </w14:solidFill>
          </w14:textFill>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俞冠男，联系电话：</w:t>
      </w:r>
      <w:r>
        <w:rPr>
          <w:rFonts w:ascii="仿宋" w:hAnsi="仿宋" w:eastAsia="仿宋" w:cs="Arial"/>
          <w:color w:val="000000" w:themeColor="text1"/>
          <w:sz w:val="28"/>
          <w:szCs w:val="28"/>
          <w14:textFill>
            <w14:solidFill>
              <w14:schemeClr w14:val="tx1"/>
            </w14:solidFill>
          </w14:textFill>
        </w:rPr>
        <w:t>010-87182681</w:t>
      </w:r>
      <w:r>
        <w:rPr>
          <w:rFonts w:hint="eastAsia" w:ascii="仿宋" w:hAnsi="仿宋" w:eastAsia="仿宋" w:cs="Arial"/>
          <w:color w:val="000000" w:themeColor="text1"/>
          <w:sz w:val="28"/>
          <w:szCs w:val="28"/>
          <w14:textFill>
            <w14:solidFill>
              <w14:schemeClr w14:val="tx1"/>
            </w14:solidFill>
          </w14:textFill>
        </w:rPr>
        <w:t>。</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3、质疑应当以书面形式提出，格式见《</w:t>
      </w:r>
      <w:r>
        <w:rPr>
          <w:rFonts w:ascii="仿宋" w:hAnsi="仿宋" w:eastAsia="仿宋" w:cs="Arial"/>
          <w:color w:val="000000" w:themeColor="text1"/>
          <w:sz w:val="28"/>
          <w:szCs w:val="28"/>
          <w14:textFill>
            <w14:solidFill>
              <w14:schemeClr w14:val="tx1"/>
            </w14:solidFill>
          </w14:textFill>
        </w:rPr>
        <w:t>政府采购质疑和投诉办法</w:t>
      </w:r>
      <w:r>
        <w:rPr>
          <w:rFonts w:hint="eastAsia" w:ascii="仿宋" w:hAnsi="仿宋" w:eastAsia="仿宋" w:cs="Arial"/>
          <w:color w:val="000000" w:themeColor="text1"/>
          <w:sz w:val="28"/>
          <w:szCs w:val="28"/>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财政部令第94号</w:t>
      </w:r>
      <w:r>
        <w:rPr>
          <w:rFonts w:hint="eastAsia" w:ascii="仿宋" w:hAnsi="仿宋" w:eastAsia="仿宋" w:cs="Arial"/>
          <w:color w:val="000000" w:themeColor="text1"/>
          <w:sz w:val="28"/>
          <w:szCs w:val="28"/>
          <w14:textFill>
            <w14:solidFill>
              <w14:schemeClr w14:val="tx1"/>
            </w14:solidFill>
          </w14:textFill>
        </w:rPr>
        <w:t>）附件范本，下载网址：中国政府采购网(www.ccgp.gov.cn)，位置：“首页-下载专区-政府采购供应商质疑函范本”。供应商提出质疑应当提交质疑函和必要的证明材料。质疑函应当包括下列内容：</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a供应商的姓名或者名称、地址、邮编、联系人及联系电话；</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b质疑项目的名称、编号；</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c具体、明确的质疑事项和与质疑事项相关的请求；</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d事实依据；</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e必要的法律依据；</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f提出质疑的日期。</w:t>
      </w:r>
    </w:p>
    <w:p>
      <w:pPr>
        <w:snapToGrid w:val="0"/>
        <w:spacing w:line="460" w:lineRule="exact"/>
        <w:ind w:firstLine="414" w:firstLineChars="148"/>
        <w:jc w:val="left"/>
        <w:outlineLvl w:val="1"/>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w:t>
      </w:r>
      <w:r>
        <w:rPr>
          <w:rFonts w:ascii="仿宋" w:hAnsi="仿宋" w:eastAsia="仿宋" w:cs="Arial"/>
          <w:color w:val="000000" w:themeColor="text1"/>
          <w:sz w:val="28"/>
          <w:szCs w:val="28"/>
          <w14:textFill>
            <w14:solidFill>
              <w14:schemeClr w14:val="tx1"/>
            </w14:solidFill>
          </w14:textFill>
        </w:rPr>
        <w:t>。</w:t>
      </w:r>
      <w:r>
        <w:rPr>
          <w:rFonts w:hint="eastAsia" w:ascii="仿宋" w:hAnsi="仿宋" w:eastAsia="仿宋" w:cs="Arial"/>
          <w:color w:val="000000" w:themeColor="text1"/>
          <w:sz w:val="28"/>
          <w:szCs w:val="28"/>
          <w14:textFill>
            <w14:solidFill>
              <w14:schemeClr w14:val="tx1"/>
            </w14:solidFill>
          </w14:textFill>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4、招标方将在收到书面质疑后7个工作日内审查质疑事项，做出答复或相关处理决定，并以书面形式通知质疑供应商和其他有关供应商，但答复的内容不涉及商业秘密。</w:t>
      </w:r>
    </w:p>
    <w:p>
      <w:pPr>
        <w:snapToGrid w:val="0"/>
        <w:spacing w:line="460" w:lineRule="exact"/>
        <w:ind w:firstLine="414" w:firstLineChars="148"/>
        <w:jc w:val="left"/>
        <w:outlineLvl w:val="1"/>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5、质疑供应商对招标方的答复不满意以及招标方未在规定的时间内做出答复的， 可以在答复期满后15个工作日内向财政部投诉。</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（六）招标文件的澄清与修改 </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投标人应认真阅读本招标文件，发现其中有误或有不合理要求的，投标人</w:t>
      </w:r>
      <w:r>
        <w:rPr>
          <w:rFonts w:hint="eastAsia" w:ascii="仿宋" w:hAnsi="仿宋" w:eastAsia="仿宋"/>
          <w:color w:val="000000" w:themeColor="text1"/>
          <w:sz w:val="28"/>
          <w:szCs w:val="28"/>
          <w14:textFill>
            <w14:solidFill>
              <w14:schemeClr w14:val="tx1"/>
            </w14:solidFill>
          </w14:textFill>
        </w:rPr>
        <w:t>应当</w:t>
      </w:r>
      <w:r>
        <w:rPr>
          <w:rFonts w:hint="eastAsia" w:ascii="仿宋" w:hAnsi="仿宋" w:eastAsia="仿宋"/>
          <w:bCs/>
          <w:color w:val="000000" w:themeColor="text1"/>
          <w:sz w:val="28"/>
          <w:szCs w:val="28"/>
          <w14:textFill>
            <w14:solidFill>
              <w14:schemeClr w14:val="tx1"/>
            </w14:solidFill>
          </w14:textFill>
        </w:rPr>
        <w:t>于公告发布之日起至公告期限满第7个工作日内以书面形式向招标方提出。招标方将在规定的时</w:t>
      </w:r>
      <w:r>
        <w:rPr>
          <w:rFonts w:hint="eastAsia" w:ascii="仿宋" w:hAnsi="仿宋" w:eastAsia="仿宋"/>
          <w:color w:val="000000" w:themeColor="text1"/>
          <w:sz w:val="28"/>
          <w:szCs w:val="28"/>
          <w14:textFill>
            <w14:solidFill>
              <w14:schemeClr w14:val="tx1"/>
            </w14:solidFill>
          </w14:textFill>
        </w:rPr>
        <w:t>间内，在财政部门指定的政府采购信息发布媒体上发布更正公告，并以书面形式通知所有招标文件收受人。</w:t>
      </w:r>
      <w:r>
        <w:rPr>
          <w:rFonts w:hint="eastAsia" w:ascii="仿宋" w:hAnsi="仿宋" w:eastAsia="仿宋"/>
          <w:b/>
          <w:color w:val="000000" w:themeColor="text1"/>
          <w:sz w:val="28"/>
          <w:szCs w:val="28"/>
          <w14:textFill>
            <w14:solidFill>
              <w14:schemeClr w14:val="tx1"/>
            </w14:solidFill>
          </w14:textFill>
        </w:rPr>
        <w:t>逾期提出招标方将不予受理。</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二、投标文件的编制</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（一）投标文件的组成</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投标文件由开标一览表、资质文件、技术及商务文件、投标报价文件四部份组成。</w:t>
      </w:r>
    </w:p>
    <w:p>
      <w:pPr>
        <w:snapToGrid w:val="0"/>
        <w:spacing w:before="156"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1、开标一览表</w:t>
      </w:r>
      <w:r>
        <w:rPr>
          <w:rFonts w:hint="eastAsia" w:ascii="仿宋" w:hAnsi="仿宋" w:eastAsia="仿宋"/>
          <w:b/>
          <w:color w:val="000000" w:themeColor="text1"/>
          <w:sz w:val="28"/>
          <w:szCs w:val="28"/>
          <w14:textFill>
            <w14:solidFill>
              <w14:schemeClr w14:val="tx1"/>
            </w14:solidFill>
          </w14:textFill>
        </w:rPr>
        <w:t>（格式见本文件附件1）</w:t>
      </w:r>
    </w:p>
    <w:p>
      <w:pPr>
        <w:snapToGrid w:val="0"/>
        <w:spacing w:before="156"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2、资质文件</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（1）投标声明书 (格式见附件，含重大违法记录声明)；</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（2）法定代表人证明书或授权委托书(格式见附件)；</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（4）提供有效的依法缴纳税收证明（至投标文件递交截止日一年内连续三个月的完税凭证或税务部门出具的证明）；</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（5）提供有效的依法缴纳社会保障资金证明（至投标文件递交截止日一年内连续三个月的缴纳凭证或人社部门出具的证明）；</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投标人基本开户银行出具的资信证明，或参与本采购项目两年内经审计的财务报告复印件，须包括“四表一注”：资产负债表、利润表、现金流量表、所有者权益变动表及其附注，或财政部门认可的专业担保机构出具的针对本项目的投标担保函；</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（7）联合投标协议书（若需要）;</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（8）联合投标授权委托书（若需要）;</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（9）提供采购公告中符合</w:t>
      </w:r>
      <w:r>
        <w:rPr>
          <w:rFonts w:hint="eastAsia" w:ascii="仿宋" w:hAnsi="仿宋" w:eastAsia="仿宋"/>
          <w:bCs/>
          <w:color w:val="000000" w:themeColor="text1"/>
          <w:sz w:val="28"/>
          <w:szCs w:val="28"/>
          <w14:textFill>
            <w14:solidFill>
              <w14:schemeClr w14:val="tx1"/>
            </w14:solidFill>
          </w14:textFill>
        </w:rPr>
        <w:t>投标人特定条件要求的有效的</w:t>
      </w:r>
      <w:r>
        <w:rPr>
          <w:rFonts w:hint="eastAsia" w:ascii="仿宋" w:hAnsi="仿宋" w:eastAsia="仿宋"/>
          <w:color w:val="000000" w:themeColor="text1"/>
          <w:sz w:val="28"/>
          <w:szCs w:val="28"/>
          <w14:textFill>
            <w14:solidFill>
              <w14:schemeClr w14:val="tx1"/>
            </w14:solidFill>
          </w14:textFill>
        </w:rPr>
        <w:t>其他资质复印件并加盖公司公章及需要说明的资料。</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3、技术及商务文件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（1）评分对应表（格式见附件，主要用于评委对应评分内容）</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（2）投标项目明细清单（含货物、服务等）；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（3）技术响应表（格式见附件）；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（4）项目总体解决方案（可包含且不限于对项目总体要求的理解、项目总体架构及技术解决方案等）；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（5）项目实施计划（可包含且不限于保证工期的施工组织方案及人力资源安排、项目组人员清单等）；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（6）列入政府采购节能环保清单的证明资料（若有）；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（7）商务响应表（格式见附件）；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（8）售后服务计划（可包含且不限于对用户故障的响应、处理、定期巡检、备品备件、常用耗材提供、驻点人员情况等）；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（9）技术培训计划（若有）；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（10）投标人履约能力（可包含且不限于技术力量情况、投标人各项能力证书）；</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（11）案例的业绩证明（投标人业绩情况一览表、合同复印件等）；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（12）投标方认为需要的其他文件资料。</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4、报价文件：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（1）投标报价明细表（格式见附件）；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（2）投标人针对报价需要说明的其他文件和说明（格式自拟）；</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（3）小微企业声明函、网页证明资料（若有，格式见附件）；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（4）残疾人福利企业声明函（若有，格式见附件）。</w:t>
      </w:r>
    </w:p>
    <w:p>
      <w:pPr>
        <w:pStyle w:val="50"/>
        <w:widowControl w:val="0"/>
        <w:spacing w:after="156" w:line="460" w:lineRule="exact"/>
        <w:ind w:firstLine="562" w:firstLineChars="200"/>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（二）投标文件的语言及计量</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themeColor="text1"/>
          <w:sz w:val="28"/>
          <w:szCs w:val="28"/>
          <w14:textFill>
            <w14:solidFill>
              <w14:schemeClr w14:val="tx1"/>
            </w14:solidFill>
          </w14:textFill>
        </w:rPr>
        <w:t>否则将作无效标处理</w:t>
      </w:r>
      <w:r>
        <w:rPr>
          <w:rFonts w:hint="eastAsia" w:ascii="仿宋" w:hAnsi="仿宋" w:eastAsia="仿宋"/>
          <w:color w:val="000000" w:themeColor="text1"/>
          <w:sz w:val="28"/>
          <w:szCs w:val="28"/>
          <w14:textFill>
            <w14:solidFill>
              <w14:schemeClr w14:val="tx1"/>
            </w14:solidFill>
          </w14:textFill>
        </w:rPr>
        <w:t>。</w:t>
      </w:r>
    </w:p>
    <w:p>
      <w:pPr>
        <w:pStyle w:val="16"/>
        <w:widowControl w:val="0"/>
        <w:tabs>
          <w:tab w:val="clear" w:pos="454"/>
        </w:tabs>
        <w:snapToGrid w:val="0"/>
        <w:spacing w:before="156" w:beforeLines="50" w:afterLines="0" w:line="460" w:lineRule="exact"/>
        <w:ind w:left="0"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（三）投标文件的有效期</w:t>
      </w:r>
    </w:p>
    <w:p>
      <w:pPr>
        <w:pStyle w:val="16"/>
        <w:widowControl w:val="0"/>
        <w:tabs>
          <w:tab w:val="clear" w:pos="454"/>
        </w:tabs>
        <w:snapToGrid w:val="0"/>
        <w:spacing w:after="156" w:line="46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1、自投标截止日起90天内投标文件应保持有效。</w:t>
      </w:r>
      <w:r>
        <w:rPr>
          <w:rFonts w:hint="eastAsia" w:ascii="仿宋" w:hAnsi="仿宋" w:eastAsia="仿宋"/>
          <w:b/>
          <w:color w:val="000000" w:themeColor="text1"/>
          <w:sz w:val="28"/>
          <w:szCs w:val="28"/>
          <w14:textFill>
            <w14:solidFill>
              <w14:schemeClr w14:val="tx1"/>
            </w14:solidFill>
          </w14:textFill>
        </w:rPr>
        <w:t>有效期不足的投标文件</w:t>
      </w:r>
      <w:r>
        <w:rPr>
          <w:rFonts w:hint="eastAsia" w:ascii="仿宋" w:hAnsi="仿宋" w:eastAsia="仿宋"/>
          <w:b/>
          <w:bCs/>
          <w:color w:val="000000" w:themeColor="text1"/>
          <w:sz w:val="28"/>
          <w:szCs w:val="28"/>
          <w14:textFill>
            <w14:solidFill>
              <w14:schemeClr w14:val="tx1"/>
            </w14:solidFill>
          </w14:textFill>
        </w:rPr>
        <w:t>将作无效标处理</w:t>
      </w:r>
      <w:r>
        <w:rPr>
          <w:rFonts w:hint="eastAsia" w:ascii="仿宋" w:hAnsi="仿宋" w:eastAsia="仿宋"/>
          <w:b/>
          <w:color w:val="000000" w:themeColor="text1"/>
          <w:sz w:val="28"/>
          <w:szCs w:val="28"/>
          <w14:textFill>
            <w14:solidFill>
              <w14:schemeClr w14:val="tx1"/>
            </w14:solidFill>
          </w14:textFill>
        </w:rPr>
        <w:t>。</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2、中标人的投标文件自开标之日起至合同履行完毕止均应保持有效。</w:t>
      </w:r>
    </w:p>
    <w:p>
      <w:pPr>
        <w:snapToGrid w:val="0"/>
        <w:spacing w:before="156"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（四）投标文件的签署和份数、包装</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1、投标人应按本招标文件规定的格式和顺序编制、装订投标文件并标注页码，投标文件内容不完整、编排混乱导致投标文件被误读、漏读或者查找不到相关内容的，是投标人的责任。</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2、投标人应按开标一览表、资质文件、技术及商务文件、报价文件正本、副本规定的份数分别编制并按A4纸规格分别竖面单独装订成册，投标文件的封面应注明“正本”、“副本”字样。</w:t>
      </w:r>
      <w:r>
        <w:rPr>
          <w:rFonts w:hint="eastAsia" w:ascii="仿宋" w:hAnsi="仿宋" w:eastAsia="仿宋"/>
          <w:b/>
          <w:color w:val="000000" w:themeColor="text1"/>
          <w:sz w:val="28"/>
          <w:szCs w:val="28"/>
          <w14:textFill>
            <w14:solidFill>
              <w14:schemeClr w14:val="tx1"/>
            </w14:solidFill>
          </w14:textFill>
        </w:rPr>
        <w:t>活页装订（是指用卡条、抽杆夹、订书机等形式装订，使标书可以拆卸或者在翻动过程中易脱落的一种装订方式）的投标文件</w:t>
      </w:r>
      <w:r>
        <w:rPr>
          <w:rFonts w:hint="eastAsia" w:ascii="仿宋" w:hAnsi="仿宋" w:eastAsia="仿宋"/>
          <w:b/>
          <w:bCs/>
          <w:color w:val="000000" w:themeColor="text1"/>
          <w:sz w:val="28"/>
          <w:szCs w:val="28"/>
          <w14:textFill>
            <w14:solidFill>
              <w14:schemeClr w14:val="tx1"/>
            </w14:solidFill>
          </w14:textFill>
        </w:rPr>
        <w:t>将作无效标处理</w:t>
      </w:r>
      <w:r>
        <w:rPr>
          <w:rFonts w:hint="eastAsia" w:ascii="仿宋" w:hAnsi="仿宋" w:eastAsia="仿宋"/>
          <w:b/>
          <w:color w:val="000000" w:themeColor="text1"/>
          <w:sz w:val="28"/>
          <w:szCs w:val="28"/>
          <w14:textFill>
            <w14:solidFill>
              <w14:schemeClr w14:val="tx1"/>
            </w14:solidFill>
          </w14:textFill>
        </w:rPr>
        <w:t>。</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3、投标文件的正本需打印或用不褪色的墨水填写，投标文件正本除《投标人须知》中规定的可提供复印件外均须提供原件。副本为正本的复印件。招标方提倡双面打印或书写。</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4、投标文件须由投标人在规定位置盖章并由法定代表人或法定代表人的授权委托人签署，投标人应写全称。</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5、投标文件不得涂改，若有修改错漏处，须加盖供应商公章或者法定代表人或授权委托人签名或盖章。投标文件因字迹潦草或表达不清所引起的后果由投标人负责。</w:t>
      </w:r>
    </w:p>
    <w:p>
      <w:pPr>
        <w:snapToGrid w:val="0"/>
        <w:spacing w:line="460" w:lineRule="exact"/>
        <w:ind w:firstLine="534" w:firstLineChars="19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投标人应按开标一览表、资质文件、技术及商务文件、投标报价文件分类分别单独密封封装。投标文件封装后，外包装封面上应注明投标人名称、投标人地址、投标文件名称（资质文件、技术及商务文件、报价文件）、投标项目名称、项目编号、标项及“开标时启封”字样，并加盖投标人公章。</w:t>
      </w:r>
    </w:p>
    <w:p>
      <w:pPr>
        <w:snapToGrid w:val="0"/>
        <w:spacing w:before="156"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（五）投标报价</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w:t>
      </w:r>
      <w:r>
        <w:rPr>
          <w:rFonts w:hint="eastAsia" w:ascii="仿宋" w:hAnsi="仿宋" w:eastAsia="仿宋"/>
          <w:b/>
          <w:color w:val="000000" w:themeColor="text1"/>
          <w:sz w:val="28"/>
          <w:szCs w:val="28"/>
          <w14:textFill>
            <w14:solidFill>
              <w14:schemeClr w14:val="tx1"/>
            </w14:solidFill>
          </w14:textFill>
        </w:rPr>
        <w:t>不允许出现报价优惠等字样（明细出现“0”元，视同赠送）</w:t>
      </w:r>
      <w:r>
        <w:rPr>
          <w:rFonts w:hint="eastAsia" w:ascii="仿宋" w:hAnsi="仿宋" w:eastAsia="仿宋"/>
          <w:color w:val="000000" w:themeColor="text1"/>
          <w:sz w:val="28"/>
          <w:szCs w:val="28"/>
          <w14:textFill>
            <w14:solidFill>
              <w14:schemeClr w14:val="tx1"/>
            </w14:solidFill>
          </w14:textFill>
        </w:rPr>
        <w:t>。</w:t>
      </w:r>
    </w:p>
    <w:p>
      <w:pPr>
        <w:pStyle w:val="31"/>
        <w:snapToGrid w:val="0"/>
        <w:spacing w:before="156" w:after="156"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2、投标报价</w:t>
      </w:r>
      <w:r>
        <w:rPr>
          <w:rFonts w:hint="eastAsia" w:ascii="仿宋" w:hAnsi="仿宋" w:eastAsia="仿宋"/>
          <w:b/>
          <w:color w:val="000000" w:themeColor="text1"/>
          <w:sz w:val="28"/>
          <w:szCs w:val="28"/>
          <w14:textFill>
            <w14:solidFill>
              <w14:schemeClr w14:val="tx1"/>
            </w14:solidFill>
          </w14:textFill>
        </w:rPr>
        <w:t>应包含项目所需全部货物、服务，不得缺漏</w:t>
      </w:r>
      <w:r>
        <w:rPr>
          <w:rFonts w:hint="eastAsia" w:ascii="仿宋" w:hAnsi="仿宋" w:eastAsia="仿宋"/>
          <w:color w:val="000000" w:themeColor="text1"/>
          <w:sz w:val="28"/>
          <w:szCs w:val="28"/>
          <w14:textFill>
            <w14:solidFill>
              <w14:schemeClr w14:val="tx1"/>
            </w14:solidFill>
          </w14:textFill>
        </w:rPr>
        <w:t>，是履行合同的最终价格（含货款、标准附件、备品备件、专用工具、包装、运输、装卸、保险、税金、货到就位以及安装、调试、培训、保修等一切税金和费用）。</w:t>
      </w:r>
    </w:p>
    <w:p>
      <w:pPr>
        <w:pStyle w:val="31"/>
        <w:snapToGrid w:val="0"/>
        <w:spacing w:before="156" w:after="156"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3、投标报价总价金额到元为止，如投标报价总价出现角、分，将被抹除。</w:t>
      </w:r>
    </w:p>
    <w:p>
      <w:pPr>
        <w:snapToGrid w:val="0"/>
        <w:spacing w:before="156" w:beforeLines="50" w:line="460" w:lineRule="exact"/>
        <w:ind w:left="569" w:leftChars="271" w:firstLine="17" w:firstLineChars="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（六）投标保证金</w:t>
      </w:r>
    </w:p>
    <w:p>
      <w:pPr>
        <w:tabs>
          <w:tab w:val="left" w:pos="525"/>
        </w:tabs>
        <w:snapToGrid w:val="0"/>
        <w:spacing w:line="460" w:lineRule="exact"/>
        <w:ind w:firstLine="560" w:firstLineChars="200"/>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b/>
          <w:color w:val="000000" w:themeColor="text1"/>
          <w:sz w:val="28"/>
          <w:szCs w:val="28"/>
          <w14:textFill>
            <w14:solidFill>
              <w14:schemeClr w14:val="tx1"/>
            </w14:solidFill>
          </w14:textFill>
        </w:rPr>
        <w:t xml:space="preserve">、 </w:t>
      </w:r>
      <w:r>
        <w:rPr>
          <w:rFonts w:ascii="仿宋" w:hAnsi="仿宋" w:eastAsia="仿宋"/>
          <w:b/>
          <w:color w:val="000000" w:themeColor="text1"/>
          <w:sz w:val="28"/>
          <w:szCs w:val="28"/>
          <w14:textFill>
            <w14:solidFill>
              <w14:schemeClr w14:val="tx1"/>
            </w14:solidFill>
          </w14:textFill>
        </w:rPr>
        <w:t>投标</w:t>
      </w:r>
      <w:r>
        <w:rPr>
          <w:rFonts w:hint="eastAsia" w:ascii="仿宋" w:hAnsi="仿宋" w:eastAsia="仿宋"/>
          <w:b/>
          <w:color w:val="000000" w:themeColor="text1"/>
          <w:sz w:val="28"/>
          <w:szCs w:val="28"/>
          <w14:textFill>
            <w14:solidFill>
              <w14:schemeClr w14:val="tx1"/>
            </w14:solidFill>
          </w14:textFill>
        </w:rPr>
        <w:t>人需按招标文件要求的金额、时间向</w:t>
      </w:r>
      <w:r>
        <w:rPr>
          <w:rFonts w:ascii="仿宋" w:hAnsi="仿宋" w:eastAsia="仿宋"/>
          <w:b/>
          <w:color w:val="000000" w:themeColor="text1"/>
          <w:sz w:val="28"/>
          <w:szCs w:val="28"/>
          <w14:textFill>
            <w14:solidFill>
              <w14:schemeClr w14:val="tx1"/>
            </w14:solidFill>
          </w14:textFill>
        </w:rPr>
        <w:t>招标方</w:t>
      </w:r>
      <w:r>
        <w:rPr>
          <w:rFonts w:hint="eastAsia" w:ascii="仿宋" w:hAnsi="仿宋" w:eastAsia="仿宋"/>
          <w:b/>
          <w:color w:val="000000" w:themeColor="text1"/>
          <w:sz w:val="28"/>
          <w:szCs w:val="28"/>
          <w14:textFill>
            <w14:solidFill>
              <w14:schemeClr w14:val="tx1"/>
            </w14:solidFill>
          </w14:textFill>
        </w:rPr>
        <w:t>递交投标保证金。</w:t>
      </w:r>
    </w:p>
    <w:p>
      <w:pPr>
        <w:tabs>
          <w:tab w:val="left" w:pos="525"/>
        </w:tabs>
        <w:snapToGrid w:val="0"/>
        <w:spacing w:line="460" w:lineRule="exact"/>
        <w:ind w:firstLine="562" w:firstLineChars="200"/>
        <w:jc w:val="left"/>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2、 </w:t>
      </w:r>
      <w:r>
        <w:rPr>
          <w:rFonts w:hint="eastAsia" w:ascii="仿宋" w:hAnsi="仿宋" w:eastAsia="仿宋"/>
          <w:b/>
          <w:bCs/>
          <w:color w:val="000000" w:themeColor="text1"/>
          <w:sz w:val="28"/>
          <w:szCs w:val="28"/>
          <w14:textFill>
            <w14:solidFill>
              <w14:schemeClr w14:val="tx1"/>
            </w14:solidFill>
          </w14:textFill>
        </w:rPr>
        <w:t>投标保证金金额（人民币）：</w:t>
      </w:r>
      <w:r>
        <w:rPr>
          <w:rFonts w:hint="eastAsia" w:ascii="仿宋" w:hAnsi="仿宋" w:eastAsia="仿宋"/>
          <w:color w:val="000000" w:themeColor="text1"/>
          <w:sz w:val="28"/>
          <w:szCs w:val="28"/>
          <w:u w:val="single"/>
          <w14:textFill>
            <w14:solidFill>
              <w14:schemeClr w14:val="tx1"/>
            </w14:solidFill>
          </w14:textFill>
        </w:rPr>
        <w:t>详见本招标文件第一章“公开招标采购公告”部分。</w:t>
      </w:r>
      <w:r>
        <w:rPr>
          <w:rFonts w:hint="eastAsia" w:ascii="仿宋" w:hAnsi="仿宋" w:eastAsia="仿宋"/>
          <w:b/>
          <w:color w:val="000000" w:themeColor="text1"/>
          <w:sz w:val="28"/>
          <w:szCs w:val="28"/>
          <w14:textFill>
            <w14:solidFill>
              <w14:schemeClr w14:val="tx1"/>
            </w14:solidFill>
          </w14:textFill>
        </w:rPr>
        <w:t xml:space="preserve">   </w:t>
      </w:r>
    </w:p>
    <w:p>
      <w:pPr>
        <w:tabs>
          <w:tab w:val="left" w:pos="525"/>
        </w:tabs>
        <w:snapToGrid w:val="0"/>
        <w:spacing w:line="460" w:lineRule="exact"/>
        <w:ind w:firstLine="562" w:firstLineChars="200"/>
        <w:jc w:val="left"/>
        <w:rPr>
          <w:rFonts w:ascii="仿宋" w:hAnsi="仿宋" w:eastAsia="仿宋"/>
          <w:b/>
          <w:bCs/>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 投标保证金可采用支票、银行汇票、银行保函或汇款的方式，</w:t>
      </w:r>
      <w:r>
        <w:rPr>
          <w:rFonts w:hint="eastAsia" w:ascii="仿宋" w:hAnsi="仿宋" w:eastAsia="仿宋"/>
          <w:b/>
          <w:bCs/>
          <w:color w:val="000000" w:themeColor="text1"/>
          <w:sz w:val="28"/>
          <w:szCs w:val="28"/>
          <w:u w:val="single"/>
          <w14:textFill>
            <w14:solidFill>
              <w14:schemeClr w14:val="tx1"/>
            </w14:solidFill>
          </w14:textFill>
        </w:rPr>
        <w:t>招标方不接受现金形式的投标保证金。</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收款单位：国家体育总局体育器材装备中心</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开 户 行：工行北京体育馆路支行</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银行账号：0200008109089053553</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28天。</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4、未按前述各款要求提交投标保证金的投标将视为无效投标。</w:t>
      </w:r>
    </w:p>
    <w:p>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5、投标人递交投标文件时须提供投标人全称、开户行、银行帐号等银行信息, 并加盖投标人公章，以便招标方退还投标保证金</w:t>
      </w:r>
      <w:r>
        <w:rPr>
          <w:rFonts w:ascii="仿宋" w:hAnsi="仿宋" w:eastAsia="仿宋"/>
          <w:b/>
          <w:bCs/>
          <w:color w:val="000000" w:themeColor="text1"/>
          <w:sz w:val="28"/>
          <w:szCs w:val="28"/>
          <w14:textFill>
            <w14:solidFill>
              <w14:schemeClr w14:val="tx1"/>
            </w14:solidFill>
          </w14:textFill>
        </w:rPr>
        <w:t>。</w:t>
      </w:r>
    </w:p>
    <w:p>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color w:val="000000" w:themeColor="text1"/>
          <w:sz w:val="28"/>
          <w:szCs w:val="28"/>
          <w14:textFill>
            <w14:solidFill>
              <w14:schemeClr w14:val="tx1"/>
            </w14:solidFill>
          </w14:textFill>
        </w:rPr>
        <w:t>。</w:t>
      </w:r>
    </w:p>
    <w:p>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7、投标人有下列情形之一的，投标保证金将不予退还：</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（1）投标人在投标截止时间后撤回投标文件的；</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（2）投标人在投标过程中弄虚作假，提供虚假材料的；</w:t>
      </w:r>
    </w:p>
    <w:p>
      <w:pPr>
        <w:snapToGrid w:val="0"/>
        <w:spacing w:line="460" w:lineRule="exact"/>
        <w:ind w:firstLine="548"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（3）中标人无正当理由不与采购人签订合同的；</w:t>
      </w:r>
    </w:p>
    <w:p>
      <w:pPr>
        <w:snapToGrid w:val="0"/>
        <w:spacing w:line="460" w:lineRule="exact"/>
        <w:ind w:firstLine="548"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（5）其他严重扰乱招投标程序的；</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（七）串通投标认定</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6、不同投标人的投标保证金从同一单位或者个人的账户转出。</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（八）投标无效的情形</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、未按规定交纳投标保证金的；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2、投标方未能提供合格的资格文件、投标有效期不足的；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3、投标人被列入失信被执行人、重大税收违法案件当事人名单、政府采购严重违法失信行为记录名单的；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4、投标文件未按招标文件要求签署、盖章的；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5、与招标文件有重大偏离、未满足带“▲”号实质性指标的投标文件；</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标项以赠送方式投标的、对一个标项提供两个投标方案或两个报价的；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10、投标人不接受报价文件中修正后的报价的；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11、未按本章“二、投标文件的编制”第五点投标报价要求报价的；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12、投标文件含有采购人不能接受的附加条件的；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13、投标人被视为串通投标的；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14、不符合法律、法规和本招标文件规定的其他实质性要求的。</w:t>
      </w:r>
    </w:p>
    <w:p>
      <w:pPr>
        <w:pStyle w:val="31"/>
        <w:snapToGrid w:val="0"/>
        <w:spacing w:before="156" w:after="156" w:line="460" w:lineRule="exact"/>
        <w:ind w:left="760" w:leftChars="228" w:hanging="281" w:hangingChars="1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（九）错误修正</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投标文件报价出现前后不一致的，除招标文件另有规定外，按照下列规定修正：</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（一）投标文件中报价明细表内容与投标文件中相应内容不一致的，以报价明细表为准；</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（二）大写金额和小写金额不一致的，以大写金额为准；</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（三）单价金额小数点或者百分比有明显错位的，以报价明细表的总价为准，并修改单价；</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（四）总价金额与按单价汇总金额不一致的，以单价金额计算结果为准。</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同时出现两种以上不一致的，按照前款规定的顺序修正。修正后的报价经投标人加盖公章，或者由法定代表人或其授权的代表签字确认后产生约束力，投标人不确认的，其投标无效。</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三、组织开、评标程序及评标委员会的评审程序</w:t>
      </w:r>
    </w:p>
    <w:p>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（一）组织开标程序</w:t>
      </w:r>
    </w:p>
    <w:p>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1、开标会由招标方主持，主持人介绍开标现场的人员情况，宣读递交投标文件的投标人名单、开标纪律、应当回避的情形等注意事项，评标委员会成员不得参加开标活动。投标人不足3家的，不得开标。</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hAnsi="宋体"/>
          <w:b/>
          <w:color w:val="000000" w:themeColor="text1"/>
          <w14:textFill>
            <w14:solidFill>
              <w14:schemeClr w14:val="tx1"/>
            </w14:solidFill>
          </w14:textFill>
        </w:rPr>
        <w:t>投标人的法定代表人或其授权代表应随身携带以下文件：1、法定代表人证明书或授权委托书（如由授权代表参与投标时）和本人的身份证原件与复印件，2、接收退还投标保证金的账户信息，准时到场，并在签到簿上签名以证明其出席。参加开标会的投标人代表不得超过1人。</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3、在开标会上，由投标人代表检查投标文件、开标一览表的密封情况，确认无误后，由招标方工作人员当场拆封唱标。对不符合装订要求的投标文件，由现场工作人员退还供应商代表。</w:t>
      </w:r>
    </w:p>
    <w:p>
      <w:pPr>
        <w:pStyle w:val="31"/>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招标方将当众宣读投标人全称、投标价格、开标一览表、书面补充、修改和撤回投标的通知以及招标方认为适当的其他内容。投标人开标一览表中若有报价未被唱出，应在开标时声明或提请注意，否则招标方对此不承担任何责任。</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5、招标方将做开标记录并在开标后要求投标人法定代表人或其正式授权的投标人代表签字确认，存档备案。采购人或者招标方应当对开标、评标现场活动进行全程录音录像。录音录像应当清晰可辨，音像资料作为采购文件一并存档。 投标人代表对开标过程和开标记录有疑义，以及认为采购人、招标方相关工作人员有需要回避的情形的，应当场提出询问或者回避申请。   </w:t>
      </w:r>
    </w:p>
    <w:p>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1、按规定统一收缴、保存评标现场评审人员的通讯工具。</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2、介绍评审现场的人员情况，宣布评审工作纪律，告知评审人员应当回避情形；组织推选评标委员会组长。</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3、宣读提交投标文件的供应商名单，组织评标委员会各位成员签订《政府采购评审人员廉洁自律承诺书》。</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4、采购人可以在评标前说明项目背景和采购需求，说明内容不得含有歧视性、倾向性意见，不得超出招标文件所述范围。说明应当提交书面材料，并随采购文件一并存档。</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6、采购人、招标方将依法对投标人资格文件进行审查并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对投标人“信用中国”网站（www.creditchina.gov.cn）、中国政府采购网（www.ccgp.gov.cn）信用记录情况进行核实，资格不符合的，应视为未通过资格初审。</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8、做好评审现场相关记录，协助评标委员会组长做好评审报告起草、有关内容电脑文字录入等工作，并要求评标委员会各成员签字确认。</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9、评审结束后，招标方应对评标委员会各成员的专业水平、职业道德、遵纪守法等情况进行评价；同时按规定向评审专家发放评审费，并交还评审人员的通讯工具。</w:t>
      </w:r>
    </w:p>
    <w:p>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四、评审原则</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1、项目由评标委员会根据详细评审结果确定一至三人为中标候选人，并标明排列顺序。</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themeColor="text1"/>
          <w:sz w:val="28"/>
          <w:szCs w:val="28"/>
          <w14:textFill>
            <w14:solidFill>
              <w14:schemeClr w14:val="tx1"/>
            </w14:solidFill>
          </w14:textFill>
        </w:rPr>
        <w:t>中标通知书。</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2、中标人拖延、拒签合同的,将被扣罚投标保证金并取消中标资格。</w:t>
      </w:r>
    </w:p>
    <w:p>
      <w:pPr>
        <w:pStyle w:val="31"/>
        <w:snapToGrid w:val="0"/>
        <w:spacing w:before="156" w:after="156" w:line="240" w:lineRule="auto"/>
        <w:ind w:firstLine="600" w:firstLineChars="200"/>
        <w:rPr>
          <w:rFonts w:ascii="仿宋_GB2312" w:hAnsi="仿宋" w:eastAsia="仿宋_GB2312"/>
          <w:color w:val="000000" w:themeColor="text1"/>
          <w:sz w:val="30"/>
          <w:szCs w:val="30"/>
          <w14:textFill>
            <w14:solidFill>
              <w14:schemeClr w14:val="tx1"/>
            </w14:solidFill>
          </w14:textFill>
        </w:rPr>
      </w:pPr>
    </w:p>
    <w:p>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Ansi="宋体"/>
          <w:b/>
          <w:color w:val="000000" w:themeColor="text1"/>
          <w:sz w:val="36"/>
          <w:szCs w:val="36"/>
          <w14:textFill>
            <w14:solidFill>
              <w14:schemeClr w14:val="tx1"/>
            </w14:solidFill>
          </w14:textFill>
        </w:rPr>
        <w:br w:type="page"/>
      </w:r>
      <w:bookmarkStart w:id="18" w:name="_Toc51935129"/>
      <w:r>
        <w:rPr>
          <w:rFonts w:hint="eastAsia" w:hAnsi="宋体"/>
          <w:b/>
          <w:color w:val="000000" w:themeColor="text1"/>
          <w:sz w:val="36"/>
          <w:szCs w:val="36"/>
          <w14:textFill>
            <w14:solidFill>
              <w14:schemeClr w14:val="tx1"/>
            </w14:solidFill>
          </w14:textFill>
        </w:rPr>
        <w:t>第三章  评标办法及评分标准</w:t>
      </w:r>
      <w:bookmarkEnd w:id="18"/>
    </w:p>
    <w:p>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themeColor="text1"/>
          <w:sz w:val="30"/>
          <w:szCs w:val="30"/>
          <w14:textFill>
            <w14:solidFill>
              <w14:schemeClr w14:val="tx1"/>
            </w14:solidFill>
          </w14:textFill>
        </w:rPr>
        <w:t>评分过程中采用四舍五入法，并保留小数2位。</w:t>
      </w:r>
    </w:p>
    <w:p>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pPr>
        <w:spacing w:before="156" w:beforeLines="50" w:after="156" w:afterLines="50" w:line="460" w:lineRule="exact"/>
        <w:ind w:firstLine="600" w:firstLineChars="200"/>
        <w:rPr>
          <w:rFonts w:ascii="仿宋" w:hAnsi="仿宋" w:eastAsia="仿宋_GB2312"/>
          <w:bCs/>
          <w:color w:val="000000" w:themeColor="text1"/>
          <w:sz w:val="30"/>
          <w:szCs w:val="30"/>
          <w14:textFill>
            <w14:solidFill>
              <w14:schemeClr w14:val="tx1"/>
            </w14:solidFill>
          </w14:textFill>
        </w:rPr>
      </w:pPr>
    </w:p>
    <w:p>
      <w:pPr>
        <w:spacing w:before="156" w:beforeLines="50" w:after="156" w:afterLines="50" w:line="460" w:lineRule="exact"/>
        <w:ind w:firstLine="600" w:firstLineChars="200"/>
        <w:rPr>
          <w:rFonts w:ascii="仿宋" w:hAnsi="仿宋" w:eastAsia="仿宋_GB2312"/>
          <w:bCs/>
          <w:color w:val="000000" w:themeColor="text1"/>
          <w:sz w:val="30"/>
          <w:szCs w:val="30"/>
          <w14:textFill>
            <w14:solidFill>
              <w14:schemeClr w14:val="tx1"/>
            </w14:solidFill>
          </w14:textFill>
        </w:rPr>
      </w:pPr>
    </w:p>
    <w:p>
      <w:pPr>
        <w:spacing w:before="156" w:beforeLines="50" w:after="312" w:afterLines="100" w:line="320" w:lineRule="exact"/>
        <w:ind w:firstLine="600" w:firstLineChars="200"/>
        <w:rPr>
          <w:rFonts w:ascii="仿宋_GB2312" w:hAnsi="宋体" w:eastAsia="仿宋_GB2312"/>
          <w:b/>
          <w:color w:val="000000" w:themeColor="text1"/>
          <w:sz w:val="32"/>
          <w:szCs w:val="32"/>
          <w14:textFill>
            <w14:solidFill>
              <w14:schemeClr w14:val="tx1"/>
            </w14:solidFill>
          </w14:textFill>
        </w:rPr>
      </w:pPr>
      <w:r>
        <w:rPr>
          <w:rFonts w:ascii="仿宋" w:hAnsi="仿宋" w:eastAsia="仿宋_GB2312"/>
          <w:bCs/>
          <w:color w:val="000000" w:themeColor="text1"/>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19" w:name="PO_TDCUS_ITEM_SM_TABLE_1"/>
      <w:r>
        <w:rPr>
          <w:rFonts w:ascii="仿宋_GB2312" w:hAnsi="宋体" w:eastAsia="仿宋_GB2312"/>
          <w:b/>
          <w:color w:val="000000" w:themeColor="text1"/>
          <w:sz w:val="32"/>
          <w:szCs w:val="32"/>
          <w14:textFill>
            <w14:solidFill>
              <w14:schemeClr w14:val="tx1"/>
            </w14:solidFill>
          </w14:textFill>
        </w:rPr>
        <w:t xml:space="preserve"> </w:t>
      </w:r>
      <w:bookmarkEnd w:id="19"/>
    </w:p>
    <w:p>
      <w:pPr>
        <w:spacing w:before="156" w:beforeLines="50" w:after="156" w:afterLines="50" w:line="320" w:lineRule="exact"/>
        <w:ind w:firstLine="643" w:firstLineChars="200"/>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1、标项1</w:t>
      </w:r>
      <w:r>
        <w:rPr>
          <w:rFonts w:hint="eastAsia" w:ascii="仿宋_GB2312" w:hAnsi="宋体" w:eastAsia="仿宋_GB2312"/>
          <w:b/>
          <w:color w:val="000000"/>
          <w:sz w:val="32"/>
          <w:szCs w:val="32"/>
        </w:rPr>
        <w:t>的评分方法</w:t>
      </w:r>
    </w:p>
    <w:tbl>
      <w:tblPr>
        <w:tblStyle w:val="58"/>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1"/>
        <w:gridCol w:w="1206"/>
        <w:gridCol w:w="5648"/>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pPr>
              <w:widowControl/>
              <w:ind w:firstLine="422"/>
              <w:contextualSpacing/>
              <w:jc w:val="center"/>
              <w:rPr>
                <w:rFonts w:ascii="仿宋" w:hAnsi="仿宋" w:eastAsia="仿宋"/>
                <w:b/>
                <w:szCs w:val="21"/>
                <w:lang w:eastAsia="en-US" w:bidi="en-US"/>
              </w:rPr>
            </w:pPr>
            <w:r>
              <w:rPr>
                <w:rFonts w:hint="eastAsia" w:ascii="仿宋" w:hAnsi="仿宋" w:eastAsia="仿宋"/>
                <w:b/>
                <w:szCs w:val="21"/>
                <w:lang w:eastAsia="en-US" w:bidi="en-US"/>
              </w:rPr>
              <w:t>投标</w:t>
            </w:r>
          </w:p>
          <w:p>
            <w:pPr>
              <w:widowControl/>
              <w:ind w:firstLine="422"/>
              <w:contextualSpacing/>
              <w:jc w:val="center"/>
              <w:rPr>
                <w:rFonts w:ascii="仿宋" w:hAnsi="仿宋" w:eastAsia="仿宋"/>
                <w:b/>
                <w:szCs w:val="21"/>
                <w:lang w:eastAsia="en-US" w:bidi="en-US"/>
              </w:rPr>
            </w:pPr>
            <w:r>
              <w:rPr>
                <w:rFonts w:hint="eastAsia" w:ascii="仿宋" w:hAnsi="仿宋" w:eastAsia="仿宋"/>
                <w:b/>
                <w:szCs w:val="21"/>
                <w:lang w:eastAsia="en-US" w:bidi="en-US"/>
              </w:rPr>
              <w:t>报价</w:t>
            </w:r>
          </w:p>
          <w:p>
            <w:pPr>
              <w:widowControl/>
              <w:ind w:firstLine="422"/>
              <w:contextualSpacing/>
              <w:jc w:val="center"/>
              <w:rPr>
                <w:rFonts w:ascii="仿宋" w:hAnsi="仿宋" w:eastAsia="仿宋"/>
                <w:b/>
                <w:szCs w:val="21"/>
                <w:lang w:eastAsia="en-US" w:bidi="en-US"/>
              </w:rPr>
            </w:pPr>
            <w:r>
              <w:rPr>
                <w:rFonts w:hint="eastAsia" w:ascii="仿宋" w:hAnsi="仿宋" w:eastAsia="仿宋"/>
                <w:b/>
                <w:szCs w:val="21"/>
                <w:lang w:eastAsia="en-US" w:bidi="en-US"/>
              </w:rPr>
              <w:t>（</w:t>
            </w:r>
            <w:r>
              <w:rPr>
                <w:rFonts w:ascii="仿宋" w:hAnsi="仿宋" w:eastAsia="仿宋"/>
                <w:b/>
                <w:szCs w:val="21"/>
                <w:lang w:eastAsia="en-US" w:bidi="en-US"/>
              </w:rPr>
              <w:t>10</w:t>
            </w:r>
            <w:r>
              <w:rPr>
                <w:rFonts w:hint="eastAsia" w:ascii="仿宋" w:hAnsi="仿宋" w:eastAsia="仿宋"/>
                <w:b/>
                <w:szCs w:val="21"/>
                <w:lang w:eastAsia="en-US" w:bidi="en-US"/>
              </w:rPr>
              <w:t>分）</w:t>
            </w:r>
          </w:p>
        </w:tc>
        <w:tc>
          <w:tcPr>
            <w:tcW w:w="7023" w:type="dxa"/>
            <w:gridSpan w:val="2"/>
            <w:vAlign w:val="center"/>
          </w:tcPr>
          <w:p>
            <w:pPr>
              <w:rPr>
                <w:rFonts w:ascii="仿宋" w:hAnsi="仿宋" w:eastAsia="仿宋"/>
                <w:kern w:val="0"/>
                <w:szCs w:val="21"/>
                <w:lang w:bidi="en-US"/>
              </w:rPr>
            </w:pPr>
            <w:r>
              <w:rPr>
                <w:rFonts w:hint="eastAsia" w:ascii="仿宋" w:hAnsi="仿宋" w:eastAsia="仿宋"/>
                <w:kern w:val="0"/>
                <w:szCs w:val="21"/>
                <w:lang w:bidi="en-US"/>
              </w:rPr>
              <w:t>价格分统一采用低价优先法计算，即满足招标文件要求且投标价格最低的投标报价为评标基准价，其价格分为满分。其他投标人的价格分统一按照下列公式计算：</w:t>
            </w:r>
          </w:p>
          <w:p>
            <w:pPr>
              <w:rPr>
                <w:rFonts w:ascii="仿宋" w:hAnsi="仿宋" w:eastAsia="仿宋"/>
                <w:kern w:val="0"/>
                <w:szCs w:val="21"/>
                <w:lang w:bidi="en-US"/>
              </w:rPr>
            </w:pPr>
            <w:r>
              <w:rPr>
                <w:rFonts w:hint="eastAsia" w:ascii="仿宋" w:hAnsi="仿宋" w:eastAsia="仿宋"/>
                <w:kern w:val="0"/>
                <w:szCs w:val="21"/>
                <w:lang w:bidi="en-US"/>
              </w:rPr>
              <w:t xml:space="preserve">投标报价得分=(评标基准价／投标报价)×价格权值×100               </w:t>
            </w:r>
          </w:p>
          <w:p>
            <w:pPr>
              <w:rPr>
                <w:rFonts w:ascii="仿宋" w:hAnsi="仿宋" w:eastAsia="仿宋"/>
                <w:kern w:val="0"/>
                <w:szCs w:val="21"/>
                <w:lang w:bidi="en-US"/>
              </w:rPr>
            </w:pPr>
            <w:r>
              <w:rPr>
                <w:rFonts w:hint="eastAsia" w:ascii="仿宋" w:hAnsi="仿宋" w:eastAsia="仿宋"/>
                <w:kern w:val="0"/>
                <w:szCs w:val="21"/>
                <w:lang w:bidi="en-US"/>
              </w:rPr>
              <w:t>计算分数时四舍五入取小数点后两位</w:t>
            </w:r>
          </w:p>
          <w:p>
            <w:pPr>
              <w:rPr>
                <w:rFonts w:ascii="仿宋" w:hAnsi="仿宋" w:eastAsia="仿宋"/>
                <w:kern w:val="0"/>
                <w:szCs w:val="21"/>
                <w:lang w:bidi="en-US"/>
              </w:rPr>
            </w:pPr>
            <w:r>
              <w:rPr>
                <w:rFonts w:hint="eastAsia" w:ascii="仿宋" w:hAnsi="仿宋" w:eastAsia="仿宋"/>
                <w:kern w:val="0"/>
                <w:szCs w:val="21"/>
                <w:lang w:bidi="en-US"/>
              </w:rPr>
              <w:t>注：（1）根据《政府采购促进中小企业发展暂行办法》的相关规定，对小型和微型企业的价格给予6%的扣除，用扣除后的价格参与评审。</w:t>
            </w:r>
          </w:p>
          <w:p>
            <w:pPr>
              <w:rPr>
                <w:rFonts w:ascii="仿宋" w:hAnsi="仿宋" w:eastAsia="仿宋"/>
                <w:kern w:val="0"/>
                <w:szCs w:val="21"/>
                <w:lang w:bidi="en-US"/>
              </w:rPr>
            </w:pPr>
            <w:r>
              <w:rPr>
                <w:rFonts w:hint="eastAsia" w:ascii="仿宋" w:hAnsi="仿宋" w:eastAsia="仿宋"/>
                <w:kern w:val="0"/>
                <w:szCs w:val="21"/>
                <w:lang w:bidi="en-US"/>
              </w:rPr>
              <w:t>（2）根据《财政部民政部中国残疾人联合会关于促进残疾人就业政府采购政策的通知》（财库〔2017〕141号）的规定，对符合条件的残疾人福利性单位设备的价格给予6%的扣除，用扣除后的价格参与评审。</w:t>
            </w:r>
          </w:p>
          <w:p>
            <w:pPr>
              <w:widowControl/>
              <w:contextualSpacing/>
              <w:rPr>
                <w:rFonts w:ascii="仿宋" w:hAnsi="仿宋" w:eastAsia="仿宋"/>
                <w:szCs w:val="21"/>
                <w:lang w:bidi="en-US"/>
              </w:rPr>
            </w:pPr>
            <w:r>
              <w:rPr>
                <w:rFonts w:hint="eastAsia" w:ascii="仿宋" w:hAnsi="仿宋" w:eastAsia="仿宋"/>
                <w:szCs w:val="21"/>
                <w:lang w:bidi="en-US"/>
              </w:rPr>
              <w:t>小型、微型企业和监狱企业级符合财政部、民政部、中国残疾人联合会关于促进残疾人就业政府采购政策的通知，以上政策同时具备的仅对其进行一次6%的价格扣除，不重复扣除。</w:t>
            </w:r>
          </w:p>
        </w:tc>
        <w:tc>
          <w:tcPr>
            <w:tcW w:w="708" w:type="dxa"/>
          </w:tcPr>
          <w:p>
            <w:pPr>
              <w:spacing w:line="460" w:lineRule="exact"/>
              <w:rPr>
                <w:rFonts w:ascii="仿宋" w:hAnsi="仿宋" w:eastAsia="仿宋"/>
                <w:kern w:val="0"/>
                <w:szCs w:val="21"/>
                <w:lang w:bidi="en-US"/>
              </w:rPr>
            </w:pPr>
            <w:r>
              <w:rPr>
                <w:rFonts w:hint="eastAsia" w:ascii="仿宋" w:hAnsi="仿宋" w:eastAsia="仿宋"/>
                <w:kern w:val="0"/>
                <w:szCs w:val="21"/>
                <w:lang w:bidi="en-US"/>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restart"/>
            <w:vAlign w:val="center"/>
          </w:tcPr>
          <w:p>
            <w:pPr>
              <w:widowControl/>
              <w:contextualSpacing/>
              <w:jc w:val="center"/>
              <w:rPr>
                <w:rFonts w:ascii="仿宋" w:hAnsi="仿宋" w:eastAsia="仿宋"/>
                <w:b/>
                <w:szCs w:val="21"/>
                <w:lang w:eastAsia="en-US" w:bidi="en-US"/>
              </w:rPr>
            </w:pPr>
            <w:r>
              <w:rPr>
                <w:rFonts w:ascii="仿宋" w:hAnsi="仿宋" w:eastAsia="仿宋"/>
                <w:b/>
                <w:szCs w:val="21"/>
                <w:lang w:eastAsia="en-US" w:bidi="en-US"/>
              </w:rPr>
              <w:t>商务</w:t>
            </w:r>
          </w:p>
          <w:p>
            <w:pPr>
              <w:widowControl/>
              <w:contextualSpacing/>
              <w:jc w:val="center"/>
              <w:rPr>
                <w:rFonts w:ascii="仿宋" w:hAnsi="仿宋" w:eastAsia="仿宋"/>
                <w:b/>
                <w:szCs w:val="21"/>
                <w:lang w:eastAsia="en-US" w:bidi="en-US"/>
              </w:rPr>
            </w:pPr>
            <w:r>
              <w:rPr>
                <w:rFonts w:ascii="仿宋" w:hAnsi="仿宋" w:eastAsia="仿宋"/>
                <w:b/>
                <w:szCs w:val="21"/>
                <w:lang w:eastAsia="en-US" w:bidi="en-US"/>
              </w:rPr>
              <w:t>评审</w:t>
            </w:r>
          </w:p>
          <w:p>
            <w:pPr>
              <w:jc w:val="center"/>
              <w:rPr>
                <w:rFonts w:ascii="仿宋" w:hAnsi="仿宋" w:eastAsia="仿宋"/>
                <w:b/>
                <w:kern w:val="0"/>
                <w:szCs w:val="21"/>
                <w:lang w:eastAsia="en-US" w:bidi="en-US"/>
              </w:rPr>
            </w:pPr>
            <w:r>
              <w:rPr>
                <w:rFonts w:ascii="仿宋" w:hAnsi="仿宋" w:eastAsia="仿宋"/>
                <w:b/>
                <w:kern w:val="0"/>
                <w:szCs w:val="21"/>
                <w:lang w:eastAsia="en-US" w:bidi="en-US"/>
              </w:rPr>
              <w:t>（20分）</w:t>
            </w:r>
          </w:p>
        </w:tc>
        <w:tc>
          <w:tcPr>
            <w:tcW w:w="1211" w:type="dxa"/>
            <w:vAlign w:val="center"/>
          </w:tcPr>
          <w:p>
            <w:pPr>
              <w:widowControl/>
              <w:ind w:firstLine="420"/>
              <w:contextualSpacing/>
              <w:jc w:val="center"/>
              <w:rPr>
                <w:rFonts w:ascii="仿宋" w:hAnsi="仿宋" w:eastAsia="仿宋"/>
                <w:szCs w:val="21"/>
                <w:lang w:bidi="en-US"/>
              </w:rPr>
            </w:pPr>
            <w:r>
              <w:rPr>
                <w:rFonts w:ascii="仿宋" w:hAnsi="仿宋" w:eastAsia="仿宋"/>
                <w:szCs w:val="21"/>
                <w:lang w:eastAsia="en-US" w:bidi="en-US"/>
              </w:rPr>
              <w:t>投标</w:t>
            </w:r>
            <w:r>
              <w:rPr>
                <w:rFonts w:hint="eastAsia" w:ascii="仿宋" w:hAnsi="仿宋" w:eastAsia="仿宋"/>
                <w:szCs w:val="21"/>
                <w:lang w:bidi="en-US"/>
              </w:rPr>
              <w:t>人</w:t>
            </w:r>
            <w:r>
              <w:rPr>
                <w:rFonts w:ascii="仿宋" w:hAnsi="仿宋" w:eastAsia="仿宋"/>
                <w:szCs w:val="21"/>
                <w:lang w:eastAsia="en-US" w:bidi="en-US"/>
              </w:rPr>
              <w:t>业绩</w:t>
            </w:r>
          </w:p>
          <w:p>
            <w:pPr>
              <w:widowControl/>
              <w:ind w:firstLine="420"/>
              <w:contextualSpacing/>
              <w:jc w:val="center"/>
              <w:rPr>
                <w:rFonts w:ascii="仿宋" w:hAnsi="仿宋" w:eastAsia="仿宋"/>
                <w:szCs w:val="21"/>
                <w:lang w:bidi="en-US"/>
              </w:rPr>
            </w:pPr>
            <w:r>
              <w:rPr>
                <w:rFonts w:hint="eastAsia" w:ascii="仿宋" w:hAnsi="仿宋" w:eastAsia="仿宋"/>
                <w:szCs w:val="21"/>
                <w:lang w:bidi="en-US"/>
              </w:rPr>
              <w:t>（</w:t>
            </w:r>
            <w:r>
              <w:rPr>
                <w:rFonts w:ascii="仿宋" w:hAnsi="仿宋" w:eastAsia="仿宋" w:cs="宋体"/>
                <w:szCs w:val="21"/>
                <w:lang w:eastAsia="en-US" w:bidi="en-US"/>
              </w:rPr>
              <w:t>10</w:t>
            </w:r>
            <w:r>
              <w:rPr>
                <w:rFonts w:hint="eastAsia" w:ascii="仿宋" w:hAnsi="仿宋" w:eastAsia="仿宋" w:cs="宋体"/>
                <w:szCs w:val="21"/>
                <w:lang w:eastAsia="en-US" w:bidi="en-US"/>
              </w:rPr>
              <w:t>分</w:t>
            </w:r>
            <w:r>
              <w:rPr>
                <w:rFonts w:hint="eastAsia" w:ascii="仿宋" w:hAnsi="仿宋" w:eastAsia="仿宋"/>
                <w:szCs w:val="21"/>
                <w:lang w:bidi="en-US"/>
              </w:rPr>
              <w:t>）</w:t>
            </w:r>
          </w:p>
        </w:tc>
        <w:tc>
          <w:tcPr>
            <w:tcW w:w="5812" w:type="dxa"/>
            <w:vAlign w:val="center"/>
          </w:tcPr>
          <w:p>
            <w:pPr>
              <w:widowControl/>
              <w:ind w:firstLine="420"/>
              <w:contextualSpacing/>
              <w:rPr>
                <w:rFonts w:ascii="仿宋" w:hAnsi="仿宋" w:eastAsia="仿宋"/>
                <w:szCs w:val="21"/>
                <w:lang w:bidi="en-US"/>
              </w:rPr>
            </w:pPr>
            <w:r>
              <w:rPr>
                <w:rFonts w:hint="eastAsia" w:ascii="仿宋" w:hAnsi="仿宋" w:eastAsia="仿宋"/>
                <w:szCs w:val="21"/>
                <w:lang w:bidi="en-US"/>
              </w:rPr>
              <w:t>投标人提供2016年以来完成的全国性或国际级（多国参与）综合性运动会管理信息系统相关业绩，每个业绩案例得2分，最高分1</w:t>
            </w:r>
            <w:r>
              <w:rPr>
                <w:rFonts w:ascii="仿宋" w:hAnsi="仿宋" w:eastAsia="仿宋"/>
                <w:szCs w:val="21"/>
                <w:lang w:bidi="en-US"/>
              </w:rPr>
              <w:t>0</w:t>
            </w:r>
            <w:r>
              <w:rPr>
                <w:rFonts w:hint="eastAsia" w:ascii="仿宋" w:hAnsi="仿宋" w:eastAsia="仿宋"/>
                <w:szCs w:val="21"/>
                <w:lang w:bidi="en-US"/>
              </w:rPr>
              <w:t>分。业绩案例不符合要求不得分。</w:t>
            </w:r>
          </w:p>
          <w:p>
            <w:pPr>
              <w:widowControl/>
              <w:ind w:firstLine="420"/>
              <w:contextualSpacing/>
              <w:rPr>
                <w:rFonts w:ascii="仿宋" w:hAnsi="仿宋" w:eastAsia="仿宋"/>
                <w:szCs w:val="21"/>
                <w:lang w:bidi="en-US"/>
              </w:rPr>
            </w:pPr>
            <w:r>
              <w:rPr>
                <w:rFonts w:ascii="仿宋" w:hAnsi="仿宋" w:eastAsia="仿宋"/>
                <w:szCs w:val="21"/>
                <w:lang w:bidi="en-US"/>
              </w:rPr>
              <w:t>① 合同扫描件，至少包括买卖双方名称及签字盖章页、服务内容；② 用户盖章或签字的成功履行合同的证明材料（验收证明或用户意见）。</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pPr>
              <w:rPr>
                <w:rFonts w:ascii="仿宋" w:hAnsi="仿宋" w:eastAsia="仿宋"/>
                <w:color w:val="993300"/>
                <w:szCs w:val="21"/>
              </w:rPr>
            </w:pPr>
          </w:p>
        </w:tc>
        <w:tc>
          <w:tcPr>
            <w:tcW w:w="1211" w:type="dxa"/>
            <w:vAlign w:val="center"/>
          </w:tcPr>
          <w:p>
            <w:pPr>
              <w:widowControl/>
              <w:ind w:firstLine="420"/>
              <w:contextualSpacing/>
              <w:jc w:val="center"/>
              <w:rPr>
                <w:rFonts w:ascii="仿宋" w:hAnsi="仿宋" w:eastAsia="仿宋"/>
                <w:szCs w:val="21"/>
                <w:lang w:bidi="en-US"/>
              </w:rPr>
            </w:pPr>
            <w:r>
              <w:rPr>
                <w:rFonts w:ascii="仿宋" w:hAnsi="仿宋" w:eastAsia="仿宋"/>
                <w:szCs w:val="21"/>
                <w:lang w:bidi="en-US"/>
              </w:rPr>
              <w:t>项目负责人资质</w:t>
            </w:r>
          </w:p>
          <w:p>
            <w:pPr>
              <w:widowControl/>
              <w:ind w:firstLine="420"/>
              <w:contextualSpacing/>
              <w:jc w:val="center"/>
              <w:rPr>
                <w:rFonts w:ascii="仿宋" w:hAnsi="仿宋" w:eastAsia="仿宋"/>
                <w:szCs w:val="21"/>
                <w:lang w:bidi="en-US"/>
              </w:rPr>
            </w:pPr>
            <w:r>
              <w:rPr>
                <w:rFonts w:hint="eastAsia" w:ascii="仿宋" w:hAnsi="仿宋" w:eastAsia="仿宋"/>
                <w:szCs w:val="21"/>
                <w:lang w:bidi="en-US"/>
              </w:rPr>
              <w:t>（</w:t>
            </w:r>
            <w:r>
              <w:rPr>
                <w:rFonts w:ascii="仿宋" w:hAnsi="仿宋" w:eastAsia="仿宋"/>
                <w:szCs w:val="21"/>
                <w:lang w:bidi="en-US"/>
              </w:rPr>
              <w:t>4</w:t>
            </w:r>
            <w:r>
              <w:rPr>
                <w:rFonts w:hint="eastAsia" w:ascii="仿宋" w:hAnsi="仿宋" w:eastAsia="仿宋"/>
                <w:szCs w:val="21"/>
                <w:lang w:bidi="en-US"/>
              </w:rPr>
              <w:t>分）</w:t>
            </w: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项目负责人具有</w:t>
            </w:r>
            <w:r>
              <w:rPr>
                <w:rFonts w:ascii="仿宋" w:hAnsi="仿宋" w:eastAsia="仿宋"/>
                <w:szCs w:val="21"/>
              </w:rPr>
              <w:t>信息化系统管理师</w:t>
            </w:r>
            <w:r>
              <w:rPr>
                <w:rFonts w:hint="eastAsia" w:ascii="仿宋" w:hAnsi="仿宋" w:eastAsia="仿宋"/>
                <w:szCs w:val="21"/>
              </w:rPr>
              <w:t>（高级）或</w:t>
            </w:r>
            <w:r>
              <w:rPr>
                <w:rFonts w:hint="eastAsia" w:ascii="仿宋" w:hAnsi="仿宋" w:eastAsia="仿宋"/>
                <w:szCs w:val="21"/>
                <w:lang w:bidi="en-US"/>
              </w:rPr>
              <w:t>项目管理师（P</w:t>
            </w:r>
            <w:r>
              <w:rPr>
                <w:rFonts w:ascii="仿宋" w:hAnsi="仿宋" w:eastAsia="仿宋"/>
                <w:szCs w:val="21"/>
                <w:lang w:bidi="en-US"/>
              </w:rPr>
              <w:t>MP</w:t>
            </w:r>
            <w:r>
              <w:rPr>
                <w:rFonts w:hint="eastAsia" w:ascii="仿宋" w:hAnsi="仿宋" w:eastAsia="仿宋"/>
                <w:szCs w:val="21"/>
                <w:lang w:bidi="en-US"/>
              </w:rPr>
              <w:t>）资质证书得4分。</w:t>
            </w:r>
            <w:r>
              <w:rPr>
                <w:rFonts w:ascii="仿宋" w:hAnsi="仿宋" w:eastAsia="仿宋"/>
                <w:szCs w:val="21"/>
                <w:lang w:bidi="en-US"/>
              </w:rPr>
              <w:t>注</w:t>
            </w:r>
            <w:r>
              <w:rPr>
                <w:rFonts w:hint="eastAsia" w:ascii="仿宋" w:hAnsi="仿宋" w:eastAsia="仿宋"/>
                <w:szCs w:val="21"/>
                <w:lang w:bidi="en-US"/>
              </w:rPr>
              <w:t>：</w:t>
            </w:r>
            <w:r>
              <w:rPr>
                <w:rFonts w:ascii="仿宋" w:hAnsi="仿宋" w:eastAsia="仿宋"/>
                <w:szCs w:val="21"/>
                <w:lang w:bidi="en-US"/>
              </w:rPr>
              <w:t>须</w:t>
            </w:r>
            <w:r>
              <w:rPr>
                <w:rFonts w:hint="eastAsia" w:ascii="仿宋" w:hAnsi="仿宋" w:eastAsia="仿宋"/>
                <w:szCs w:val="21"/>
                <w:lang w:bidi="en-US"/>
              </w:rPr>
              <w:t>提供相应证书和近三个月内任意一个月的社保证明复印件加盖公章，否则不得分。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pPr>
              <w:rPr>
                <w:rFonts w:ascii="仿宋" w:hAnsi="仿宋" w:eastAsia="仿宋"/>
                <w:color w:val="993300"/>
                <w:szCs w:val="21"/>
              </w:rPr>
            </w:pPr>
          </w:p>
        </w:tc>
        <w:tc>
          <w:tcPr>
            <w:tcW w:w="1211" w:type="dxa"/>
            <w:vMerge w:val="restart"/>
            <w:vAlign w:val="center"/>
          </w:tcPr>
          <w:p>
            <w:pPr>
              <w:widowControl/>
              <w:ind w:firstLine="420"/>
              <w:contextualSpacing/>
              <w:jc w:val="center"/>
              <w:rPr>
                <w:rFonts w:ascii="仿宋" w:hAnsi="仿宋" w:eastAsia="仿宋"/>
                <w:szCs w:val="21"/>
                <w:lang w:eastAsia="en-US" w:bidi="en-US"/>
              </w:rPr>
            </w:pPr>
            <w:r>
              <w:rPr>
                <w:rFonts w:ascii="仿宋" w:hAnsi="仿宋" w:eastAsia="仿宋"/>
                <w:szCs w:val="21"/>
                <w:lang w:eastAsia="en-US" w:bidi="en-US"/>
              </w:rPr>
              <w:t>团队成员</w:t>
            </w:r>
          </w:p>
          <w:p>
            <w:pPr>
              <w:widowControl/>
              <w:ind w:firstLine="420"/>
              <w:contextualSpacing/>
              <w:jc w:val="center"/>
              <w:rPr>
                <w:rFonts w:ascii="仿宋" w:hAnsi="仿宋" w:eastAsia="仿宋"/>
                <w:szCs w:val="21"/>
                <w:lang w:eastAsia="en-US" w:bidi="en-US"/>
              </w:rPr>
            </w:pPr>
            <w:r>
              <w:rPr>
                <w:rFonts w:hint="eastAsia" w:ascii="仿宋" w:hAnsi="仿宋" w:eastAsia="仿宋"/>
                <w:szCs w:val="21"/>
                <w:lang w:bidi="en-US"/>
              </w:rPr>
              <w:t>（</w:t>
            </w:r>
            <w:r>
              <w:rPr>
                <w:rFonts w:ascii="仿宋" w:hAnsi="仿宋" w:eastAsia="仿宋"/>
                <w:szCs w:val="21"/>
                <w:lang w:bidi="en-US"/>
              </w:rPr>
              <w:t>6</w:t>
            </w:r>
            <w:r>
              <w:rPr>
                <w:rFonts w:hint="eastAsia" w:ascii="仿宋" w:hAnsi="仿宋" w:eastAsia="仿宋"/>
                <w:szCs w:val="21"/>
                <w:lang w:bidi="en-US"/>
              </w:rPr>
              <w:t>分）</w:t>
            </w: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1、拟派驻场</w:t>
            </w:r>
            <w:r>
              <w:rPr>
                <w:rFonts w:hint="eastAsia" w:ascii="仿宋" w:hAnsi="仿宋" w:eastAsia="仿宋"/>
                <w:szCs w:val="21"/>
                <w:lang w:bidi="en-US"/>
              </w:rPr>
              <w:t>团队主要成员</w:t>
            </w:r>
            <w:r>
              <w:rPr>
                <w:rFonts w:ascii="仿宋" w:hAnsi="仿宋" w:eastAsia="仿宋"/>
                <w:szCs w:val="21"/>
                <w:lang w:bidi="en-US"/>
              </w:rPr>
              <w:t>具有系统</w:t>
            </w:r>
            <w:r>
              <w:rPr>
                <w:rFonts w:hint="eastAsia" w:ascii="仿宋" w:hAnsi="仿宋" w:eastAsia="仿宋"/>
                <w:szCs w:val="21"/>
                <w:lang w:bidi="en-US"/>
              </w:rPr>
              <w:t>架构设计</w:t>
            </w:r>
            <w:r>
              <w:rPr>
                <w:rFonts w:ascii="仿宋" w:hAnsi="仿宋" w:eastAsia="仿宋"/>
                <w:szCs w:val="21"/>
                <w:lang w:bidi="en-US"/>
              </w:rPr>
              <w:t>师（高级）资质，得2分。注</w:t>
            </w:r>
            <w:r>
              <w:rPr>
                <w:rFonts w:hint="eastAsia" w:ascii="仿宋" w:hAnsi="仿宋" w:eastAsia="仿宋"/>
                <w:szCs w:val="21"/>
                <w:lang w:bidi="en-US"/>
              </w:rPr>
              <w:t>：</w:t>
            </w:r>
            <w:r>
              <w:rPr>
                <w:rFonts w:ascii="仿宋" w:hAnsi="仿宋" w:eastAsia="仿宋"/>
                <w:szCs w:val="21"/>
                <w:lang w:bidi="en-US"/>
              </w:rPr>
              <w:t>须</w:t>
            </w:r>
            <w:r>
              <w:rPr>
                <w:rFonts w:hint="eastAsia" w:ascii="仿宋" w:hAnsi="仿宋" w:eastAsia="仿宋"/>
                <w:szCs w:val="21"/>
                <w:lang w:bidi="en-US"/>
              </w:rPr>
              <w:t>提供相应证书和近三个月内任意一个月的社保证明复印件加盖公章，否则不得分。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pPr>
              <w:rPr>
                <w:rFonts w:ascii="仿宋" w:hAnsi="仿宋" w:eastAsia="仿宋"/>
                <w:color w:val="993300"/>
                <w:szCs w:val="21"/>
              </w:rPr>
            </w:pPr>
          </w:p>
        </w:tc>
        <w:tc>
          <w:tcPr>
            <w:tcW w:w="1211" w:type="dxa"/>
            <w:vMerge w:val="continue"/>
            <w:vAlign w:val="center"/>
          </w:tcPr>
          <w:p>
            <w:pPr>
              <w:widowControl/>
              <w:contextualSpacing/>
              <w:jc w:val="center"/>
              <w:rPr>
                <w:rFonts w:ascii="仿宋" w:hAnsi="仿宋" w:eastAsia="仿宋"/>
                <w:szCs w:val="21"/>
                <w:lang w:eastAsia="en-US" w:bidi="en-US"/>
              </w:rPr>
            </w:pP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2、</w:t>
            </w:r>
            <w:r>
              <w:rPr>
                <w:rFonts w:hint="eastAsia" w:ascii="仿宋" w:hAnsi="仿宋" w:eastAsia="仿宋"/>
                <w:szCs w:val="21"/>
                <w:lang w:bidi="en-US"/>
              </w:rPr>
              <w:t>根据项目团队中成员是否有综合体育赛事服务经验情况评分。团队中每提供一名具有综合体育赛事服务经验的人员，得0.</w:t>
            </w:r>
            <w:r>
              <w:rPr>
                <w:rFonts w:ascii="仿宋" w:hAnsi="仿宋" w:eastAsia="仿宋"/>
                <w:szCs w:val="21"/>
                <w:lang w:bidi="en-US"/>
              </w:rPr>
              <w:t>2</w:t>
            </w:r>
            <w:r>
              <w:rPr>
                <w:rFonts w:hint="eastAsia" w:ascii="仿宋" w:hAnsi="仿宋" w:eastAsia="仿宋"/>
                <w:szCs w:val="21"/>
                <w:lang w:bidi="en-US"/>
              </w:rPr>
              <w:t>分。本项满分</w:t>
            </w:r>
            <w:r>
              <w:rPr>
                <w:rFonts w:ascii="仿宋" w:hAnsi="仿宋" w:eastAsia="仿宋"/>
                <w:szCs w:val="21"/>
                <w:lang w:bidi="en-US"/>
              </w:rPr>
              <w:t>4</w:t>
            </w:r>
            <w:r>
              <w:rPr>
                <w:rFonts w:hint="eastAsia" w:ascii="仿宋" w:hAnsi="仿宋" w:eastAsia="仿宋"/>
                <w:szCs w:val="21"/>
                <w:lang w:bidi="en-US"/>
              </w:rPr>
              <w:t>分，团队成员为10人以下（含10人）不得分。</w:t>
            </w:r>
          </w:p>
          <w:p>
            <w:pPr>
              <w:widowControl/>
              <w:ind w:firstLine="420"/>
              <w:contextualSpacing/>
              <w:rPr>
                <w:rFonts w:ascii="仿宋" w:hAnsi="仿宋" w:eastAsia="仿宋"/>
                <w:szCs w:val="21"/>
                <w:lang w:bidi="en-US"/>
              </w:rPr>
            </w:pPr>
            <w:r>
              <w:rPr>
                <w:rFonts w:hint="eastAsia" w:ascii="仿宋" w:hAnsi="仿宋" w:eastAsia="仿宋"/>
                <w:szCs w:val="21"/>
                <w:lang w:bidi="en-US"/>
              </w:rPr>
              <w:t>注：须提供团队人员参与综合体育赛事服务证明或荣誉证书或工作证，以及该人员在报价人企业近六个月内任意一个月的社保证明复印件并加盖公章，否则不得分。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restart"/>
            <w:vAlign w:val="center"/>
          </w:tcPr>
          <w:p>
            <w:pPr>
              <w:widowControl/>
              <w:ind w:firstLine="422"/>
              <w:contextualSpacing/>
              <w:jc w:val="center"/>
              <w:rPr>
                <w:rFonts w:ascii="仿宋" w:hAnsi="仿宋" w:eastAsia="仿宋"/>
                <w:b/>
                <w:color w:val="000000"/>
                <w:szCs w:val="21"/>
                <w:lang w:eastAsia="en-US" w:bidi="en-US"/>
              </w:rPr>
            </w:pPr>
            <w:r>
              <w:rPr>
                <w:rFonts w:ascii="仿宋" w:hAnsi="仿宋" w:eastAsia="仿宋"/>
                <w:b/>
                <w:color w:val="000000"/>
                <w:szCs w:val="21"/>
                <w:lang w:eastAsia="en-US" w:bidi="en-US"/>
              </w:rPr>
              <w:t>技术</w:t>
            </w:r>
          </w:p>
          <w:p>
            <w:pPr>
              <w:widowControl/>
              <w:ind w:firstLine="422"/>
              <w:contextualSpacing/>
              <w:jc w:val="center"/>
              <w:rPr>
                <w:rFonts w:ascii="仿宋" w:hAnsi="仿宋" w:eastAsia="仿宋"/>
                <w:b/>
                <w:color w:val="000000"/>
                <w:szCs w:val="21"/>
                <w:lang w:eastAsia="en-US" w:bidi="en-US"/>
              </w:rPr>
            </w:pPr>
            <w:r>
              <w:rPr>
                <w:rFonts w:ascii="仿宋" w:hAnsi="仿宋" w:eastAsia="仿宋"/>
                <w:b/>
                <w:color w:val="000000"/>
                <w:szCs w:val="21"/>
                <w:lang w:eastAsia="en-US" w:bidi="en-US"/>
              </w:rPr>
              <w:t>评审</w:t>
            </w:r>
          </w:p>
          <w:p>
            <w:pPr>
              <w:ind w:firstLine="422"/>
              <w:jc w:val="center"/>
              <w:rPr>
                <w:rFonts w:ascii="仿宋" w:hAnsi="仿宋" w:eastAsia="仿宋"/>
                <w:color w:val="993300"/>
                <w:szCs w:val="21"/>
              </w:rPr>
            </w:pPr>
            <w:r>
              <w:rPr>
                <w:rFonts w:ascii="仿宋" w:hAnsi="仿宋" w:eastAsia="仿宋"/>
                <w:b/>
                <w:color w:val="000000"/>
                <w:szCs w:val="21"/>
              </w:rPr>
              <w:t>（</w:t>
            </w:r>
            <w:r>
              <w:rPr>
                <w:rFonts w:hint="eastAsia" w:ascii="仿宋" w:hAnsi="仿宋" w:eastAsia="仿宋"/>
                <w:b/>
                <w:color w:val="000000"/>
                <w:szCs w:val="21"/>
              </w:rPr>
              <w:t>7</w:t>
            </w:r>
            <w:r>
              <w:rPr>
                <w:rFonts w:ascii="仿宋" w:hAnsi="仿宋" w:eastAsia="仿宋"/>
                <w:b/>
                <w:color w:val="000000"/>
                <w:szCs w:val="21"/>
              </w:rPr>
              <w:t>0分）</w:t>
            </w:r>
          </w:p>
        </w:tc>
        <w:tc>
          <w:tcPr>
            <w:tcW w:w="1211" w:type="dxa"/>
            <w:vMerge w:val="restart"/>
            <w:vAlign w:val="center"/>
          </w:tcPr>
          <w:p>
            <w:pPr>
              <w:widowControl/>
              <w:ind w:firstLine="420"/>
              <w:contextualSpacing/>
              <w:jc w:val="center"/>
              <w:rPr>
                <w:rFonts w:ascii="仿宋" w:hAnsi="仿宋" w:eastAsia="仿宋"/>
                <w:szCs w:val="21"/>
                <w:lang w:bidi="en-US"/>
              </w:rPr>
            </w:pPr>
            <w:r>
              <w:rPr>
                <w:rFonts w:hint="eastAsia" w:ascii="仿宋" w:hAnsi="仿宋" w:eastAsia="仿宋"/>
                <w:szCs w:val="21"/>
                <w:lang w:bidi="en-US"/>
              </w:rPr>
              <w:t>总体</w:t>
            </w:r>
            <w:r>
              <w:rPr>
                <w:rFonts w:ascii="仿宋" w:hAnsi="仿宋" w:eastAsia="仿宋"/>
                <w:szCs w:val="21"/>
                <w:lang w:bidi="en-US"/>
              </w:rPr>
              <w:t>服务方案</w:t>
            </w:r>
          </w:p>
          <w:p>
            <w:pPr>
              <w:widowControl/>
              <w:ind w:firstLine="420"/>
              <w:contextualSpacing/>
              <w:jc w:val="center"/>
              <w:rPr>
                <w:rFonts w:ascii="仿宋" w:hAnsi="仿宋" w:eastAsia="仿宋"/>
                <w:szCs w:val="21"/>
                <w:lang w:bidi="en-US"/>
              </w:rPr>
            </w:pPr>
            <w:r>
              <w:rPr>
                <w:rFonts w:hint="eastAsia" w:ascii="仿宋" w:hAnsi="仿宋" w:eastAsia="仿宋"/>
                <w:szCs w:val="21"/>
                <w:lang w:bidi="en-US"/>
              </w:rPr>
              <w:t>（</w:t>
            </w:r>
            <w:r>
              <w:rPr>
                <w:rFonts w:ascii="仿宋" w:hAnsi="仿宋" w:eastAsia="仿宋"/>
                <w:szCs w:val="21"/>
                <w:lang w:bidi="en-US"/>
              </w:rPr>
              <w:t>15</w:t>
            </w:r>
            <w:r>
              <w:rPr>
                <w:rFonts w:hint="eastAsia" w:ascii="仿宋" w:hAnsi="仿宋" w:eastAsia="仿宋"/>
                <w:szCs w:val="21"/>
                <w:lang w:bidi="en-US"/>
              </w:rPr>
              <w:t>分）</w:t>
            </w: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根据投标人提供的建设、测试、运行服务3个阶段服务方案进行评分。</w:t>
            </w:r>
          </w:p>
          <w:p>
            <w:pPr>
              <w:widowControl/>
              <w:ind w:firstLine="420"/>
              <w:contextualSpacing/>
              <w:rPr>
                <w:rFonts w:ascii="仿宋" w:hAnsi="仿宋" w:eastAsia="仿宋"/>
                <w:szCs w:val="21"/>
                <w:lang w:bidi="en-US"/>
              </w:rPr>
            </w:pPr>
            <w:r>
              <w:rPr>
                <w:rFonts w:ascii="仿宋" w:hAnsi="仿宋" w:eastAsia="仿宋"/>
                <w:szCs w:val="21"/>
                <w:lang w:bidi="en-US"/>
              </w:rPr>
              <w:t>1、建设阶段服务方案（5分）</w:t>
            </w:r>
          </w:p>
          <w:p>
            <w:pPr>
              <w:widowControl/>
              <w:ind w:firstLine="420"/>
              <w:contextualSpacing/>
              <w:rPr>
                <w:rFonts w:ascii="仿宋" w:hAnsi="仿宋" w:eastAsia="仿宋"/>
                <w:szCs w:val="21"/>
                <w:lang w:bidi="en-US"/>
              </w:rPr>
            </w:pPr>
            <w:r>
              <w:rPr>
                <w:rFonts w:ascii="仿宋" w:hAnsi="仿宋" w:eastAsia="仿宋"/>
                <w:szCs w:val="21"/>
                <w:lang w:bidi="en-US"/>
              </w:rPr>
              <w:t>从服务方案的完整性、服务内容的完备性，是否符合工期要求，是否满足建设阶段的各项服务要求与验收要求，服务保障、成本、质量、风险控制措施，过程控制措施是否完善，人力资源和设备调配是否合理等方面，进行综合评分，</w:t>
            </w:r>
            <w:r>
              <w:rPr>
                <w:rFonts w:hint="eastAsia" w:ascii="仿宋" w:hAnsi="仿宋" w:eastAsia="仿宋"/>
                <w:szCs w:val="21"/>
                <w:lang w:bidi="en-US"/>
              </w:rPr>
              <w:t>完全满足建设阶段服务的各项要求得5分，较好满足得3分，基本满足得1分，否则得0分。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pPr>
              <w:widowControl/>
              <w:contextualSpacing/>
              <w:jc w:val="center"/>
              <w:rPr>
                <w:rFonts w:ascii="仿宋" w:hAnsi="仿宋" w:eastAsia="仿宋"/>
                <w:b/>
                <w:color w:val="000000"/>
                <w:szCs w:val="21"/>
                <w:lang w:eastAsia="en-US" w:bidi="en-US"/>
              </w:rPr>
            </w:pPr>
          </w:p>
        </w:tc>
        <w:tc>
          <w:tcPr>
            <w:tcW w:w="1211" w:type="dxa"/>
            <w:vMerge w:val="continue"/>
            <w:vAlign w:val="center"/>
          </w:tcPr>
          <w:p>
            <w:pPr>
              <w:widowControl/>
              <w:contextualSpacing/>
              <w:jc w:val="center"/>
              <w:rPr>
                <w:rFonts w:ascii="仿宋" w:hAnsi="仿宋" w:eastAsia="仿宋"/>
                <w:szCs w:val="21"/>
                <w:lang w:bidi="en-US"/>
              </w:rPr>
            </w:pP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2、测试阶段服务方案（5分）</w:t>
            </w:r>
          </w:p>
          <w:p>
            <w:pPr>
              <w:widowControl/>
              <w:ind w:firstLine="420"/>
              <w:contextualSpacing/>
              <w:rPr>
                <w:rFonts w:ascii="仿宋" w:hAnsi="仿宋" w:eastAsia="仿宋"/>
                <w:szCs w:val="21"/>
                <w:lang w:bidi="en-US"/>
              </w:rPr>
            </w:pPr>
            <w:r>
              <w:rPr>
                <w:rFonts w:ascii="仿宋" w:hAnsi="仿宋" w:eastAsia="仿宋"/>
                <w:szCs w:val="21"/>
                <w:lang w:bidi="en-US"/>
              </w:rPr>
              <w:t>从服务方案的完整性、服务内容的完备性，是否符合工期要求，是否满足测试阶段的各项服务要求与验收要求，服务保障、成本、质量、风险控制措施是否完善，人力资源和设备调配是否合理，对于重叠子阶段是否有响应措施等方面，进行综合评分，</w:t>
            </w:r>
            <w:r>
              <w:rPr>
                <w:rFonts w:hint="eastAsia" w:ascii="仿宋" w:hAnsi="仿宋" w:eastAsia="仿宋"/>
                <w:szCs w:val="21"/>
                <w:lang w:bidi="en-US"/>
              </w:rPr>
              <w:t>完全满足建设阶段服务的各项要求得5分，较好满足得3分，基本满足得1分，否则得0分。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pPr>
              <w:widowControl/>
              <w:contextualSpacing/>
              <w:jc w:val="center"/>
              <w:rPr>
                <w:rFonts w:ascii="仿宋" w:hAnsi="仿宋" w:eastAsia="仿宋"/>
                <w:b/>
                <w:color w:val="000000"/>
                <w:szCs w:val="21"/>
                <w:lang w:eastAsia="en-US" w:bidi="en-US"/>
              </w:rPr>
            </w:pPr>
          </w:p>
        </w:tc>
        <w:tc>
          <w:tcPr>
            <w:tcW w:w="1211" w:type="dxa"/>
            <w:vMerge w:val="continue"/>
            <w:vAlign w:val="center"/>
          </w:tcPr>
          <w:p>
            <w:pPr>
              <w:widowControl/>
              <w:contextualSpacing/>
              <w:jc w:val="center"/>
              <w:rPr>
                <w:rFonts w:ascii="仿宋" w:hAnsi="仿宋" w:eastAsia="仿宋"/>
                <w:szCs w:val="21"/>
                <w:lang w:bidi="en-US"/>
              </w:rPr>
            </w:pP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3、运行服务阶段服务方案（5分）</w:t>
            </w:r>
          </w:p>
          <w:p>
            <w:pPr>
              <w:widowControl/>
              <w:ind w:firstLine="420"/>
              <w:contextualSpacing/>
              <w:rPr>
                <w:rFonts w:ascii="仿宋" w:hAnsi="仿宋" w:eastAsia="仿宋"/>
                <w:szCs w:val="21"/>
                <w:lang w:bidi="en-US"/>
              </w:rPr>
            </w:pPr>
            <w:r>
              <w:rPr>
                <w:rFonts w:ascii="仿宋" w:hAnsi="仿宋" w:eastAsia="仿宋"/>
                <w:szCs w:val="21"/>
                <w:lang w:bidi="en-US"/>
              </w:rPr>
              <w:t>从服务方案的完整性、服务内容的完备性，是否符合工期要求，是否满足运行服务阶段的各项服务要求与验收要求，服务保障、成本、质量、风险控制措施是否完善，人力资源和设备调配是否合理等方面，进行综合评分，</w:t>
            </w:r>
            <w:r>
              <w:rPr>
                <w:rFonts w:hint="eastAsia" w:ascii="仿宋" w:hAnsi="仿宋" w:eastAsia="仿宋"/>
                <w:szCs w:val="21"/>
                <w:lang w:bidi="en-US"/>
              </w:rPr>
              <w:t>完全满足建设阶段服务的各项要求得5分，较好满足得3分，基本满足得1分，否则得0分。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pPr>
              <w:jc w:val="center"/>
              <w:rPr>
                <w:rFonts w:ascii="仿宋" w:hAnsi="仿宋" w:eastAsia="仿宋"/>
                <w:color w:val="993300"/>
                <w:szCs w:val="21"/>
              </w:rPr>
            </w:pPr>
          </w:p>
        </w:tc>
        <w:tc>
          <w:tcPr>
            <w:tcW w:w="1211" w:type="dxa"/>
            <w:vAlign w:val="center"/>
          </w:tcPr>
          <w:p>
            <w:pPr>
              <w:widowControl/>
              <w:ind w:firstLine="420"/>
              <w:contextualSpacing/>
              <w:jc w:val="center"/>
              <w:rPr>
                <w:rFonts w:ascii="仿宋" w:hAnsi="仿宋" w:eastAsia="仿宋"/>
                <w:szCs w:val="21"/>
                <w:lang w:bidi="en-US"/>
              </w:rPr>
            </w:pPr>
            <w:r>
              <w:rPr>
                <w:rFonts w:hint="eastAsia" w:ascii="仿宋" w:hAnsi="仿宋" w:eastAsia="仿宋"/>
                <w:szCs w:val="21"/>
                <w:lang w:bidi="en-US"/>
              </w:rPr>
              <w:t>事件管理系统方案（</w:t>
            </w:r>
            <w:r>
              <w:rPr>
                <w:rFonts w:ascii="仿宋" w:hAnsi="仿宋" w:eastAsia="仿宋"/>
                <w:szCs w:val="21"/>
                <w:lang w:bidi="en-US"/>
              </w:rPr>
              <w:t>4</w:t>
            </w:r>
            <w:r>
              <w:rPr>
                <w:rFonts w:hint="eastAsia" w:ascii="仿宋" w:hAnsi="仿宋" w:eastAsia="仿宋"/>
                <w:szCs w:val="21"/>
                <w:lang w:bidi="en-US"/>
              </w:rPr>
              <w:t>分）</w:t>
            </w: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根据投标人对十四运会和残特奥会</w:t>
            </w:r>
            <w:r>
              <w:rPr>
                <w:rFonts w:hint="eastAsia" w:ascii="仿宋" w:hAnsi="仿宋" w:eastAsia="仿宋"/>
                <w:szCs w:val="21"/>
                <w:lang w:bidi="en-US"/>
              </w:rPr>
              <w:t>事件管理系统</w:t>
            </w:r>
            <w:r>
              <w:rPr>
                <w:rFonts w:ascii="仿宋" w:hAnsi="仿宋" w:eastAsia="仿宋"/>
                <w:szCs w:val="21"/>
                <w:lang w:bidi="en-US"/>
              </w:rPr>
              <w:t>服务需求的理解程度，技术架构的先进性、技术指标的合理性、技术指标测算的科学性，设计方案的亮点与特色等方面，进行综合评分，</w:t>
            </w:r>
            <w:r>
              <w:rPr>
                <w:rFonts w:hint="eastAsia" w:ascii="仿宋" w:hAnsi="仿宋" w:eastAsia="仿宋"/>
                <w:szCs w:val="21"/>
                <w:lang w:bidi="en-US"/>
              </w:rPr>
              <w:t>本项满分4分。</w:t>
            </w:r>
          </w:p>
          <w:p>
            <w:pPr>
              <w:widowControl/>
              <w:ind w:firstLine="420"/>
              <w:contextualSpacing/>
              <w:rPr>
                <w:rFonts w:ascii="仿宋" w:hAnsi="仿宋" w:eastAsia="仿宋"/>
                <w:szCs w:val="21"/>
                <w:lang w:bidi="en-US"/>
              </w:rPr>
            </w:pPr>
            <w:r>
              <w:rPr>
                <w:rFonts w:hint="eastAsia" w:ascii="仿宋" w:hAnsi="仿宋" w:eastAsia="仿宋"/>
                <w:szCs w:val="21"/>
                <w:lang w:bidi="en-US"/>
              </w:rPr>
              <w:t>1）提交的服务方案结构完整、功能完善，符合技术要求，能够很好的满足采购人使用需求，得</w:t>
            </w:r>
            <w:r>
              <w:rPr>
                <w:rFonts w:ascii="仿宋" w:hAnsi="仿宋" w:eastAsia="仿宋"/>
                <w:szCs w:val="21"/>
                <w:lang w:bidi="en-US"/>
              </w:rPr>
              <w:t>4</w:t>
            </w:r>
            <w:r>
              <w:rPr>
                <w:rFonts w:hint="eastAsia" w:ascii="仿宋" w:hAnsi="仿宋" w:eastAsia="仿宋"/>
                <w:szCs w:val="21"/>
                <w:lang w:bidi="en-US"/>
              </w:rPr>
              <w:t>分；</w:t>
            </w:r>
          </w:p>
          <w:p>
            <w:pPr>
              <w:widowControl/>
              <w:ind w:firstLine="420"/>
              <w:contextualSpacing/>
              <w:rPr>
                <w:rFonts w:ascii="仿宋" w:hAnsi="仿宋" w:eastAsia="仿宋"/>
                <w:szCs w:val="21"/>
                <w:lang w:bidi="en-US"/>
              </w:rPr>
            </w:pPr>
            <w:r>
              <w:rPr>
                <w:rFonts w:hint="eastAsia" w:ascii="仿宋" w:hAnsi="仿宋" w:eastAsia="仿宋"/>
                <w:szCs w:val="21"/>
                <w:lang w:bidi="en-US"/>
              </w:rPr>
              <w:t>2）提交的服务方案未涵盖全部内容和功能，有部分漏项；或者提交的方案结构不够完整，功能欠完善，需要进行稍微调整才能满足采购人使用需求，得</w:t>
            </w:r>
            <w:r>
              <w:rPr>
                <w:rFonts w:ascii="仿宋" w:hAnsi="仿宋" w:eastAsia="仿宋"/>
                <w:szCs w:val="21"/>
                <w:lang w:bidi="en-US"/>
              </w:rPr>
              <w:t>2</w:t>
            </w:r>
            <w:r>
              <w:rPr>
                <w:rFonts w:hint="eastAsia" w:ascii="仿宋" w:hAnsi="仿宋" w:eastAsia="仿宋"/>
                <w:szCs w:val="21"/>
                <w:lang w:bidi="en-US"/>
              </w:rPr>
              <w:t>分；</w:t>
            </w:r>
          </w:p>
          <w:p>
            <w:pPr>
              <w:widowControl/>
              <w:ind w:firstLine="420"/>
              <w:contextualSpacing/>
              <w:rPr>
                <w:rFonts w:ascii="仿宋" w:hAnsi="仿宋" w:eastAsia="仿宋"/>
                <w:szCs w:val="21"/>
                <w:lang w:bidi="en-US"/>
              </w:rPr>
            </w:pPr>
            <w:r>
              <w:rPr>
                <w:rFonts w:ascii="仿宋" w:hAnsi="仿宋" w:eastAsia="仿宋"/>
                <w:szCs w:val="21"/>
                <w:lang w:bidi="en-US"/>
              </w:rPr>
              <w:t>3</w:t>
            </w:r>
            <w:r>
              <w:rPr>
                <w:rFonts w:hint="eastAsia" w:ascii="仿宋" w:hAnsi="仿宋" w:eastAsia="仿宋"/>
                <w:szCs w:val="21"/>
                <w:lang w:bidi="en-US"/>
              </w:rPr>
              <w:t>）未提交服务方案或提交的方案不能满足采购人使用需求，存在有较大偏差，得0分。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pPr>
              <w:rPr>
                <w:rFonts w:ascii="仿宋" w:hAnsi="仿宋" w:eastAsia="仿宋"/>
                <w:color w:val="993300"/>
                <w:szCs w:val="21"/>
              </w:rPr>
            </w:pPr>
          </w:p>
        </w:tc>
        <w:tc>
          <w:tcPr>
            <w:tcW w:w="1211" w:type="dxa"/>
            <w:vAlign w:val="center"/>
          </w:tcPr>
          <w:p>
            <w:pPr>
              <w:widowControl/>
              <w:ind w:firstLine="420"/>
              <w:contextualSpacing/>
              <w:jc w:val="center"/>
              <w:rPr>
                <w:rFonts w:ascii="仿宋" w:hAnsi="仿宋" w:eastAsia="仿宋"/>
                <w:szCs w:val="21"/>
                <w:lang w:bidi="en-US"/>
              </w:rPr>
            </w:pPr>
            <w:r>
              <w:rPr>
                <w:rFonts w:hint="eastAsia" w:ascii="仿宋" w:hAnsi="仿宋" w:eastAsia="仿宋"/>
                <w:szCs w:val="21"/>
                <w:lang w:bidi="en-US"/>
              </w:rPr>
              <w:t>赛事通讯系统方案（</w:t>
            </w:r>
            <w:r>
              <w:rPr>
                <w:rFonts w:ascii="仿宋" w:hAnsi="仿宋" w:eastAsia="仿宋"/>
                <w:szCs w:val="21"/>
                <w:lang w:bidi="en-US"/>
              </w:rPr>
              <w:t>6</w:t>
            </w:r>
            <w:r>
              <w:rPr>
                <w:rFonts w:hint="eastAsia" w:ascii="仿宋" w:hAnsi="仿宋" w:eastAsia="仿宋"/>
                <w:szCs w:val="21"/>
                <w:lang w:bidi="en-US"/>
              </w:rPr>
              <w:t>分）</w:t>
            </w: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根据投标人对十四运会和残特奥会</w:t>
            </w:r>
            <w:r>
              <w:rPr>
                <w:rFonts w:hint="eastAsia" w:ascii="仿宋" w:hAnsi="仿宋" w:eastAsia="仿宋"/>
                <w:szCs w:val="21"/>
                <w:lang w:bidi="en-US"/>
              </w:rPr>
              <w:t>赛事通讯系统</w:t>
            </w:r>
            <w:r>
              <w:rPr>
                <w:rFonts w:ascii="仿宋" w:hAnsi="仿宋" w:eastAsia="仿宋"/>
                <w:szCs w:val="21"/>
                <w:lang w:bidi="en-US"/>
              </w:rPr>
              <w:t>服务需求的理解程度，技术架构的先进性、技术指标的合理性、技术指标测算的科学性，设计方案的亮点与特色等方面，进行综合评分，</w:t>
            </w:r>
            <w:r>
              <w:rPr>
                <w:rFonts w:hint="eastAsia" w:ascii="仿宋" w:hAnsi="仿宋" w:eastAsia="仿宋"/>
                <w:szCs w:val="21"/>
                <w:lang w:bidi="en-US"/>
              </w:rPr>
              <w:t>本项满分6分。</w:t>
            </w:r>
          </w:p>
          <w:p>
            <w:pPr>
              <w:widowControl/>
              <w:ind w:firstLine="420"/>
              <w:contextualSpacing/>
              <w:rPr>
                <w:rFonts w:ascii="仿宋" w:hAnsi="仿宋" w:eastAsia="仿宋"/>
                <w:szCs w:val="21"/>
                <w:lang w:bidi="en-US"/>
              </w:rPr>
            </w:pPr>
            <w:r>
              <w:rPr>
                <w:rFonts w:hint="eastAsia" w:ascii="仿宋" w:hAnsi="仿宋" w:eastAsia="仿宋"/>
                <w:szCs w:val="21"/>
                <w:lang w:bidi="en-US"/>
              </w:rPr>
              <w:t>1）提交的服务方案结构完整、功能完善，符合技术要求，能够很好的满足采购人使用需求，得</w:t>
            </w:r>
            <w:r>
              <w:rPr>
                <w:rFonts w:ascii="仿宋" w:hAnsi="仿宋" w:eastAsia="仿宋"/>
                <w:szCs w:val="21"/>
                <w:lang w:bidi="en-US"/>
              </w:rPr>
              <w:t>6</w:t>
            </w:r>
            <w:r>
              <w:rPr>
                <w:rFonts w:hint="eastAsia" w:ascii="仿宋" w:hAnsi="仿宋" w:eastAsia="仿宋"/>
                <w:szCs w:val="21"/>
                <w:lang w:bidi="en-US"/>
              </w:rPr>
              <w:t>分；</w:t>
            </w:r>
          </w:p>
          <w:p>
            <w:pPr>
              <w:widowControl/>
              <w:ind w:firstLine="420"/>
              <w:contextualSpacing/>
              <w:rPr>
                <w:rFonts w:ascii="仿宋" w:hAnsi="仿宋" w:eastAsia="仿宋"/>
                <w:szCs w:val="21"/>
                <w:lang w:bidi="en-US"/>
              </w:rPr>
            </w:pPr>
            <w:r>
              <w:rPr>
                <w:rFonts w:hint="eastAsia" w:ascii="仿宋" w:hAnsi="仿宋" w:eastAsia="仿宋"/>
                <w:szCs w:val="21"/>
                <w:lang w:bidi="en-US"/>
              </w:rPr>
              <w:t>2）提交的服务方案未涵盖全部内容和功能，有部分漏项；或者提交的方案结构不够完整，功能欠完善，需要进行稍微调整才能满足采购人使用需求，得</w:t>
            </w:r>
            <w:r>
              <w:rPr>
                <w:rFonts w:ascii="仿宋" w:hAnsi="仿宋" w:eastAsia="仿宋"/>
                <w:szCs w:val="21"/>
                <w:lang w:bidi="en-US"/>
              </w:rPr>
              <w:t>3</w:t>
            </w:r>
            <w:r>
              <w:rPr>
                <w:rFonts w:hint="eastAsia" w:ascii="仿宋" w:hAnsi="仿宋" w:eastAsia="仿宋"/>
                <w:szCs w:val="21"/>
                <w:lang w:bidi="en-US"/>
              </w:rPr>
              <w:t>分；</w:t>
            </w:r>
          </w:p>
          <w:p>
            <w:pPr>
              <w:widowControl/>
              <w:ind w:firstLine="420"/>
              <w:contextualSpacing/>
              <w:rPr>
                <w:rFonts w:ascii="仿宋" w:hAnsi="仿宋" w:eastAsia="仿宋"/>
                <w:szCs w:val="21"/>
                <w:lang w:bidi="en-US"/>
              </w:rPr>
            </w:pPr>
            <w:r>
              <w:rPr>
                <w:rFonts w:ascii="仿宋" w:hAnsi="仿宋" w:eastAsia="仿宋"/>
                <w:szCs w:val="21"/>
                <w:lang w:bidi="en-US"/>
              </w:rPr>
              <w:t>3</w:t>
            </w:r>
            <w:r>
              <w:rPr>
                <w:rFonts w:hint="eastAsia" w:ascii="仿宋" w:hAnsi="仿宋" w:eastAsia="仿宋"/>
                <w:szCs w:val="21"/>
                <w:lang w:bidi="en-US"/>
              </w:rPr>
              <w:t>）未提交服务方案或提交的方案不能满足采购人使用需求，存在有较大偏差，得0分。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pPr>
              <w:rPr>
                <w:rFonts w:ascii="仿宋" w:hAnsi="仿宋" w:eastAsia="仿宋"/>
                <w:color w:val="993300"/>
                <w:szCs w:val="21"/>
              </w:rPr>
            </w:pPr>
          </w:p>
        </w:tc>
        <w:tc>
          <w:tcPr>
            <w:tcW w:w="1211" w:type="dxa"/>
            <w:vAlign w:val="center"/>
          </w:tcPr>
          <w:p>
            <w:pPr>
              <w:widowControl/>
              <w:ind w:firstLine="420"/>
              <w:contextualSpacing/>
              <w:jc w:val="center"/>
              <w:rPr>
                <w:rFonts w:ascii="仿宋" w:hAnsi="仿宋" w:eastAsia="仿宋"/>
                <w:szCs w:val="21"/>
                <w:lang w:bidi="en-US"/>
              </w:rPr>
            </w:pPr>
            <w:r>
              <w:rPr>
                <w:rFonts w:hint="eastAsia" w:ascii="仿宋" w:hAnsi="仿宋" w:eastAsia="仿宋"/>
                <w:szCs w:val="21"/>
                <w:lang w:bidi="en-US"/>
              </w:rPr>
              <w:t>注册管理系统方案（</w:t>
            </w:r>
            <w:r>
              <w:rPr>
                <w:rFonts w:ascii="仿宋" w:hAnsi="仿宋" w:eastAsia="仿宋"/>
                <w:szCs w:val="21"/>
                <w:lang w:bidi="en-US"/>
              </w:rPr>
              <w:t>9</w:t>
            </w:r>
            <w:r>
              <w:rPr>
                <w:rFonts w:hint="eastAsia" w:ascii="仿宋" w:hAnsi="仿宋" w:eastAsia="仿宋"/>
                <w:szCs w:val="21"/>
                <w:lang w:bidi="en-US"/>
              </w:rPr>
              <w:t>分）</w:t>
            </w: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根据投标人对十四运会和残特奥会</w:t>
            </w:r>
            <w:r>
              <w:rPr>
                <w:rFonts w:hint="eastAsia" w:ascii="仿宋" w:hAnsi="仿宋" w:eastAsia="仿宋"/>
                <w:szCs w:val="21"/>
                <w:lang w:bidi="en-US"/>
              </w:rPr>
              <w:t>注册管理系统</w:t>
            </w:r>
            <w:r>
              <w:rPr>
                <w:rFonts w:ascii="仿宋" w:hAnsi="仿宋" w:eastAsia="仿宋"/>
                <w:szCs w:val="21"/>
                <w:lang w:bidi="en-US"/>
              </w:rPr>
              <w:t>服务需求的理解程度，技术架构的先进性、技术指标的合理性、技术指标测算的科学性，设计方案的亮点与特色等方面，进行综合评分，</w:t>
            </w:r>
            <w:r>
              <w:rPr>
                <w:rFonts w:hint="eastAsia" w:ascii="仿宋" w:hAnsi="仿宋" w:eastAsia="仿宋"/>
                <w:szCs w:val="21"/>
                <w:lang w:bidi="en-US"/>
              </w:rPr>
              <w:t>本项满分9分。</w:t>
            </w:r>
          </w:p>
          <w:p>
            <w:pPr>
              <w:widowControl/>
              <w:ind w:firstLine="420"/>
              <w:contextualSpacing/>
              <w:rPr>
                <w:rFonts w:ascii="仿宋" w:hAnsi="仿宋" w:eastAsia="仿宋"/>
                <w:szCs w:val="21"/>
                <w:lang w:bidi="en-US"/>
              </w:rPr>
            </w:pPr>
            <w:r>
              <w:rPr>
                <w:rFonts w:hint="eastAsia" w:ascii="仿宋" w:hAnsi="仿宋" w:eastAsia="仿宋"/>
                <w:szCs w:val="21"/>
                <w:lang w:bidi="en-US"/>
              </w:rPr>
              <w:t>1）提交的服务方案结构完整、功能完善，符合技术要求，能够很好的满足采购人使用需求，得</w:t>
            </w:r>
            <w:r>
              <w:rPr>
                <w:rFonts w:ascii="仿宋" w:hAnsi="仿宋" w:eastAsia="仿宋"/>
                <w:szCs w:val="21"/>
                <w:lang w:bidi="en-US"/>
              </w:rPr>
              <w:t>9</w:t>
            </w:r>
            <w:r>
              <w:rPr>
                <w:rFonts w:hint="eastAsia" w:ascii="仿宋" w:hAnsi="仿宋" w:eastAsia="仿宋"/>
                <w:szCs w:val="21"/>
                <w:lang w:bidi="en-US"/>
              </w:rPr>
              <w:t>分；</w:t>
            </w:r>
          </w:p>
          <w:p>
            <w:pPr>
              <w:widowControl/>
              <w:ind w:firstLine="420"/>
              <w:contextualSpacing/>
              <w:rPr>
                <w:rFonts w:ascii="仿宋" w:hAnsi="仿宋" w:eastAsia="仿宋"/>
                <w:szCs w:val="21"/>
                <w:lang w:bidi="en-US"/>
              </w:rPr>
            </w:pPr>
            <w:r>
              <w:rPr>
                <w:rFonts w:hint="eastAsia" w:ascii="仿宋" w:hAnsi="仿宋" w:eastAsia="仿宋"/>
                <w:szCs w:val="21"/>
                <w:lang w:bidi="en-US"/>
              </w:rPr>
              <w:t>2）提交的服务方案未涵盖全部内容和功能，有部分漏项；或者提交的方案结构不够完整，功能欠完善，需要进行稍微调整才能满足采购人使用需求，得</w:t>
            </w:r>
            <w:r>
              <w:rPr>
                <w:rFonts w:ascii="仿宋" w:hAnsi="仿宋" w:eastAsia="仿宋"/>
                <w:szCs w:val="21"/>
                <w:lang w:bidi="en-US"/>
              </w:rPr>
              <w:t>5</w:t>
            </w:r>
            <w:r>
              <w:rPr>
                <w:rFonts w:hint="eastAsia" w:ascii="仿宋" w:hAnsi="仿宋" w:eastAsia="仿宋"/>
                <w:szCs w:val="21"/>
                <w:lang w:bidi="en-US"/>
              </w:rPr>
              <w:t>分；</w:t>
            </w:r>
          </w:p>
          <w:p>
            <w:pPr>
              <w:widowControl/>
              <w:ind w:firstLine="420"/>
              <w:contextualSpacing/>
              <w:rPr>
                <w:rFonts w:ascii="仿宋" w:hAnsi="仿宋" w:eastAsia="仿宋"/>
                <w:szCs w:val="21"/>
                <w:lang w:bidi="en-US"/>
              </w:rPr>
            </w:pPr>
            <w:r>
              <w:rPr>
                <w:rFonts w:hint="eastAsia" w:ascii="仿宋" w:hAnsi="仿宋" w:eastAsia="仿宋"/>
                <w:szCs w:val="21"/>
                <w:lang w:bidi="en-US"/>
              </w:rPr>
              <w:t>3）提交的服务方案涵盖内容缺陷较多，方案不完整，需要进行较大调整才能满足采购人使用需求，得</w:t>
            </w:r>
            <w:r>
              <w:rPr>
                <w:rFonts w:ascii="仿宋" w:hAnsi="仿宋" w:eastAsia="仿宋"/>
                <w:szCs w:val="21"/>
                <w:lang w:bidi="en-US"/>
              </w:rPr>
              <w:t>3</w:t>
            </w:r>
            <w:r>
              <w:rPr>
                <w:rFonts w:hint="eastAsia" w:ascii="仿宋" w:hAnsi="仿宋" w:eastAsia="仿宋"/>
                <w:szCs w:val="21"/>
                <w:lang w:bidi="en-US"/>
              </w:rPr>
              <w:t>分；</w:t>
            </w:r>
          </w:p>
          <w:p>
            <w:pPr>
              <w:widowControl/>
              <w:ind w:firstLine="420"/>
              <w:contextualSpacing/>
              <w:rPr>
                <w:rFonts w:ascii="仿宋" w:hAnsi="仿宋" w:eastAsia="仿宋"/>
                <w:szCs w:val="21"/>
                <w:lang w:bidi="en-US"/>
              </w:rPr>
            </w:pPr>
            <w:r>
              <w:rPr>
                <w:rFonts w:hint="eastAsia" w:ascii="仿宋" w:hAnsi="仿宋" w:eastAsia="仿宋"/>
                <w:szCs w:val="21"/>
                <w:lang w:bidi="en-US"/>
              </w:rPr>
              <w:t>4）未提交服务方案或提交的方案不能满足采购人使用需求，存在有较大偏差，得0分。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pPr>
              <w:rPr>
                <w:rFonts w:ascii="仿宋" w:hAnsi="仿宋" w:eastAsia="仿宋"/>
                <w:color w:val="993300"/>
                <w:szCs w:val="21"/>
              </w:rPr>
            </w:pPr>
          </w:p>
        </w:tc>
        <w:tc>
          <w:tcPr>
            <w:tcW w:w="1211" w:type="dxa"/>
            <w:vAlign w:val="center"/>
          </w:tcPr>
          <w:p>
            <w:pPr>
              <w:widowControl/>
              <w:ind w:firstLine="420"/>
              <w:contextualSpacing/>
              <w:jc w:val="center"/>
              <w:rPr>
                <w:rFonts w:ascii="仿宋" w:hAnsi="仿宋" w:eastAsia="仿宋"/>
                <w:szCs w:val="21"/>
                <w:lang w:bidi="en-US"/>
              </w:rPr>
            </w:pPr>
            <w:r>
              <w:rPr>
                <w:rFonts w:hint="eastAsia" w:ascii="仿宋" w:hAnsi="仿宋" w:eastAsia="仿宋"/>
                <w:szCs w:val="21"/>
                <w:lang w:bidi="en-US"/>
              </w:rPr>
              <w:t>抵离管理系统方案</w:t>
            </w:r>
          </w:p>
          <w:p>
            <w:pPr>
              <w:widowControl/>
              <w:ind w:firstLine="420"/>
              <w:contextualSpacing/>
              <w:jc w:val="center"/>
              <w:rPr>
                <w:rFonts w:ascii="仿宋" w:hAnsi="仿宋" w:eastAsia="仿宋"/>
                <w:szCs w:val="21"/>
                <w:lang w:bidi="en-US"/>
              </w:rPr>
            </w:pPr>
            <w:r>
              <w:rPr>
                <w:rFonts w:hint="eastAsia" w:ascii="仿宋" w:hAnsi="仿宋" w:eastAsia="仿宋"/>
                <w:szCs w:val="21"/>
                <w:lang w:bidi="en-US"/>
              </w:rPr>
              <w:t>（</w:t>
            </w:r>
            <w:r>
              <w:rPr>
                <w:rFonts w:ascii="仿宋" w:hAnsi="仿宋" w:eastAsia="仿宋"/>
                <w:szCs w:val="21"/>
                <w:lang w:bidi="en-US"/>
              </w:rPr>
              <w:t>3</w:t>
            </w:r>
            <w:r>
              <w:rPr>
                <w:rFonts w:hint="eastAsia" w:ascii="仿宋" w:hAnsi="仿宋" w:eastAsia="仿宋"/>
                <w:szCs w:val="21"/>
                <w:lang w:bidi="en-US"/>
              </w:rPr>
              <w:t>分）</w:t>
            </w: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根据投标人对十四运会和残特奥会</w:t>
            </w:r>
            <w:r>
              <w:rPr>
                <w:rFonts w:hint="eastAsia" w:ascii="仿宋" w:hAnsi="仿宋" w:eastAsia="仿宋"/>
                <w:szCs w:val="21"/>
                <w:lang w:bidi="en-US"/>
              </w:rPr>
              <w:t>抵离管理系统</w:t>
            </w:r>
            <w:r>
              <w:rPr>
                <w:rFonts w:ascii="仿宋" w:hAnsi="仿宋" w:eastAsia="仿宋"/>
                <w:szCs w:val="21"/>
                <w:lang w:bidi="en-US"/>
              </w:rPr>
              <w:t>服务需求的理解程度，技术架构的先进性、技术指标的合理性、技术指标测算的科学性，设计方案的亮点与特色等方面，进行综合评分，</w:t>
            </w:r>
            <w:r>
              <w:rPr>
                <w:rFonts w:hint="eastAsia" w:ascii="仿宋" w:hAnsi="仿宋" w:eastAsia="仿宋"/>
                <w:szCs w:val="21"/>
                <w:lang w:bidi="en-US"/>
              </w:rPr>
              <w:t>本项满分3分</w:t>
            </w:r>
            <w:r>
              <w:rPr>
                <w:rFonts w:ascii="仿宋" w:hAnsi="仿宋" w:eastAsia="仿宋"/>
                <w:szCs w:val="21"/>
                <w:lang w:bidi="en-US"/>
              </w:rPr>
              <w:t>。</w:t>
            </w:r>
          </w:p>
          <w:p>
            <w:pPr>
              <w:widowControl/>
              <w:ind w:firstLine="420"/>
              <w:contextualSpacing/>
              <w:rPr>
                <w:rFonts w:ascii="仿宋" w:hAnsi="仿宋" w:eastAsia="仿宋"/>
                <w:szCs w:val="21"/>
                <w:lang w:bidi="en-US"/>
              </w:rPr>
            </w:pPr>
            <w:r>
              <w:rPr>
                <w:rFonts w:hint="eastAsia" w:ascii="仿宋" w:hAnsi="仿宋" w:eastAsia="仿宋"/>
                <w:szCs w:val="21"/>
                <w:lang w:bidi="en-US"/>
              </w:rPr>
              <w:t>1）提交的服务方案结构完整、功能完善，符合技术要求，能够很好的满足采购人使用需求，得</w:t>
            </w:r>
            <w:r>
              <w:rPr>
                <w:rFonts w:ascii="仿宋" w:hAnsi="仿宋" w:eastAsia="仿宋"/>
                <w:szCs w:val="21"/>
                <w:lang w:bidi="en-US"/>
              </w:rPr>
              <w:t>3</w:t>
            </w:r>
            <w:r>
              <w:rPr>
                <w:rFonts w:hint="eastAsia" w:ascii="仿宋" w:hAnsi="仿宋" w:eastAsia="仿宋"/>
                <w:szCs w:val="21"/>
                <w:lang w:bidi="en-US"/>
              </w:rPr>
              <w:t>分；</w:t>
            </w:r>
          </w:p>
          <w:p>
            <w:pPr>
              <w:widowControl/>
              <w:ind w:firstLine="420"/>
              <w:contextualSpacing/>
              <w:rPr>
                <w:rFonts w:ascii="仿宋" w:hAnsi="仿宋" w:eastAsia="仿宋"/>
                <w:szCs w:val="21"/>
                <w:lang w:bidi="en-US"/>
              </w:rPr>
            </w:pPr>
            <w:r>
              <w:rPr>
                <w:rFonts w:hint="eastAsia" w:ascii="仿宋" w:hAnsi="仿宋" w:eastAsia="仿宋"/>
                <w:szCs w:val="21"/>
                <w:lang w:bidi="en-US"/>
              </w:rPr>
              <w:t>2）提交的服务方案未涵盖全部内容和功能，有部分漏项；或者提交的方案结构不够完整，功能欠完善，需要进行稍微调整才能满足采购人使用需求，得</w:t>
            </w:r>
            <w:r>
              <w:rPr>
                <w:rFonts w:ascii="仿宋" w:hAnsi="仿宋" w:eastAsia="仿宋"/>
                <w:szCs w:val="21"/>
                <w:lang w:bidi="en-US"/>
              </w:rPr>
              <w:t>1</w:t>
            </w:r>
            <w:r>
              <w:rPr>
                <w:rFonts w:hint="eastAsia" w:ascii="仿宋" w:hAnsi="仿宋" w:eastAsia="仿宋"/>
                <w:szCs w:val="21"/>
                <w:lang w:bidi="en-US"/>
              </w:rPr>
              <w:t>分；</w:t>
            </w:r>
          </w:p>
          <w:p>
            <w:pPr>
              <w:widowControl/>
              <w:ind w:firstLine="420"/>
              <w:contextualSpacing/>
              <w:rPr>
                <w:rFonts w:ascii="仿宋" w:hAnsi="仿宋" w:eastAsia="仿宋"/>
                <w:szCs w:val="21"/>
                <w:lang w:bidi="en-US"/>
              </w:rPr>
            </w:pPr>
            <w:r>
              <w:rPr>
                <w:rFonts w:hint="eastAsia" w:ascii="仿宋" w:hAnsi="仿宋" w:eastAsia="仿宋"/>
                <w:szCs w:val="21"/>
                <w:lang w:bidi="en-US"/>
              </w:rPr>
              <w:t>3）未提交服务方案或提交的方案不能满足采购人使用需求，存在有较大偏差，得0分。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pPr>
              <w:rPr>
                <w:rFonts w:ascii="仿宋" w:hAnsi="仿宋" w:eastAsia="仿宋"/>
                <w:color w:val="993300"/>
                <w:szCs w:val="21"/>
              </w:rPr>
            </w:pPr>
          </w:p>
        </w:tc>
        <w:tc>
          <w:tcPr>
            <w:tcW w:w="1211" w:type="dxa"/>
            <w:vAlign w:val="center"/>
          </w:tcPr>
          <w:p>
            <w:pPr>
              <w:widowControl/>
              <w:ind w:firstLine="420"/>
              <w:contextualSpacing/>
              <w:jc w:val="center"/>
              <w:rPr>
                <w:rFonts w:ascii="仿宋" w:hAnsi="仿宋" w:eastAsia="仿宋"/>
                <w:szCs w:val="21"/>
                <w:lang w:bidi="en-US"/>
              </w:rPr>
            </w:pPr>
            <w:r>
              <w:rPr>
                <w:rFonts w:hint="eastAsia" w:ascii="仿宋" w:hAnsi="仿宋" w:eastAsia="仿宋"/>
                <w:szCs w:val="21"/>
                <w:lang w:bidi="en-US"/>
              </w:rPr>
              <w:t>礼宾管理系统方案</w:t>
            </w:r>
          </w:p>
          <w:p>
            <w:pPr>
              <w:widowControl/>
              <w:ind w:firstLine="420"/>
              <w:contextualSpacing/>
              <w:jc w:val="center"/>
              <w:rPr>
                <w:rFonts w:ascii="仿宋" w:hAnsi="仿宋" w:eastAsia="仿宋"/>
                <w:szCs w:val="21"/>
                <w:lang w:bidi="en-US"/>
              </w:rPr>
            </w:pPr>
            <w:r>
              <w:rPr>
                <w:rFonts w:hint="eastAsia" w:ascii="仿宋" w:hAnsi="仿宋" w:eastAsia="仿宋"/>
                <w:szCs w:val="21"/>
                <w:lang w:bidi="en-US"/>
              </w:rPr>
              <w:t>（</w:t>
            </w:r>
            <w:r>
              <w:rPr>
                <w:rFonts w:ascii="仿宋" w:hAnsi="仿宋" w:eastAsia="仿宋"/>
                <w:szCs w:val="21"/>
                <w:lang w:bidi="en-US"/>
              </w:rPr>
              <w:t>6</w:t>
            </w:r>
            <w:r>
              <w:rPr>
                <w:rFonts w:hint="eastAsia" w:ascii="仿宋" w:hAnsi="仿宋" w:eastAsia="仿宋"/>
                <w:szCs w:val="21"/>
                <w:lang w:bidi="en-US"/>
              </w:rPr>
              <w:t>分）</w:t>
            </w: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根据投标人对十四运会和残特奥会</w:t>
            </w:r>
            <w:r>
              <w:rPr>
                <w:rFonts w:hint="eastAsia" w:ascii="仿宋" w:hAnsi="仿宋" w:eastAsia="仿宋"/>
                <w:szCs w:val="21"/>
                <w:lang w:bidi="en-US"/>
              </w:rPr>
              <w:t>礼宾管理系统</w:t>
            </w:r>
            <w:r>
              <w:rPr>
                <w:rFonts w:ascii="仿宋" w:hAnsi="仿宋" w:eastAsia="仿宋"/>
                <w:szCs w:val="21"/>
                <w:lang w:bidi="en-US"/>
              </w:rPr>
              <w:t>需求的理解程度，技术架构的先进性、技术指标的合理性、技术指标测算的科学性，设计方案的亮点与特色等方面，进行综合评分，按</w:t>
            </w:r>
            <w:r>
              <w:rPr>
                <w:rFonts w:hint="eastAsia" w:ascii="仿宋" w:hAnsi="仿宋" w:eastAsia="仿宋"/>
                <w:szCs w:val="21"/>
                <w:lang w:bidi="en-US"/>
              </w:rPr>
              <w:t>本项满分6分。</w:t>
            </w:r>
          </w:p>
          <w:p>
            <w:pPr>
              <w:widowControl/>
              <w:ind w:firstLine="420"/>
              <w:contextualSpacing/>
              <w:rPr>
                <w:rFonts w:ascii="仿宋" w:hAnsi="仿宋" w:eastAsia="仿宋"/>
                <w:szCs w:val="21"/>
                <w:lang w:bidi="en-US"/>
              </w:rPr>
            </w:pPr>
            <w:r>
              <w:rPr>
                <w:rFonts w:hint="eastAsia" w:ascii="仿宋" w:hAnsi="仿宋" w:eastAsia="仿宋"/>
                <w:szCs w:val="21"/>
                <w:lang w:bidi="en-US"/>
              </w:rPr>
              <w:t>1）提交的服务方案结构完整、功能完善，符合技术要求，能够很好的满足采购人使用需求，得6分；</w:t>
            </w:r>
          </w:p>
          <w:p>
            <w:pPr>
              <w:widowControl/>
              <w:ind w:firstLine="420"/>
              <w:contextualSpacing/>
              <w:rPr>
                <w:rFonts w:ascii="仿宋" w:hAnsi="仿宋" w:eastAsia="仿宋"/>
                <w:szCs w:val="21"/>
                <w:lang w:bidi="en-US"/>
              </w:rPr>
            </w:pPr>
            <w:r>
              <w:rPr>
                <w:rFonts w:hint="eastAsia" w:ascii="仿宋" w:hAnsi="仿宋" w:eastAsia="仿宋"/>
                <w:szCs w:val="21"/>
                <w:lang w:bidi="en-US"/>
              </w:rPr>
              <w:t>2）提交的服务方案未涵盖全部内容和功能，有部分漏项；或者提交的方案结构不够完整，功能欠完善，需要进行稍微调整才能满足采购人使用需求，得3分；</w:t>
            </w:r>
          </w:p>
          <w:p>
            <w:pPr>
              <w:widowControl/>
              <w:ind w:firstLine="420"/>
              <w:contextualSpacing/>
              <w:rPr>
                <w:rFonts w:ascii="仿宋" w:hAnsi="仿宋" w:eastAsia="仿宋"/>
                <w:szCs w:val="21"/>
                <w:lang w:bidi="en-US"/>
              </w:rPr>
            </w:pPr>
            <w:r>
              <w:rPr>
                <w:rFonts w:hint="eastAsia" w:ascii="仿宋" w:hAnsi="仿宋" w:eastAsia="仿宋"/>
                <w:szCs w:val="21"/>
                <w:lang w:bidi="en-US"/>
              </w:rPr>
              <w:t>3）未提交服务方案或提交的方案不能满足采购人使用需求，存在有较大偏差，得0分。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pPr>
              <w:rPr>
                <w:rFonts w:ascii="仿宋" w:hAnsi="仿宋" w:eastAsia="仿宋"/>
                <w:color w:val="993300"/>
                <w:szCs w:val="21"/>
              </w:rPr>
            </w:pPr>
          </w:p>
        </w:tc>
        <w:tc>
          <w:tcPr>
            <w:tcW w:w="1211" w:type="dxa"/>
            <w:vAlign w:val="center"/>
          </w:tcPr>
          <w:p>
            <w:pPr>
              <w:widowControl/>
              <w:ind w:firstLine="420"/>
              <w:contextualSpacing/>
              <w:jc w:val="center"/>
              <w:rPr>
                <w:rFonts w:ascii="仿宋" w:hAnsi="仿宋" w:eastAsia="仿宋"/>
                <w:szCs w:val="21"/>
                <w:lang w:bidi="en-US"/>
              </w:rPr>
            </w:pPr>
            <w:r>
              <w:rPr>
                <w:rFonts w:hint="eastAsia" w:ascii="仿宋" w:hAnsi="仿宋" w:eastAsia="仿宋"/>
                <w:szCs w:val="21"/>
                <w:lang w:bidi="en-US"/>
              </w:rPr>
              <w:t>医疗管理系统方案</w:t>
            </w:r>
          </w:p>
          <w:p>
            <w:pPr>
              <w:widowControl/>
              <w:ind w:firstLine="420"/>
              <w:contextualSpacing/>
              <w:jc w:val="center"/>
              <w:rPr>
                <w:rFonts w:ascii="仿宋" w:hAnsi="仿宋" w:eastAsia="仿宋"/>
                <w:szCs w:val="21"/>
                <w:lang w:bidi="en-US"/>
              </w:rPr>
            </w:pPr>
            <w:r>
              <w:rPr>
                <w:rFonts w:hint="eastAsia" w:ascii="仿宋" w:hAnsi="仿宋" w:eastAsia="仿宋"/>
                <w:szCs w:val="21"/>
                <w:lang w:bidi="en-US"/>
              </w:rPr>
              <w:t>（</w:t>
            </w:r>
            <w:r>
              <w:rPr>
                <w:rFonts w:ascii="仿宋" w:hAnsi="仿宋" w:eastAsia="仿宋"/>
                <w:szCs w:val="21"/>
                <w:lang w:bidi="en-US"/>
              </w:rPr>
              <w:t>3</w:t>
            </w:r>
            <w:r>
              <w:rPr>
                <w:rFonts w:hint="eastAsia" w:ascii="仿宋" w:hAnsi="仿宋" w:eastAsia="仿宋"/>
                <w:szCs w:val="21"/>
                <w:lang w:bidi="en-US"/>
              </w:rPr>
              <w:t>分）</w:t>
            </w: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根据投标人对十四运会和残特奥会</w:t>
            </w:r>
            <w:r>
              <w:rPr>
                <w:rFonts w:hint="eastAsia" w:ascii="仿宋" w:hAnsi="仿宋" w:eastAsia="仿宋"/>
                <w:szCs w:val="21"/>
                <w:lang w:bidi="en-US"/>
              </w:rPr>
              <w:t>医疗管理系统</w:t>
            </w:r>
            <w:r>
              <w:rPr>
                <w:rFonts w:ascii="仿宋" w:hAnsi="仿宋" w:eastAsia="仿宋"/>
                <w:szCs w:val="21"/>
                <w:lang w:bidi="en-US"/>
              </w:rPr>
              <w:t>服务需求的理解程度，技术架构的先进性、技术指标的合理性、技术指标测算的科学性，设计方案的亮点与特色等方面，进行综合评分，</w:t>
            </w:r>
            <w:r>
              <w:rPr>
                <w:rFonts w:hint="eastAsia" w:ascii="仿宋" w:hAnsi="仿宋" w:eastAsia="仿宋"/>
                <w:szCs w:val="21"/>
                <w:lang w:bidi="en-US"/>
              </w:rPr>
              <w:t>本项满分3分。</w:t>
            </w:r>
          </w:p>
          <w:p>
            <w:pPr>
              <w:widowControl/>
              <w:ind w:firstLine="420"/>
              <w:contextualSpacing/>
              <w:rPr>
                <w:rFonts w:ascii="仿宋" w:hAnsi="仿宋" w:eastAsia="仿宋"/>
                <w:szCs w:val="21"/>
                <w:lang w:bidi="en-US"/>
              </w:rPr>
            </w:pPr>
            <w:r>
              <w:rPr>
                <w:rFonts w:hint="eastAsia" w:ascii="仿宋" w:hAnsi="仿宋" w:eastAsia="仿宋"/>
                <w:szCs w:val="21"/>
                <w:lang w:bidi="en-US"/>
              </w:rPr>
              <w:t>1）提交的服务方案结构完整、功能完善，符合技术要求，能够很好的满足采购人使用需求，得3分；</w:t>
            </w:r>
          </w:p>
          <w:p>
            <w:pPr>
              <w:widowControl/>
              <w:ind w:firstLine="420"/>
              <w:contextualSpacing/>
              <w:rPr>
                <w:rFonts w:ascii="仿宋" w:hAnsi="仿宋" w:eastAsia="仿宋"/>
                <w:szCs w:val="21"/>
                <w:lang w:bidi="en-US"/>
              </w:rPr>
            </w:pPr>
            <w:r>
              <w:rPr>
                <w:rFonts w:hint="eastAsia" w:ascii="仿宋" w:hAnsi="仿宋" w:eastAsia="仿宋"/>
                <w:szCs w:val="21"/>
                <w:lang w:bidi="en-US"/>
              </w:rPr>
              <w:t>2）提交的服务方案未涵盖全部内容和功能，有部分漏项；或者提交的方案结构不够完整，功能欠完善，需要进行稍微调整才能满足采购人使用需求，得1分；</w:t>
            </w:r>
          </w:p>
          <w:p>
            <w:pPr>
              <w:widowControl/>
              <w:ind w:firstLine="420"/>
              <w:contextualSpacing/>
              <w:rPr>
                <w:rFonts w:ascii="仿宋" w:hAnsi="仿宋" w:eastAsia="仿宋"/>
                <w:szCs w:val="21"/>
                <w:lang w:bidi="en-US"/>
              </w:rPr>
            </w:pPr>
            <w:r>
              <w:rPr>
                <w:rFonts w:hint="eastAsia" w:ascii="仿宋" w:hAnsi="仿宋" w:eastAsia="仿宋"/>
                <w:szCs w:val="21"/>
                <w:lang w:bidi="en-US"/>
              </w:rPr>
              <w:t>3）未提交服务方案或提交的方案不能满足采购人使用需求，存在有较大偏差，得0分。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2" w:type="dxa"/>
            <w:vMerge w:val="continue"/>
            <w:vAlign w:val="center"/>
          </w:tcPr>
          <w:p>
            <w:pPr>
              <w:rPr>
                <w:rFonts w:ascii="仿宋" w:hAnsi="仿宋" w:eastAsia="仿宋"/>
                <w:color w:val="993300"/>
                <w:szCs w:val="21"/>
              </w:rPr>
            </w:pPr>
          </w:p>
        </w:tc>
        <w:tc>
          <w:tcPr>
            <w:tcW w:w="1211" w:type="dxa"/>
            <w:vAlign w:val="center"/>
          </w:tcPr>
          <w:p>
            <w:pPr>
              <w:widowControl/>
              <w:ind w:firstLine="420"/>
              <w:contextualSpacing/>
              <w:jc w:val="center"/>
              <w:rPr>
                <w:rFonts w:ascii="仿宋" w:hAnsi="仿宋" w:eastAsia="仿宋"/>
                <w:szCs w:val="21"/>
                <w:lang w:bidi="en-US"/>
              </w:rPr>
            </w:pPr>
            <w:r>
              <w:rPr>
                <w:rFonts w:hint="eastAsia" w:ascii="仿宋" w:hAnsi="仿宋" w:eastAsia="仿宋"/>
                <w:szCs w:val="21"/>
                <w:lang w:bidi="en-US"/>
              </w:rPr>
              <w:t>交通管理系统方案</w:t>
            </w:r>
          </w:p>
          <w:p>
            <w:pPr>
              <w:widowControl/>
              <w:ind w:firstLine="420"/>
              <w:contextualSpacing/>
              <w:jc w:val="center"/>
              <w:rPr>
                <w:rFonts w:ascii="仿宋" w:hAnsi="仿宋" w:eastAsia="仿宋"/>
                <w:szCs w:val="21"/>
                <w:lang w:bidi="en-US"/>
              </w:rPr>
            </w:pPr>
            <w:r>
              <w:rPr>
                <w:rFonts w:hint="eastAsia" w:ascii="仿宋" w:hAnsi="仿宋" w:eastAsia="仿宋"/>
                <w:szCs w:val="21"/>
                <w:lang w:bidi="en-US"/>
              </w:rPr>
              <w:t>（</w:t>
            </w:r>
            <w:r>
              <w:rPr>
                <w:rFonts w:ascii="仿宋" w:hAnsi="仿宋" w:eastAsia="仿宋"/>
                <w:szCs w:val="21"/>
                <w:lang w:bidi="en-US"/>
              </w:rPr>
              <w:t>6</w:t>
            </w:r>
            <w:r>
              <w:rPr>
                <w:rFonts w:hint="eastAsia" w:ascii="仿宋" w:hAnsi="仿宋" w:eastAsia="仿宋"/>
                <w:szCs w:val="21"/>
                <w:lang w:bidi="en-US"/>
              </w:rPr>
              <w:t>分）</w:t>
            </w: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根据投标人对十四运会和残特奥会</w:t>
            </w:r>
            <w:r>
              <w:rPr>
                <w:rFonts w:hint="eastAsia" w:ascii="仿宋" w:hAnsi="仿宋" w:eastAsia="仿宋"/>
                <w:szCs w:val="21"/>
                <w:lang w:bidi="en-US"/>
              </w:rPr>
              <w:t>交通管理系统</w:t>
            </w:r>
            <w:r>
              <w:rPr>
                <w:rFonts w:ascii="仿宋" w:hAnsi="仿宋" w:eastAsia="仿宋"/>
                <w:szCs w:val="21"/>
                <w:lang w:bidi="en-US"/>
              </w:rPr>
              <w:t>服务需求的理解程度，技术架构的先进性、技术指标的合理性、技术指标测算的科学性，设计方案的亮点与特色等方面，进行综合评分，</w:t>
            </w:r>
            <w:r>
              <w:rPr>
                <w:rFonts w:hint="eastAsia" w:ascii="仿宋" w:hAnsi="仿宋" w:eastAsia="仿宋"/>
                <w:szCs w:val="21"/>
                <w:lang w:bidi="en-US"/>
              </w:rPr>
              <w:t>本项满分6分。</w:t>
            </w:r>
          </w:p>
          <w:p>
            <w:pPr>
              <w:widowControl/>
              <w:ind w:firstLine="420"/>
              <w:contextualSpacing/>
              <w:rPr>
                <w:rFonts w:ascii="仿宋" w:hAnsi="仿宋" w:eastAsia="仿宋"/>
                <w:szCs w:val="21"/>
                <w:lang w:bidi="en-US"/>
              </w:rPr>
            </w:pPr>
            <w:r>
              <w:rPr>
                <w:rFonts w:hint="eastAsia" w:ascii="仿宋" w:hAnsi="仿宋" w:eastAsia="仿宋"/>
                <w:szCs w:val="21"/>
                <w:lang w:bidi="en-US"/>
              </w:rPr>
              <w:t>1）提交的服务方案结构完整、功能完善，符合技术要求，能够很好的满足采购人使用需求，得6分；</w:t>
            </w:r>
          </w:p>
          <w:p>
            <w:pPr>
              <w:widowControl/>
              <w:ind w:firstLine="420"/>
              <w:contextualSpacing/>
              <w:rPr>
                <w:rFonts w:ascii="仿宋" w:hAnsi="仿宋" w:eastAsia="仿宋"/>
                <w:szCs w:val="21"/>
                <w:lang w:bidi="en-US"/>
              </w:rPr>
            </w:pPr>
            <w:r>
              <w:rPr>
                <w:rFonts w:hint="eastAsia" w:ascii="仿宋" w:hAnsi="仿宋" w:eastAsia="仿宋"/>
                <w:szCs w:val="21"/>
                <w:lang w:bidi="en-US"/>
              </w:rPr>
              <w:t>2）提交的服务方案未涵盖全部内容和功能，有部分漏项；或者提交的方案结构不够完整，功能欠完善，需要进行稍微调整才能满足采购人使用需求，得3分；</w:t>
            </w:r>
          </w:p>
          <w:p>
            <w:pPr>
              <w:widowControl/>
              <w:ind w:firstLine="420"/>
              <w:contextualSpacing/>
              <w:rPr>
                <w:rFonts w:ascii="仿宋" w:hAnsi="仿宋" w:eastAsia="仿宋"/>
                <w:szCs w:val="21"/>
                <w:lang w:bidi="en-US"/>
              </w:rPr>
            </w:pPr>
            <w:r>
              <w:rPr>
                <w:rFonts w:hint="eastAsia" w:ascii="仿宋" w:hAnsi="仿宋" w:eastAsia="仿宋"/>
                <w:szCs w:val="21"/>
                <w:lang w:bidi="en-US"/>
              </w:rPr>
              <w:t>3）未提交服务方案或提交的方案不能满足采购人使用需求，存在有较大偏差，得0分。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pPr>
              <w:rPr>
                <w:rFonts w:ascii="仿宋" w:hAnsi="仿宋" w:eastAsia="仿宋"/>
                <w:color w:val="993300"/>
                <w:szCs w:val="21"/>
              </w:rPr>
            </w:pPr>
          </w:p>
        </w:tc>
        <w:tc>
          <w:tcPr>
            <w:tcW w:w="1211" w:type="dxa"/>
            <w:vAlign w:val="center"/>
          </w:tcPr>
          <w:p>
            <w:pPr>
              <w:widowControl/>
              <w:ind w:firstLine="420"/>
              <w:contextualSpacing/>
              <w:jc w:val="center"/>
              <w:rPr>
                <w:rFonts w:ascii="仿宋" w:hAnsi="仿宋" w:eastAsia="仿宋"/>
                <w:szCs w:val="21"/>
                <w:lang w:bidi="en-US"/>
              </w:rPr>
            </w:pPr>
            <w:r>
              <w:rPr>
                <w:rFonts w:hint="eastAsia" w:ascii="仿宋" w:hAnsi="仿宋" w:eastAsia="仿宋"/>
                <w:szCs w:val="21"/>
                <w:lang w:bidi="en-US"/>
              </w:rPr>
              <w:t>制服管理系统方案</w:t>
            </w:r>
          </w:p>
          <w:p>
            <w:pPr>
              <w:widowControl/>
              <w:ind w:firstLine="420"/>
              <w:contextualSpacing/>
              <w:jc w:val="center"/>
              <w:rPr>
                <w:rFonts w:ascii="仿宋" w:hAnsi="仿宋" w:eastAsia="仿宋"/>
                <w:szCs w:val="21"/>
                <w:lang w:bidi="en-US"/>
              </w:rPr>
            </w:pPr>
            <w:r>
              <w:rPr>
                <w:rFonts w:hint="eastAsia" w:ascii="仿宋" w:hAnsi="仿宋" w:eastAsia="仿宋"/>
                <w:szCs w:val="21"/>
                <w:lang w:bidi="en-US"/>
              </w:rPr>
              <w:t>（</w:t>
            </w:r>
            <w:r>
              <w:rPr>
                <w:rFonts w:ascii="仿宋" w:hAnsi="仿宋" w:eastAsia="仿宋"/>
                <w:szCs w:val="21"/>
                <w:lang w:bidi="en-US"/>
              </w:rPr>
              <w:t>3</w:t>
            </w:r>
            <w:r>
              <w:rPr>
                <w:rFonts w:hint="eastAsia" w:ascii="仿宋" w:hAnsi="仿宋" w:eastAsia="仿宋"/>
                <w:szCs w:val="21"/>
                <w:lang w:bidi="en-US"/>
              </w:rPr>
              <w:t>分）</w:t>
            </w: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根据投标人对十四运会和残特奥会</w:t>
            </w:r>
            <w:r>
              <w:rPr>
                <w:rFonts w:hint="eastAsia" w:ascii="仿宋" w:hAnsi="仿宋" w:eastAsia="仿宋"/>
                <w:szCs w:val="21"/>
                <w:lang w:bidi="en-US"/>
              </w:rPr>
              <w:t>制服管理系统服务</w:t>
            </w:r>
            <w:r>
              <w:rPr>
                <w:rFonts w:ascii="仿宋" w:hAnsi="仿宋" w:eastAsia="仿宋"/>
                <w:szCs w:val="21"/>
                <w:lang w:bidi="en-US"/>
              </w:rPr>
              <w:t>需求的理解程度，技术架构的先进性、技术指标的合理性、技术指标测算的科学性，设计方案的亮点与特色等方面，进行综合评分，</w:t>
            </w:r>
            <w:r>
              <w:rPr>
                <w:rFonts w:hint="eastAsia" w:ascii="仿宋" w:hAnsi="仿宋" w:eastAsia="仿宋"/>
                <w:szCs w:val="21"/>
                <w:lang w:bidi="en-US"/>
              </w:rPr>
              <w:t>本项满分3分。</w:t>
            </w:r>
          </w:p>
          <w:p>
            <w:pPr>
              <w:widowControl/>
              <w:ind w:firstLine="420"/>
              <w:contextualSpacing/>
              <w:rPr>
                <w:rFonts w:ascii="仿宋" w:hAnsi="仿宋" w:eastAsia="仿宋"/>
                <w:szCs w:val="21"/>
                <w:lang w:bidi="en-US"/>
              </w:rPr>
            </w:pPr>
            <w:r>
              <w:rPr>
                <w:rFonts w:hint="eastAsia" w:ascii="仿宋" w:hAnsi="仿宋" w:eastAsia="仿宋"/>
                <w:szCs w:val="21"/>
                <w:lang w:bidi="en-US"/>
              </w:rPr>
              <w:t>1）提交的服务方案结构完整、功能完善，符合技术要求，能够很好的满足采购人使用需求，得3分；</w:t>
            </w:r>
          </w:p>
          <w:p>
            <w:pPr>
              <w:widowControl/>
              <w:ind w:firstLine="420"/>
              <w:contextualSpacing/>
              <w:rPr>
                <w:rFonts w:ascii="仿宋" w:hAnsi="仿宋" w:eastAsia="仿宋"/>
                <w:szCs w:val="21"/>
                <w:lang w:bidi="en-US"/>
              </w:rPr>
            </w:pPr>
            <w:r>
              <w:rPr>
                <w:rFonts w:hint="eastAsia" w:ascii="仿宋" w:hAnsi="仿宋" w:eastAsia="仿宋"/>
                <w:szCs w:val="21"/>
                <w:lang w:bidi="en-US"/>
              </w:rPr>
              <w:t>2）提交的服务方案未涵盖全部内容和功能，有部分漏项；或者提交的方案结构不够完整，功能欠完善，需要进行稍微调整才能满足采购人使用需求，得1分；</w:t>
            </w:r>
          </w:p>
          <w:p>
            <w:pPr>
              <w:widowControl/>
              <w:ind w:firstLine="420"/>
              <w:contextualSpacing/>
              <w:rPr>
                <w:rFonts w:ascii="仿宋" w:hAnsi="仿宋" w:eastAsia="仿宋"/>
                <w:szCs w:val="21"/>
                <w:lang w:bidi="en-US"/>
              </w:rPr>
            </w:pPr>
            <w:r>
              <w:rPr>
                <w:rFonts w:hint="eastAsia" w:ascii="仿宋" w:hAnsi="仿宋" w:eastAsia="仿宋"/>
                <w:szCs w:val="21"/>
                <w:lang w:bidi="en-US"/>
              </w:rPr>
              <w:t>3）未提交服务方案或提交的方案不能满足采购人使用需求，存在有较大偏差，得0分。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pPr>
              <w:rPr>
                <w:rFonts w:ascii="仿宋" w:hAnsi="仿宋" w:eastAsia="仿宋"/>
                <w:color w:val="993300"/>
                <w:szCs w:val="21"/>
              </w:rPr>
            </w:pPr>
          </w:p>
        </w:tc>
        <w:tc>
          <w:tcPr>
            <w:tcW w:w="1211" w:type="dxa"/>
            <w:vAlign w:val="center"/>
          </w:tcPr>
          <w:p>
            <w:pPr>
              <w:widowControl/>
              <w:ind w:firstLine="420"/>
              <w:contextualSpacing/>
              <w:jc w:val="center"/>
              <w:rPr>
                <w:rFonts w:ascii="仿宋" w:hAnsi="仿宋" w:eastAsia="仿宋"/>
                <w:szCs w:val="21"/>
                <w:lang w:bidi="en-US"/>
              </w:rPr>
            </w:pPr>
            <w:r>
              <w:rPr>
                <w:rFonts w:ascii="仿宋" w:hAnsi="仿宋" w:eastAsia="仿宋"/>
                <w:szCs w:val="21"/>
                <w:lang w:bidi="en-US"/>
              </w:rPr>
              <w:t>应急预案</w:t>
            </w:r>
          </w:p>
          <w:p>
            <w:pPr>
              <w:widowControl/>
              <w:ind w:firstLine="420"/>
              <w:contextualSpacing/>
              <w:jc w:val="center"/>
              <w:rPr>
                <w:rFonts w:ascii="仿宋" w:hAnsi="仿宋" w:eastAsia="仿宋"/>
                <w:szCs w:val="21"/>
                <w:lang w:bidi="en-US"/>
              </w:rPr>
            </w:pPr>
            <w:r>
              <w:rPr>
                <w:rFonts w:hint="eastAsia" w:ascii="仿宋" w:hAnsi="仿宋" w:eastAsia="仿宋"/>
                <w:szCs w:val="21"/>
                <w:lang w:bidi="en-US"/>
              </w:rPr>
              <w:t>（4分）</w:t>
            </w: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根据投标人所提供的应急预案完整性、合理性、可行性等方面，进行综合评分，本</w:t>
            </w:r>
            <w:r>
              <w:rPr>
                <w:rFonts w:hint="eastAsia" w:ascii="仿宋" w:hAnsi="仿宋" w:eastAsia="仿宋"/>
                <w:szCs w:val="21"/>
                <w:lang w:bidi="en-US"/>
              </w:rPr>
              <w:t>项满分4分。</w:t>
            </w:r>
          </w:p>
          <w:p>
            <w:pPr>
              <w:widowControl/>
              <w:ind w:firstLine="420"/>
              <w:contextualSpacing/>
              <w:rPr>
                <w:rFonts w:ascii="仿宋" w:hAnsi="仿宋" w:eastAsia="仿宋"/>
                <w:szCs w:val="21"/>
                <w:lang w:bidi="en-US"/>
              </w:rPr>
            </w:pPr>
            <w:r>
              <w:rPr>
                <w:rFonts w:hint="eastAsia" w:ascii="仿宋" w:hAnsi="仿宋" w:eastAsia="仿宋"/>
                <w:szCs w:val="21"/>
                <w:lang w:bidi="en-US"/>
              </w:rPr>
              <w:t>1）提交的应急预案内容完整、合理、可行，得</w:t>
            </w:r>
            <w:r>
              <w:rPr>
                <w:rFonts w:ascii="仿宋" w:hAnsi="仿宋" w:eastAsia="仿宋"/>
                <w:szCs w:val="21"/>
                <w:lang w:bidi="en-US"/>
              </w:rPr>
              <w:t>4</w:t>
            </w:r>
            <w:r>
              <w:rPr>
                <w:rFonts w:hint="eastAsia" w:ascii="仿宋" w:hAnsi="仿宋" w:eastAsia="仿宋"/>
                <w:szCs w:val="21"/>
                <w:lang w:bidi="en-US"/>
              </w:rPr>
              <w:t>分；</w:t>
            </w:r>
          </w:p>
          <w:p>
            <w:pPr>
              <w:widowControl/>
              <w:ind w:firstLine="420"/>
              <w:contextualSpacing/>
              <w:rPr>
                <w:rFonts w:ascii="仿宋" w:hAnsi="仿宋" w:eastAsia="仿宋"/>
                <w:szCs w:val="21"/>
                <w:lang w:bidi="en-US"/>
              </w:rPr>
            </w:pPr>
            <w:r>
              <w:rPr>
                <w:rFonts w:hint="eastAsia" w:ascii="仿宋" w:hAnsi="仿宋" w:eastAsia="仿宋"/>
                <w:szCs w:val="21"/>
                <w:lang w:bidi="en-US"/>
              </w:rPr>
              <w:t>2）提交的应急预案内容较完整、较合理、较为可行，得3分；</w:t>
            </w:r>
          </w:p>
          <w:p>
            <w:pPr>
              <w:widowControl/>
              <w:ind w:firstLine="420"/>
              <w:contextualSpacing/>
              <w:rPr>
                <w:rFonts w:ascii="仿宋" w:hAnsi="仿宋" w:eastAsia="仿宋"/>
                <w:szCs w:val="21"/>
                <w:lang w:bidi="en-US"/>
              </w:rPr>
            </w:pPr>
            <w:r>
              <w:rPr>
                <w:rFonts w:hint="eastAsia" w:ascii="仿宋" w:hAnsi="仿宋" w:eastAsia="仿宋"/>
                <w:szCs w:val="21"/>
                <w:lang w:bidi="en-US"/>
              </w:rPr>
              <w:t>3）提交的应急预案内容不够完整，功能欠完善，需要进行调整才能满足采购人使用需求，得1分；</w:t>
            </w:r>
          </w:p>
          <w:p>
            <w:pPr>
              <w:widowControl/>
              <w:ind w:firstLine="420"/>
              <w:contextualSpacing/>
              <w:rPr>
                <w:rFonts w:ascii="仿宋" w:hAnsi="仿宋" w:eastAsia="仿宋"/>
                <w:szCs w:val="21"/>
                <w:lang w:bidi="en-US"/>
              </w:rPr>
            </w:pPr>
            <w:r>
              <w:rPr>
                <w:rFonts w:hint="eastAsia" w:ascii="仿宋" w:hAnsi="仿宋" w:eastAsia="仿宋"/>
                <w:szCs w:val="21"/>
                <w:lang w:bidi="en-US"/>
              </w:rPr>
              <w:t>4）提交的应急预案内容不完整、不合理、可行性差，得0分。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pPr>
              <w:rPr>
                <w:rFonts w:ascii="仿宋" w:hAnsi="仿宋" w:eastAsia="仿宋"/>
                <w:color w:val="993300"/>
                <w:szCs w:val="21"/>
              </w:rPr>
            </w:pPr>
          </w:p>
        </w:tc>
        <w:tc>
          <w:tcPr>
            <w:tcW w:w="1211" w:type="dxa"/>
            <w:vAlign w:val="center"/>
          </w:tcPr>
          <w:p>
            <w:pPr>
              <w:widowControl/>
              <w:ind w:firstLine="420"/>
              <w:contextualSpacing/>
              <w:jc w:val="center"/>
              <w:rPr>
                <w:rFonts w:ascii="仿宋" w:hAnsi="仿宋" w:eastAsia="仿宋"/>
                <w:szCs w:val="21"/>
                <w:lang w:bidi="en-US"/>
              </w:rPr>
            </w:pPr>
            <w:r>
              <w:rPr>
                <w:rFonts w:ascii="仿宋" w:hAnsi="仿宋" w:eastAsia="仿宋"/>
                <w:szCs w:val="21"/>
                <w:lang w:bidi="en-US"/>
              </w:rPr>
              <w:t>质量保证计划</w:t>
            </w:r>
          </w:p>
          <w:p>
            <w:pPr>
              <w:widowControl/>
              <w:ind w:firstLine="420"/>
              <w:contextualSpacing/>
              <w:jc w:val="center"/>
              <w:rPr>
                <w:rFonts w:ascii="仿宋" w:hAnsi="仿宋" w:eastAsia="仿宋"/>
                <w:szCs w:val="21"/>
                <w:lang w:bidi="en-US"/>
              </w:rPr>
            </w:pPr>
            <w:r>
              <w:rPr>
                <w:rFonts w:hint="eastAsia" w:ascii="仿宋" w:hAnsi="仿宋" w:eastAsia="仿宋"/>
                <w:szCs w:val="21"/>
                <w:lang w:bidi="en-US"/>
              </w:rPr>
              <w:t>（3分）</w:t>
            </w: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从质量保证范围、质量保证措施、服务水平定义，服务水平保证措施等方面对投标人提供的质量保证计划进行综合评分，按</w:t>
            </w:r>
            <w:r>
              <w:rPr>
                <w:rFonts w:hint="eastAsia" w:ascii="仿宋" w:hAnsi="仿宋" w:eastAsia="仿宋"/>
                <w:szCs w:val="21"/>
                <w:lang w:bidi="en-US"/>
              </w:rPr>
              <w:t>本项满分</w:t>
            </w:r>
            <w:r>
              <w:rPr>
                <w:rFonts w:ascii="仿宋" w:hAnsi="仿宋" w:eastAsia="仿宋"/>
                <w:szCs w:val="21"/>
                <w:lang w:bidi="en-US"/>
              </w:rPr>
              <w:t>3</w:t>
            </w:r>
            <w:r>
              <w:rPr>
                <w:rFonts w:hint="eastAsia" w:ascii="仿宋" w:hAnsi="仿宋" w:eastAsia="仿宋"/>
                <w:szCs w:val="21"/>
                <w:lang w:bidi="en-US"/>
              </w:rPr>
              <w:t>分。</w:t>
            </w:r>
          </w:p>
          <w:p>
            <w:pPr>
              <w:widowControl/>
              <w:ind w:firstLine="420"/>
              <w:contextualSpacing/>
              <w:rPr>
                <w:rFonts w:ascii="仿宋" w:hAnsi="仿宋" w:eastAsia="仿宋"/>
                <w:szCs w:val="21"/>
                <w:lang w:bidi="en-US"/>
              </w:rPr>
            </w:pPr>
            <w:r>
              <w:rPr>
                <w:rFonts w:hint="eastAsia" w:ascii="仿宋" w:hAnsi="仿宋" w:eastAsia="仿宋"/>
                <w:szCs w:val="21"/>
                <w:lang w:bidi="en-US"/>
              </w:rPr>
              <w:t>1）提交的质量保证计划内容完整、合理、可行，得</w:t>
            </w:r>
            <w:r>
              <w:rPr>
                <w:rFonts w:ascii="仿宋" w:hAnsi="仿宋" w:eastAsia="仿宋"/>
                <w:szCs w:val="21"/>
                <w:lang w:bidi="en-US"/>
              </w:rPr>
              <w:t>3</w:t>
            </w:r>
            <w:r>
              <w:rPr>
                <w:rFonts w:hint="eastAsia" w:ascii="仿宋" w:hAnsi="仿宋" w:eastAsia="仿宋"/>
                <w:szCs w:val="21"/>
                <w:lang w:bidi="en-US"/>
              </w:rPr>
              <w:t>分；</w:t>
            </w:r>
          </w:p>
          <w:p>
            <w:pPr>
              <w:widowControl/>
              <w:ind w:firstLine="420"/>
              <w:contextualSpacing/>
              <w:rPr>
                <w:rFonts w:ascii="仿宋" w:hAnsi="仿宋" w:eastAsia="仿宋"/>
                <w:szCs w:val="21"/>
                <w:lang w:bidi="en-US"/>
              </w:rPr>
            </w:pPr>
            <w:r>
              <w:rPr>
                <w:rFonts w:ascii="仿宋" w:hAnsi="仿宋" w:eastAsia="仿宋"/>
                <w:szCs w:val="21"/>
                <w:lang w:bidi="en-US"/>
              </w:rPr>
              <w:t>2</w:t>
            </w:r>
            <w:r>
              <w:rPr>
                <w:rFonts w:hint="eastAsia" w:ascii="仿宋" w:hAnsi="仿宋" w:eastAsia="仿宋"/>
                <w:szCs w:val="21"/>
                <w:lang w:bidi="en-US"/>
              </w:rPr>
              <w:t>）提交的质量保证计划内容一般完整、一般合理、可行性一般，得1分；</w:t>
            </w:r>
          </w:p>
          <w:p>
            <w:pPr>
              <w:widowControl/>
              <w:ind w:firstLine="420"/>
              <w:contextualSpacing/>
              <w:rPr>
                <w:rFonts w:ascii="仿宋" w:hAnsi="仿宋" w:eastAsia="仿宋"/>
                <w:szCs w:val="21"/>
                <w:lang w:bidi="en-US"/>
              </w:rPr>
            </w:pPr>
            <w:r>
              <w:rPr>
                <w:rFonts w:ascii="仿宋" w:hAnsi="仿宋" w:eastAsia="仿宋"/>
                <w:szCs w:val="21"/>
                <w:lang w:bidi="en-US"/>
              </w:rPr>
              <w:t>3</w:t>
            </w:r>
            <w:r>
              <w:rPr>
                <w:rFonts w:hint="eastAsia" w:ascii="仿宋" w:hAnsi="仿宋" w:eastAsia="仿宋"/>
                <w:szCs w:val="21"/>
                <w:lang w:bidi="en-US"/>
              </w:rPr>
              <w:t>）提交的质量保证计划内容不完整、不合理、可行性差，得0分。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pPr>
              <w:rPr>
                <w:rFonts w:ascii="仿宋" w:hAnsi="仿宋" w:eastAsia="仿宋"/>
                <w:color w:val="993300"/>
                <w:szCs w:val="21"/>
              </w:rPr>
            </w:pPr>
          </w:p>
        </w:tc>
        <w:tc>
          <w:tcPr>
            <w:tcW w:w="1211" w:type="dxa"/>
            <w:vAlign w:val="center"/>
          </w:tcPr>
          <w:p>
            <w:pPr>
              <w:widowControl/>
              <w:ind w:firstLine="420"/>
              <w:contextualSpacing/>
              <w:jc w:val="center"/>
              <w:rPr>
                <w:rFonts w:ascii="仿宋" w:hAnsi="仿宋" w:eastAsia="仿宋"/>
                <w:szCs w:val="21"/>
                <w:lang w:bidi="en-US"/>
              </w:rPr>
            </w:pPr>
            <w:r>
              <w:rPr>
                <w:rFonts w:ascii="仿宋" w:hAnsi="仿宋" w:eastAsia="仿宋"/>
                <w:szCs w:val="21"/>
                <w:lang w:bidi="en-US"/>
              </w:rPr>
              <w:t>人员管理计划</w:t>
            </w:r>
          </w:p>
          <w:p>
            <w:pPr>
              <w:widowControl/>
              <w:ind w:firstLine="420"/>
              <w:contextualSpacing/>
              <w:jc w:val="center"/>
              <w:rPr>
                <w:rFonts w:ascii="仿宋" w:hAnsi="仿宋" w:eastAsia="仿宋"/>
                <w:szCs w:val="21"/>
                <w:lang w:bidi="en-US"/>
              </w:rPr>
            </w:pPr>
            <w:r>
              <w:rPr>
                <w:rFonts w:hint="eastAsia" w:ascii="仿宋" w:hAnsi="仿宋" w:eastAsia="仿宋"/>
                <w:szCs w:val="21"/>
                <w:lang w:bidi="en-US"/>
              </w:rPr>
              <w:t>（4分）</w:t>
            </w: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根据投标人提供的项目人员管理计划、项目总体人员配置计划以及主要人员的到岗时间计划，从人员配备是否合理、职责是否清晰、数量是否能够满足采购人使用需要、管理制度是否健全等方面，进行综合评分，</w:t>
            </w:r>
            <w:r>
              <w:rPr>
                <w:rFonts w:hint="eastAsia" w:ascii="仿宋" w:hAnsi="仿宋" w:eastAsia="仿宋"/>
                <w:szCs w:val="21"/>
                <w:lang w:bidi="en-US"/>
              </w:rPr>
              <w:t>本项满分4分</w:t>
            </w:r>
            <w:r>
              <w:rPr>
                <w:rFonts w:ascii="仿宋" w:hAnsi="仿宋" w:eastAsia="仿宋"/>
                <w:szCs w:val="21"/>
                <w:lang w:bidi="en-US"/>
              </w:rPr>
              <w:t>。</w:t>
            </w:r>
          </w:p>
          <w:p>
            <w:pPr>
              <w:widowControl/>
              <w:ind w:firstLine="420"/>
              <w:contextualSpacing/>
              <w:rPr>
                <w:rFonts w:ascii="仿宋" w:hAnsi="仿宋" w:eastAsia="仿宋"/>
                <w:szCs w:val="21"/>
                <w:lang w:bidi="en-US"/>
              </w:rPr>
            </w:pPr>
            <w:r>
              <w:rPr>
                <w:rFonts w:hint="eastAsia" w:ascii="仿宋" w:hAnsi="仿宋" w:eastAsia="仿宋"/>
                <w:szCs w:val="21"/>
                <w:lang w:bidi="en-US"/>
              </w:rPr>
              <w:t>1）所配备的人员岗位明确、数量合理，能够很好的满足采购人使用需要，得</w:t>
            </w:r>
            <w:r>
              <w:rPr>
                <w:rFonts w:ascii="仿宋" w:hAnsi="仿宋" w:eastAsia="仿宋"/>
                <w:szCs w:val="21"/>
                <w:lang w:bidi="en-US"/>
              </w:rPr>
              <w:t>4</w:t>
            </w:r>
            <w:r>
              <w:rPr>
                <w:rFonts w:hint="eastAsia" w:ascii="仿宋" w:hAnsi="仿宋" w:eastAsia="仿宋"/>
                <w:szCs w:val="21"/>
                <w:lang w:bidi="en-US"/>
              </w:rPr>
              <w:t>分；</w:t>
            </w:r>
          </w:p>
          <w:p>
            <w:pPr>
              <w:widowControl/>
              <w:ind w:firstLine="420"/>
              <w:contextualSpacing/>
              <w:rPr>
                <w:rFonts w:ascii="仿宋" w:hAnsi="仿宋" w:eastAsia="仿宋"/>
                <w:szCs w:val="21"/>
                <w:lang w:bidi="en-US"/>
              </w:rPr>
            </w:pPr>
            <w:r>
              <w:rPr>
                <w:rFonts w:hint="eastAsia" w:ascii="仿宋" w:hAnsi="仿宋" w:eastAsia="仿宋"/>
                <w:szCs w:val="21"/>
                <w:lang w:bidi="en-US"/>
              </w:rPr>
              <w:t>2）提供了人员计划，但所提供人员岗位设置欠合理或和数量不足，与采购人使用需要存在一定偏差，得</w:t>
            </w:r>
            <w:r>
              <w:rPr>
                <w:rFonts w:ascii="仿宋" w:hAnsi="仿宋" w:eastAsia="仿宋"/>
                <w:szCs w:val="21"/>
                <w:lang w:bidi="en-US"/>
              </w:rPr>
              <w:t>2</w:t>
            </w:r>
            <w:r>
              <w:rPr>
                <w:rFonts w:hint="eastAsia" w:ascii="仿宋" w:hAnsi="仿宋" w:eastAsia="仿宋"/>
                <w:szCs w:val="21"/>
                <w:lang w:bidi="en-US"/>
              </w:rPr>
              <w:t>分；</w:t>
            </w:r>
          </w:p>
          <w:p>
            <w:pPr>
              <w:widowControl/>
              <w:ind w:firstLine="420"/>
              <w:contextualSpacing/>
              <w:rPr>
                <w:rFonts w:ascii="仿宋" w:hAnsi="仿宋" w:eastAsia="仿宋"/>
                <w:szCs w:val="21"/>
                <w:lang w:bidi="en-US"/>
              </w:rPr>
            </w:pPr>
            <w:r>
              <w:rPr>
                <w:rFonts w:hint="eastAsia" w:ascii="仿宋" w:hAnsi="仿宋" w:eastAsia="仿宋"/>
                <w:szCs w:val="21"/>
                <w:lang w:bidi="en-US"/>
              </w:rPr>
              <w:t>3）未提交人员计划或提交的人员计划与采购人使用需要有较大偏差的，得0分。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pPr>
              <w:rPr>
                <w:rFonts w:ascii="仿宋" w:hAnsi="仿宋" w:eastAsia="仿宋"/>
                <w:color w:val="993300"/>
                <w:szCs w:val="21"/>
              </w:rPr>
            </w:pPr>
          </w:p>
        </w:tc>
        <w:tc>
          <w:tcPr>
            <w:tcW w:w="1211" w:type="dxa"/>
            <w:vAlign w:val="center"/>
          </w:tcPr>
          <w:p>
            <w:pPr>
              <w:widowControl/>
              <w:ind w:firstLine="420"/>
              <w:contextualSpacing/>
              <w:jc w:val="center"/>
              <w:rPr>
                <w:rFonts w:ascii="仿宋" w:hAnsi="仿宋" w:eastAsia="仿宋"/>
                <w:szCs w:val="21"/>
                <w:lang w:bidi="en-US"/>
              </w:rPr>
            </w:pPr>
            <w:r>
              <w:rPr>
                <w:rFonts w:ascii="仿宋" w:hAnsi="仿宋" w:eastAsia="仿宋"/>
                <w:szCs w:val="21"/>
                <w:lang w:bidi="en-US"/>
              </w:rPr>
              <w:t>进度管理计划</w:t>
            </w:r>
          </w:p>
          <w:p>
            <w:pPr>
              <w:widowControl/>
              <w:ind w:firstLine="420"/>
              <w:contextualSpacing/>
              <w:jc w:val="center"/>
              <w:rPr>
                <w:rFonts w:ascii="仿宋" w:hAnsi="仿宋" w:eastAsia="仿宋"/>
                <w:szCs w:val="21"/>
                <w:lang w:bidi="en-US"/>
              </w:rPr>
            </w:pPr>
            <w:r>
              <w:rPr>
                <w:rFonts w:hint="eastAsia" w:ascii="仿宋" w:hAnsi="仿宋" w:eastAsia="仿宋"/>
                <w:szCs w:val="21"/>
                <w:lang w:bidi="en-US"/>
              </w:rPr>
              <w:t>（4分）</w:t>
            </w:r>
          </w:p>
        </w:tc>
        <w:tc>
          <w:tcPr>
            <w:tcW w:w="5812" w:type="dxa"/>
            <w:vAlign w:val="center"/>
          </w:tcPr>
          <w:p>
            <w:pPr>
              <w:widowControl/>
              <w:ind w:firstLine="420"/>
              <w:contextualSpacing/>
              <w:rPr>
                <w:rFonts w:ascii="仿宋" w:hAnsi="仿宋" w:eastAsia="仿宋"/>
                <w:szCs w:val="21"/>
                <w:lang w:bidi="en-US"/>
              </w:rPr>
            </w:pPr>
            <w:r>
              <w:rPr>
                <w:rFonts w:ascii="仿宋" w:hAnsi="仿宋" w:eastAsia="仿宋"/>
                <w:szCs w:val="21"/>
                <w:lang w:bidi="en-US"/>
              </w:rPr>
              <w:t>从进度计划与十四运会和残特奥会整体时间安排的一致程度，进度管理措施的完备性、合理性，是否充分考虑到风险与不确定因素等方面，对投标人所提供的进度管理计划进行综合评分，</w:t>
            </w:r>
            <w:r>
              <w:rPr>
                <w:rFonts w:hint="eastAsia" w:ascii="仿宋" w:hAnsi="仿宋" w:eastAsia="仿宋"/>
                <w:szCs w:val="21"/>
                <w:lang w:bidi="en-US"/>
              </w:rPr>
              <w:t>本项满分</w:t>
            </w:r>
            <w:r>
              <w:rPr>
                <w:rFonts w:ascii="仿宋" w:hAnsi="仿宋" w:eastAsia="仿宋"/>
                <w:szCs w:val="21"/>
                <w:lang w:bidi="en-US"/>
              </w:rPr>
              <w:t>4</w:t>
            </w:r>
            <w:r>
              <w:rPr>
                <w:rFonts w:hint="eastAsia" w:ascii="仿宋" w:hAnsi="仿宋" w:eastAsia="仿宋"/>
                <w:szCs w:val="21"/>
                <w:lang w:bidi="en-US"/>
              </w:rPr>
              <w:t>分。</w:t>
            </w:r>
          </w:p>
          <w:p>
            <w:pPr>
              <w:widowControl/>
              <w:ind w:firstLine="420"/>
              <w:contextualSpacing/>
              <w:rPr>
                <w:rFonts w:ascii="仿宋" w:hAnsi="仿宋" w:eastAsia="仿宋"/>
                <w:szCs w:val="21"/>
                <w:lang w:bidi="en-US"/>
              </w:rPr>
            </w:pPr>
            <w:r>
              <w:rPr>
                <w:rFonts w:hint="eastAsia" w:ascii="仿宋" w:hAnsi="仿宋" w:eastAsia="仿宋"/>
                <w:szCs w:val="21"/>
                <w:lang w:bidi="en-US"/>
              </w:rPr>
              <w:t>1）所提供的进度管理计划内容完整、合理、可行，得</w:t>
            </w:r>
            <w:r>
              <w:rPr>
                <w:rFonts w:ascii="仿宋" w:hAnsi="仿宋" w:eastAsia="仿宋"/>
                <w:szCs w:val="21"/>
                <w:lang w:bidi="en-US"/>
              </w:rPr>
              <w:t>4</w:t>
            </w:r>
            <w:r>
              <w:rPr>
                <w:rFonts w:hint="eastAsia" w:ascii="仿宋" w:hAnsi="仿宋" w:eastAsia="仿宋"/>
                <w:szCs w:val="21"/>
                <w:lang w:bidi="en-US"/>
              </w:rPr>
              <w:t>分；</w:t>
            </w:r>
          </w:p>
          <w:p>
            <w:pPr>
              <w:widowControl/>
              <w:ind w:firstLine="420"/>
              <w:contextualSpacing/>
              <w:rPr>
                <w:rFonts w:ascii="仿宋" w:hAnsi="仿宋" w:eastAsia="仿宋"/>
                <w:szCs w:val="21"/>
                <w:lang w:bidi="en-US"/>
              </w:rPr>
            </w:pPr>
            <w:r>
              <w:rPr>
                <w:rFonts w:hint="eastAsia" w:ascii="仿宋" w:hAnsi="仿宋" w:eastAsia="仿宋"/>
                <w:szCs w:val="21"/>
                <w:lang w:bidi="en-US"/>
              </w:rPr>
              <w:t>2）所提供的进度管理计划内容欠合理，与采购人使用需要存在一定偏差，得2分；</w:t>
            </w:r>
          </w:p>
          <w:p>
            <w:pPr>
              <w:widowControl/>
              <w:ind w:firstLine="420"/>
              <w:contextualSpacing/>
              <w:rPr>
                <w:rFonts w:ascii="仿宋" w:hAnsi="仿宋" w:eastAsia="仿宋"/>
                <w:szCs w:val="21"/>
                <w:lang w:bidi="en-US"/>
              </w:rPr>
            </w:pPr>
            <w:r>
              <w:rPr>
                <w:rFonts w:ascii="仿宋" w:hAnsi="仿宋" w:eastAsia="仿宋"/>
                <w:szCs w:val="21"/>
                <w:lang w:bidi="en-US"/>
              </w:rPr>
              <w:t>3</w:t>
            </w:r>
            <w:r>
              <w:rPr>
                <w:rFonts w:hint="eastAsia" w:ascii="仿宋" w:hAnsi="仿宋" w:eastAsia="仿宋"/>
                <w:szCs w:val="21"/>
                <w:lang w:bidi="en-US"/>
              </w:rPr>
              <w:t>）所提供的进度管理计划内容不完整、不合理、可行性差，得0分。</w:t>
            </w:r>
          </w:p>
        </w:tc>
        <w:tc>
          <w:tcPr>
            <w:tcW w:w="708"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4分</w:t>
            </w:r>
          </w:p>
        </w:tc>
      </w:tr>
    </w:tbl>
    <w:p>
      <w:pPr>
        <w:spacing w:before="156" w:beforeLines="50" w:after="156" w:afterLines="50" w:line="320" w:lineRule="exact"/>
        <w:ind w:firstLine="643" w:firstLineChars="200"/>
        <w:rPr>
          <w:rFonts w:ascii="仿宋_GB2312" w:hAnsi="宋体" w:eastAsia="仿宋_GB2312"/>
          <w:b/>
          <w:color w:val="000000"/>
          <w:sz w:val="32"/>
          <w:szCs w:val="32"/>
        </w:rPr>
      </w:pPr>
      <w:r>
        <w:rPr>
          <w:rFonts w:hint="eastAsia" w:ascii="仿宋_GB2312" w:hAnsi="宋体" w:eastAsia="仿宋_GB2312"/>
          <w:b/>
          <w:color w:val="000000" w:themeColor="text1"/>
          <w:sz w:val="32"/>
          <w:szCs w:val="32"/>
          <w14:textFill>
            <w14:solidFill>
              <w14:schemeClr w14:val="tx1"/>
            </w14:solidFill>
          </w14:textFill>
        </w:rPr>
        <w:t>2、标项2</w:t>
      </w:r>
      <w:r>
        <w:rPr>
          <w:rFonts w:hint="eastAsia" w:ascii="仿宋_GB2312" w:hAnsi="宋体" w:eastAsia="仿宋_GB2312"/>
          <w:b/>
          <w:color w:val="000000"/>
          <w:sz w:val="32"/>
          <w:szCs w:val="32"/>
        </w:rPr>
        <w:t>的评分方法</w:t>
      </w:r>
    </w:p>
    <w:tbl>
      <w:tblPr>
        <w:tblStyle w:val="5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7"/>
        <w:gridCol w:w="1091"/>
        <w:gridCol w:w="5785"/>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Align w:val="center"/>
          </w:tcPr>
          <w:p>
            <w:pPr>
              <w:rPr>
                <w:rFonts w:ascii="仿宋" w:hAnsi="仿宋" w:eastAsia="仿宋"/>
              </w:rPr>
            </w:pPr>
            <w:r>
              <w:rPr>
                <w:rFonts w:hint="eastAsia" w:ascii="仿宋" w:hAnsi="仿宋" w:eastAsia="仿宋"/>
              </w:rPr>
              <w:t>投标</w:t>
            </w:r>
          </w:p>
          <w:p>
            <w:pPr>
              <w:rPr>
                <w:rFonts w:ascii="仿宋" w:hAnsi="仿宋" w:eastAsia="仿宋"/>
              </w:rPr>
            </w:pPr>
            <w:r>
              <w:rPr>
                <w:rFonts w:hint="eastAsia" w:ascii="仿宋" w:hAnsi="仿宋" w:eastAsia="仿宋"/>
              </w:rPr>
              <w:t>报价</w:t>
            </w:r>
          </w:p>
          <w:p>
            <w:pPr>
              <w:rPr>
                <w:rFonts w:ascii="仿宋" w:hAnsi="仿宋" w:eastAsia="仿宋"/>
              </w:rPr>
            </w:pPr>
            <w:r>
              <w:rPr>
                <w:rFonts w:hint="eastAsia" w:ascii="仿宋" w:hAnsi="仿宋" w:eastAsia="仿宋"/>
              </w:rPr>
              <w:t>（</w:t>
            </w:r>
            <w:r>
              <w:rPr>
                <w:rFonts w:ascii="仿宋" w:hAnsi="仿宋" w:eastAsia="仿宋"/>
              </w:rPr>
              <w:t>20</w:t>
            </w:r>
            <w:r>
              <w:rPr>
                <w:rFonts w:hint="eastAsia" w:ascii="仿宋" w:hAnsi="仿宋" w:eastAsia="仿宋"/>
              </w:rPr>
              <w:t>分）</w:t>
            </w:r>
          </w:p>
        </w:tc>
        <w:tc>
          <w:tcPr>
            <w:tcW w:w="6876" w:type="dxa"/>
            <w:gridSpan w:val="2"/>
            <w:vAlign w:val="center"/>
          </w:tcPr>
          <w:p>
            <w:pPr>
              <w:rPr>
                <w:rFonts w:ascii="仿宋" w:hAnsi="仿宋" w:eastAsia="仿宋"/>
              </w:rPr>
            </w:pPr>
            <w:r>
              <w:rPr>
                <w:rFonts w:hint="eastAsia" w:ascii="仿宋" w:hAnsi="仿宋" w:eastAsia="仿宋"/>
              </w:rPr>
              <w:t>价格分统一采用低价优先法计算，即满足招标文件要求且投标价格最低的投标报价为评标基准价，其价格分为满分。其他投标人的价格分统一按照下列公式计算：</w:t>
            </w:r>
          </w:p>
          <w:p>
            <w:pPr>
              <w:rPr>
                <w:rFonts w:ascii="仿宋" w:hAnsi="仿宋" w:eastAsia="仿宋"/>
              </w:rPr>
            </w:pPr>
            <w:r>
              <w:rPr>
                <w:rFonts w:hint="eastAsia" w:ascii="仿宋" w:hAnsi="仿宋" w:eastAsia="仿宋"/>
              </w:rPr>
              <w:t xml:space="preserve">投标报价得分=(评标基准价／投标报价)×价格权值×100               </w:t>
            </w:r>
          </w:p>
          <w:p>
            <w:pPr>
              <w:rPr>
                <w:rFonts w:ascii="仿宋" w:hAnsi="仿宋" w:eastAsia="仿宋"/>
              </w:rPr>
            </w:pPr>
            <w:r>
              <w:rPr>
                <w:rFonts w:hint="eastAsia" w:ascii="仿宋" w:hAnsi="仿宋" w:eastAsia="仿宋"/>
              </w:rPr>
              <w:t>计算分数时四舍五入取小数点后两位</w:t>
            </w:r>
          </w:p>
          <w:p>
            <w:pPr>
              <w:rPr>
                <w:rFonts w:ascii="仿宋" w:hAnsi="仿宋" w:eastAsia="仿宋"/>
              </w:rPr>
            </w:pPr>
            <w:r>
              <w:rPr>
                <w:rFonts w:hint="eastAsia" w:ascii="仿宋" w:hAnsi="仿宋" w:eastAsia="仿宋"/>
              </w:rPr>
              <w:t>注：（1）根据《政府采购促进中小企业发展暂行办法》的相关规定，对小型和微型企业的价格给予6%的扣除，用扣除后的价格参与评审。</w:t>
            </w:r>
          </w:p>
          <w:p>
            <w:pPr>
              <w:rPr>
                <w:rFonts w:ascii="仿宋" w:hAnsi="仿宋" w:eastAsia="仿宋"/>
              </w:rPr>
            </w:pPr>
            <w:r>
              <w:rPr>
                <w:rFonts w:hint="eastAsia" w:ascii="仿宋" w:hAnsi="仿宋" w:eastAsia="仿宋"/>
              </w:rPr>
              <w:t>（2）根据《财政部民政部中国残疾人联合会关于促进残疾人就业政府采购政策的通知》（财库〔2017〕141号）的规定，对符合条件的残疾人福利性单位设备的价格给予6%的扣除，用扣除后的价格参与评审。</w:t>
            </w:r>
          </w:p>
          <w:p>
            <w:pPr>
              <w:rPr>
                <w:rFonts w:ascii="仿宋" w:hAnsi="仿宋" w:eastAsia="仿宋"/>
              </w:rPr>
            </w:pPr>
            <w:r>
              <w:rPr>
                <w:rFonts w:hint="eastAsia" w:ascii="仿宋" w:hAnsi="仿宋" w:eastAsia="仿宋"/>
              </w:rPr>
              <w:t>小型、微型企业和监狱企业级符合财政部、民政部、中国残疾人联合会关于促进残疾人就业政府采购政策的通知，以上政策同时具备的仅对其进行一次6%的价格扣除，不重复扣除。</w:t>
            </w:r>
          </w:p>
        </w:tc>
        <w:tc>
          <w:tcPr>
            <w:tcW w:w="759" w:type="dxa"/>
          </w:tcPr>
          <w:p>
            <w:pPr>
              <w:rPr>
                <w:rFonts w:ascii="仿宋" w:hAnsi="仿宋" w:eastAsia="仿宋"/>
              </w:rPr>
            </w:pPr>
            <w:r>
              <w:rPr>
                <w:rFonts w:hint="eastAsia" w:ascii="仿宋" w:hAnsi="仿宋" w:eastAsia="仿宋"/>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restart"/>
            <w:vAlign w:val="center"/>
          </w:tcPr>
          <w:p>
            <w:pPr>
              <w:rPr>
                <w:rFonts w:ascii="仿宋" w:hAnsi="仿宋" w:eastAsia="仿宋"/>
              </w:rPr>
            </w:pPr>
            <w:r>
              <w:rPr>
                <w:rFonts w:ascii="仿宋" w:hAnsi="仿宋" w:eastAsia="仿宋"/>
              </w:rPr>
              <w:t>商务</w:t>
            </w:r>
          </w:p>
          <w:p>
            <w:pPr>
              <w:rPr>
                <w:rFonts w:ascii="仿宋" w:hAnsi="仿宋" w:eastAsia="仿宋"/>
              </w:rPr>
            </w:pPr>
            <w:r>
              <w:rPr>
                <w:rFonts w:ascii="仿宋" w:hAnsi="仿宋" w:eastAsia="仿宋"/>
              </w:rPr>
              <w:t>评审</w:t>
            </w:r>
          </w:p>
          <w:p>
            <w:pPr>
              <w:rPr>
                <w:rFonts w:ascii="仿宋" w:hAnsi="仿宋" w:eastAsia="仿宋"/>
              </w:rPr>
            </w:pPr>
            <w:r>
              <w:rPr>
                <w:rFonts w:ascii="仿宋" w:hAnsi="仿宋" w:eastAsia="仿宋"/>
              </w:rPr>
              <w:t>（</w:t>
            </w:r>
            <w:r>
              <w:rPr>
                <w:rFonts w:hint="eastAsia" w:ascii="仿宋" w:hAnsi="仿宋" w:eastAsia="仿宋"/>
              </w:rPr>
              <w:t>2</w:t>
            </w:r>
            <w:r>
              <w:rPr>
                <w:rFonts w:ascii="仿宋" w:hAnsi="仿宋" w:eastAsia="仿宋"/>
              </w:rPr>
              <w:t>0分）</w:t>
            </w:r>
          </w:p>
        </w:tc>
        <w:tc>
          <w:tcPr>
            <w:tcW w:w="1091" w:type="dxa"/>
            <w:vAlign w:val="center"/>
          </w:tcPr>
          <w:p>
            <w:pPr>
              <w:rPr>
                <w:rFonts w:ascii="仿宋" w:hAnsi="仿宋" w:eastAsia="仿宋"/>
              </w:rPr>
            </w:pPr>
            <w:r>
              <w:rPr>
                <w:rFonts w:ascii="仿宋" w:hAnsi="仿宋" w:eastAsia="仿宋"/>
              </w:rPr>
              <w:t>投标</w:t>
            </w:r>
            <w:r>
              <w:rPr>
                <w:rFonts w:hint="eastAsia" w:ascii="仿宋" w:hAnsi="仿宋" w:eastAsia="仿宋"/>
              </w:rPr>
              <w:t>人</w:t>
            </w:r>
            <w:r>
              <w:rPr>
                <w:rFonts w:ascii="仿宋" w:hAnsi="仿宋" w:eastAsia="仿宋"/>
              </w:rPr>
              <w:t>业绩</w:t>
            </w:r>
          </w:p>
          <w:p>
            <w:pPr>
              <w:rPr>
                <w:rFonts w:ascii="仿宋" w:hAnsi="仿宋" w:eastAsia="仿宋"/>
                <w:highlight w:val="yellow"/>
              </w:rPr>
            </w:pPr>
            <w:r>
              <w:rPr>
                <w:rFonts w:hint="eastAsia" w:ascii="仿宋" w:hAnsi="仿宋" w:eastAsia="仿宋"/>
              </w:rPr>
              <w:t>（12分）</w:t>
            </w:r>
          </w:p>
        </w:tc>
        <w:tc>
          <w:tcPr>
            <w:tcW w:w="5785" w:type="dxa"/>
            <w:vAlign w:val="center"/>
          </w:tcPr>
          <w:p>
            <w:pPr>
              <w:rPr>
                <w:rFonts w:ascii="仿宋" w:hAnsi="仿宋" w:eastAsia="仿宋"/>
              </w:rPr>
            </w:pPr>
            <w:r>
              <w:rPr>
                <w:rFonts w:hint="eastAsia" w:ascii="仿宋" w:hAnsi="仿宋" w:eastAsia="仿宋"/>
              </w:rPr>
              <w:t>投标人提供2016年以来</w:t>
            </w:r>
            <w:r>
              <w:rPr>
                <w:rFonts w:ascii="仿宋" w:hAnsi="仿宋" w:eastAsia="仿宋"/>
              </w:rPr>
              <w:t>完成的全国性或国际级（多国参与）综合性运动会竞赛信息化成功案例情况进行评分，竞赛通用设备租用、</w:t>
            </w:r>
            <w:r>
              <w:rPr>
                <w:rFonts w:hint="eastAsia" w:ascii="仿宋" w:hAnsi="仿宋" w:eastAsia="仿宋"/>
              </w:rPr>
              <w:t>办公耗材采购</w:t>
            </w:r>
            <w:r>
              <w:rPr>
                <w:rFonts w:ascii="仿宋" w:hAnsi="仿宋" w:eastAsia="仿宋"/>
              </w:rPr>
              <w:t>、</w:t>
            </w:r>
            <w:r>
              <w:rPr>
                <w:rFonts w:hint="eastAsia" w:ascii="仿宋" w:hAnsi="仿宋" w:eastAsia="仿宋"/>
              </w:rPr>
              <w:t>系统软件租用</w:t>
            </w:r>
            <w:r>
              <w:rPr>
                <w:rFonts w:ascii="仿宋" w:hAnsi="仿宋" w:eastAsia="仿宋"/>
              </w:rPr>
              <w:t>三个服务项目中，每提供一个服务项目的成功案例得</w:t>
            </w:r>
            <w:r>
              <w:rPr>
                <w:rFonts w:hint="eastAsia" w:ascii="仿宋" w:hAnsi="仿宋" w:eastAsia="仿宋"/>
              </w:rPr>
              <w:t>4</w:t>
            </w:r>
            <w:r>
              <w:rPr>
                <w:rFonts w:ascii="仿宋" w:hAnsi="仿宋" w:eastAsia="仿宋"/>
              </w:rPr>
              <w:t>分，每个服务项目最多采信一个案例，满分</w:t>
            </w:r>
            <w:r>
              <w:rPr>
                <w:rFonts w:hint="eastAsia" w:ascii="仿宋" w:hAnsi="仿宋" w:eastAsia="仿宋"/>
              </w:rPr>
              <w:t>12</w:t>
            </w:r>
            <w:r>
              <w:rPr>
                <w:rFonts w:ascii="仿宋" w:hAnsi="仿宋" w:eastAsia="仿宋"/>
              </w:rPr>
              <w:t>分。须同时提供以下证明文件，否则不得分。</w:t>
            </w:r>
          </w:p>
          <w:p>
            <w:pPr>
              <w:rPr>
                <w:rFonts w:ascii="仿宋" w:hAnsi="仿宋" w:eastAsia="仿宋"/>
              </w:rPr>
            </w:pPr>
            <w:r>
              <w:rPr>
                <w:rFonts w:ascii="仿宋" w:hAnsi="仿宋" w:eastAsia="仿宋"/>
              </w:rPr>
              <w:t>1）合同扫描件，至少包括买卖双方名称及签字盖章页、服务内容。</w:t>
            </w:r>
          </w:p>
          <w:p>
            <w:pPr>
              <w:rPr>
                <w:rFonts w:ascii="仿宋" w:hAnsi="仿宋" w:eastAsia="仿宋"/>
              </w:rPr>
            </w:pPr>
            <w:r>
              <w:rPr>
                <w:rFonts w:ascii="仿宋" w:hAnsi="仿宋" w:eastAsia="仿宋"/>
              </w:rPr>
              <w:t>2）用户盖章或签字的成功履行合同的证明材料扫描件。</w:t>
            </w:r>
            <w:r>
              <w:rPr>
                <w:rFonts w:hint="eastAsia" w:ascii="仿宋" w:hAnsi="仿宋" w:eastAsia="仿宋"/>
              </w:rPr>
              <w:t>未提供案例或案例不符合要求得0分</w:t>
            </w:r>
            <w:r>
              <w:rPr>
                <w:rFonts w:ascii="仿宋" w:hAnsi="仿宋" w:eastAsia="仿宋"/>
              </w:rPr>
              <w:t>。</w:t>
            </w:r>
          </w:p>
        </w:tc>
        <w:tc>
          <w:tcPr>
            <w:tcW w:w="759" w:type="dxa"/>
          </w:tcPr>
          <w:p>
            <w:pPr>
              <w:rPr>
                <w:rFonts w:ascii="仿宋" w:hAnsi="仿宋" w:eastAsia="仿宋"/>
              </w:rPr>
            </w:pPr>
            <w:r>
              <w:rPr>
                <w:rFonts w:hint="eastAsia" w:ascii="仿宋" w:hAnsi="仿宋" w:eastAsia="仿宋"/>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rPr>
                <w:rFonts w:ascii="仿宋" w:hAnsi="仿宋" w:eastAsia="仿宋"/>
              </w:rPr>
            </w:pPr>
          </w:p>
        </w:tc>
        <w:tc>
          <w:tcPr>
            <w:tcW w:w="1091" w:type="dxa"/>
            <w:vAlign w:val="center"/>
          </w:tcPr>
          <w:p>
            <w:pPr>
              <w:rPr>
                <w:rFonts w:ascii="仿宋" w:hAnsi="仿宋" w:eastAsia="仿宋"/>
              </w:rPr>
            </w:pPr>
            <w:r>
              <w:rPr>
                <w:rFonts w:ascii="仿宋" w:hAnsi="仿宋" w:eastAsia="仿宋"/>
              </w:rPr>
              <w:t>项目负责人资质</w:t>
            </w:r>
          </w:p>
          <w:p>
            <w:pPr>
              <w:rPr>
                <w:rFonts w:ascii="仿宋" w:hAnsi="仿宋" w:eastAsia="仿宋"/>
                <w:highlight w:val="yellow"/>
              </w:rPr>
            </w:pPr>
            <w:r>
              <w:rPr>
                <w:rFonts w:hint="eastAsia" w:ascii="仿宋" w:hAnsi="仿宋" w:eastAsia="仿宋"/>
              </w:rPr>
              <w:t>（4分）</w:t>
            </w:r>
          </w:p>
        </w:tc>
        <w:tc>
          <w:tcPr>
            <w:tcW w:w="5785" w:type="dxa"/>
            <w:vAlign w:val="center"/>
          </w:tcPr>
          <w:p>
            <w:pPr>
              <w:rPr>
                <w:rFonts w:ascii="仿宋" w:hAnsi="仿宋" w:eastAsia="仿宋"/>
                <w:highlight w:val="yellow"/>
              </w:rPr>
            </w:pPr>
            <w:r>
              <w:rPr>
                <w:rFonts w:hint="eastAsia" w:ascii="仿宋" w:hAnsi="仿宋" w:eastAsia="仿宋"/>
              </w:rPr>
              <w:t>项目经理具有信息系统项目管理师资质得4分</w:t>
            </w:r>
            <w:r>
              <w:rPr>
                <w:rFonts w:ascii="仿宋" w:hAnsi="仿宋" w:eastAsia="仿宋"/>
              </w:rPr>
              <w:t>须</w:t>
            </w:r>
            <w:r>
              <w:rPr>
                <w:rFonts w:hint="eastAsia" w:ascii="仿宋" w:hAnsi="仿宋" w:eastAsia="仿宋"/>
              </w:rPr>
              <w:t>提供相应资质证书和近三个月内任意一个月的社保证明复印件加盖公章，否则不得分</w:t>
            </w:r>
          </w:p>
        </w:tc>
        <w:tc>
          <w:tcPr>
            <w:tcW w:w="759" w:type="dxa"/>
          </w:tcPr>
          <w:p>
            <w:pPr>
              <w:rPr>
                <w:rFonts w:ascii="仿宋" w:hAnsi="仿宋" w:eastAsia="仿宋"/>
              </w:rPr>
            </w:pPr>
            <w:r>
              <w:rPr>
                <w:rFonts w:hint="eastAsia" w:ascii="仿宋" w:hAnsi="仿宋" w:eastAsia="仿宋"/>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rPr>
                <w:rFonts w:ascii="仿宋" w:hAnsi="仿宋" w:eastAsia="仿宋"/>
              </w:rPr>
            </w:pPr>
          </w:p>
        </w:tc>
        <w:tc>
          <w:tcPr>
            <w:tcW w:w="1091" w:type="dxa"/>
            <w:vAlign w:val="center"/>
          </w:tcPr>
          <w:p>
            <w:pPr>
              <w:rPr>
                <w:rFonts w:ascii="仿宋" w:hAnsi="仿宋" w:eastAsia="仿宋"/>
              </w:rPr>
            </w:pPr>
            <w:r>
              <w:rPr>
                <w:rFonts w:ascii="仿宋" w:hAnsi="仿宋" w:eastAsia="仿宋"/>
              </w:rPr>
              <w:t>团队成员</w:t>
            </w:r>
          </w:p>
          <w:p>
            <w:pPr>
              <w:rPr>
                <w:rFonts w:ascii="仿宋" w:hAnsi="仿宋" w:eastAsia="仿宋"/>
                <w:highlight w:val="yellow"/>
              </w:rPr>
            </w:pPr>
            <w:r>
              <w:rPr>
                <w:rFonts w:hint="eastAsia" w:ascii="仿宋" w:hAnsi="仿宋" w:eastAsia="仿宋"/>
              </w:rPr>
              <w:t>（4分）</w:t>
            </w:r>
          </w:p>
        </w:tc>
        <w:tc>
          <w:tcPr>
            <w:tcW w:w="5785" w:type="dxa"/>
            <w:vAlign w:val="center"/>
          </w:tcPr>
          <w:p>
            <w:pPr>
              <w:rPr>
                <w:rFonts w:ascii="仿宋" w:hAnsi="仿宋" w:eastAsia="仿宋"/>
              </w:rPr>
            </w:pPr>
            <w:r>
              <w:rPr>
                <w:rFonts w:hint="eastAsia" w:ascii="仿宋" w:hAnsi="仿宋" w:eastAsia="仿宋"/>
              </w:rPr>
              <w:t>场馆设备集成服务工程师具有高级网络信息安全工程师证书或具有所投服务器原厂认证证书。每提供一个证书得2</w:t>
            </w:r>
            <w:r>
              <w:rPr>
                <w:rFonts w:ascii="仿宋" w:hAnsi="仿宋" w:eastAsia="仿宋"/>
              </w:rPr>
              <w:t>分</w:t>
            </w:r>
            <w:r>
              <w:rPr>
                <w:rFonts w:hint="eastAsia" w:ascii="仿宋" w:hAnsi="仿宋" w:eastAsia="仿宋"/>
              </w:rPr>
              <w:t>.</w:t>
            </w:r>
            <w:r>
              <w:rPr>
                <w:rFonts w:ascii="仿宋" w:hAnsi="仿宋" w:eastAsia="仿宋"/>
              </w:rPr>
              <w:t>最高</w:t>
            </w:r>
            <w:r>
              <w:rPr>
                <w:rFonts w:hint="eastAsia" w:ascii="仿宋" w:hAnsi="仿宋" w:eastAsia="仿宋"/>
              </w:rPr>
              <w:t>4</w:t>
            </w:r>
            <w:r>
              <w:rPr>
                <w:rFonts w:ascii="仿宋" w:hAnsi="仿宋" w:eastAsia="仿宋"/>
              </w:rPr>
              <w:t>分。</w:t>
            </w:r>
          </w:p>
          <w:p>
            <w:pPr>
              <w:rPr>
                <w:rFonts w:ascii="仿宋" w:hAnsi="仿宋" w:eastAsia="仿宋"/>
                <w:highlight w:val="yellow"/>
              </w:rPr>
            </w:pPr>
            <w:r>
              <w:rPr>
                <w:rFonts w:hint="eastAsia" w:ascii="仿宋" w:hAnsi="仿宋" w:eastAsia="仿宋"/>
              </w:rPr>
              <w:t>注：须须提供近三个月内任意一个月的社保证明复印件加盖公章。</w:t>
            </w:r>
          </w:p>
        </w:tc>
        <w:tc>
          <w:tcPr>
            <w:tcW w:w="759" w:type="dxa"/>
          </w:tcPr>
          <w:p>
            <w:pPr>
              <w:rPr>
                <w:rFonts w:ascii="仿宋" w:hAnsi="仿宋" w:eastAsia="仿宋"/>
              </w:rPr>
            </w:pPr>
            <w:r>
              <w:rPr>
                <w:rFonts w:hint="eastAsia" w:ascii="仿宋" w:hAnsi="仿宋" w:eastAsia="仿宋"/>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restart"/>
            <w:vAlign w:val="center"/>
          </w:tcPr>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r>
              <w:rPr>
                <w:rFonts w:ascii="仿宋" w:hAnsi="仿宋" w:eastAsia="仿宋"/>
              </w:rPr>
              <w:t>技术</w:t>
            </w:r>
          </w:p>
          <w:p>
            <w:pPr>
              <w:jc w:val="center"/>
              <w:rPr>
                <w:rFonts w:ascii="仿宋" w:hAnsi="仿宋" w:eastAsia="仿宋"/>
              </w:rPr>
            </w:pPr>
            <w:r>
              <w:rPr>
                <w:rFonts w:ascii="仿宋" w:hAnsi="仿宋" w:eastAsia="仿宋"/>
              </w:rPr>
              <w:t>评审</w:t>
            </w:r>
          </w:p>
          <w:p>
            <w:pPr>
              <w:jc w:val="center"/>
              <w:rPr>
                <w:rFonts w:ascii="仿宋" w:hAnsi="仿宋" w:eastAsia="仿宋"/>
              </w:rPr>
            </w:pPr>
            <w:r>
              <w:rPr>
                <w:rFonts w:ascii="仿宋" w:hAnsi="仿宋" w:eastAsia="仿宋"/>
              </w:rPr>
              <w:t>（6</w:t>
            </w:r>
            <w:r>
              <w:rPr>
                <w:rFonts w:hint="eastAsia" w:ascii="仿宋" w:hAnsi="仿宋" w:eastAsia="仿宋"/>
              </w:rPr>
              <w:t>0</w:t>
            </w:r>
            <w:r>
              <w:rPr>
                <w:rFonts w:ascii="仿宋" w:hAnsi="仿宋" w:eastAsia="仿宋"/>
              </w:rPr>
              <w:t>分）</w:t>
            </w:r>
          </w:p>
        </w:tc>
        <w:tc>
          <w:tcPr>
            <w:tcW w:w="1091" w:type="dxa"/>
            <w:vMerge w:val="restart"/>
            <w:vAlign w:val="center"/>
          </w:tcPr>
          <w:p>
            <w:pPr>
              <w:rPr>
                <w:rFonts w:ascii="仿宋" w:hAnsi="仿宋" w:eastAsia="仿宋"/>
              </w:rPr>
            </w:pPr>
            <w:r>
              <w:rPr>
                <w:rFonts w:ascii="仿宋" w:hAnsi="仿宋" w:eastAsia="仿宋"/>
              </w:rPr>
              <w:t>总体服务方案</w:t>
            </w:r>
          </w:p>
        </w:tc>
        <w:tc>
          <w:tcPr>
            <w:tcW w:w="5785" w:type="dxa"/>
            <w:vAlign w:val="center"/>
          </w:tcPr>
          <w:p>
            <w:pPr>
              <w:rPr>
                <w:rFonts w:ascii="仿宋" w:hAnsi="仿宋" w:eastAsia="仿宋"/>
              </w:rPr>
            </w:pPr>
            <w:r>
              <w:rPr>
                <w:rFonts w:hint="eastAsia" w:ascii="仿宋" w:hAnsi="仿宋" w:eastAsia="仿宋"/>
              </w:rPr>
              <w:t>根据投标人提供的建设、测试、运行服务3个阶段服务方案进行评分。</w:t>
            </w:r>
          </w:p>
          <w:p>
            <w:pPr>
              <w:rPr>
                <w:rFonts w:ascii="仿宋" w:hAnsi="仿宋" w:eastAsia="仿宋"/>
              </w:rPr>
            </w:pPr>
            <w:r>
              <w:rPr>
                <w:rFonts w:hint="eastAsia" w:ascii="仿宋" w:hAnsi="仿宋" w:eastAsia="仿宋"/>
              </w:rPr>
              <w:t>1、建设阶段服务方案（3分）</w:t>
            </w:r>
          </w:p>
          <w:p>
            <w:pPr>
              <w:rPr>
                <w:rFonts w:ascii="仿宋" w:hAnsi="仿宋" w:eastAsia="仿宋"/>
              </w:rPr>
            </w:pPr>
            <w:r>
              <w:rPr>
                <w:rFonts w:hint="eastAsia" w:ascii="仿宋" w:hAnsi="仿宋" w:eastAsia="仿宋"/>
              </w:rPr>
              <w:t>从服务方案的完整性、服务内容的完备性，是否符合工期要求，是否满足建设阶段的各项服务要求与验收要求，服务保障、成本、质量、风险控制措施，过程控制措施是否完善，人力资源和设备调配是否合理等方面，进行综合评分，完全满足建设阶段服务的各项要求得</w:t>
            </w:r>
            <w:r>
              <w:rPr>
                <w:rFonts w:ascii="仿宋" w:hAnsi="仿宋" w:eastAsia="仿宋"/>
              </w:rPr>
              <w:t>3</w:t>
            </w:r>
            <w:r>
              <w:rPr>
                <w:rFonts w:hint="eastAsia" w:ascii="仿宋" w:hAnsi="仿宋" w:eastAsia="仿宋"/>
              </w:rPr>
              <w:t>分，基本满足得1分，否则得0分。</w:t>
            </w:r>
          </w:p>
        </w:tc>
        <w:tc>
          <w:tcPr>
            <w:tcW w:w="759" w:type="dxa"/>
          </w:tcPr>
          <w:p>
            <w:pPr>
              <w:rPr>
                <w:rFonts w:ascii="仿宋" w:hAnsi="仿宋" w:eastAsia="仿宋"/>
              </w:rPr>
            </w:pPr>
            <w:r>
              <w:rPr>
                <w:rFonts w:hint="eastAsia" w:ascii="仿宋" w:hAnsi="仿宋" w:eastAsia="仿宋"/>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rPr>
                <w:rFonts w:ascii="仿宋" w:hAnsi="仿宋" w:eastAsia="仿宋"/>
              </w:rPr>
            </w:pPr>
          </w:p>
        </w:tc>
        <w:tc>
          <w:tcPr>
            <w:tcW w:w="1091" w:type="dxa"/>
            <w:vMerge w:val="continue"/>
            <w:vAlign w:val="center"/>
          </w:tcPr>
          <w:p>
            <w:pPr>
              <w:rPr>
                <w:rFonts w:ascii="仿宋" w:hAnsi="仿宋" w:eastAsia="仿宋"/>
              </w:rPr>
            </w:pPr>
          </w:p>
        </w:tc>
        <w:tc>
          <w:tcPr>
            <w:tcW w:w="5785" w:type="dxa"/>
            <w:vAlign w:val="center"/>
          </w:tcPr>
          <w:p>
            <w:pPr>
              <w:rPr>
                <w:rFonts w:ascii="仿宋" w:hAnsi="仿宋" w:eastAsia="仿宋"/>
              </w:rPr>
            </w:pPr>
            <w:r>
              <w:rPr>
                <w:rFonts w:ascii="仿宋" w:hAnsi="仿宋" w:eastAsia="仿宋"/>
              </w:rPr>
              <w:t>2、测试阶段服务方案（3分）</w:t>
            </w:r>
          </w:p>
          <w:p>
            <w:pPr>
              <w:rPr>
                <w:rFonts w:ascii="仿宋" w:hAnsi="仿宋" w:eastAsia="仿宋"/>
              </w:rPr>
            </w:pPr>
            <w:r>
              <w:rPr>
                <w:rFonts w:ascii="仿宋" w:hAnsi="仿宋" w:eastAsia="仿宋"/>
              </w:rPr>
              <w:t>从服务方案的完整性、服务内容的完备性，是否符合工期要求，是否满足测试阶段的各项服务要求与验收要求，服务保障、成本、质量、风险控制措施是否完善，人力资源和设备调配是否合理，对于重叠子阶段是否有响应措施等方面，进行综合评分，</w:t>
            </w:r>
            <w:r>
              <w:rPr>
                <w:rFonts w:hint="eastAsia" w:ascii="仿宋" w:hAnsi="仿宋" w:eastAsia="仿宋"/>
              </w:rPr>
              <w:t>完全满足建设阶段服务的各项要求得3分，基本满足得1分，否则得0分。</w:t>
            </w:r>
          </w:p>
        </w:tc>
        <w:tc>
          <w:tcPr>
            <w:tcW w:w="759" w:type="dxa"/>
          </w:tcPr>
          <w:p>
            <w:pPr>
              <w:rPr>
                <w:rFonts w:ascii="仿宋" w:hAnsi="仿宋" w:eastAsia="仿宋"/>
              </w:rPr>
            </w:pPr>
            <w:r>
              <w:rPr>
                <w:rFonts w:hint="eastAsia" w:ascii="仿宋" w:hAnsi="仿宋" w:eastAsia="仿宋"/>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rPr>
                <w:rFonts w:ascii="仿宋" w:hAnsi="仿宋" w:eastAsia="仿宋"/>
              </w:rPr>
            </w:pPr>
          </w:p>
        </w:tc>
        <w:tc>
          <w:tcPr>
            <w:tcW w:w="1091" w:type="dxa"/>
            <w:vMerge w:val="continue"/>
            <w:vAlign w:val="center"/>
          </w:tcPr>
          <w:p>
            <w:pPr>
              <w:rPr>
                <w:rFonts w:ascii="仿宋" w:hAnsi="仿宋" w:eastAsia="仿宋"/>
              </w:rPr>
            </w:pPr>
          </w:p>
        </w:tc>
        <w:tc>
          <w:tcPr>
            <w:tcW w:w="5785" w:type="dxa"/>
            <w:vAlign w:val="center"/>
          </w:tcPr>
          <w:p>
            <w:pPr>
              <w:rPr>
                <w:rFonts w:ascii="仿宋" w:hAnsi="仿宋" w:eastAsia="仿宋"/>
              </w:rPr>
            </w:pPr>
            <w:r>
              <w:rPr>
                <w:rFonts w:ascii="仿宋" w:hAnsi="仿宋" w:eastAsia="仿宋"/>
              </w:rPr>
              <w:t>3、运行服务阶段服务方案（4分）</w:t>
            </w:r>
          </w:p>
          <w:p>
            <w:pPr>
              <w:rPr>
                <w:rFonts w:ascii="仿宋" w:hAnsi="仿宋" w:eastAsia="仿宋"/>
              </w:rPr>
            </w:pPr>
            <w:r>
              <w:rPr>
                <w:rFonts w:ascii="仿宋" w:hAnsi="仿宋" w:eastAsia="仿宋"/>
              </w:rPr>
              <w:t>从服务方案的完整性、服务内容的完备性，是否符合工期要求，是否满足运行服务阶段的各项服务要求与验收要求，服务保障、成本、质量、风险控制措施是否完善，人力资源和设备调配是否合理等方面，进行综合评分，</w:t>
            </w:r>
            <w:r>
              <w:rPr>
                <w:rFonts w:hint="eastAsia" w:ascii="仿宋" w:hAnsi="仿宋" w:eastAsia="仿宋"/>
              </w:rPr>
              <w:t>完全满足建设阶段服务的各项要求得</w:t>
            </w:r>
            <w:r>
              <w:rPr>
                <w:rFonts w:ascii="仿宋" w:hAnsi="仿宋" w:eastAsia="仿宋"/>
              </w:rPr>
              <w:t>4</w:t>
            </w:r>
            <w:r>
              <w:rPr>
                <w:rFonts w:hint="eastAsia" w:ascii="仿宋" w:hAnsi="仿宋" w:eastAsia="仿宋"/>
              </w:rPr>
              <w:t>分，基本满足得</w:t>
            </w:r>
            <w:r>
              <w:rPr>
                <w:rFonts w:ascii="仿宋" w:hAnsi="仿宋" w:eastAsia="仿宋"/>
              </w:rPr>
              <w:t>2</w:t>
            </w:r>
            <w:r>
              <w:rPr>
                <w:rFonts w:hint="eastAsia" w:ascii="仿宋" w:hAnsi="仿宋" w:eastAsia="仿宋"/>
              </w:rPr>
              <w:t>分，否则得0分。</w:t>
            </w:r>
          </w:p>
        </w:tc>
        <w:tc>
          <w:tcPr>
            <w:tcW w:w="759" w:type="dxa"/>
          </w:tcPr>
          <w:p>
            <w:pPr>
              <w:rPr>
                <w:rFonts w:ascii="仿宋" w:hAnsi="仿宋" w:eastAsia="仿宋"/>
              </w:rPr>
            </w:pPr>
            <w:r>
              <w:rPr>
                <w:rFonts w:hint="eastAsia" w:ascii="仿宋" w:hAnsi="仿宋" w:eastAsia="仿宋"/>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rPr>
                <w:rFonts w:ascii="仿宋" w:hAnsi="仿宋" w:eastAsia="仿宋"/>
              </w:rPr>
            </w:pPr>
          </w:p>
        </w:tc>
        <w:tc>
          <w:tcPr>
            <w:tcW w:w="1091" w:type="dxa"/>
            <w:vAlign w:val="center"/>
          </w:tcPr>
          <w:p>
            <w:pPr>
              <w:rPr>
                <w:rFonts w:ascii="仿宋" w:hAnsi="仿宋" w:eastAsia="仿宋"/>
              </w:rPr>
            </w:pPr>
            <w:r>
              <w:rPr>
                <w:rFonts w:hint="eastAsia" w:ascii="仿宋" w:hAnsi="仿宋" w:eastAsia="仿宋"/>
              </w:rPr>
              <w:t>产品指标</w:t>
            </w:r>
          </w:p>
          <w:p>
            <w:pPr>
              <w:rPr>
                <w:rFonts w:ascii="仿宋" w:hAnsi="仿宋" w:eastAsia="仿宋"/>
              </w:rPr>
            </w:pPr>
            <w:r>
              <w:rPr>
                <w:rFonts w:hint="eastAsia" w:ascii="仿宋" w:hAnsi="仿宋" w:eastAsia="仿宋"/>
              </w:rPr>
              <w:t>（</w:t>
            </w:r>
            <w:r>
              <w:rPr>
                <w:rFonts w:ascii="仿宋" w:hAnsi="仿宋" w:eastAsia="仿宋"/>
              </w:rPr>
              <w:t>10</w:t>
            </w:r>
            <w:r>
              <w:rPr>
                <w:rFonts w:hint="eastAsia" w:ascii="仿宋" w:hAnsi="仿宋" w:eastAsia="仿宋"/>
              </w:rPr>
              <w:t>分）</w:t>
            </w:r>
          </w:p>
        </w:tc>
        <w:tc>
          <w:tcPr>
            <w:tcW w:w="5785" w:type="dxa"/>
            <w:vAlign w:val="center"/>
          </w:tcPr>
          <w:p>
            <w:pPr>
              <w:rPr>
                <w:rFonts w:ascii="仿宋" w:hAnsi="仿宋" w:eastAsia="仿宋"/>
              </w:rPr>
            </w:pPr>
            <w:r>
              <w:rPr>
                <w:rFonts w:hint="eastAsia" w:ascii="仿宋" w:hAnsi="仿宋" w:eastAsia="仿宋"/>
              </w:rPr>
              <w:t>供应商提供服务所配置的产品、技术指标、技术性能是否符合招标文件要求及符合程度等进行评价，针对此次投标设备的技术参数响应偏离情况进行比较综合评审</w:t>
            </w:r>
            <w:r>
              <w:rPr>
                <w:rFonts w:ascii="仿宋" w:hAnsi="仿宋" w:eastAsia="仿宋"/>
              </w:rPr>
              <w:t>,完全满足得10 分，负偏离1 项扣1 分，依次累加，负偏离达10 项及以上的，本项不得分。</w:t>
            </w:r>
          </w:p>
        </w:tc>
        <w:tc>
          <w:tcPr>
            <w:tcW w:w="759" w:type="dxa"/>
          </w:tcPr>
          <w:p>
            <w:pPr>
              <w:rPr>
                <w:rFonts w:ascii="仿宋" w:hAnsi="仿宋" w:eastAsia="仿宋"/>
              </w:rPr>
            </w:pPr>
            <w:r>
              <w:rPr>
                <w:rFonts w:hint="eastAsia" w:ascii="仿宋" w:hAnsi="仿宋" w:eastAsia="仿宋"/>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rPr>
                <w:rFonts w:ascii="仿宋" w:hAnsi="仿宋" w:eastAsia="仿宋"/>
              </w:rPr>
            </w:pPr>
          </w:p>
        </w:tc>
        <w:tc>
          <w:tcPr>
            <w:tcW w:w="1091" w:type="dxa"/>
            <w:vAlign w:val="center"/>
          </w:tcPr>
          <w:p>
            <w:pPr>
              <w:rPr>
                <w:rFonts w:ascii="仿宋" w:hAnsi="仿宋" w:eastAsia="仿宋"/>
              </w:rPr>
            </w:pPr>
            <w:r>
              <w:rPr>
                <w:rFonts w:hint="eastAsia" w:ascii="仿宋" w:hAnsi="仿宋" w:eastAsia="仿宋"/>
              </w:rPr>
              <w:t>联调联试</w:t>
            </w:r>
          </w:p>
          <w:p>
            <w:pPr>
              <w:rPr>
                <w:rFonts w:ascii="仿宋" w:hAnsi="仿宋" w:eastAsia="仿宋"/>
              </w:rPr>
            </w:pPr>
            <w:r>
              <w:rPr>
                <w:rFonts w:hint="eastAsia" w:ascii="仿宋" w:hAnsi="仿宋" w:eastAsia="仿宋"/>
              </w:rPr>
              <w:t>配合方案</w:t>
            </w:r>
          </w:p>
          <w:p>
            <w:pPr>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分）</w:t>
            </w:r>
          </w:p>
        </w:tc>
        <w:tc>
          <w:tcPr>
            <w:tcW w:w="5785" w:type="dxa"/>
            <w:vAlign w:val="center"/>
          </w:tcPr>
          <w:p>
            <w:pPr>
              <w:rPr>
                <w:rFonts w:ascii="仿宋" w:hAnsi="仿宋" w:eastAsia="仿宋"/>
              </w:rPr>
            </w:pPr>
            <w:r>
              <w:rPr>
                <w:rFonts w:hint="eastAsia" w:ascii="仿宋" w:hAnsi="仿宋" w:eastAsia="仿宋"/>
              </w:rPr>
              <w:t>投标人对本项目提出的系统测试及联调联试要求，制定相应的配合方案。</w:t>
            </w:r>
          </w:p>
          <w:p>
            <w:pPr>
              <w:rPr>
                <w:rFonts w:ascii="仿宋" w:hAnsi="仿宋" w:eastAsia="仿宋"/>
              </w:rPr>
            </w:pPr>
            <w:r>
              <w:rPr>
                <w:rFonts w:hint="eastAsia" w:ascii="仿宋" w:hAnsi="仿宋" w:eastAsia="仿宋"/>
              </w:rPr>
              <w:t>本项满分</w:t>
            </w:r>
            <w:r>
              <w:rPr>
                <w:rFonts w:ascii="仿宋" w:hAnsi="仿宋" w:eastAsia="仿宋"/>
              </w:rPr>
              <w:t>5 分。</w:t>
            </w:r>
          </w:p>
          <w:p>
            <w:pPr>
              <w:rPr>
                <w:rFonts w:ascii="仿宋" w:hAnsi="仿宋" w:eastAsia="仿宋"/>
              </w:rPr>
            </w:pPr>
            <w:r>
              <w:rPr>
                <w:rFonts w:ascii="仿宋" w:hAnsi="仿宋" w:eastAsia="仿宋"/>
              </w:rPr>
              <w:t>1）投标人所提供的方案内容完整、合理、可行</w:t>
            </w:r>
            <w:r>
              <w:rPr>
                <w:rFonts w:hint="eastAsia" w:ascii="仿宋" w:hAnsi="仿宋" w:eastAsia="仿宋"/>
              </w:rPr>
              <w:t>得</w:t>
            </w:r>
            <w:r>
              <w:rPr>
                <w:rFonts w:ascii="仿宋" w:hAnsi="仿宋" w:eastAsia="仿宋"/>
              </w:rPr>
              <w:t>5分</w:t>
            </w:r>
          </w:p>
          <w:p>
            <w:pPr>
              <w:rPr>
                <w:rFonts w:ascii="仿宋" w:hAnsi="仿宋" w:eastAsia="仿宋"/>
              </w:rPr>
            </w:pPr>
            <w:r>
              <w:rPr>
                <w:rFonts w:ascii="仿宋" w:hAnsi="仿宋" w:eastAsia="仿宋"/>
              </w:rPr>
              <w:t>2）投标人所提供的方案内容较完整、较合理、较为可行</w:t>
            </w:r>
            <w:r>
              <w:rPr>
                <w:rFonts w:hint="eastAsia" w:ascii="仿宋" w:hAnsi="仿宋" w:eastAsia="仿宋"/>
              </w:rPr>
              <w:t>得</w:t>
            </w:r>
            <w:r>
              <w:rPr>
                <w:rFonts w:ascii="仿宋" w:hAnsi="仿宋" w:eastAsia="仿宋"/>
              </w:rPr>
              <w:t>3分</w:t>
            </w:r>
          </w:p>
          <w:p>
            <w:pPr>
              <w:rPr>
                <w:rFonts w:ascii="仿宋" w:hAnsi="仿宋" w:eastAsia="仿宋"/>
              </w:rPr>
            </w:pPr>
            <w:r>
              <w:rPr>
                <w:rFonts w:ascii="仿宋" w:hAnsi="仿宋" w:eastAsia="仿宋"/>
              </w:rPr>
              <w:t>3）投标人所提供的方案内容一般完整、一般合理、可行性一般</w:t>
            </w:r>
            <w:r>
              <w:rPr>
                <w:rFonts w:hint="eastAsia" w:ascii="仿宋" w:hAnsi="仿宋" w:eastAsia="仿宋"/>
              </w:rPr>
              <w:t>得</w:t>
            </w:r>
            <w:r>
              <w:rPr>
                <w:rFonts w:ascii="仿宋" w:hAnsi="仿宋" w:eastAsia="仿宋"/>
              </w:rPr>
              <w:t>1分</w:t>
            </w:r>
          </w:p>
          <w:p>
            <w:pPr>
              <w:rPr>
                <w:rFonts w:ascii="仿宋" w:hAnsi="仿宋" w:eastAsia="仿宋"/>
              </w:rPr>
            </w:pPr>
            <w:r>
              <w:rPr>
                <w:rFonts w:ascii="仿宋" w:hAnsi="仿宋" w:eastAsia="仿宋"/>
              </w:rPr>
              <w:t>4）投标人所提供的方案内容不完整、不合理、可行性差</w:t>
            </w:r>
            <w:r>
              <w:rPr>
                <w:rFonts w:hint="eastAsia" w:ascii="仿宋" w:hAnsi="仿宋" w:eastAsia="仿宋"/>
              </w:rPr>
              <w:t>得</w:t>
            </w:r>
            <w:r>
              <w:rPr>
                <w:rFonts w:ascii="仿宋" w:hAnsi="仿宋" w:eastAsia="仿宋"/>
              </w:rPr>
              <w:t>0 分</w:t>
            </w:r>
          </w:p>
        </w:tc>
        <w:tc>
          <w:tcPr>
            <w:tcW w:w="759" w:type="dxa"/>
          </w:tcPr>
          <w:p>
            <w:pPr>
              <w:rPr>
                <w:rFonts w:ascii="仿宋" w:hAnsi="仿宋" w:eastAsia="仿宋"/>
              </w:rPr>
            </w:pPr>
            <w:r>
              <w:rPr>
                <w:rFonts w:hint="eastAsia" w:ascii="仿宋" w:hAnsi="仿宋" w:eastAsia="仿宋"/>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rPr>
                <w:rFonts w:ascii="仿宋" w:hAnsi="仿宋" w:eastAsia="仿宋"/>
              </w:rPr>
            </w:pPr>
          </w:p>
        </w:tc>
        <w:tc>
          <w:tcPr>
            <w:tcW w:w="1091" w:type="dxa"/>
            <w:vAlign w:val="center"/>
          </w:tcPr>
          <w:p>
            <w:pPr>
              <w:rPr>
                <w:rFonts w:ascii="仿宋" w:hAnsi="仿宋" w:eastAsia="仿宋"/>
              </w:rPr>
            </w:pPr>
            <w:r>
              <w:rPr>
                <w:rFonts w:hint="eastAsia" w:ascii="仿宋" w:hAnsi="仿宋" w:eastAsia="仿宋"/>
              </w:rPr>
              <w:t>设备管理</w:t>
            </w:r>
          </w:p>
          <w:p>
            <w:pPr>
              <w:rPr>
                <w:rFonts w:ascii="仿宋" w:hAnsi="仿宋" w:eastAsia="仿宋"/>
              </w:rPr>
            </w:pPr>
            <w:r>
              <w:rPr>
                <w:rFonts w:hint="eastAsia" w:ascii="仿宋" w:hAnsi="仿宋" w:eastAsia="仿宋"/>
              </w:rPr>
              <w:t>计划</w:t>
            </w:r>
          </w:p>
          <w:p>
            <w:pPr>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分）</w:t>
            </w:r>
          </w:p>
        </w:tc>
        <w:tc>
          <w:tcPr>
            <w:tcW w:w="5785" w:type="dxa"/>
            <w:vAlign w:val="center"/>
          </w:tcPr>
          <w:p>
            <w:pPr>
              <w:rPr>
                <w:rFonts w:ascii="仿宋" w:hAnsi="仿宋" w:eastAsia="仿宋"/>
              </w:rPr>
            </w:pPr>
            <w:r>
              <w:rPr>
                <w:rFonts w:hint="eastAsia" w:ascii="仿宋" w:hAnsi="仿宋" w:eastAsia="仿宋"/>
              </w:rPr>
              <w:t>投标人所提供的设备管理计划，必须按照招标文件要求，实现到货运输、安装调试、技术支持、运行维护、物资回收及清点等服务。本项满分</w:t>
            </w:r>
            <w:r>
              <w:rPr>
                <w:rFonts w:ascii="仿宋" w:hAnsi="仿宋" w:eastAsia="仿宋"/>
              </w:rPr>
              <w:t>5 分。</w:t>
            </w:r>
          </w:p>
          <w:p>
            <w:pPr>
              <w:rPr>
                <w:rFonts w:ascii="仿宋" w:hAnsi="仿宋" w:eastAsia="仿宋"/>
              </w:rPr>
            </w:pPr>
            <w:r>
              <w:rPr>
                <w:rFonts w:ascii="仿宋" w:hAnsi="仿宋" w:eastAsia="仿宋"/>
              </w:rPr>
              <w:t>1）投标人所提供的方案内容完整、合理、可行</w:t>
            </w:r>
            <w:r>
              <w:rPr>
                <w:rFonts w:hint="eastAsia" w:ascii="仿宋" w:hAnsi="仿宋" w:eastAsia="仿宋"/>
              </w:rPr>
              <w:t>得</w:t>
            </w:r>
            <w:r>
              <w:rPr>
                <w:rFonts w:ascii="仿宋" w:hAnsi="仿宋" w:eastAsia="仿宋"/>
              </w:rPr>
              <w:t>5 分</w:t>
            </w:r>
          </w:p>
          <w:p>
            <w:pPr>
              <w:rPr>
                <w:rFonts w:ascii="仿宋" w:hAnsi="仿宋" w:eastAsia="仿宋"/>
              </w:rPr>
            </w:pPr>
            <w:r>
              <w:rPr>
                <w:rFonts w:ascii="仿宋" w:hAnsi="仿宋" w:eastAsia="仿宋"/>
              </w:rPr>
              <w:t>2）投标人所提供的方案内容较完整、较合理、较为可行</w:t>
            </w:r>
            <w:r>
              <w:rPr>
                <w:rFonts w:hint="eastAsia" w:ascii="仿宋" w:hAnsi="仿宋" w:eastAsia="仿宋"/>
              </w:rPr>
              <w:t>得</w:t>
            </w:r>
            <w:r>
              <w:rPr>
                <w:rFonts w:ascii="仿宋" w:hAnsi="仿宋" w:eastAsia="仿宋"/>
              </w:rPr>
              <w:t>3分</w:t>
            </w:r>
          </w:p>
          <w:p>
            <w:pPr>
              <w:rPr>
                <w:rFonts w:ascii="仿宋" w:hAnsi="仿宋" w:eastAsia="仿宋"/>
              </w:rPr>
            </w:pPr>
            <w:r>
              <w:rPr>
                <w:rFonts w:ascii="仿宋" w:hAnsi="仿宋" w:eastAsia="仿宋"/>
              </w:rPr>
              <w:t>3）投标人所提供的方案内容一般完整、一般合理、可行性一般</w:t>
            </w:r>
            <w:r>
              <w:rPr>
                <w:rFonts w:hint="eastAsia" w:ascii="仿宋" w:hAnsi="仿宋" w:eastAsia="仿宋"/>
              </w:rPr>
              <w:t>得</w:t>
            </w:r>
            <w:r>
              <w:rPr>
                <w:rFonts w:ascii="仿宋" w:hAnsi="仿宋" w:eastAsia="仿宋"/>
              </w:rPr>
              <w:t>1 分</w:t>
            </w:r>
          </w:p>
          <w:p>
            <w:pPr>
              <w:rPr>
                <w:rFonts w:ascii="仿宋" w:hAnsi="仿宋" w:eastAsia="仿宋"/>
              </w:rPr>
            </w:pPr>
            <w:r>
              <w:rPr>
                <w:rFonts w:ascii="仿宋" w:hAnsi="仿宋" w:eastAsia="仿宋"/>
              </w:rPr>
              <w:t>4）投标人所提供的方案内容不完整、不合理、可行性差</w:t>
            </w:r>
            <w:r>
              <w:rPr>
                <w:rFonts w:hint="eastAsia" w:ascii="仿宋" w:hAnsi="仿宋" w:eastAsia="仿宋"/>
              </w:rPr>
              <w:t>得</w:t>
            </w:r>
            <w:r>
              <w:rPr>
                <w:rFonts w:ascii="仿宋" w:hAnsi="仿宋" w:eastAsia="仿宋"/>
              </w:rPr>
              <w:t>0 分</w:t>
            </w:r>
          </w:p>
        </w:tc>
        <w:tc>
          <w:tcPr>
            <w:tcW w:w="759" w:type="dxa"/>
          </w:tcPr>
          <w:p>
            <w:pPr>
              <w:rPr>
                <w:rFonts w:ascii="仿宋" w:hAnsi="仿宋" w:eastAsia="仿宋"/>
              </w:rPr>
            </w:pPr>
            <w:r>
              <w:rPr>
                <w:rFonts w:hint="eastAsia" w:ascii="仿宋" w:hAnsi="仿宋" w:eastAsia="仿宋"/>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rPr>
                <w:rFonts w:ascii="仿宋" w:hAnsi="仿宋" w:eastAsia="仿宋"/>
              </w:rPr>
            </w:pPr>
          </w:p>
        </w:tc>
        <w:tc>
          <w:tcPr>
            <w:tcW w:w="1091" w:type="dxa"/>
            <w:vAlign w:val="center"/>
          </w:tcPr>
          <w:p>
            <w:pPr>
              <w:rPr>
                <w:rFonts w:ascii="仿宋" w:hAnsi="仿宋" w:eastAsia="仿宋"/>
              </w:rPr>
            </w:pPr>
            <w:r>
              <w:rPr>
                <w:rFonts w:hint="eastAsia" w:ascii="仿宋" w:hAnsi="仿宋" w:eastAsia="仿宋"/>
              </w:rPr>
              <w:t>备机服务</w:t>
            </w:r>
          </w:p>
          <w:p>
            <w:pPr>
              <w:rPr>
                <w:rFonts w:ascii="仿宋" w:hAnsi="仿宋" w:eastAsia="仿宋"/>
              </w:rPr>
            </w:pPr>
            <w:r>
              <w:rPr>
                <w:rFonts w:hint="eastAsia" w:ascii="仿宋" w:hAnsi="仿宋" w:eastAsia="仿宋"/>
              </w:rPr>
              <w:t>方案</w:t>
            </w:r>
          </w:p>
          <w:p>
            <w:pPr>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分）</w:t>
            </w:r>
          </w:p>
        </w:tc>
        <w:tc>
          <w:tcPr>
            <w:tcW w:w="5785" w:type="dxa"/>
            <w:vAlign w:val="center"/>
          </w:tcPr>
          <w:p>
            <w:pPr>
              <w:rPr>
                <w:rFonts w:ascii="仿宋" w:hAnsi="仿宋" w:eastAsia="仿宋"/>
              </w:rPr>
            </w:pPr>
            <w:r>
              <w:rPr>
                <w:rFonts w:hint="eastAsia" w:ascii="仿宋" w:hAnsi="仿宋" w:eastAsia="仿宋"/>
              </w:rPr>
              <w:t>备机服务：投标人需为此次赛事提供至少</w:t>
            </w:r>
            <w:r>
              <w:rPr>
                <w:rFonts w:ascii="仿宋" w:hAnsi="仿宋" w:eastAsia="仿宋"/>
              </w:rPr>
              <w:t>20%备机（需为全新设备）服务，</w:t>
            </w:r>
            <w:r>
              <w:rPr>
                <w:rFonts w:hint="eastAsia" w:ascii="仿宋" w:hAnsi="仿宋" w:eastAsia="仿宋"/>
              </w:rPr>
              <w:t>并制定相应的管理方案。本项满分</w:t>
            </w:r>
            <w:r>
              <w:rPr>
                <w:rFonts w:ascii="仿宋" w:hAnsi="仿宋" w:eastAsia="仿宋"/>
              </w:rPr>
              <w:t>5 分。</w:t>
            </w:r>
          </w:p>
          <w:p>
            <w:pPr>
              <w:rPr>
                <w:rFonts w:ascii="仿宋" w:hAnsi="仿宋" w:eastAsia="仿宋"/>
              </w:rPr>
            </w:pPr>
            <w:r>
              <w:rPr>
                <w:rFonts w:ascii="仿宋" w:hAnsi="仿宋" w:eastAsia="仿宋"/>
              </w:rPr>
              <w:t>1）投标人所提供的提供备机数量最充足，方案最好</w:t>
            </w:r>
            <w:r>
              <w:rPr>
                <w:rFonts w:hint="eastAsia" w:ascii="仿宋" w:hAnsi="仿宋" w:eastAsia="仿宋"/>
              </w:rPr>
              <w:t>得</w:t>
            </w:r>
            <w:r>
              <w:rPr>
                <w:rFonts w:ascii="仿宋" w:hAnsi="仿宋" w:eastAsia="仿宋"/>
              </w:rPr>
              <w:t>5 分</w:t>
            </w:r>
          </w:p>
          <w:p>
            <w:pPr>
              <w:rPr>
                <w:rFonts w:ascii="仿宋" w:hAnsi="仿宋" w:eastAsia="仿宋"/>
              </w:rPr>
            </w:pPr>
            <w:r>
              <w:rPr>
                <w:rFonts w:ascii="仿宋" w:hAnsi="仿宋" w:eastAsia="仿宋"/>
              </w:rPr>
              <w:t>2）投标人所提供的提供备机数量较充足，方案较好</w:t>
            </w:r>
            <w:r>
              <w:rPr>
                <w:rFonts w:hint="eastAsia" w:ascii="仿宋" w:hAnsi="仿宋" w:eastAsia="仿宋"/>
              </w:rPr>
              <w:t>得</w:t>
            </w:r>
            <w:r>
              <w:rPr>
                <w:rFonts w:ascii="仿宋" w:hAnsi="仿宋" w:eastAsia="仿宋"/>
              </w:rPr>
              <w:t>3 分</w:t>
            </w:r>
          </w:p>
          <w:p>
            <w:pPr>
              <w:rPr>
                <w:rFonts w:ascii="仿宋" w:hAnsi="仿宋" w:eastAsia="仿宋"/>
              </w:rPr>
            </w:pPr>
            <w:r>
              <w:rPr>
                <w:rFonts w:ascii="仿宋" w:hAnsi="仿宋" w:eastAsia="仿宋"/>
              </w:rPr>
              <w:t>3）投标人所提供了备机计划，方案一般</w:t>
            </w:r>
            <w:r>
              <w:rPr>
                <w:rFonts w:hint="eastAsia" w:ascii="仿宋" w:hAnsi="仿宋" w:eastAsia="仿宋"/>
              </w:rPr>
              <w:t>得</w:t>
            </w:r>
            <w:r>
              <w:rPr>
                <w:rFonts w:ascii="仿宋" w:hAnsi="仿宋" w:eastAsia="仿宋"/>
              </w:rPr>
              <w:t>1 分</w:t>
            </w:r>
          </w:p>
          <w:p>
            <w:pPr>
              <w:rPr>
                <w:rFonts w:ascii="仿宋" w:hAnsi="仿宋" w:eastAsia="仿宋"/>
              </w:rPr>
            </w:pPr>
            <w:r>
              <w:rPr>
                <w:rFonts w:ascii="仿宋" w:hAnsi="仿宋" w:eastAsia="仿宋"/>
              </w:rPr>
              <w:t>4）投标人不提供备机比例方案</w:t>
            </w:r>
            <w:r>
              <w:rPr>
                <w:rFonts w:hint="eastAsia" w:ascii="仿宋" w:hAnsi="仿宋" w:eastAsia="仿宋"/>
              </w:rPr>
              <w:t>得</w:t>
            </w:r>
            <w:r>
              <w:rPr>
                <w:rFonts w:ascii="仿宋" w:hAnsi="仿宋" w:eastAsia="仿宋"/>
              </w:rPr>
              <w:t>0 分</w:t>
            </w:r>
          </w:p>
        </w:tc>
        <w:tc>
          <w:tcPr>
            <w:tcW w:w="759" w:type="dxa"/>
          </w:tcPr>
          <w:p>
            <w:pPr>
              <w:rPr>
                <w:rFonts w:ascii="仿宋" w:hAnsi="仿宋" w:eastAsia="仿宋"/>
              </w:rPr>
            </w:pPr>
            <w:r>
              <w:rPr>
                <w:rFonts w:hint="eastAsia" w:ascii="仿宋" w:hAnsi="仿宋" w:eastAsia="仿宋"/>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rPr>
                <w:rFonts w:ascii="仿宋" w:hAnsi="仿宋" w:eastAsia="仿宋"/>
              </w:rPr>
            </w:pPr>
          </w:p>
        </w:tc>
        <w:tc>
          <w:tcPr>
            <w:tcW w:w="1091" w:type="dxa"/>
            <w:vAlign w:val="center"/>
          </w:tcPr>
          <w:p>
            <w:pPr>
              <w:rPr>
                <w:rFonts w:ascii="仿宋" w:hAnsi="仿宋" w:eastAsia="仿宋"/>
              </w:rPr>
            </w:pPr>
            <w:r>
              <w:rPr>
                <w:rFonts w:hint="eastAsia" w:ascii="仿宋" w:hAnsi="仿宋" w:eastAsia="仿宋"/>
              </w:rPr>
              <w:t>驻场服务</w:t>
            </w:r>
          </w:p>
          <w:p>
            <w:pPr>
              <w:rPr>
                <w:rFonts w:ascii="仿宋" w:hAnsi="仿宋" w:eastAsia="仿宋"/>
              </w:rPr>
            </w:pPr>
            <w:r>
              <w:rPr>
                <w:rFonts w:hint="eastAsia" w:ascii="仿宋" w:hAnsi="仿宋" w:eastAsia="仿宋"/>
              </w:rPr>
              <w:t>时间表</w:t>
            </w:r>
          </w:p>
          <w:p>
            <w:pPr>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分）</w:t>
            </w:r>
          </w:p>
        </w:tc>
        <w:tc>
          <w:tcPr>
            <w:tcW w:w="5785" w:type="dxa"/>
            <w:vAlign w:val="center"/>
          </w:tcPr>
          <w:p>
            <w:pPr>
              <w:rPr>
                <w:rFonts w:ascii="仿宋" w:hAnsi="仿宋" w:eastAsia="仿宋"/>
              </w:rPr>
            </w:pPr>
            <w:r>
              <w:rPr>
                <w:rFonts w:hint="eastAsia" w:ascii="仿宋" w:hAnsi="仿宋" w:eastAsia="仿宋"/>
              </w:rPr>
              <w:t>以表格方式列出驻场服务时间表。本项满分5</w:t>
            </w:r>
            <w:r>
              <w:rPr>
                <w:rFonts w:ascii="仿宋" w:hAnsi="仿宋" w:eastAsia="仿宋"/>
              </w:rPr>
              <w:t>分。</w:t>
            </w:r>
          </w:p>
          <w:p>
            <w:pPr>
              <w:rPr>
                <w:rFonts w:ascii="仿宋" w:hAnsi="仿宋" w:eastAsia="仿宋"/>
              </w:rPr>
            </w:pPr>
            <w:r>
              <w:rPr>
                <w:rFonts w:ascii="仿宋" w:hAnsi="仿宋" w:eastAsia="仿宋"/>
              </w:rPr>
              <w:t>1）驻场服务时间表表格合理、时间充足，完全满足重大体育项目比赛要求</w:t>
            </w:r>
            <w:r>
              <w:rPr>
                <w:rFonts w:hint="eastAsia" w:ascii="仿宋" w:hAnsi="仿宋" w:eastAsia="仿宋"/>
              </w:rPr>
              <w:t>得</w:t>
            </w:r>
            <w:r>
              <w:rPr>
                <w:rFonts w:ascii="仿宋" w:hAnsi="仿宋" w:eastAsia="仿宋"/>
              </w:rPr>
              <w:t>5 分</w:t>
            </w:r>
          </w:p>
          <w:p>
            <w:pPr>
              <w:rPr>
                <w:rFonts w:ascii="仿宋" w:hAnsi="仿宋" w:eastAsia="仿宋"/>
              </w:rPr>
            </w:pPr>
            <w:r>
              <w:rPr>
                <w:rFonts w:ascii="仿宋" w:hAnsi="仿宋" w:eastAsia="仿宋"/>
              </w:rPr>
              <w:t>2）驻场服务时间表表格较合理、时间较充足，较好满足重大体育项目比赛要求</w:t>
            </w:r>
            <w:r>
              <w:rPr>
                <w:rFonts w:hint="eastAsia" w:ascii="仿宋" w:hAnsi="仿宋" w:eastAsia="仿宋"/>
              </w:rPr>
              <w:t>得</w:t>
            </w:r>
            <w:r>
              <w:rPr>
                <w:rFonts w:ascii="仿宋" w:hAnsi="仿宋" w:eastAsia="仿宋"/>
              </w:rPr>
              <w:t>3 分</w:t>
            </w:r>
          </w:p>
          <w:p>
            <w:pPr>
              <w:rPr>
                <w:rFonts w:ascii="仿宋" w:hAnsi="仿宋" w:eastAsia="仿宋"/>
              </w:rPr>
            </w:pPr>
            <w:r>
              <w:rPr>
                <w:rFonts w:ascii="仿宋" w:hAnsi="仿宋" w:eastAsia="仿宋"/>
              </w:rPr>
              <w:t>3）驻场服务时间表表格基本合理、时间不充足，基本满足重大体育项目比赛要求</w:t>
            </w:r>
            <w:r>
              <w:rPr>
                <w:rFonts w:hint="eastAsia" w:ascii="仿宋" w:hAnsi="仿宋" w:eastAsia="仿宋"/>
              </w:rPr>
              <w:t>得</w:t>
            </w:r>
            <w:r>
              <w:rPr>
                <w:rFonts w:ascii="仿宋" w:hAnsi="仿宋" w:eastAsia="仿宋"/>
              </w:rPr>
              <w:t>1 分</w:t>
            </w:r>
          </w:p>
          <w:p>
            <w:pPr>
              <w:rPr>
                <w:rFonts w:ascii="仿宋" w:hAnsi="仿宋" w:eastAsia="仿宋"/>
              </w:rPr>
            </w:pPr>
            <w:r>
              <w:rPr>
                <w:rFonts w:ascii="仿宋" w:hAnsi="仿宋" w:eastAsia="仿宋"/>
              </w:rPr>
              <w:t>4）驻场服务时间表表格不合理、可行性差</w:t>
            </w:r>
            <w:r>
              <w:rPr>
                <w:rFonts w:hint="eastAsia" w:ascii="仿宋" w:hAnsi="仿宋" w:eastAsia="仿宋"/>
              </w:rPr>
              <w:t>得</w:t>
            </w:r>
            <w:r>
              <w:rPr>
                <w:rFonts w:ascii="仿宋" w:hAnsi="仿宋" w:eastAsia="仿宋"/>
              </w:rPr>
              <w:t>0 分</w:t>
            </w:r>
          </w:p>
        </w:tc>
        <w:tc>
          <w:tcPr>
            <w:tcW w:w="759" w:type="dxa"/>
          </w:tcPr>
          <w:p>
            <w:pPr>
              <w:rPr>
                <w:rFonts w:ascii="仿宋" w:hAnsi="仿宋" w:eastAsia="仿宋"/>
              </w:rPr>
            </w:pPr>
            <w:r>
              <w:rPr>
                <w:rFonts w:hint="eastAsia" w:ascii="仿宋" w:hAnsi="仿宋" w:eastAsia="仿宋"/>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rPr>
                <w:rFonts w:ascii="仿宋" w:hAnsi="仿宋" w:eastAsia="仿宋"/>
              </w:rPr>
            </w:pPr>
          </w:p>
        </w:tc>
        <w:tc>
          <w:tcPr>
            <w:tcW w:w="1091" w:type="dxa"/>
            <w:vAlign w:val="center"/>
          </w:tcPr>
          <w:p>
            <w:pPr>
              <w:rPr>
                <w:rFonts w:ascii="仿宋" w:hAnsi="仿宋" w:eastAsia="仿宋"/>
              </w:rPr>
            </w:pPr>
            <w:r>
              <w:rPr>
                <w:rFonts w:ascii="仿宋" w:hAnsi="仿宋" w:eastAsia="仿宋"/>
              </w:rPr>
              <w:t>应急预案</w:t>
            </w:r>
          </w:p>
          <w:p>
            <w:pPr>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分）</w:t>
            </w:r>
          </w:p>
        </w:tc>
        <w:tc>
          <w:tcPr>
            <w:tcW w:w="5785" w:type="dxa"/>
            <w:vAlign w:val="center"/>
          </w:tcPr>
          <w:p>
            <w:pPr>
              <w:rPr>
                <w:rFonts w:ascii="仿宋" w:hAnsi="仿宋" w:eastAsia="仿宋"/>
              </w:rPr>
            </w:pPr>
            <w:r>
              <w:rPr>
                <w:rFonts w:ascii="仿宋" w:hAnsi="仿宋" w:eastAsia="仿宋"/>
              </w:rPr>
              <w:t>根据投标人所提供的应急预案完整性、合理性、可行性等方面，进行综合评分，按响应程度得0-5分。</w:t>
            </w:r>
            <w:r>
              <w:rPr>
                <w:rFonts w:hint="eastAsia" w:ascii="仿宋" w:hAnsi="仿宋" w:eastAsia="仿宋"/>
              </w:rPr>
              <w:t>本项满分5分。</w:t>
            </w:r>
          </w:p>
          <w:p>
            <w:pPr>
              <w:rPr>
                <w:rFonts w:ascii="仿宋" w:hAnsi="仿宋" w:eastAsia="仿宋"/>
              </w:rPr>
            </w:pPr>
            <w:r>
              <w:rPr>
                <w:rFonts w:hint="eastAsia" w:ascii="仿宋" w:hAnsi="仿宋" w:eastAsia="仿宋"/>
              </w:rPr>
              <w:t>1）提交的应急预案内容完整、合理、可行，得5分；</w:t>
            </w:r>
          </w:p>
          <w:p>
            <w:pPr>
              <w:rPr>
                <w:rFonts w:ascii="仿宋" w:hAnsi="仿宋" w:eastAsia="仿宋"/>
              </w:rPr>
            </w:pPr>
            <w:r>
              <w:rPr>
                <w:rFonts w:hint="eastAsia" w:ascii="仿宋" w:hAnsi="仿宋" w:eastAsia="仿宋"/>
              </w:rPr>
              <w:t>2）提交的应急预案内容较完整、较合理、较为可行，得3分；</w:t>
            </w:r>
          </w:p>
          <w:p>
            <w:pPr>
              <w:rPr>
                <w:rFonts w:ascii="仿宋" w:hAnsi="仿宋" w:eastAsia="仿宋"/>
              </w:rPr>
            </w:pPr>
            <w:r>
              <w:rPr>
                <w:rFonts w:hint="eastAsia" w:ascii="仿宋" w:hAnsi="仿宋" w:eastAsia="仿宋"/>
              </w:rPr>
              <w:t>3）提交的应急预案内容一般完整、一般合理、可行性一般，得1分；</w:t>
            </w:r>
          </w:p>
          <w:p>
            <w:pPr>
              <w:rPr>
                <w:rFonts w:ascii="仿宋" w:hAnsi="仿宋" w:eastAsia="仿宋"/>
              </w:rPr>
            </w:pPr>
            <w:r>
              <w:rPr>
                <w:rFonts w:hint="eastAsia" w:ascii="仿宋" w:hAnsi="仿宋" w:eastAsia="仿宋"/>
              </w:rPr>
              <w:t>4）提交的应急预案内容不完整、不合理、可行性差，得0分。</w:t>
            </w:r>
          </w:p>
        </w:tc>
        <w:tc>
          <w:tcPr>
            <w:tcW w:w="759" w:type="dxa"/>
          </w:tcPr>
          <w:p>
            <w:pPr>
              <w:rPr>
                <w:rFonts w:ascii="仿宋" w:hAnsi="仿宋" w:eastAsia="仿宋"/>
              </w:rPr>
            </w:pPr>
            <w:r>
              <w:rPr>
                <w:rFonts w:hint="eastAsia" w:ascii="仿宋" w:hAnsi="仿宋" w:eastAsia="仿宋"/>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rPr>
                <w:rFonts w:ascii="仿宋" w:hAnsi="仿宋" w:eastAsia="仿宋"/>
              </w:rPr>
            </w:pPr>
          </w:p>
        </w:tc>
        <w:tc>
          <w:tcPr>
            <w:tcW w:w="1091" w:type="dxa"/>
            <w:vAlign w:val="center"/>
          </w:tcPr>
          <w:p>
            <w:pPr>
              <w:rPr>
                <w:rFonts w:ascii="仿宋" w:hAnsi="仿宋" w:eastAsia="仿宋"/>
              </w:rPr>
            </w:pPr>
            <w:r>
              <w:rPr>
                <w:rFonts w:ascii="仿宋" w:hAnsi="仿宋" w:eastAsia="仿宋"/>
              </w:rPr>
              <w:t>质量保证计划</w:t>
            </w:r>
          </w:p>
          <w:p>
            <w:pPr>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分）</w:t>
            </w:r>
          </w:p>
        </w:tc>
        <w:tc>
          <w:tcPr>
            <w:tcW w:w="5785" w:type="dxa"/>
            <w:vAlign w:val="center"/>
          </w:tcPr>
          <w:p>
            <w:pPr>
              <w:rPr>
                <w:rFonts w:ascii="仿宋" w:hAnsi="仿宋" w:eastAsia="仿宋"/>
              </w:rPr>
            </w:pPr>
            <w:r>
              <w:rPr>
                <w:rFonts w:ascii="仿宋" w:hAnsi="仿宋" w:eastAsia="仿宋"/>
              </w:rPr>
              <w:t>从质量保证范围、质量保证措施、服务水平定义，服务水平保证措施等方面对投标人提供的质量保证计划进行综合评分，</w:t>
            </w:r>
            <w:r>
              <w:rPr>
                <w:rFonts w:hint="eastAsia" w:ascii="仿宋" w:hAnsi="仿宋" w:eastAsia="仿宋"/>
              </w:rPr>
              <w:t>本项满分5分。</w:t>
            </w:r>
          </w:p>
          <w:p>
            <w:pPr>
              <w:rPr>
                <w:rFonts w:ascii="仿宋" w:hAnsi="仿宋" w:eastAsia="仿宋"/>
              </w:rPr>
            </w:pPr>
            <w:r>
              <w:rPr>
                <w:rFonts w:hint="eastAsia" w:ascii="仿宋" w:hAnsi="仿宋" w:eastAsia="仿宋"/>
              </w:rPr>
              <w:t>1）提交的质量保证计划内容完整、合理、可行，得5分；</w:t>
            </w:r>
          </w:p>
          <w:p>
            <w:pPr>
              <w:rPr>
                <w:rFonts w:ascii="仿宋" w:hAnsi="仿宋" w:eastAsia="仿宋"/>
              </w:rPr>
            </w:pPr>
            <w:r>
              <w:rPr>
                <w:rFonts w:hint="eastAsia" w:ascii="仿宋" w:hAnsi="仿宋" w:eastAsia="仿宋"/>
              </w:rPr>
              <w:t>2）提交的质量保证计划内容较完整、较合理、较为可行，得3分；</w:t>
            </w:r>
          </w:p>
          <w:p>
            <w:pPr>
              <w:rPr>
                <w:rFonts w:ascii="仿宋" w:hAnsi="仿宋" w:eastAsia="仿宋"/>
              </w:rPr>
            </w:pPr>
            <w:r>
              <w:rPr>
                <w:rFonts w:hint="eastAsia" w:ascii="仿宋" w:hAnsi="仿宋" w:eastAsia="仿宋"/>
              </w:rPr>
              <w:t>3）提交的质量保证计划内容一般完整、一般合理、可行性一般，得1分；</w:t>
            </w:r>
          </w:p>
          <w:p>
            <w:pPr>
              <w:rPr>
                <w:rFonts w:ascii="仿宋" w:hAnsi="仿宋" w:eastAsia="仿宋"/>
              </w:rPr>
            </w:pPr>
            <w:r>
              <w:rPr>
                <w:rFonts w:hint="eastAsia" w:ascii="仿宋" w:hAnsi="仿宋" w:eastAsia="仿宋"/>
              </w:rPr>
              <w:t>4）提交的质量保证计划内容不完整、不合理、可行性差，得0分。</w:t>
            </w:r>
          </w:p>
        </w:tc>
        <w:tc>
          <w:tcPr>
            <w:tcW w:w="759" w:type="dxa"/>
          </w:tcPr>
          <w:p>
            <w:pPr>
              <w:rPr>
                <w:rFonts w:ascii="仿宋" w:hAnsi="仿宋" w:eastAsia="仿宋"/>
              </w:rPr>
            </w:pPr>
            <w:r>
              <w:rPr>
                <w:rFonts w:hint="eastAsia" w:ascii="仿宋" w:hAnsi="仿宋" w:eastAsia="仿宋"/>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rPr>
                <w:rFonts w:ascii="仿宋" w:hAnsi="仿宋" w:eastAsia="仿宋"/>
              </w:rPr>
            </w:pPr>
          </w:p>
        </w:tc>
        <w:tc>
          <w:tcPr>
            <w:tcW w:w="1091" w:type="dxa"/>
            <w:vAlign w:val="center"/>
          </w:tcPr>
          <w:p>
            <w:pPr>
              <w:rPr>
                <w:rFonts w:ascii="仿宋" w:hAnsi="仿宋" w:eastAsia="仿宋"/>
              </w:rPr>
            </w:pPr>
            <w:r>
              <w:rPr>
                <w:rFonts w:ascii="仿宋" w:hAnsi="仿宋" w:eastAsia="仿宋"/>
              </w:rPr>
              <w:t>人员管理计划</w:t>
            </w:r>
          </w:p>
          <w:p>
            <w:pPr>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分）</w:t>
            </w:r>
          </w:p>
        </w:tc>
        <w:tc>
          <w:tcPr>
            <w:tcW w:w="5785" w:type="dxa"/>
            <w:vAlign w:val="center"/>
          </w:tcPr>
          <w:p>
            <w:pPr>
              <w:rPr>
                <w:rFonts w:ascii="仿宋" w:hAnsi="仿宋" w:eastAsia="仿宋"/>
              </w:rPr>
            </w:pPr>
            <w:r>
              <w:rPr>
                <w:rFonts w:ascii="仿宋" w:hAnsi="仿宋" w:eastAsia="仿宋"/>
              </w:rPr>
              <w:t>根据投标人提供的项目人员管理计划、项目总体人员配置计划以及主要人员的到岗时间计划，从人员配备是否合理、职责是否清晰、数量是否能够满足采购人使用需要、管理制度是否健全等方面，进行综合评分，</w:t>
            </w:r>
            <w:r>
              <w:rPr>
                <w:rFonts w:hint="eastAsia" w:ascii="仿宋" w:hAnsi="仿宋" w:eastAsia="仿宋"/>
              </w:rPr>
              <w:t>本项满分5分。</w:t>
            </w:r>
          </w:p>
          <w:p>
            <w:pPr>
              <w:rPr>
                <w:rFonts w:ascii="仿宋" w:hAnsi="仿宋" w:eastAsia="仿宋"/>
              </w:rPr>
            </w:pPr>
            <w:r>
              <w:rPr>
                <w:rFonts w:hint="eastAsia" w:ascii="仿宋" w:hAnsi="仿宋" w:eastAsia="仿宋"/>
              </w:rPr>
              <w:t>1）所配备的人员岗位明确、数量合理，能够很好的满足采购人使用需要，得5分；</w:t>
            </w:r>
          </w:p>
          <w:p>
            <w:pPr>
              <w:rPr>
                <w:rFonts w:ascii="仿宋" w:hAnsi="仿宋" w:eastAsia="仿宋"/>
              </w:rPr>
            </w:pPr>
            <w:r>
              <w:rPr>
                <w:rFonts w:hint="eastAsia" w:ascii="仿宋" w:hAnsi="仿宋" w:eastAsia="仿宋"/>
              </w:rPr>
              <w:t>2）提供了人员计划，但所提供人员岗位设置欠合理或和数量不足，与采购人使用需要存在一定偏差，得3分；</w:t>
            </w:r>
          </w:p>
          <w:p>
            <w:pPr>
              <w:rPr>
                <w:rFonts w:ascii="仿宋" w:hAnsi="仿宋" w:eastAsia="仿宋"/>
              </w:rPr>
            </w:pPr>
            <w:r>
              <w:rPr>
                <w:rFonts w:hint="eastAsia" w:ascii="仿宋" w:hAnsi="仿宋" w:eastAsia="仿宋"/>
              </w:rPr>
              <w:t>3）未提交人员计划或提交的人员计划与采购人使用需要有较大偏差的，得0分。</w:t>
            </w:r>
          </w:p>
        </w:tc>
        <w:tc>
          <w:tcPr>
            <w:tcW w:w="759" w:type="dxa"/>
          </w:tcPr>
          <w:p>
            <w:pPr>
              <w:rPr>
                <w:rFonts w:ascii="仿宋" w:hAnsi="仿宋" w:eastAsia="仿宋"/>
              </w:rPr>
            </w:pPr>
            <w:r>
              <w:rPr>
                <w:rFonts w:hint="eastAsia" w:ascii="仿宋" w:hAnsi="仿宋" w:eastAsia="仿宋"/>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rPr>
                <w:rFonts w:ascii="仿宋" w:hAnsi="仿宋" w:eastAsia="仿宋"/>
              </w:rPr>
            </w:pPr>
          </w:p>
        </w:tc>
        <w:tc>
          <w:tcPr>
            <w:tcW w:w="1091" w:type="dxa"/>
            <w:vAlign w:val="center"/>
          </w:tcPr>
          <w:p>
            <w:pPr>
              <w:rPr>
                <w:rFonts w:ascii="仿宋" w:hAnsi="仿宋" w:eastAsia="仿宋"/>
              </w:rPr>
            </w:pPr>
            <w:r>
              <w:rPr>
                <w:rFonts w:ascii="仿宋" w:hAnsi="仿宋" w:eastAsia="仿宋"/>
              </w:rPr>
              <w:t>进度管理计划</w:t>
            </w:r>
          </w:p>
          <w:p>
            <w:pPr>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分）</w:t>
            </w:r>
          </w:p>
        </w:tc>
        <w:tc>
          <w:tcPr>
            <w:tcW w:w="5785" w:type="dxa"/>
            <w:vAlign w:val="center"/>
          </w:tcPr>
          <w:p>
            <w:pPr>
              <w:rPr>
                <w:rFonts w:ascii="仿宋" w:hAnsi="仿宋" w:eastAsia="仿宋"/>
              </w:rPr>
            </w:pPr>
            <w:r>
              <w:rPr>
                <w:rFonts w:ascii="仿宋" w:hAnsi="仿宋" w:eastAsia="仿宋"/>
              </w:rPr>
              <w:t>从进度计划与十四运会和残特奥会整体时间安排的一致程度，进度管理措施的完备性、合理性，是否充分考虑到风险与不确定因素等方面，对投标人所提供的进度管理计划进行综合评分，</w:t>
            </w:r>
            <w:r>
              <w:rPr>
                <w:rFonts w:hint="eastAsia" w:ascii="仿宋" w:hAnsi="仿宋" w:eastAsia="仿宋"/>
              </w:rPr>
              <w:t>本项满分5分。</w:t>
            </w:r>
          </w:p>
          <w:p>
            <w:pPr>
              <w:rPr>
                <w:rFonts w:ascii="仿宋" w:hAnsi="仿宋" w:eastAsia="仿宋"/>
              </w:rPr>
            </w:pPr>
            <w:r>
              <w:rPr>
                <w:rFonts w:hint="eastAsia" w:ascii="仿宋" w:hAnsi="仿宋" w:eastAsia="仿宋"/>
              </w:rPr>
              <w:t>1）所提供的进度管理计划内容完整、合理、可行，得5分；</w:t>
            </w:r>
          </w:p>
          <w:p>
            <w:pPr>
              <w:rPr>
                <w:rFonts w:ascii="仿宋" w:hAnsi="仿宋" w:eastAsia="仿宋"/>
              </w:rPr>
            </w:pPr>
            <w:r>
              <w:rPr>
                <w:rFonts w:hint="eastAsia" w:ascii="仿宋" w:hAnsi="仿宋" w:eastAsia="仿宋"/>
              </w:rPr>
              <w:t>2）所提供的进度管理计划内容较完整、较合理、较为可行，得3分；</w:t>
            </w:r>
          </w:p>
          <w:p>
            <w:pPr>
              <w:rPr>
                <w:rFonts w:ascii="仿宋" w:hAnsi="仿宋" w:eastAsia="仿宋"/>
              </w:rPr>
            </w:pPr>
            <w:r>
              <w:rPr>
                <w:rFonts w:hint="eastAsia" w:ascii="仿宋" w:hAnsi="仿宋" w:eastAsia="仿宋"/>
              </w:rPr>
              <w:t>3）所提供的进度管理计划内容一般完整、一般合理、可行性一般，得1分；</w:t>
            </w:r>
          </w:p>
          <w:p>
            <w:pPr>
              <w:rPr>
                <w:rFonts w:ascii="仿宋" w:hAnsi="仿宋" w:eastAsia="仿宋"/>
              </w:rPr>
            </w:pPr>
            <w:r>
              <w:rPr>
                <w:rFonts w:hint="eastAsia" w:ascii="仿宋" w:hAnsi="仿宋" w:eastAsia="仿宋"/>
              </w:rPr>
              <w:t>4）所提供的进度管理计划内容不完整、不合理、可行性差，得0分。</w:t>
            </w:r>
          </w:p>
        </w:tc>
        <w:tc>
          <w:tcPr>
            <w:tcW w:w="759" w:type="dxa"/>
          </w:tcPr>
          <w:p>
            <w:pPr>
              <w:rPr>
                <w:rFonts w:ascii="仿宋" w:hAnsi="仿宋" w:eastAsia="仿宋"/>
              </w:rPr>
            </w:pPr>
            <w:r>
              <w:rPr>
                <w:rFonts w:hint="eastAsia" w:ascii="仿宋" w:hAnsi="仿宋" w:eastAsia="仿宋"/>
              </w:rPr>
              <w:t>5分</w:t>
            </w:r>
          </w:p>
        </w:tc>
      </w:tr>
    </w:tbl>
    <w:p>
      <w:pPr>
        <w:spacing w:before="156" w:beforeLines="50" w:after="156" w:afterLines="50" w:line="320" w:lineRule="exact"/>
        <w:ind w:firstLine="643" w:firstLineChars="200"/>
        <w:rPr>
          <w:rFonts w:ascii="仿宋_GB2312" w:hAnsi="宋体" w:eastAsia="仿宋_GB2312"/>
          <w:b/>
          <w:color w:val="000000"/>
          <w:sz w:val="32"/>
          <w:szCs w:val="32"/>
        </w:rPr>
      </w:pPr>
    </w:p>
    <w:p>
      <w:pPr>
        <w:spacing w:before="156" w:beforeLines="50" w:after="156" w:afterLines="50" w:line="320" w:lineRule="exact"/>
        <w:ind w:firstLine="643" w:firstLineChars="200"/>
        <w:rPr>
          <w:rFonts w:ascii="仿宋_GB2312" w:hAnsi="宋体" w:eastAsia="仿宋_GB2312"/>
          <w:b/>
          <w:color w:val="000000"/>
          <w:sz w:val="32"/>
          <w:szCs w:val="32"/>
        </w:rPr>
      </w:pPr>
      <w:r>
        <w:rPr>
          <w:rFonts w:hint="eastAsia" w:ascii="仿宋_GB2312" w:hAnsi="宋体" w:eastAsia="仿宋_GB2312"/>
          <w:b/>
          <w:color w:val="000000" w:themeColor="text1"/>
          <w:sz w:val="32"/>
          <w:szCs w:val="32"/>
          <w14:textFill>
            <w14:solidFill>
              <w14:schemeClr w14:val="tx1"/>
            </w14:solidFill>
          </w14:textFill>
        </w:rPr>
        <w:t>3、标项3</w:t>
      </w:r>
      <w:r>
        <w:rPr>
          <w:rFonts w:hint="eastAsia" w:ascii="仿宋_GB2312" w:hAnsi="宋体" w:eastAsia="仿宋_GB2312"/>
          <w:b/>
          <w:color w:val="000000"/>
          <w:sz w:val="32"/>
          <w:szCs w:val="32"/>
        </w:rPr>
        <w:t>的评分方法</w:t>
      </w:r>
    </w:p>
    <w:tbl>
      <w:tblPr>
        <w:tblStyle w:val="5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7"/>
        <w:gridCol w:w="1064"/>
        <w:gridCol w:w="5954"/>
        <w:gridCol w:w="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Align w:val="center"/>
          </w:tcPr>
          <w:p>
            <w:pPr>
              <w:widowControl/>
              <w:spacing w:line="460" w:lineRule="exact"/>
              <w:contextualSpacing/>
              <w:jc w:val="center"/>
              <w:rPr>
                <w:rFonts w:ascii="仿宋" w:hAnsi="仿宋" w:eastAsia="仿宋"/>
                <w:b/>
                <w:szCs w:val="21"/>
                <w:lang w:eastAsia="en-US" w:bidi="en-US"/>
              </w:rPr>
            </w:pPr>
          </w:p>
          <w:p>
            <w:pPr>
              <w:widowControl/>
              <w:spacing w:line="460" w:lineRule="exact"/>
              <w:contextualSpacing/>
              <w:jc w:val="center"/>
              <w:rPr>
                <w:rFonts w:ascii="仿宋" w:hAnsi="仿宋" w:eastAsia="仿宋"/>
                <w:b/>
                <w:szCs w:val="21"/>
                <w:lang w:eastAsia="en-US" w:bidi="en-US"/>
              </w:rPr>
            </w:pPr>
          </w:p>
          <w:p>
            <w:pPr>
              <w:widowControl/>
              <w:spacing w:line="460" w:lineRule="exact"/>
              <w:contextualSpacing/>
              <w:jc w:val="center"/>
              <w:rPr>
                <w:rFonts w:ascii="仿宋" w:hAnsi="仿宋" w:eastAsia="仿宋"/>
                <w:b/>
                <w:szCs w:val="21"/>
                <w:lang w:eastAsia="en-US" w:bidi="en-US"/>
              </w:rPr>
            </w:pPr>
            <w:r>
              <w:rPr>
                <w:rFonts w:hint="eastAsia" w:ascii="仿宋" w:hAnsi="仿宋" w:eastAsia="仿宋"/>
                <w:b/>
                <w:szCs w:val="21"/>
                <w:lang w:eastAsia="en-US" w:bidi="en-US"/>
              </w:rPr>
              <w:t>投标</w:t>
            </w:r>
          </w:p>
          <w:p>
            <w:pPr>
              <w:widowControl/>
              <w:spacing w:line="460" w:lineRule="exact"/>
              <w:contextualSpacing/>
              <w:jc w:val="center"/>
              <w:rPr>
                <w:rFonts w:ascii="仿宋" w:hAnsi="仿宋" w:eastAsia="仿宋"/>
                <w:b/>
                <w:szCs w:val="21"/>
                <w:lang w:eastAsia="en-US" w:bidi="en-US"/>
              </w:rPr>
            </w:pPr>
            <w:r>
              <w:rPr>
                <w:rFonts w:hint="eastAsia" w:ascii="仿宋" w:hAnsi="仿宋" w:eastAsia="仿宋"/>
                <w:b/>
                <w:szCs w:val="21"/>
                <w:lang w:eastAsia="en-US" w:bidi="en-US"/>
              </w:rPr>
              <w:t>报价</w:t>
            </w:r>
          </w:p>
          <w:p>
            <w:pPr>
              <w:widowControl/>
              <w:spacing w:line="460" w:lineRule="exact"/>
              <w:contextualSpacing/>
              <w:jc w:val="center"/>
              <w:rPr>
                <w:rFonts w:ascii="仿宋" w:hAnsi="仿宋" w:eastAsia="仿宋"/>
                <w:b/>
                <w:szCs w:val="21"/>
                <w:lang w:eastAsia="en-US" w:bidi="en-US"/>
              </w:rPr>
            </w:pPr>
            <w:r>
              <w:rPr>
                <w:rFonts w:hint="eastAsia" w:ascii="仿宋" w:hAnsi="仿宋" w:eastAsia="仿宋"/>
                <w:b/>
                <w:szCs w:val="21"/>
                <w:lang w:eastAsia="en-US" w:bidi="en-US"/>
              </w:rPr>
              <w:t>（</w:t>
            </w:r>
            <w:r>
              <w:rPr>
                <w:rFonts w:ascii="仿宋" w:hAnsi="仿宋" w:eastAsia="仿宋"/>
                <w:b/>
                <w:szCs w:val="21"/>
                <w:lang w:eastAsia="en-US" w:bidi="en-US"/>
              </w:rPr>
              <w:t>10</w:t>
            </w:r>
            <w:r>
              <w:rPr>
                <w:rFonts w:hint="eastAsia" w:ascii="仿宋" w:hAnsi="仿宋" w:eastAsia="仿宋"/>
                <w:b/>
                <w:szCs w:val="21"/>
                <w:lang w:eastAsia="en-US" w:bidi="en-US"/>
              </w:rPr>
              <w:t>分）</w:t>
            </w:r>
          </w:p>
        </w:tc>
        <w:tc>
          <w:tcPr>
            <w:tcW w:w="7018" w:type="dxa"/>
            <w:gridSpan w:val="2"/>
            <w:vAlign w:val="center"/>
          </w:tcPr>
          <w:p>
            <w:pPr>
              <w:spacing w:line="460" w:lineRule="exact"/>
              <w:rPr>
                <w:rFonts w:ascii="仿宋" w:hAnsi="仿宋" w:eastAsia="仿宋"/>
                <w:kern w:val="0"/>
                <w:szCs w:val="21"/>
                <w:lang w:bidi="en-US"/>
              </w:rPr>
            </w:pPr>
            <w:r>
              <w:rPr>
                <w:rFonts w:hint="eastAsia" w:ascii="仿宋" w:hAnsi="仿宋" w:eastAsia="仿宋"/>
                <w:kern w:val="0"/>
                <w:szCs w:val="21"/>
                <w:lang w:bidi="en-US"/>
              </w:rPr>
              <w:t>价格分统一采用低价优先法计算，即满足招标文件要求且投标价格最低的投标报价为评标基准价，其价格分为满分。其他投标人的价格分统一按照下列公式计算：</w:t>
            </w:r>
          </w:p>
          <w:p>
            <w:pPr>
              <w:spacing w:line="460" w:lineRule="exact"/>
              <w:rPr>
                <w:rFonts w:ascii="仿宋" w:hAnsi="仿宋" w:eastAsia="仿宋"/>
                <w:kern w:val="0"/>
                <w:szCs w:val="21"/>
                <w:lang w:bidi="en-US"/>
              </w:rPr>
            </w:pPr>
            <w:r>
              <w:rPr>
                <w:rFonts w:hint="eastAsia" w:ascii="仿宋" w:hAnsi="仿宋" w:eastAsia="仿宋"/>
                <w:kern w:val="0"/>
                <w:szCs w:val="21"/>
                <w:lang w:bidi="en-US"/>
              </w:rPr>
              <w:t xml:space="preserve">投标报价得分=(评标基准价／投标报价)×价格权值×100               </w:t>
            </w:r>
          </w:p>
          <w:p>
            <w:pPr>
              <w:spacing w:line="460" w:lineRule="exact"/>
              <w:rPr>
                <w:rFonts w:ascii="仿宋" w:hAnsi="仿宋" w:eastAsia="仿宋"/>
                <w:kern w:val="0"/>
                <w:szCs w:val="21"/>
                <w:lang w:bidi="en-US"/>
              </w:rPr>
            </w:pPr>
            <w:r>
              <w:rPr>
                <w:rFonts w:hint="eastAsia" w:ascii="仿宋" w:hAnsi="仿宋" w:eastAsia="仿宋"/>
                <w:kern w:val="0"/>
                <w:szCs w:val="21"/>
                <w:lang w:bidi="en-US"/>
              </w:rPr>
              <w:t>计算分数时四舍五入取小数点后两位</w:t>
            </w:r>
          </w:p>
          <w:p>
            <w:pPr>
              <w:spacing w:line="460" w:lineRule="exact"/>
              <w:rPr>
                <w:rFonts w:ascii="仿宋" w:hAnsi="仿宋" w:eastAsia="仿宋"/>
                <w:kern w:val="0"/>
                <w:szCs w:val="21"/>
                <w:lang w:bidi="en-US"/>
              </w:rPr>
            </w:pPr>
            <w:r>
              <w:rPr>
                <w:rFonts w:hint="eastAsia" w:ascii="仿宋" w:hAnsi="仿宋" w:eastAsia="仿宋"/>
                <w:kern w:val="0"/>
                <w:szCs w:val="21"/>
                <w:lang w:bidi="en-US"/>
              </w:rPr>
              <w:t>注：（1）根据《政府采购促进中小企业发展暂行办法》的相关规定，对小型和微型企业的价格给予6%的扣除，用扣除后的价格参与评审。</w:t>
            </w:r>
          </w:p>
          <w:p>
            <w:pPr>
              <w:spacing w:line="460" w:lineRule="exact"/>
              <w:rPr>
                <w:rFonts w:ascii="仿宋" w:hAnsi="仿宋" w:eastAsia="仿宋"/>
                <w:kern w:val="0"/>
                <w:szCs w:val="21"/>
                <w:lang w:bidi="en-US"/>
              </w:rPr>
            </w:pPr>
            <w:r>
              <w:rPr>
                <w:rFonts w:hint="eastAsia" w:ascii="仿宋" w:hAnsi="仿宋" w:eastAsia="仿宋"/>
                <w:kern w:val="0"/>
                <w:szCs w:val="21"/>
                <w:lang w:bidi="en-US"/>
              </w:rPr>
              <w:t>（2）根据《财政部民政部中国残疾人联合会关于促进残疾人就业政府采购政策的通知》（财库〔2017〕141号）的规定，对符合条件的残疾人福利性单位设备的价格给予6%的扣除，用扣除后的价格参与评审。</w:t>
            </w:r>
          </w:p>
          <w:p>
            <w:pPr>
              <w:widowControl/>
              <w:spacing w:line="460" w:lineRule="exact"/>
              <w:contextualSpacing/>
              <w:rPr>
                <w:rFonts w:ascii="仿宋" w:hAnsi="仿宋" w:eastAsia="仿宋"/>
                <w:szCs w:val="21"/>
                <w:lang w:bidi="en-US"/>
              </w:rPr>
            </w:pPr>
            <w:r>
              <w:rPr>
                <w:rFonts w:hint="eastAsia" w:ascii="仿宋" w:hAnsi="仿宋" w:eastAsia="仿宋"/>
                <w:szCs w:val="21"/>
                <w:lang w:bidi="en-US"/>
              </w:rPr>
              <w:t>小型、微型企业和监狱企业级符合财政部、民政部、中国残疾人联合会关于促进残疾人就业政府采购政策的通知，以上政策同时具备的仅对其进行一次6%的价格扣除，不重复扣除。</w:t>
            </w:r>
          </w:p>
        </w:tc>
        <w:tc>
          <w:tcPr>
            <w:tcW w:w="617" w:type="dxa"/>
          </w:tcPr>
          <w:p>
            <w:pPr>
              <w:spacing w:line="460" w:lineRule="exact"/>
              <w:rPr>
                <w:rFonts w:ascii="仿宋" w:hAnsi="仿宋" w:eastAsia="仿宋"/>
                <w:kern w:val="0"/>
                <w:szCs w:val="21"/>
                <w:lang w:bidi="en-US"/>
              </w:rPr>
            </w:pPr>
            <w:r>
              <w:rPr>
                <w:rFonts w:hint="eastAsia" w:ascii="仿宋" w:hAnsi="仿宋" w:eastAsia="仿宋"/>
                <w:kern w:val="0"/>
                <w:szCs w:val="21"/>
                <w:lang w:bidi="en-US"/>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restart"/>
            <w:vAlign w:val="center"/>
          </w:tcPr>
          <w:p>
            <w:pPr>
              <w:widowControl/>
              <w:spacing w:line="460" w:lineRule="exact"/>
              <w:contextualSpacing/>
              <w:jc w:val="center"/>
              <w:rPr>
                <w:rFonts w:ascii="仿宋" w:hAnsi="仿宋" w:eastAsia="仿宋"/>
                <w:b/>
                <w:szCs w:val="21"/>
                <w:lang w:eastAsia="en-US" w:bidi="en-US"/>
              </w:rPr>
            </w:pPr>
            <w:r>
              <w:rPr>
                <w:rFonts w:ascii="仿宋" w:hAnsi="仿宋" w:eastAsia="仿宋"/>
                <w:b/>
                <w:szCs w:val="21"/>
                <w:lang w:eastAsia="en-US" w:bidi="en-US"/>
              </w:rPr>
              <w:t>商务</w:t>
            </w:r>
          </w:p>
          <w:p>
            <w:pPr>
              <w:widowControl/>
              <w:spacing w:line="460" w:lineRule="exact"/>
              <w:contextualSpacing/>
              <w:jc w:val="center"/>
              <w:rPr>
                <w:rFonts w:ascii="仿宋" w:hAnsi="仿宋" w:eastAsia="仿宋"/>
                <w:b/>
                <w:szCs w:val="21"/>
                <w:lang w:eastAsia="en-US" w:bidi="en-US"/>
              </w:rPr>
            </w:pPr>
            <w:r>
              <w:rPr>
                <w:rFonts w:ascii="仿宋" w:hAnsi="仿宋" w:eastAsia="仿宋"/>
                <w:b/>
                <w:szCs w:val="21"/>
                <w:lang w:eastAsia="en-US" w:bidi="en-US"/>
              </w:rPr>
              <w:t>评审</w:t>
            </w:r>
          </w:p>
          <w:p>
            <w:pPr>
              <w:spacing w:line="324" w:lineRule="auto"/>
              <w:jc w:val="center"/>
              <w:rPr>
                <w:rFonts w:ascii="仿宋" w:hAnsi="仿宋" w:eastAsia="仿宋"/>
                <w:b/>
                <w:kern w:val="0"/>
                <w:szCs w:val="21"/>
                <w:lang w:eastAsia="en-US" w:bidi="en-US"/>
              </w:rPr>
            </w:pPr>
            <w:r>
              <w:rPr>
                <w:rFonts w:ascii="仿宋" w:hAnsi="仿宋" w:eastAsia="仿宋"/>
                <w:b/>
                <w:kern w:val="0"/>
                <w:szCs w:val="21"/>
                <w:lang w:eastAsia="en-US" w:bidi="en-US"/>
              </w:rPr>
              <w:t>（20分）</w:t>
            </w:r>
          </w:p>
        </w:tc>
        <w:tc>
          <w:tcPr>
            <w:tcW w:w="1064" w:type="dxa"/>
            <w:vAlign w:val="center"/>
          </w:tcPr>
          <w:p>
            <w:pPr>
              <w:widowControl/>
              <w:spacing w:line="460" w:lineRule="exact"/>
              <w:contextualSpacing/>
              <w:jc w:val="center"/>
              <w:rPr>
                <w:rFonts w:ascii="仿宋" w:hAnsi="仿宋" w:eastAsia="仿宋"/>
                <w:szCs w:val="21"/>
                <w:lang w:bidi="en-US"/>
              </w:rPr>
            </w:pPr>
            <w:r>
              <w:rPr>
                <w:rFonts w:ascii="仿宋" w:hAnsi="仿宋" w:eastAsia="仿宋"/>
                <w:szCs w:val="21"/>
                <w:lang w:eastAsia="en-US" w:bidi="en-US"/>
              </w:rPr>
              <w:t>投标</w:t>
            </w:r>
            <w:r>
              <w:rPr>
                <w:rFonts w:hint="eastAsia" w:ascii="仿宋" w:hAnsi="仿宋" w:eastAsia="仿宋"/>
                <w:szCs w:val="21"/>
                <w:lang w:bidi="en-US"/>
              </w:rPr>
              <w:t>人</w:t>
            </w:r>
            <w:r>
              <w:rPr>
                <w:rFonts w:ascii="仿宋" w:hAnsi="仿宋" w:eastAsia="仿宋"/>
                <w:szCs w:val="21"/>
                <w:lang w:eastAsia="en-US" w:bidi="en-US"/>
              </w:rPr>
              <w:t>业绩</w:t>
            </w:r>
          </w:p>
          <w:p>
            <w:pPr>
              <w:widowControl/>
              <w:spacing w:line="460" w:lineRule="exact"/>
              <w:contextualSpacing/>
              <w:jc w:val="center"/>
              <w:rPr>
                <w:rFonts w:ascii="仿宋" w:hAnsi="仿宋" w:eastAsia="仿宋"/>
                <w:szCs w:val="21"/>
                <w:lang w:bidi="en-US"/>
              </w:rPr>
            </w:pPr>
            <w:r>
              <w:rPr>
                <w:rFonts w:hint="eastAsia" w:ascii="仿宋" w:hAnsi="仿宋" w:eastAsia="仿宋"/>
                <w:szCs w:val="21"/>
                <w:lang w:bidi="en-US"/>
              </w:rPr>
              <w:t>（</w:t>
            </w:r>
            <w:r>
              <w:rPr>
                <w:rFonts w:ascii="仿宋" w:hAnsi="仿宋" w:eastAsia="仿宋" w:cs="宋体"/>
                <w:szCs w:val="21"/>
                <w:lang w:eastAsia="en-US" w:bidi="en-US"/>
              </w:rPr>
              <w:t>10</w:t>
            </w:r>
            <w:r>
              <w:rPr>
                <w:rFonts w:hint="eastAsia" w:ascii="仿宋" w:hAnsi="仿宋" w:eastAsia="仿宋" w:cs="宋体"/>
                <w:szCs w:val="21"/>
                <w:lang w:eastAsia="en-US" w:bidi="en-US"/>
              </w:rPr>
              <w:t>分</w:t>
            </w:r>
            <w:r>
              <w:rPr>
                <w:rFonts w:hint="eastAsia" w:ascii="仿宋" w:hAnsi="仿宋" w:eastAsia="仿宋"/>
                <w:szCs w:val="21"/>
                <w:lang w:bidi="en-US"/>
              </w:rPr>
              <w:t>）</w:t>
            </w:r>
          </w:p>
        </w:tc>
        <w:tc>
          <w:tcPr>
            <w:tcW w:w="5954" w:type="dxa"/>
            <w:vAlign w:val="center"/>
          </w:tcPr>
          <w:p>
            <w:pPr>
              <w:widowControl/>
              <w:spacing w:line="460" w:lineRule="exact"/>
              <w:contextualSpacing/>
              <w:rPr>
                <w:rFonts w:ascii="仿宋" w:hAnsi="仿宋" w:eastAsia="仿宋"/>
                <w:szCs w:val="21"/>
                <w:lang w:bidi="en-US"/>
              </w:rPr>
            </w:pPr>
            <w:r>
              <w:rPr>
                <w:rFonts w:ascii="仿宋" w:hAnsi="仿宋" w:eastAsia="仿宋"/>
                <w:szCs w:val="21"/>
                <w:lang w:bidi="en-US"/>
              </w:rPr>
              <w:t>投标人提供</w:t>
            </w:r>
            <w:r>
              <w:rPr>
                <w:rFonts w:hint="eastAsia" w:ascii="仿宋" w:hAnsi="仿宋" w:eastAsia="仿宋"/>
                <w:szCs w:val="21"/>
                <w:lang w:bidi="en-US"/>
              </w:rPr>
              <w:t>2016年以来</w:t>
            </w:r>
            <w:r>
              <w:rPr>
                <w:rFonts w:ascii="仿宋" w:hAnsi="仿宋" w:eastAsia="仿宋"/>
                <w:szCs w:val="21"/>
                <w:lang w:bidi="en-US"/>
              </w:rPr>
              <w:t>承担过</w:t>
            </w:r>
            <w:r>
              <w:rPr>
                <w:rFonts w:hint="eastAsia" w:ascii="仿宋" w:hAnsi="仿宋" w:eastAsia="仿宋"/>
                <w:szCs w:val="21"/>
                <w:lang w:bidi="en-US"/>
              </w:rPr>
              <w:t>全国性综合运动会竞赛报名系统或中央成绩系统或信息发布系统建设</w:t>
            </w:r>
            <w:r>
              <w:rPr>
                <w:rFonts w:ascii="仿宋" w:hAnsi="仿宋" w:eastAsia="仿宋"/>
                <w:szCs w:val="21"/>
                <w:lang w:bidi="en-US"/>
              </w:rPr>
              <w:t>案例，每提供一个分项业务成功案例得2分，总分</w:t>
            </w:r>
            <w:r>
              <w:rPr>
                <w:rFonts w:hint="eastAsia" w:ascii="仿宋" w:hAnsi="仿宋" w:eastAsia="仿宋"/>
                <w:szCs w:val="21"/>
                <w:lang w:bidi="en-US"/>
              </w:rPr>
              <w:t>1</w:t>
            </w:r>
            <w:r>
              <w:rPr>
                <w:rFonts w:ascii="仿宋" w:hAnsi="仿宋" w:eastAsia="仿宋"/>
                <w:szCs w:val="21"/>
                <w:lang w:bidi="en-US"/>
              </w:rPr>
              <w:t>0分</w:t>
            </w:r>
            <w:r>
              <w:rPr>
                <w:rFonts w:hint="eastAsia" w:ascii="仿宋" w:hAnsi="仿宋" w:eastAsia="仿宋"/>
                <w:szCs w:val="21"/>
                <w:lang w:bidi="en-US"/>
              </w:rPr>
              <w:t>。未提供案例或案例不符合要求得0分</w:t>
            </w:r>
            <w:r>
              <w:rPr>
                <w:rFonts w:ascii="仿宋" w:hAnsi="仿宋" w:eastAsia="仿宋"/>
                <w:szCs w:val="21"/>
                <w:lang w:bidi="en-US"/>
              </w:rPr>
              <w:t>。</w:t>
            </w:r>
            <w:r>
              <w:rPr>
                <w:rFonts w:ascii="仿宋" w:hAnsi="仿宋" w:eastAsia="仿宋"/>
                <w:szCs w:val="21"/>
                <w:lang w:bidi="en-US"/>
              </w:rPr>
              <w:br w:type="textWrapping"/>
            </w:r>
            <w:r>
              <w:rPr>
                <w:rFonts w:hint="eastAsia" w:ascii="仿宋" w:hAnsi="仿宋" w:eastAsia="仿宋"/>
                <w:szCs w:val="21"/>
                <w:lang w:bidi="en-US"/>
              </w:rPr>
              <w:t>注</w:t>
            </w:r>
            <w:r>
              <w:rPr>
                <w:rFonts w:ascii="仿宋" w:hAnsi="仿宋" w:eastAsia="仿宋"/>
                <w:szCs w:val="21"/>
                <w:lang w:bidi="en-US"/>
              </w:rPr>
              <w:t>：案例以下列投标文件中的合同复印件及成功履行合同的证明材料为计分依据。投标文件中的合同复印件须加盖公章，未提供复印件的证明文件在计分时不予认可。</w:t>
            </w:r>
            <w:r>
              <w:rPr>
                <w:rFonts w:ascii="仿宋" w:hAnsi="仿宋" w:eastAsia="仿宋"/>
                <w:szCs w:val="21"/>
                <w:lang w:bidi="en-US"/>
              </w:rPr>
              <w:br w:type="textWrapping"/>
            </w:r>
            <w:r>
              <w:rPr>
                <w:rFonts w:ascii="仿宋" w:hAnsi="仿宋" w:eastAsia="仿宋"/>
                <w:szCs w:val="21"/>
                <w:lang w:bidi="en-US"/>
              </w:rPr>
              <w:t>① 合同扫描件，至少包括买卖双方名称及</w:t>
            </w:r>
            <w:r>
              <w:rPr>
                <w:rFonts w:hint="eastAsia" w:ascii="仿宋" w:hAnsi="仿宋" w:eastAsia="仿宋"/>
                <w:szCs w:val="21"/>
                <w:lang w:bidi="en-US"/>
              </w:rPr>
              <w:t>签字</w:t>
            </w:r>
            <w:r>
              <w:rPr>
                <w:rFonts w:ascii="仿宋" w:hAnsi="仿宋" w:eastAsia="仿宋"/>
                <w:szCs w:val="21"/>
                <w:lang w:bidi="en-US"/>
              </w:rPr>
              <w:t>盖章页、服务内容；</w:t>
            </w:r>
            <w:r>
              <w:rPr>
                <w:rFonts w:ascii="仿宋" w:hAnsi="仿宋" w:eastAsia="仿宋"/>
                <w:szCs w:val="21"/>
                <w:lang w:bidi="en-US"/>
              </w:rPr>
              <w:br w:type="textWrapping"/>
            </w:r>
            <w:r>
              <w:rPr>
                <w:rFonts w:ascii="仿宋" w:hAnsi="仿宋" w:eastAsia="仿宋"/>
                <w:szCs w:val="21"/>
                <w:lang w:bidi="en-US"/>
              </w:rPr>
              <w:t>② 用户盖章或签字的成功履行合同的证明材料（验收证明或用户意见）。</w:t>
            </w:r>
          </w:p>
        </w:tc>
        <w:tc>
          <w:tcPr>
            <w:tcW w:w="617"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spacing w:line="324" w:lineRule="auto"/>
              <w:rPr>
                <w:rFonts w:ascii="仿宋" w:hAnsi="仿宋" w:eastAsia="仿宋"/>
                <w:color w:val="993300"/>
                <w:szCs w:val="21"/>
              </w:rPr>
            </w:pPr>
          </w:p>
        </w:tc>
        <w:tc>
          <w:tcPr>
            <w:tcW w:w="1064" w:type="dxa"/>
            <w:vAlign w:val="center"/>
          </w:tcPr>
          <w:p>
            <w:pPr>
              <w:widowControl/>
              <w:spacing w:line="460" w:lineRule="exact"/>
              <w:contextualSpacing/>
              <w:jc w:val="center"/>
              <w:rPr>
                <w:rFonts w:ascii="仿宋" w:hAnsi="仿宋" w:eastAsia="仿宋"/>
                <w:szCs w:val="21"/>
                <w:lang w:bidi="en-US"/>
              </w:rPr>
            </w:pPr>
            <w:r>
              <w:rPr>
                <w:rFonts w:ascii="仿宋" w:hAnsi="仿宋" w:eastAsia="仿宋"/>
                <w:szCs w:val="21"/>
                <w:lang w:bidi="en-US"/>
              </w:rPr>
              <w:t>项目负责人资质</w:t>
            </w:r>
          </w:p>
          <w:p>
            <w:pPr>
              <w:widowControl/>
              <w:spacing w:line="460" w:lineRule="exact"/>
              <w:contextualSpacing/>
              <w:jc w:val="center"/>
              <w:rPr>
                <w:rFonts w:ascii="仿宋" w:hAnsi="仿宋" w:eastAsia="仿宋"/>
                <w:szCs w:val="21"/>
                <w:lang w:bidi="en-US"/>
              </w:rPr>
            </w:pPr>
            <w:r>
              <w:rPr>
                <w:rFonts w:hint="eastAsia" w:ascii="仿宋" w:hAnsi="仿宋" w:eastAsia="仿宋"/>
                <w:szCs w:val="21"/>
                <w:lang w:bidi="en-US"/>
              </w:rPr>
              <w:t>（</w:t>
            </w:r>
            <w:r>
              <w:rPr>
                <w:rFonts w:ascii="仿宋" w:hAnsi="仿宋" w:eastAsia="仿宋"/>
                <w:szCs w:val="21"/>
                <w:lang w:bidi="en-US"/>
              </w:rPr>
              <w:t>4</w:t>
            </w:r>
            <w:r>
              <w:rPr>
                <w:rFonts w:hint="eastAsia" w:ascii="仿宋" w:hAnsi="仿宋" w:eastAsia="仿宋"/>
                <w:szCs w:val="21"/>
                <w:lang w:bidi="en-US"/>
              </w:rPr>
              <w:t>分）</w:t>
            </w:r>
          </w:p>
        </w:tc>
        <w:tc>
          <w:tcPr>
            <w:tcW w:w="5954" w:type="dxa"/>
            <w:vAlign w:val="center"/>
          </w:tcPr>
          <w:p>
            <w:pPr>
              <w:widowControl/>
              <w:spacing w:line="460" w:lineRule="exact"/>
              <w:contextualSpacing/>
              <w:rPr>
                <w:rFonts w:ascii="仿宋" w:hAnsi="仿宋" w:eastAsia="仿宋"/>
                <w:szCs w:val="21"/>
                <w:lang w:bidi="en-US"/>
              </w:rPr>
            </w:pPr>
            <w:r>
              <w:rPr>
                <w:rFonts w:ascii="仿宋" w:hAnsi="仿宋" w:eastAsia="仿宋"/>
                <w:szCs w:val="21"/>
                <w:lang w:bidi="en-US"/>
              </w:rPr>
              <w:t>项目负责人具有信息化系统管理师</w:t>
            </w:r>
            <w:r>
              <w:rPr>
                <w:rFonts w:hint="eastAsia" w:ascii="仿宋" w:hAnsi="仿宋" w:eastAsia="仿宋"/>
                <w:szCs w:val="21"/>
                <w:lang w:bidi="en-US"/>
              </w:rPr>
              <w:t>（高级）或P</w:t>
            </w:r>
            <w:r>
              <w:rPr>
                <w:rFonts w:ascii="仿宋" w:hAnsi="仿宋" w:eastAsia="仿宋"/>
                <w:szCs w:val="21"/>
                <w:lang w:bidi="en-US"/>
              </w:rPr>
              <w:t>MP</w:t>
            </w:r>
            <w:r>
              <w:rPr>
                <w:rFonts w:hint="eastAsia" w:ascii="仿宋" w:hAnsi="仿宋" w:eastAsia="仿宋"/>
                <w:szCs w:val="21"/>
                <w:lang w:bidi="en-US"/>
              </w:rPr>
              <w:t>项目管理师</w:t>
            </w:r>
            <w:r>
              <w:rPr>
                <w:rFonts w:ascii="仿宋" w:hAnsi="仿宋" w:eastAsia="仿宋"/>
                <w:szCs w:val="21"/>
                <w:lang w:bidi="en-US"/>
              </w:rPr>
              <w:t>证书</w:t>
            </w:r>
            <w:r>
              <w:rPr>
                <w:rFonts w:hint="eastAsia" w:ascii="仿宋" w:hAnsi="仿宋" w:eastAsia="仿宋"/>
                <w:szCs w:val="21"/>
                <w:lang w:bidi="en-US"/>
              </w:rPr>
              <w:t>得</w:t>
            </w:r>
            <w:r>
              <w:rPr>
                <w:rFonts w:ascii="仿宋" w:hAnsi="仿宋" w:eastAsia="仿宋"/>
                <w:szCs w:val="21"/>
                <w:lang w:bidi="en-US"/>
              </w:rPr>
              <w:t>4</w:t>
            </w:r>
            <w:r>
              <w:rPr>
                <w:rFonts w:hint="eastAsia" w:ascii="仿宋" w:hAnsi="仿宋" w:eastAsia="仿宋"/>
                <w:szCs w:val="21"/>
                <w:lang w:bidi="en-US"/>
              </w:rPr>
              <w:t>分。</w:t>
            </w:r>
          </w:p>
          <w:p>
            <w:pPr>
              <w:widowControl/>
              <w:spacing w:line="460" w:lineRule="exact"/>
              <w:contextualSpacing/>
              <w:rPr>
                <w:rFonts w:ascii="仿宋" w:hAnsi="仿宋" w:eastAsia="仿宋"/>
                <w:szCs w:val="21"/>
                <w:lang w:bidi="en-US"/>
              </w:rPr>
            </w:pPr>
            <w:r>
              <w:rPr>
                <w:rFonts w:ascii="仿宋" w:hAnsi="仿宋" w:eastAsia="仿宋"/>
                <w:szCs w:val="21"/>
                <w:lang w:bidi="en-US"/>
              </w:rPr>
              <w:t>注</w:t>
            </w:r>
            <w:r>
              <w:rPr>
                <w:rFonts w:hint="eastAsia" w:ascii="仿宋" w:hAnsi="仿宋" w:eastAsia="仿宋"/>
                <w:szCs w:val="21"/>
                <w:lang w:bidi="en-US"/>
              </w:rPr>
              <w:t>：</w:t>
            </w:r>
            <w:r>
              <w:rPr>
                <w:rFonts w:ascii="仿宋" w:hAnsi="仿宋" w:eastAsia="仿宋"/>
                <w:szCs w:val="21"/>
                <w:lang w:bidi="en-US"/>
              </w:rPr>
              <w:t>须</w:t>
            </w:r>
            <w:r>
              <w:rPr>
                <w:rFonts w:hint="eastAsia" w:ascii="仿宋" w:hAnsi="仿宋" w:eastAsia="仿宋"/>
                <w:szCs w:val="21"/>
                <w:lang w:bidi="en-US"/>
              </w:rPr>
              <w:t>提供相应证书和近三个月内任意一个月的社保证明复印件加盖公章，否则不得分。</w:t>
            </w:r>
          </w:p>
        </w:tc>
        <w:tc>
          <w:tcPr>
            <w:tcW w:w="617"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spacing w:line="324" w:lineRule="auto"/>
              <w:rPr>
                <w:rFonts w:ascii="仿宋" w:hAnsi="仿宋" w:eastAsia="仿宋"/>
                <w:color w:val="993300"/>
                <w:szCs w:val="21"/>
              </w:rPr>
            </w:pPr>
          </w:p>
        </w:tc>
        <w:tc>
          <w:tcPr>
            <w:tcW w:w="1064" w:type="dxa"/>
            <w:vAlign w:val="center"/>
          </w:tcPr>
          <w:p>
            <w:pPr>
              <w:widowControl/>
              <w:spacing w:line="460" w:lineRule="exact"/>
              <w:contextualSpacing/>
              <w:jc w:val="center"/>
              <w:rPr>
                <w:rFonts w:ascii="仿宋" w:hAnsi="仿宋" w:eastAsia="仿宋"/>
                <w:szCs w:val="21"/>
                <w:lang w:eastAsia="en-US" w:bidi="en-US"/>
              </w:rPr>
            </w:pPr>
            <w:r>
              <w:rPr>
                <w:rFonts w:ascii="仿宋" w:hAnsi="仿宋" w:eastAsia="仿宋"/>
                <w:szCs w:val="21"/>
                <w:lang w:eastAsia="en-US" w:bidi="en-US"/>
              </w:rPr>
              <w:t>团队成员</w:t>
            </w:r>
          </w:p>
          <w:p>
            <w:pPr>
              <w:widowControl/>
              <w:spacing w:line="460" w:lineRule="exact"/>
              <w:contextualSpacing/>
              <w:jc w:val="center"/>
              <w:rPr>
                <w:rFonts w:ascii="仿宋" w:hAnsi="仿宋" w:eastAsia="仿宋"/>
                <w:szCs w:val="21"/>
                <w:lang w:eastAsia="en-US" w:bidi="en-US"/>
              </w:rPr>
            </w:pPr>
            <w:r>
              <w:rPr>
                <w:rFonts w:hint="eastAsia" w:ascii="仿宋" w:hAnsi="仿宋" w:eastAsia="仿宋"/>
                <w:szCs w:val="21"/>
                <w:lang w:bidi="en-US"/>
              </w:rPr>
              <w:t>（</w:t>
            </w:r>
            <w:r>
              <w:rPr>
                <w:rFonts w:ascii="仿宋" w:hAnsi="仿宋" w:eastAsia="仿宋"/>
                <w:szCs w:val="21"/>
                <w:lang w:bidi="en-US"/>
              </w:rPr>
              <w:t>6</w:t>
            </w:r>
            <w:r>
              <w:rPr>
                <w:rFonts w:hint="eastAsia" w:ascii="仿宋" w:hAnsi="仿宋" w:eastAsia="仿宋"/>
                <w:szCs w:val="21"/>
                <w:lang w:bidi="en-US"/>
              </w:rPr>
              <w:t>分）</w:t>
            </w:r>
          </w:p>
        </w:tc>
        <w:tc>
          <w:tcPr>
            <w:tcW w:w="5954" w:type="dxa"/>
            <w:vAlign w:val="center"/>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根据项目团队中成员是否有综合体育赛事服务经验情况评分。团队中每提供一名具有具有综合体育赛事服务经验的人员，得0.</w:t>
            </w:r>
            <w:r>
              <w:rPr>
                <w:rFonts w:ascii="仿宋" w:hAnsi="仿宋" w:eastAsia="仿宋"/>
                <w:szCs w:val="21"/>
                <w:lang w:bidi="en-US"/>
              </w:rPr>
              <w:t>2</w:t>
            </w:r>
            <w:r>
              <w:rPr>
                <w:rFonts w:hint="eastAsia" w:ascii="仿宋" w:hAnsi="仿宋" w:eastAsia="仿宋"/>
                <w:szCs w:val="21"/>
                <w:lang w:bidi="en-US"/>
              </w:rPr>
              <w:t>分。本项满分</w:t>
            </w:r>
            <w:r>
              <w:rPr>
                <w:rFonts w:ascii="仿宋" w:hAnsi="仿宋" w:eastAsia="仿宋"/>
                <w:szCs w:val="21"/>
                <w:lang w:bidi="en-US"/>
              </w:rPr>
              <w:t>6</w:t>
            </w:r>
            <w:r>
              <w:rPr>
                <w:rFonts w:hint="eastAsia" w:ascii="仿宋" w:hAnsi="仿宋" w:eastAsia="仿宋"/>
                <w:szCs w:val="21"/>
                <w:lang w:bidi="en-US"/>
              </w:rPr>
              <w:t>分，团队成员为10人以下（含10人）不得分。</w:t>
            </w:r>
          </w:p>
          <w:p>
            <w:pPr>
              <w:widowControl/>
              <w:spacing w:line="460" w:lineRule="exact"/>
              <w:contextualSpacing/>
              <w:rPr>
                <w:rFonts w:ascii="仿宋" w:hAnsi="仿宋" w:eastAsia="仿宋"/>
                <w:szCs w:val="21"/>
                <w:lang w:bidi="en-US"/>
              </w:rPr>
            </w:pPr>
            <w:r>
              <w:rPr>
                <w:rFonts w:hint="eastAsia" w:ascii="仿宋" w:hAnsi="仿宋" w:eastAsia="仿宋"/>
                <w:szCs w:val="21"/>
                <w:lang w:bidi="en-US"/>
              </w:rPr>
              <w:t>注：须提供团队人员参与综合体育赛事服务证明或荣誉证书或工作证，以及该人员在报价人企业近六个月内任意一个月的社保证明复印件并加盖公章，否则不得分。</w:t>
            </w:r>
          </w:p>
        </w:tc>
        <w:tc>
          <w:tcPr>
            <w:tcW w:w="617" w:type="dxa"/>
          </w:tcPr>
          <w:p>
            <w:pPr>
              <w:widowControl/>
              <w:spacing w:line="460" w:lineRule="exact"/>
              <w:contextualSpacing/>
              <w:rPr>
                <w:rFonts w:ascii="仿宋" w:hAnsi="仿宋" w:eastAsia="仿宋"/>
                <w:szCs w:val="21"/>
                <w:lang w:bidi="en-US"/>
              </w:rPr>
            </w:pPr>
            <w:r>
              <w:rPr>
                <w:rFonts w:ascii="仿宋" w:hAnsi="仿宋" w:eastAsia="仿宋"/>
                <w:szCs w:val="21"/>
                <w:lang w:bidi="en-US"/>
              </w:rPr>
              <w:t>6</w:t>
            </w:r>
            <w:r>
              <w:rPr>
                <w:rFonts w:hint="eastAsia" w:ascii="仿宋" w:hAnsi="仿宋" w:eastAsia="仿宋"/>
                <w:szCs w:val="21"/>
                <w:lang w:bidi="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restart"/>
            <w:vAlign w:val="center"/>
          </w:tcPr>
          <w:p>
            <w:pPr>
              <w:widowControl/>
              <w:spacing w:line="460" w:lineRule="exact"/>
              <w:contextualSpacing/>
              <w:jc w:val="center"/>
              <w:rPr>
                <w:rFonts w:ascii="仿宋" w:hAnsi="仿宋" w:eastAsia="仿宋"/>
                <w:b/>
                <w:color w:val="000000"/>
                <w:szCs w:val="21"/>
                <w:lang w:eastAsia="en-US" w:bidi="en-US"/>
              </w:rPr>
            </w:pPr>
            <w:r>
              <w:rPr>
                <w:rFonts w:ascii="仿宋" w:hAnsi="仿宋" w:eastAsia="仿宋"/>
                <w:b/>
                <w:color w:val="000000"/>
                <w:szCs w:val="21"/>
                <w:lang w:eastAsia="en-US" w:bidi="en-US"/>
              </w:rPr>
              <w:t>技术</w:t>
            </w:r>
          </w:p>
          <w:p>
            <w:pPr>
              <w:widowControl/>
              <w:spacing w:line="460" w:lineRule="exact"/>
              <w:contextualSpacing/>
              <w:jc w:val="center"/>
              <w:rPr>
                <w:rFonts w:ascii="仿宋" w:hAnsi="仿宋" w:eastAsia="仿宋"/>
                <w:b/>
                <w:color w:val="000000"/>
                <w:szCs w:val="21"/>
                <w:lang w:eastAsia="en-US" w:bidi="en-US"/>
              </w:rPr>
            </w:pPr>
            <w:r>
              <w:rPr>
                <w:rFonts w:ascii="仿宋" w:hAnsi="仿宋" w:eastAsia="仿宋"/>
                <w:b/>
                <w:color w:val="000000"/>
                <w:szCs w:val="21"/>
                <w:lang w:eastAsia="en-US" w:bidi="en-US"/>
              </w:rPr>
              <w:t>评审</w:t>
            </w:r>
          </w:p>
          <w:p>
            <w:pPr>
              <w:spacing w:line="324" w:lineRule="auto"/>
              <w:jc w:val="center"/>
              <w:rPr>
                <w:rFonts w:ascii="仿宋" w:hAnsi="仿宋" w:eastAsia="仿宋"/>
                <w:color w:val="993300"/>
                <w:szCs w:val="21"/>
              </w:rPr>
            </w:pPr>
            <w:r>
              <w:rPr>
                <w:rFonts w:ascii="仿宋" w:hAnsi="仿宋" w:eastAsia="仿宋"/>
                <w:b/>
                <w:color w:val="000000"/>
                <w:szCs w:val="21"/>
              </w:rPr>
              <w:t>（</w:t>
            </w:r>
            <w:r>
              <w:rPr>
                <w:rFonts w:hint="eastAsia" w:ascii="仿宋" w:hAnsi="仿宋" w:eastAsia="仿宋"/>
                <w:b/>
                <w:color w:val="000000"/>
                <w:szCs w:val="21"/>
              </w:rPr>
              <w:t>7</w:t>
            </w:r>
            <w:r>
              <w:rPr>
                <w:rFonts w:ascii="仿宋" w:hAnsi="仿宋" w:eastAsia="仿宋"/>
                <w:b/>
                <w:color w:val="000000"/>
                <w:szCs w:val="21"/>
              </w:rPr>
              <w:t>0分）</w:t>
            </w:r>
          </w:p>
        </w:tc>
        <w:tc>
          <w:tcPr>
            <w:tcW w:w="1064" w:type="dxa"/>
            <w:vMerge w:val="restart"/>
            <w:vAlign w:val="center"/>
          </w:tcPr>
          <w:p>
            <w:pPr>
              <w:widowControl/>
              <w:spacing w:line="460" w:lineRule="exact"/>
              <w:contextualSpacing/>
              <w:jc w:val="center"/>
              <w:rPr>
                <w:rFonts w:ascii="仿宋" w:hAnsi="仿宋" w:eastAsia="仿宋"/>
                <w:szCs w:val="21"/>
                <w:lang w:eastAsia="en-US" w:bidi="en-US"/>
              </w:rPr>
            </w:pPr>
            <w:r>
              <w:rPr>
                <w:rFonts w:ascii="仿宋" w:hAnsi="仿宋" w:eastAsia="仿宋"/>
                <w:szCs w:val="21"/>
                <w:lang w:eastAsia="en-US" w:bidi="en-US"/>
              </w:rPr>
              <w:t>总体服务方案</w:t>
            </w:r>
            <w:r>
              <w:rPr>
                <w:rFonts w:hint="eastAsia" w:ascii="仿宋" w:hAnsi="仿宋" w:eastAsia="仿宋"/>
                <w:szCs w:val="21"/>
                <w:lang w:bidi="en-US"/>
              </w:rPr>
              <w:t>（15分）</w:t>
            </w:r>
          </w:p>
        </w:tc>
        <w:tc>
          <w:tcPr>
            <w:tcW w:w="5954" w:type="dxa"/>
            <w:vAlign w:val="center"/>
          </w:tcPr>
          <w:p>
            <w:pPr>
              <w:widowControl/>
              <w:spacing w:line="460" w:lineRule="exact"/>
              <w:contextualSpacing/>
              <w:rPr>
                <w:rFonts w:ascii="仿宋" w:hAnsi="仿宋" w:eastAsia="仿宋"/>
                <w:szCs w:val="21"/>
                <w:lang w:bidi="en-US"/>
              </w:rPr>
            </w:pPr>
            <w:r>
              <w:rPr>
                <w:rFonts w:ascii="仿宋" w:hAnsi="仿宋" w:eastAsia="仿宋"/>
                <w:szCs w:val="21"/>
                <w:lang w:bidi="en-US"/>
              </w:rPr>
              <w:t>根据投标人提供的建设、测试、运行服务3个阶段服务方案进行评分。</w:t>
            </w:r>
          </w:p>
          <w:p>
            <w:pPr>
              <w:widowControl/>
              <w:spacing w:line="460" w:lineRule="exact"/>
              <w:contextualSpacing/>
              <w:rPr>
                <w:rFonts w:ascii="仿宋" w:hAnsi="仿宋" w:eastAsia="仿宋"/>
                <w:szCs w:val="21"/>
                <w:lang w:bidi="en-US"/>
              </w:rPr>
            </w:pPr>
            <w:r>
              <w:rPr>
                <w:rFonts w:ascii="仿宋" w:hAnsi="仿宋" w:eastAsia="仿宋"/>
                <w:szCs w:val="21"/>
                <w:lang w:bidi="en-US"/>
              </w:rPr>
              <w:t>1、建设阶段服务方案（5分）</w:t>
            </w:r>
          </w:p>
          <w:p>
            <w:pPr>
              <w:widowControl/>
              <w:spacing w:line="460" w:lineRule="exact"/>
              <w:contextualSpacing/>
              <w:rPr>
                <w:rFonts w:ascii="仿宋" w:hAnsi="仿宋" w:eastAsia="仿宋"/>
                <w:szCs w:val="21"/>
                <w:lang w:bidi="en-US"/>
              </w:rPr>
            </w:pPr>
            <w:r>
              <w:rPr>
                <w:rFonts w:ascii="仿宋" w:hAnsi="仿宋" w:eastAsia="仿宋"/>
                <w:szCs w:val="21"/>
                <w:lang w:bidi="en-US"/>
              </w:rPr>
              <w:t>从服务方案的完整性、服务内容的完备性，是否符合工期要求，是否满足建设阶段的各项服务要求与验收要求，服务保障、成本、质量、风险控制措施，过程控制措施是否完善，人力资源和设备调配是否合理等方面，进行综合评分</w:t>
            </w:r>
            <w:r>
              <w:rPr>
                <w:rFonts w:hint="eastAsia" w:ascii="仿宋" w:hAnsi="仿宋" w:eastAsia="仿宋"/>
                <w:szCs w:val="21"/>
                <w:lang w:bidi="en-US"/>
              </w:rPr>
              <w:t>完全满足建设阶段服务的各项要求得5分，较好满足得3分，基本满足得1分，否则得0分。</w:t>
            </w:r>
          </w:p>
        </w:tc>
        <w:tc>
          <w:tcPr>
            <w:tcW w:w="617"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spacing w:line="324" w:lineRule="auto"/>
              <w:jc w:val="center"/>
              <w:rPr>
                <w:rFonts w:ascii="仿宋" w:hAnsi="仿宋" w:eastAsia="仿宋"/>
                <w:color w:val="993300"/>
                <w:szCs w:val="21"/>
              </w:rPr>
            </w:pPr>
          </w:p>
        </w:tc>
        <w:tc>
          <w:tcPr>
            <w:tcW w:w="1064" w:type="dxa"/>
            <w:vMerge w:val="continue"/>
            <w:vAlign w:val="center"/>
          </w:tcPr>
          <w:p>
            <w:pPr>
              <w:widowControl/>
              <w:spacing w:line="460" w:lineRule="exact"/>
              <w:contextualSpacing/>
              <w:jc w:val="center"/>
              <w:rPr>
                <w:rFonts w:ascii="仿宋" w:hAnsi="仿宋" w:eastAsia="仿宋"/>
                <w:szCs w:val="21"/>
                <w:lang w:bidi="en-US"/>
              </w:rPr>
            </w:pPr>
          </w:p>
        </w:tc>
        <w:tc>
          <w:tcPr>
            <w:tcW w:w="5954" w:type="dxa"/>
            <w:vAlign w:val="center"/>
          </w:tcPr>
          <w:p>
            <w:pPr>
              <w:widowControl/>
              <w:spacing w:line="460" w:lineRule="exact"/>
              <w:contextualSpacing/>
              <w:rPr>
                <w:rFonts w:ascii="仿宋" w:hAnsi="仿宋" w:eastAsia="仿宋"/>
                <w:szCs w:val="21"/>
                <w:lang w:bidi="en-US"/>
              </w:rPr>
            </w:pPr>
            <w:r>
              <w:rPr>
                <w:rFonts w:ascii="仿宋" w:hAnsi="仿宋" w:eastAsia="仿宋"/>
                <w:szCs w:val="21"/>
                <w:lang w:bidi="en-US"/>
              </w:rPr>
              <w:t>2、测试阶段服务方案（5分）</w:t>
            </w:r>
          </w:p>
          <w:p>
            <w:pPr>
              <w:widowControl/>
              <w:spacing w:line="460" w:lineRule="exact"/>
              <w:contextualSpacing/>
              <w:rPr>
                <w:rFonts w:ascii="仿宋" w:hAnsi="仿宋" w:eastAsia="仿宋"/>
                <w:szCs w:val="21"/>
                <w:lang w:bidi="en-US"/>
              </w:rPr>
            </w:pPr>
            <w:r>
              <w:rPr>
                <w:rFonts w:ascii="仿宋" w:hAnsi="仿宋" w:eastAsia="仿宋"/>
                <w:szCs w:val="21"/>
                <w:lang w:bidi="en-US"/>
              </w:rPr>
              <w:t>从服务方案的完整性、服务内容的完备性，是否符合工期要求，是否满足测试阶段的各项服务要求与验收要求，服务保障、成本、质量、风险控制措施是否完善，人力资源和设备调配是否合理，对于重叠子阶段是否有响应措施等方面，进行综合评分，</w:t>
            </w:r>
            <w:r>
              <w:rPr>
                <w:rFonts w:hint="eastAsia" w:ascii="仿宋" w:hAnsi="仿宋" w:eastAsia="仿宋"/>
                <w:szCs w:val="21"/>
                <w:lang w:bidi="en-US"/>
              </w:rPr>
              <w:t>完全满足建设阶段服务的各项要求得5分，较好满足得3分，基本满足得1分，否则得0分。</w:t>
            </w:r>
          </w:p>
        </w:tc>
        <w:tc>
          <w:tcPr>
            <w:tcW w:w="617"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2" w:hRule="atLeast"/>
        </w:trPr>
        <w:tc>
          <w:tcPr>
            <w:tcW w:w="887" w:type="dxa"/>
            <w:vMerge w:val="continue"/>
            <w:vAlign w:val="center"/>
          </w:tcPr>
          <w:p>
            <w:pPr>
              <w:spacing w:line="324" w:lineRule="auto"/>
              <w:jc w:val="center"/>
              <w:rPr>
                <w:rFonts w:ascii="仿宋" w:hAnsi="仿宋" w:eastAsia="仿宋"/>
                <w:color w:val="993300"/>
                <w:szCs w:val="21"/>
              </w:rPr>
            </w:pPr>
          </w:p>
        </w:tc>
        <w:tc>
          <w:tcPr>
            <w:tcW w:w="1064" w:type="dxa"/>
            <w:vMerge w:val="continue"/>
            <w:vAlign w:val="center"/>
          </w:tcPr>
          <w:p>
            <w:pPr>
              <w:widowControl/>
              <w:spacing w:line="460" w:lineRule="exact"/>
              <w:contextualSpacing/>
              <w:jc w:val="center"/>
              <w:rPr>
                <w:rFonts w:ascii="仿宋" w:hAnsi="仿宋" w:eastAsia="仿宋"/>
                <w:szCs w:val="21"/>
                <w:lang w:bidi="en-US"/>
              </w:rPr>
            </w:pPr>
          </w:p>
        </w:tc>
        <w:tc>
          <w:tcPr>
            <w:tcW w:w="5954" w:type="dxa"/>
            <w:vAlign w:val="center"/>
          </w:tcPr>
          <w:p>
            <w:pPr>
              <w:widowControl/>
              <w:spacing w:line="460" w:lineRule="exact"/>
              <w:contextualSpacing/>
              <w:rPr>
                <w:rFonts w:ascii="仿宋" w:hAnsi="仿宋" w:eastAsia="仿宋"/>
                <w:szCs w:val="21"/>
                <w:lang w:bidi="en-US"/>
              </w:rPr>
            </w:pPr>
            <w:r>
              <w:rPr>
                <w:rFonts w:ascii="仿宋" w:hAnsi="仿宋" w:eastAsia="仿宋"/>
                <w:szCs w:val="21"/>
                <w:lang w:bidi="en-US"/>
              </w:rPr>
              <w:t>3、运行服务阶段服务方案（5分）</w:t>
            </w:r>
          </w:p>
          <w:p>
            <w:pPr>
              <w:widowControl/>
              <w:spacing w:line="460" w:lineRule="exact"/>
              <w:contextualSpacing/>
              <w:rPr>
                <w:rFonts w:ascii="仿宋" w:hAnsi="仿宋" w:eastAsia="仿宋"/>
                <w:szCs w:val="21"/>
                <w:lang w:bidi="en-US"/>
              </w:rPr>
            </w:pPr>
            <w:r>
              <w:rPr>
                <w:rFonts w:ascii="仿宋" w:hAnsi="仿宋" w:eastAsia="仿宋"/>
                <w:szCs w:val="21"/>
                <w:lang w:bidi="en-US"/>
              </w:rPr>
              <w:t>从服务方案的完整性、服务内容的完备性，是否符合工期要求，是否满足运行服务阶段的各项服务要求与验收要求，服务保障、成本、质量、风险控制措施是否完善，人力资源和设备调配是否合理等方面，进行综合评分，按响应程度得0-5分。</w:t>
            </w:r>
          </w:p>
        </w:tc>
        <w:tc>
          <w:tcPr>
            <w:tcW w:w="617"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spacing w:line="324" w:lineRule="auto"/>
              <w:jc w:val="center"/>
              <w:rPr>
                <w:rFonts w:ascii="仿宋" w:hAnsi="仿宋" w:eastAsia="仿宋"/>
                <w:color w:val="993300"/>
                <w:szCs w:val="21"/>
              </w:rPr>
            </w:pPr>
          </w:p>
        </w:tc>
        <w:tc>
          <w:tcPr>
            <w:tcW w:w="1064" w:type="dxa"/>
            <w:vAlign w:val="center"/>
          </w:tcPr>
          <w:p>
            <w:pPr>
              <w:widowControl/>
              <w:spacing w:line="460" w:lineRule="exact"/>
              <w:contextualSpacing/>
              <w:jc w:val="center"/>
              <w:rPr>
                <w:rFonts w:ascii="仿宋" w:hAnsi="仿宋" w:eastAsia="仿宋"/>
                <w:szCs w:val="21"/>
                <w:lang w:bidi="en-US"/>
              </w:rPr>
            </w:pPr>
            <w:r>
              <w:rPr>
                <w:rFonts w:hint="eastAsia" w:ascii="仿宋" w:hAnsi="仿宋" w:eastAsia="仿宋"/>
                <w:szCs w:val="21"/>
                <w:lang w:bidi="en-US"/>
              </w:rPr>
              <w:t>竞赛报名系统方案</w:t>
            </w:r>
          </w:p>
          <w:p>
            <w:pPr>
              <w:widowControl/>
              <w:spacing w:line="460" w:lineRule="exact"/>
              <w:contextualSpacing/>
              <w:jc w:val="center"/>
              <w:rPr>
                <w:rFonts w:ascii="仿宋" w:hAnsi="仿宋" w:eastAsia="仿宋"/>
                <w:szCs w:val="21"/>
                <w:lang w:bidi="en-US"/>
              </w:rPr>
            </w:pPr>
            <w:r>
              <w:rPr>
                <w:rFonts w:hint="eastAsia" w:ascii="仿宋" w:hAnsi="仿宋" w:eastAsia="仿宋"/>
                <w:szCs w:val="21"/>
                <w:lang w:bidi="en-US"/>
              </w:rPr>
              <w:t>（10分）</w:t>
            </w:r>
          </w:p>
        </w:tc>
        <w:tc>
          <w:tcPr>
            <w:tcW w:w="5954" w:type="dxa"/>
            <w:vAlign w:val="center"/>
          </w:tcPr>
          <w:p>
            <w:pPr>
              <w:widowControl/>
              <w:spacing w:line="460" w:lineRule="exact"/>
              <w:contextualSpacing/>
              <w:jc w:val="left"/>
              <w:rPr>
                <w:rFonts w:ascii="仿宋" w:hAnsi="仿宋" w:eastAsia="仿宋"/>
                <w:szCs w:val="21"/>
                <w:lang w:bidi="en-US"/>
              </w:rPr>
            </w:pPr>
            <w:r>
              <w:rPr>
                <w:rFonts w:ascii="仿宋" w:hAnsi="仿宋" w:eastAsia="仿宋"/>
                <w:szCs w:val="21"/>
                <w:lang w:bidi="en-US"/>
              </w:rPr>
              <w:t>根据投标人对十四运会和残特奥会</w:t>
            </w:r>
            <w:r>
              <w:rPr>
                <w:rFonts w:hint="eastAsia" w:ascii="仿宋" w:hAnsi="仿宋" w:eastAsia="仿宋"/>
                <w:szCs w:val="21"/>
                <w:lang w:bidi="en-US"/>
              </w:rPr>
              <w:t>竞赛报名系统</w:t>
            </w:r>
            <w:r>
              <w:rPr>
                <w:rFonts w:ascii="仿宋" w:hAnsi="仿宋" w:eastAsia="仿宋"/>
                <w:szCs w:val="21"/>
                <w:lang w:bidi="en-US"/>
              </w:rPr>
              <w:t>服务需求的理解程度，技术架构的先进性、技术指标的合理性、技术指标测算的科学性，设计方案的亮点与特色等方面，进行综合评分，</w:t>
            </w:r>
            <w:r>
              <w:rPr>
                <w:rFonts w:hint="eastAsia" w:ascii="仿宋" w:hAnsi="仿宋" w:eastAsia="仿宋"/>
                <w:szCs w:val="21"/>
                <w:lang w:bidi="en-US"/>
              </w:rPr>
              <w:t>本项满分1</w:t>
            </w:r>
            <w:r>
              <w:rPr>
                <w:rFonts w:ascii="仿宋" w:hAnsi="仿宋" w:eastAsia="仿宋"/>
                <w:szCs w:val="21"/>
                <w:lang w:bidi="en-US"/>
              </w:rPr>
              <w:t>0</w:t>
            </w:r>
            <w:r>
              <w:rPr>
                <w:rFonts w:hint="eastAsia" w:ascii="仿宋" w:hAnsi="仿宋" w:eastAsia="仿宋"/>
                <w:szCs w:val="21"/>
                <w:lang w:bidi="en-US"/>
              </w:rPr>
              <w:t>分。</w:t>
            </w:r>
          </w:p>
          <w:p>
            <w:pPr>
              <w:widowControl/>
              <w:spacing w:line="460" w:lineRule="exact"/>
              <w:contextualSpacing/>
              <w:jc w:val="left"/>
              <w:rPr>
                <w:rFonts w:ascii="仿宋" w:hAnsi="仿宋" w:eastAsia="仿宋"/>
                <w:szCs w:val="21"/>
                <w:lang w:bidi="en-US"/>
              </w:rPr>
            </w:pPr>
            <w:r>
              <w:rPr>
                <w:rFonts w:hint="eastAsia" w:ascii="仿宋" w:hAnsi="仿宋" w:eastAsia="仿宋"/>
                <w:szCs w:val="21"/>
                <w:lang w:bidi="en-US"/>
              </w:rPr>
              <w:t>1）提交的服务方案结构完整、功能完善，符合技术要求，能够很好的满足采购人使用需求，得1</w:t>
            </w:r>
            <w:r>
              <w:rPr>
                <w:rFonts w:ascii="仿宋" w:hAnsi="仿宋" w:eastAsia="仿宋"/>
                <w:szCs w:val="21"/>
                <w:lang w:bidi="en-US"/>
              </w:rPr>
              <w:t>0</w:t>
            </w:r>
            <w:r>
              <w:rPr>
                <w:rFonts w:hint="eastAsia" w:ascii="仿宋" w:hAnsi="仿宋" w:eastAsia="仿宋"/>
                <w:szCs w:val="21"/>
                <w:lang w:bidi="en-US"/>
              </w:rPr>
              <w:t>分；</w:t>
            </w:r>
          </w:p>
          <w:p>
            <w:pPr>
              <w:widowControl/>
              <w:spacing w:line="460" w:lineRule="exact"/>
              <w:contextualSpacing/>
              <w:jc w:val="left"/>
              <w:rPr>
                <w:rFonts w:ascii="仿宋" w:hAnsi="仿宋" w:eastAsia="仿宋"/>
                <w:szCs w:val="21"/>
                <w:lang w:bidi="en-US"/>
              </w:rPr>
            </w:pPr>
            <w:r>
              <w:rPr>
                <w:rFonts w:hint="eastAsia" w:ascii="仿宋" w:hAnsi="仿宋" w:eastAsia="仿宋"/>
                <w:szCs w:val="21"/>
                <w:lang w:bidi="en-US"/>
              </w:rPr>
              <w:t>2）提交的服务方案未涵盖全部内容和功能，有部分漏项；或者提交的方案结构不够完整，功能欠完善，需要进行稍微调整才能满足采购人使用需求，得</w:t>
            </w:r>
            <w:r>
              <w:rPr>
                <w:rFonts w:ascii="仿宋" w:hAnsi="仿宋" w:eastAsia="仿宋"/>
                <w:szCs w:val="21"/>
                <w:lang w:bidi="en-US"/>
              </w:rPr>
              <w:t>6</w:t>
            </w:r>
            <w:r>
              <w:rPr>
                <w:rFonts w:hint="eastAsia" w:ascii="仿宋" w:hAnsi="仿宋" w:eastAsia="仿宋"/>
                <w:szCs w:val="21"/>
                <w:lang w:bidi="en-US"/>
              </w:rPr>
              <w:t>分；</w:t>
            </w:r>
          </w:p>
          <w:p>
            <w:pPr>
              <w:widowControl/>
              <w:spacing w:line="460" w:lineRule="exact"/>
              <w:contextualSpacing/>
              <w:jc w:val="left"/>
              <w:rPr>
                <w:rFonts w:ascii="仿宋" w:hAnsi="仿宋" w:eastAsia="仿宋"/>
                <w:szCs w:val="21"/>
                <w:lang w:bidi="en-US"/>
              </w:rPr>
            </w:pPr>
            <w:r>
              <w:rPr>
                <w:rFonts w:hint="eastAsia" w:ascii="仿宋" w:hAnsi="仿宋" w:eastAsia="仿宋"/>
                <w:szCs w:val="21"/>
                <w:lang w:bidi="en-US"/>
              </w:rPr>
              <w:t>3）提交的服务方案涵盖内容缺陷较多，方案不完整，需要进行较大调整才能满足采购人使用需求，得</w:t>
            </w:r>
            <w:r>
              <w:rPr>
                <w:rFonts w:ascii="仿宋" w:hAnsi="仿宋" w:eastAsia="仿宋"/>
                <w:szCs w:val="21"/>
                <w:lang w:bidi="en-US"/>
              </w:rPr>
              <w:t>2</w:t>
            </w:r>
            <w:r>
              <w:rPr>
                <w:rFonts w:hint="eastAsia" w:ascii="仿宋" w:hAnsi="仿宋" w:eastAsia="仿宋"/>
                <w:szCs w:val="21"/>
                <w:lang w:bidi="en-US"/>
              </w:rPr>
              <w:t>分；</w:t>
            </w:r>
          </w:p>
          <w:p>
            <w:pPr>
              <w:widowControl/>
              <w:spacing w:line="460" w:lineRule="exact"/>
              <w:contextualSpacing/>
              <w:jc w:val="left"/>
              <w:rPr>
                <w:rFonts w:ascii="仿宋" w:hAnsi="仿宋" w:eastAsia="仿宋"/>
                <w:szCs w:val="21"/>
                <w:lang w:bidi="en-US"/>
              </w:rPr>
            </w:pPr>
            <w:r>
              <w:rPr>
                <w:rFonts w:hint="eastAsia" w:ascii="仿宋" w:hAnsi="仿宋" w:eastAsia="仿宋"/>
                <w:szCs w:val="21"/>
                <w:lang w:bidi="en-US"/>
              </w:rPr>
              <w:t>4）未提交服务方案或提交的方案不能满足采购人使用需求，存在有较大偏差，得0分。</w:t>
            </w:r>
          </w:p>
        </w:tc>
        <w:tc>
          <w:tcPr>
            <w:tcW w:w="617" w:type="dxa"/>
          </w:tcPr>
          <w:p>
            <w:pPr>
              <w:widowControl/>
              <w:spacing w:line="460" w:lineRule="exact"/>
              <w:contextualSpacing/>
              <w:jc w:val="left"/>
              <w:rPr>
                <w:rFonts w:ascii="仿宋" w:hAnsi="仿宋" w:eastAsia="仿宋"/>
                <w:szCs w:val="21"/>
                <w:lang w:bidi="en-US"/>
              </w:rPr>
            </w:pPr>
            <w:r>
              <w:rPr>
                <w:rFonts w:hint="eastAsia" w:ascii="仿宋" w:hAnsi="仿宋" w:eastAsia="仿宋"/>
                <w:szCs w:val="21"/>
                <w:lang w:bidi="en-US"/>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spacing w:line="324" w:lineRule="auto"/>
              <w:rPr>
                <w:rFonts w:ascii="仿宋" w:hAnsi="仿宋" w:eastAsia="仿宋"/>
                <w:color w:val="993300"/>
                <w:szCs w:val="21"/>
              </w:rPr>
            </w:pPr>
          </w:p>
        </w:tc>
        <w:tc>
          <w:tcPr>
            <w:tcW w:w="1064" w:type="dxa"/>
            <w:vAlign w:val="center"/>
          </w:tcPr>
          <w:p>
            <w:pPr>
              <w:widowControl/>
              <w:spacing w:line="460" w:lineRule="exact"/>
              <w:contextualSpacing/>
              <w:jc w:val="center"/>
              <w:rPr>
                <w:rFonts w:ascii="仿宋" w:hAnsi="仿宋" w:eastAsia="仿宋"/>
                <w:szCs w:val="21"/>
                <w:lang w:bidi="en-US"/>
              </w:rPr>
            </w:pPr>
            <w:r>
              <w:rPr>
                <w:rFonts w:hint="eastAsia" w:ascii="仿宋" w:hAnsi="仿宋" w:eastAsia="仿宋"/>
                <w:szCs w:val="21"/>
                <w:lang w:bidi="en-US"/>
              </w:rPr>
              <w:t>中央成绩及交换系统方案</w:t>
            </w:r>
          </w:p>
          <w:p>
            <w:pPr>
              <w:widowControl/>
              <w:spacing w:line="460" w:lineRule="exact"/>
              <w:contextualSpacing/>
              <w:jc w:val="center"/>
              <w:rPr>
                <w:rFonts w:ascii="仿宋" w:hAnsi="仿宋" w:eastAsia="仿宋"/>
                <w:szCs w:val="21"/>
                <w:lang w:bidi="en-US"/>
              </w:rPr>
            </w:pPr>
            <w:r>
              <w:rPr>
                <w:rFonts w:hint="eastAsia" w:ascii="仿宋" w:hAnsi="仿宋" w:eastAsia="仿宋"/>
                <w:szCs w:val="21"/>
                <w:lang w:bidi="en-US"/>
              </w:rPr>
              <w:t>（20分）</w:t>
            </w:r>
          </w:p>
        </w:tc>
        <w:tc>
          <w:tcPr>
            <w:tcW w:w="5954" w:type="dxa"/>
            <w:vAlign w:val="center"/>
          </w:tcPr>
          <w:p>
            <w:pPr>
              <w:widowControl/>
              <w:spacing w:line="460" w:lineRule="exact"/>
              <w:contextualSpacing/>
              <w:rPr>
                <w:rFonts w:ascii="仿宋" w:hAnsi="仿宋" w:eastAsia="仿宋"/>
                <w:szCs w:val="21"/>
                <w:lang w:bidi="en-US"/>
              </w:rPr>
            </w:pPr>
            <w:r>
              <w:rPr>
                <w:rFonts w:ascii="仿宋" w:hAnsi="仿宋" w:eastAsia="仿宋"/>
                <w:szCs w:val="21"/>
                <w:lang w:bidi="en-US"/>
              </w:rPr>
              <w:t>根据投标人对十四运会和残特奥会</w:t>
            </w:r>
            <w:r>
              <w:rPr>
                <w:rFonts w:hint="eastAsia" w:ascii="仿宋" w:hAnsi="仿宋" w:eastAsia="仿宋"/>
                <w:szCs w:val="21"/>
                <w:lang w:bidi="en-US"/>
              </w:rPr>
              <w:t>中央成绩及交换系统</w:t>
            </w:r>
            <w:r>
              <w:rPr>
                <w:rFonts w:ascii="仿宋" w:hAnsi="仿宋" w:eastAsia="仿宋"/>
                <w:szCs w:val="21"/>
                <w:lang w:bidi="en-US"/>
              </w:rPr>
              <w:t>服务需求的理解程度，技术架构的先进性、技术指标的合理性、技术指标测算的科学性，设计方案的亮点与特色等方面，进行综合评分，</w:t>
            </w:r>
            <w:r>
              <w:rPr>
                <w:rFonts w:hint="eastAsia" w:ascii="仿宋" w:hAnsi="仿宋" w:eastAsia="仿宋"/>
                <w:szCs w:val="21"/>
                <w:lang w:bidi="en-US"/>
              </w:rPr>
              <w:t>本项满分</w:t>
            </w:r>
            <w:r>
              <w:rPr>
                <w:rFonts w:ascii="仿宋" w:hAnsi="仿宋" w:eastAsia="仿宋"/>
                <w:szCs w:val="21"/>
                <w:lang w:bidi="en-US"/>
              </w:rPr>
              <w:t>2</w:t>
            </w:r>
            <w:r>
              <w:rPr>
                <w:rFonts w:hint="eastAsia" w:ascii="仿宋" w:hAnsi="仿宋" w:eastAsia="仿宋"/>
                <w:szCs w:val="21"/>
                <w:lang w:bidi="en-US"/>
              </w:rPr>
              <w:t>0分。</w:t>
            </w:r>
          </w:p>
          <w:p>
            <w:pPr>
              <w:widowControl/>
              <w:spacing w:line="460" w:lineRule="exact"/>
              <w:contextualSpacing/>
              <w:rPr>
                <w:rFonts w:ascii="仿宋" w:hAnsi="仿宋" w:eastAsia="仿宋"/>
                <w:szCs w:val="21"/>
                <w:lang w:bidi="en-US"/>
              </w:rPr>
            </w:pPr>
            <w:r>
              <w:rPr>
                <w:rFonts w:hint="eastAsia" w:ascii="仿宋" w:hAnsi="仿宋" w:eastAsia="仿宋"/>
                <w:szCs w:val="21"/>
                <w:lang w:bidi="en-US"/>
              </w:rPr>
              <w:t>1）提交的服务方案结构完整、功能完善，符合技术要求，能够很好的满足采购人使用需求，得</w:t>
            </w:r>
            <w:r>
              <w:rPr>
                <w:rFonts w:ascii="仿宋" w:hAnsi="仿宋" w:eastAsia="仿宋"/>
                <w:szCs w:val="21"/>
                <w:lang w:bidi="en-US"/>
              </w:rPr>
              <w:t>2</w:t>
            </w:r>
            <w:r>
              <w:rPr>
                <w:rFonts w:hint="eastAsia" w:ascii="仿宋" w:hAnsi="仿宋" w:eastAsia="仿宋"/>
                <w:szCs w:val="21"/>
                <w:lang w:bidi="en-US"/>
              </w:rPr>
              <w:t>0分；</w:t>
            </w:r>
          </w:p>
          <w:p>
            <w:pPr>
              <w:widowControl/>
              <w:spacing w:line="460" w:lineRule="exact"/>
              <w:contextualSpacing/>
              <w:rPr>
                <w:rFonts w:ascii="仿宋" w:hAnsi="仿宋" w:eastAsia="仿宋"/>
                <w:szCs w:val="21"/>
                <w:lang w:bidi="en-US"/>
              </w:rPr>
            </w:pPr>
            <w:r>
              <w:rPr>
                <w:rFonts w:hint="eastAsia" w:ascii="仿宋" w:hAnsi="仿宋" w:eastAsia="仿宋"/>
                <w:szCs w:val="21"/>
                <w:lang w:bidi="en-US"/>
              </w:rPr>
              <w:t>2）提交的服务方案未涵盖全部内容和功能，有部分漏项；或者提交的方案结构不够完整，功能欠完善，需要进行稍微调整才能满足采购人使用需求，得</w:t>
            </w:r>
            <w:r>
              <w:rPr>
                <w:rFonts w:ascii="仿宋" w:hAnsi="仿宋" w:eastAsia="仿宋"/>
                <w:szCs w:val="21"/>
                <w:lang w:bidi="en-US"/>
              </w:rPr>
              <w:t>15</w:t>
            </w:r>
            <w:r>
              <w:rPr>
                <w:rFonts w:hint="eastAsia" w:ascii="仿宋" w:hAnsi="仿宋" w:eastAsia="仿宋"/>
                <w:szCs w:val="21"/>
                <w:lang w:bidi="en-US"/>
              </w:rPr>
              <w:t>分；</w:t>
            </w:r>
          </w:p>
          <w:p>
            <w:pPr>
              <w:widowControl/>
              <w:spacing w:line="460" w:lineRule="exact"/>
              <w:contextualSpacing/>
              <w:rPr>
                <w:rFonts w:ascii="仿宋" w:hAnsi="仿宋" w:eastAsia="仿宋"/>
                <w:szCs w:val="21"/>
                <w:lang w:bidi="en-US"/>
              </w:rPr>
            </w:pPr>
            <w:r>
              <w:rPr>
                <w:rFonts w:hint="eastAsia" w:ascii="仿宋" w:hAnsi="仿宋" w:eastAsia="仿宋"/>
                <w:szCs w:val="21"/>
                <w:lang w:bidi="en-US"/>
              </w:rPr>
              <w:t>3）提交的服务方案涵盖内容缺陷较多，方案不完整，需要进行较大调整才能满足采购人使用需求，得</w:t>
            </w:r>
            <w:r>
              <w:rPr>
                <w:rFonts w:ascii="仿宋" w:hAnsi="仿宋" w:eastAsia="仿宋"/>
                <w:szCs w:val="21"/>
                <w:lang w:bidi="en-US"/>
              </w:rPr>
              <w:t>9</w:t>
            </w:r>
            <w:r>
              <w:rPr>
                <w:rFonts w:hint="eastAsia" w:ascii="仿宋" w:hAnsi="仿宋" w:eastAsia="仿宋"/>
                <w:szCs w:val="21"/>
                <w:lang w:bidi="en-US"/>
              </w:rPr>
              <w:t>分；</w:t>
            </w:r>
          </w:p>
          <w:p>
            <w:pPr>
              <w:widowControl/>
              <w:spacing w:line="460" w:lineRule="exact"/>
              <w:contextualSpacing/>
              <w:rPr>
                <w:rFonts w:ascii="仿宋" w:hAnsi="仿宋" w:eastAsia="仿宋"/>
                <w:szCs w:val="21"/>
                <w:lang w:bidi="en-US"/>
              </w:rPr>
            </w:pPr>
            <w:r>
              <w:rPr>
                <w:rFonts w:hint="eastAsia" w:ascii="仿宋" w:hAnsi="仿宋" w:eastAsia="仿宋"/>
                <w:szCs w:val="21"/>
                <w:lang w:bidi="en-US"/>
              </w:rPr>
              <w:t>4）未提交服务方案或提交的方案不能满足采购人使用需求，存在有较大偏差，得0分。</w:t>
            </w:r>
          </w:p>
        </w:tc>
        <w:tc>
          <w:tcPr>
            <w:tcW w:w="617"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spacing w:line="324" w:lineRule="auto"/>
              <w:rPr>
                <w:rFonts w:ascii="仿宋" w:hAnsi="仿宋" w:eastAsia="仿宋"/>
                <w:color w:val="993300"/>
                <w:szCs w:val="21"/>
              </w:rPr>
            </w:pPr>
          </w:p>
        </w:tc>
        <w:tc>
          <w:tcPr>
            <w:tcW w:w="1064" w:type="dxa"/>
            <w:vAlign w:val="center"/>
          </w:tcPr>
          <w:p>
            <w:pPr>
              <w:widowControl/>
              <w:spacing w:line="460" w:lineRule="exact"/>
              <w:contextualSpacing/>
              <w:jc w:val="center"/>
              <w:rPr>
                <w:rFonts w:ascii="仿宋" w:hAnsi="仿宋" w:eastAsia="仿宋"/>
                <w:szCs w:val="21"/>
                <w:lang w:bidi="en-US"/>
              </w:rPr>
            </w:pPr>
            <w:r>
              <w:rPr>
                <w:rFonts w:hint="eastAsia" w:ascii="仿宋" w:hAnsi="仿宋" w:eastAsia="仿宋"/>
                <w:szCs w:val="21"/>
                <w:lang w:bidi="en-US"/>
              </w:rPr>
              <w:t>信息发布系统方案</w:t>
            </w:r>
          </w:p>
          <w:p>
            <w:pPr>
              <w:widowControl/>
              <w:spacing w:line="460" w:lineRule="exact"/>
              <w:contextualSpacing/>
              <w:jc w:val="center"/>
              <w:rPr>
                <w:rFonts w:ascii="仿宋" w:hAnsi="仿宋" w:eastAsia="仿宋"/>
                <w:szCs w:val="21"/>
                <w:lang w:bidi="en-US"/>
              </w:rPr>
            </w:pPr>
            <w:r>
              <w:rPr>
                <w:rFonts w:hint="eastAsia" w:ascii="仿宋" w:hAnsi="仿宋" w:eastAsia="仿宋"/>
                <w:szCs w:val="21"/>
                <w:lang w:bidi="en-US"/>
              </w:rPr>
              <w:t>（10分）</w:t>
            </w:r>
          </w:p>
        </w:tc>
        <w:tc>
          <w:tcPr>
            <w:tcW w:w="5954" w:type="dxa"/>
            <w:vAlign w:val="center"/>
          </w:tcPr>
          <w:p>
            <w:pPr>
              <w:widowControl/>
              <w:spacing w:line="460" w:lineRule="exact"/>
              <w:contextualSpacing/>
              <w:rPr>
                <w:rFonts w:ascii="仿宋" w:hAnsi="仿宋" w:eastAsia="仿宋"/>
                <w:szCs w:val="21"/>
                <w:lang w:bidi="en-US"/>
              </w:rPr>
            </w:pPr>
            <w:r>
              <w:rPr>
                <w:rFonts w:ascii="仿宋" w:hAnsi="仿宋" w:eastAsia="仿宋"/>
                <w:szCs w:val="21"/>
                <w:lang w:bidi="en-US"/>
              </w:rPr>
              <w:t>根据投标人对十四运会和残特奥会</w:t>
            </w:r>
            <w:r>
              <w:rPr>
                <w:rFonts w:hint="eastAsia" w:ascii="仿宋" w:hAnsi="仿宋" w:eastAsia="仿宋"/>
                <w:szCs w:val="21"/>
                <w:lang w:bidi="en-US"/>
              </w:rPr>
              <w:t>信息发布系统</w:t>
            </w:r>
            <w:r>
              <w:rPr>
                <w:rFonts w:ascii="仿宋" w:hAnsi="仿宋" w:eastAsia="仿宋"/>
                <w:szCs w:val="21"/>
                <w:lang w:bidi="en-US"/>
              </w:rPr>
              <w:t>服务需求的理解程度，技术架构的先进性、技术指标的合理性、技术指标测算的科学性，设计方案的亮点与特色等方面，进行综合评分，</w:t>
            </w:r>
            <w:r>
              <w:rPr>
                <w:rFonts w:hint="eastAsia" w:ascii="仿宋" w:hAnsi="仿宋" w:eastAsia="仿宋"/>
                <w:szCs w:val="21"/>
                <w:lang w:bidi="en-US"/>
              </w:rPr>
              <w:t>本项满分10分。</w:t>
            </w:r>
          </w:p>
          <w:p>
            <w:pPr>
              <w:widowControl/>
              <w:spacing w:line="460" w:lineRule="exact"/>
              <w:contextualSpacing/>
              <w:rPr>
                <w:rFonts w:ascii="仿宋" w:hAnsi="仿宋" w:eastAsia="仿宋"/>
                <w:szCs w:val="21"/>
                <w:lang w:bidi="en-US"/>
              </w:rPr>
            </w:pPr>
            <w:r>
              <w:rPr>
                <w:rFonts w:hint="eastAsia" w:ascii="仿宋" w:hAnsi="仿宋" w:eastAsia="仿宋"/>
                <w:szCs w:val="21"/>
                <w:lang w:bidi="en-US"/>
              </w:rPr>
              <w:t>1）提交的服务方案结构完整、功能完善，符合技术要求，能够很好的满足采购人使用需求，得10分；</w:t>
            </w:r>
          </w:p>
          <w:p>
            <w:pPr>
              <w:widowControl/>
              <w:spacing w:line="460" w:lineRule="exact"/>
              <w:contextualSpacing/>
              <w:rPr>
                <w:rFonts w:ascii="仿宋" w:hAnsi="仿宋" w:eastAsia="仿宋"/>
                <w:szCs w:val="21"/>
                <w:lang w:bidi="en-US"/>
              </w:rPr>
            </w:pPr>
            <w:r>
              <w:rPr>
                <w:rFonts w:hint="eastAsia" w:ascii="仿宋" w:hAnsi="仿宋" w:eastAsia="仿宋"/>
                <w:szCs w:val="21"/>
                <w:lang w:bidi="en-US"/>
              </w:rPr>
              <w:t>2）提交的服务方案未涵盖全部内容和功能，有部分漏项；或者提交的方案结构不够完整，功能欠完善，需要进行稍微调整才能满足采购人使用需求，得6分；</w:t>
            </w:r>
          </w:p>
          <w:p>
            <w:pPr>
              <w:widowControl/>
              <w:spacing w:line="460" w:lineRule="exact"/>
              <w:contextualSpacing/>
              <w:rPr>
                <w:rFonts w:ascii="仿宋" w:hAnsi="仿宋" w:eastAsia="仿宋"/>
                <w:szCs w:val="21"/>
                <w:lang w:bidi="en-US"/>
              </w:rPr>
            </w:pPr>
            <w:r>
              <w:rPr>
                <w:rFonts w:hint="eastAsia" w:ascii="仿宋" w:hAnsi="仿宋" w:eastAsia="仿宋"/>
                <w:szCs w:val="21"/>
                <w:lang w:bidi="en-US"/>
              </w:rPr>
              <w:t>3）提交的服务方案涵盖内容缺陷较多，方案不完整，需要进行较大调整才能满足采购人使用需求，得2分；</w:t>
            </w:r>
          </w:p>
          <w:p>
            <w:pPr>
              <w:widowControl/>
              <w:spacing w:line="460" w:lineRule="exact"/>
              <w:contextualSpacing/>
              <w:rPr>
                <w:rFonts w:ascii="仿宋" w:hAnsi="仿宋" w:eastAsia="仿宋"/>
                <w:szCs w:val="21"/>
                <w:lang w:bidi="en-US"/>
              </w:rPr>
            </w:pPr>
            <w:r>
              <w:rPr>
                <w:rFonts w:hint="eastAsia" w:ascii="仿宋" w:hAnsi="仿宋" w:eastAsia="仿宋"/>
                <w:szCs w:val="21"/>
                <w:lang w:bidi="en-US"/>
              </w:rPr>
              <w:t>4）未提交服务方案或提交的方案不能满足采购人使用需求，存在有较大偏差，得0分。</w:t>
            </w:r>
          </w:p>
        </w:tc>
        <w:tc>
          <w:tcPr>
            <w:tcW w:w="617"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spacing w:line="324" w:lineRule="auto"/>
              <w:rPr>
                <w:rFonts w:ascii="仿宋" w:hAnsi="仿宋" w:eastAsia="仿宋"/>
                <w:color w:val="993300"/>
                <w:szCs w:val="21"/>
              </w:rPr>
            </w:pPr>
          </w:p>
        </w:tc>
        <w:tc>
          <w:tcPr>
            <w:tcW w:w="1064" w:type="dxa"/>
            <w:vAlign w:val="center"/>
          </w:tcPr>
          <w:p>
            <w:pPr>
              <w:widowControl/>
              <w:spacing w:line="460" w:lineRule="exact"/>
              <w:contextualSpacing/>
              <w:jc w:val="center"/>
              <w:rPr>
                <w:rFonts w:ascii="仿宋" w:hAnsi="仿宋" w:eastAsia="仿宋"/>
                <w:szCs w:val="21"/>
                <w:lang w:bidi="en-US"/>
              </w:rPr>
            </w:pPr>
            <w:r>
              <w:rPr>
                <w:rFonts w:ascii="仿宋" w:hAnsi="仿宋" w:eastAsia="仿宋"/>
                <w:szCs w:val="21"/>
                <w:lang w:bidi="en-US"/>
              </w:rPr>
              <w:t>应急预案</w:t>
            </w:r>
          </w:p>
          <w:p>
            <w:pPr>
              <w:widowControl/>
              <w:spacing w:line="460" w:lineRule="exact"/>
              <w:contextualSpacing/>
              <w:jc w:val="center"/>
              <w:rPr>
                <w:rFonts w:ascii="仿宋" w:hAnsi="仿宋" w:eastAsia="仿宋"/>
                <w:szCs w:val="21"/>
                <w:lang w:bidi="en-US"/>
              </w:rPr>
            </w:pPr>
            <w:r>
              <w:rPr>
                <w:rFonts w:hint="eastAsia" w:ascii="仿宋" w:hAnsi="仿宋" w:eastAsia="仿宋"/>
                <w:szCs w:val="21"/>
                <w:lang w:bidi="en-US"/>
              </w:rPr>
              <w:t>（4分）</w:t>
            </w:r>
          </w:p>
        </w:tc>
        <w:tc>
          <w:tcPr>
            <w:tcW w:w="5954" w:type="dxa"/>
            <w:vAlign w:val="center"/>
          </w:tcPr>
          <w:p>
            <w:pPr>
              <w:widowControl/>
              <w:spacing w:line="460" w:lineRule="exact"/>
              <w:contextualSpacing/>
              <w:rPr>
                <w:rFonts w:ascii="仿宋" w:hAnsi="仿宋" w:eastAsia="仿宋"/>
                <w:szCs w:val="21"/>
                <w:lang w:bidi="en-US"/>
              </w:rPr>
            </w:pPr>
            <w:r>
              <w:rPr>
                <w:rFonts w:ascii="仿宋" w:hAnsi="仿宋" w:eastAsia="仿宋"/>
                <w:szCs w:val="21"/>
                <w:lang w:bidi="en-US"/>
              </w:rPr>
              <w:t>根据投标人所提供的应急预案完整性、合理性、可行性等方面，进行综合评分，本</w:t>
            </w:r>
            <w:r>
              <w:rPr>
                <w:rFonts w:hint="eastAsia" w:ascii="仿宋" w:hAnsi="仿宋" w:eastAsia="仿宋"/>
                <w:szCs w:val="21"/>
                <w:lang w:bidi="en-US"/>
              </w:rPr>
              <w:t>项满分4分。</w:t>
            </w:r>
          </w:p>
          <w:p>
            <w:pPr>
              <w:widowControl/>
              <w:spacing w:line="460" w:lineRule="exact"/>
              <w:contextualSpacing/>
              <w:rPr>
                <w:rFonts w:ascii="仿宋" w:hAnsi="仿宋" w:eastAsia="仿宋"/>
                <w:szCs w:val="21"/>
                <w:lang w:bidi="en-US"/>
              </w:rPr>
            </w:pPr>
            <w:r>
              <w:rPr>
                <w:rFonts w:hint="eastAsia" w:ascii="仿宋" w:hAnsi="仿宋" w:eastAsia="仿宋"/>
                <w:szCs w:val="21"/>
                <w:lang w:bidi="en-US"/>
              </w:rPr>
              <w:t>1）提交的应急预案内容完整、合理、可行，得4分；</w:t>
            </w:r>
          </w:p>
          <w:p>
            <w:pPr>
              <w:widowControl/>
              <w:spacing w:line="460" w:lineRule="exact"/>
              <w:contextualSpacing/>
              <w:rPr>
                <w:rFonts w:ascii="仿宋" w:hAnsi="仿宋" w:eastAsia="仿宋"/>
                <w:szCs w:val="21"/>
                <w:lang w:bidi="en-US"/>
              </w:rPr>
            </w:pPr>
            <w:r>
              <w:rPr>
                <w:rFonts w:ascii="仿宋" w:hAnsi="仿宋" w:eastAsia="仿宋"/>
                <w:szCs w:val="21"/>
                <w:lang w:bidi="en-US"/>
              </w:rPr>
              <w:t>2</w:t>
            </w:r>
            <w:r>
              <w:rPr>
                <w:rFonts w:hint="eastAsia" w:ascii="仿宋" w:hAnsi="仿宋" w:eastAsia="仿宋"/>
                <w:szCs w:val="21"/>
                <w:lang w:bidi="en-US"/>
              </w:rPr>
              <w:t>）提交的应急预案内容不够完整，功能欠完善，需要进行调整才能满足采购人使用需求，得1分；</w:t>
            </w:r>
          </w:p>
          <w:p>
            <w:pPr>
              <w:widowControl/>
              <w:spacing w:line="460" w:lineRule="exact"/>
              <w:contextualSpacing/>
              <w:rPr>
                <w:rFonts w:ascii="仿宋" w:hAnsi="仿宋" w:eastAsia="仿宋"/>
                <w:szCs w:val="21"/>
                <w:lang w:bidi="en-US"/>
              </w:rPr>
            </w:pPr>
            <w:r>
              <w:rPr>
                <w:rFonts w:ascii="仿宋" w:hAnsi="仿宋" w:eastAsia="仿宋"/>
                <w:szCs w:val="21"/>
                <w:lang w:bidi="en-US"/>
              </w:rPr>
              <w:t>3</w:t>
            </w:r>
            <w:r>
              <w:rPr>
                <w:rFonts w:hint="eastAsia" w:ascii="仿宋" w:hAnsi="仿宋" w:eastAsia="仿宋"/>
                <w:szCs w:val="21"/>
                <w:lang w:bidi="en-US"/>
              </w:rPr>
              <w:t>）提交的应急预案内容不完整、不合理、可行性差，得0分。</w:t>
            </w:r>
          </w:p>
        </w:tc>
        <w:tc>
          <w:tcPr>
            <w:tcW w:w="617"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spacing w:line="324" w:lineRule="auto"/>
              <w:rPr>
                <w:rFonts w:ascii="仿宋" w:hAnsi="仿宋" w:eastAsia="仿宋"/>
                <w:color w:val="993300"/>
                <w:szCs w:val="21"/>
              </w:rPr>
            </w:pPr>
          </w:p>
        </w:tc>
        <w:tc>
          <w:tcPr>
            <w:tcW w:w="1064" w:type="dxa"/>
            <w:vAlign w:val="center"/>
          </w:tcPr>
          <w:p>
            <w:pPr>
              <w:widowControl/>
              <w:spacing w:line="460" w:lineRule="exact"/>
              <w:contextualSpacing/>
              <w:jc w:val="center"/>
              <w:rPr>
                <w:rFonts w:ascii="仿宋" w:hAnsi="仿宋" w:eastAsia="仿宋"/>
                <w:szCs w:val="21"/>
                <w:lang w:bidi="en-US"/>
              </w:rPr>
            </w:pPr>
            <w:r>
              <w:rPr>
                <w:rFonts w:ascii="仿宋" w:hAnsi="仿宋" w:eastAsia="仿宋"/>
                <w:szCs w:val="21"/>
                <w:lang w:bidi="en-US"/>
              </w:rPr>
              <w:t>质量保证计划</w:t>
            </w:r>
          </w:p>
          <w:p>
            <w:pPr>
              <w:widowControl/>
              <w:spacing w:line="460" w:lineRule="exact"/>
              <w:contextualSpacing/>
              <w:jc w:val="center"/>
              <w:rPr>
                <w:rFonts w:ascii="仿宋" w:hAnsi="仿宋" w:eastAsia="仿宋"/>
                <w:szCs w:val="21"/>
                <w:lang w:bidi="en-US"/>
              </w:rPr>
            </w:pPr>
            <w:r>
              <w:rPr>
                <w:rFonts w:hint="eastAsia" w:ascii="仿宋" w:hAnsi="仿宋" w:eastAsia="仿宋"/>
                <w:szCs w:val="21"/>
                <w:lang w:bidi="en-US"/>
              </w:rPr>
              <w:t>（3分）</w:t>
            </w:r>
          </w:p>
        </w:tc>
        <w:tc>
          <w:tcPr>
            <w:tcW w:w="5954" w:type="dxa"/>
            <w:vAlign w:val="center"/>
          </w:tcPr>
          <w:p>
            <w:pPr>
              <w:widowControl/>
              <w:spacing w:line="460" w:lineRule="exact"/>
              <w:contextualSpacing/>
              <w:rPr>
                <w:rFonts w:ascii="仿宋" w:hAnsi="仿宋" w:eastAsia="仿宋"/>
                <w:szCs w:val="21"/>
                <w:lang w:bidi="en-US"/>
              </w:rPr>
            </w:pPr>
            <w:r>
              <w:rPr>
                <w:rFonts w:ascii="仿宋" w:hAnsi="仿宋" w:eastAsia="仿宋"/>
                <w:szCs w:val="21"/>
                <w:lang w:bidi="en-US"/>
              </w:rPr>
              <w:t>从质量保证范围、质量保证措施、服务水平定义，服务水平保证措施等方面对投标人提供的质量保证计划进行综合评分，按</w:t>
            </w:r>
            <w:r>
              <w:rPr>
                <w:rFonts w:hint="eastAsia" w:ascii="仿宋" w:hAnsi="仿宋" w:eastAsia="仿宋"/>
                <w:szCs w:val="21"/>
                <w:lang w:bidi="en-US"/>
              </w:rPr>
              <w:t>本项满分</w:t>
            </w:r>
            <w:r>
              <w:rPr>
                <w:rFonts w:ascii="仿宋" w:hAnsi="仿宋" w:eastAsia="仿宋"/>
                <w:szCs w:val="21"/>
                <w:lang w:bidi="en-US"/>
              </w:rPr>
              <w:t>3</w:t>
            </w:r>
            <w:r>
              <w:rPr>
                <w:rFonts w:hint="eastAsia" w:ascii="仿宋" w:hAnsi="仿宋" w:eastAsia="仿宋"/>
                <w:szCs w:val="21"/>
                <w:lang w:bidi="en-US"/>
              </w:rPr>
              <w:t>分。</w:t>
            </w:r>
          </w:p>
          <w:p>
            <w:pPr>
              <w:widowControl/>
              <w:spacing w:line="460" w:lineRule="exact"/>
              <w:contextualSpacing/>
              <w:rPr>
                <w:rFonts w:ascii="仿宋" w:hAnsi="仿宋" w:eastAsia="仿宋"/>
                <w:szCs w:val="21"/>
                <w:lang w:bidi="en-US"/>
              </w:rPr>
            </w:pPr>
            <w:r>
              <w:rPr>
                <w:rFonts w:hint="eastAsia" w:ascii="仿宋" w:hAnsi="仿宋" w:eastAsia="仿宋"/>
                <w:szCs w:val="21"/>
                <w:lang w:bidi="en-US"/>
              </w:rPr>
              <w:t>1）提交的质量保证计划内容完整、合理、可行，得</w:t>
            </w:r>
            <w:r>
              <w:rPr>
                <w:rFonts w:ascii="仿宋" w:hAnsi="仿宋" w:eastAsia="仿宋"/>
                <w:szCs w:val="21"/>
                <w:lang w:bidi="en-US"/>
              </w:rPr>
              <w:t>3</w:t>
            </w:r>
            <w:r>
              <w:rPr>
                <w:rFonts w:hint="eastAsia" w:ascii="仿宋" w:hAnsi="仿宋" w:eastAsia="仿宋"/>
                <w:szCs w:val="21"/>
                <w:lang w:bidi="en-US"/>
              </w:rPr>
              <w:t>分；</w:t>
            </w:r>
          </w:p>
          <w:p>
            <w:pPr>
              <w:widowControl/>
              <w:spacing w:line="460" w:lineRule="exact"/>
              <w:contextualSpacing/>
              <w:rPr>
                <w:rFonts w:ascii="仿宋" w:hAnsi="仿宋" w:eastAsia="仿宋"/>
                <w:szCs w:val="21"/>
                <w:lang w:bidi="en-US"/>
              </w:rPr>
            </w:pPr>
            <w:r>
              <w:rPr>
                <w:rFonts w:ascii="仿宋" w:hAnsi="仿宋" w:eastAsia="仿宋"/>
                <w:szCs w:val="21"/>
                <w:lang w:bidi="en-US"/>
              </w:rPr>
              <w:t>2</w:t>
            </w:r>
            <w:r>
              <w:rPr>
                <w:rFonts w:hint="eastAsia" w:ascii="仿宋" w:hAnsi="仿宋" w:eastAsia="仿宋"/>
                <w:szCs w:val="21"/>
                <w:lang w:bidi="en-US"/>
              </w:rPr>
              <w:t>）提交的质量保证计划内容不够完整，功能欠完善，需要进行调整才能满足采购人使用需求，得1分；</w:t>
            </w:r>
          </w:p>
          <w:p>
            <w:pPr>
              <w:widowControl/>
              <w:spacing w:line="460" w:lineRule="exact"/>
              <w:contextualSpacing/>
              <w:rPr>
                <w:rFonts w:ascii="仿宋" w:hAnsi="仿宋" w:eastAsia="仿宋"/>
                <w:szCs w:val="21"/>
                <w:lang w:bidi="en-US"/>
              </w:rPr>
            </w:pPr>
            <w:r>
              <w:rPr>
                <w:rFonts w:ascii="仿宋" w:hAnsi="仿宋" w:eastAsia="仿宋"/>
                <w:szCs w:val="21"/>
                <w:lang w:bidi="en-US"/>
              </w:rPr>
              <w:t>3</w:t>
            </w:r>
            <w:r>
              <w:rPr>
                <w:rFonts w:hint="eastAsia" w:ascii="仿宋" w:hAnsi="仿宋" w:eastAsia="仿宋"/>
                <w:szCs w:val="21"/>
                <w:lang w:bidi="en-US"/>
              </w:rPr>
              <w:t>）提交的质量保证计划内容不完整、不合理、可行性差，得0分。</w:t>
            </w:r>
          </w:p>
        </w:tc>
        <w:tc>
          <w:tcPr>
            <w:tcW w:w="617"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spacing w:line="324" w:lineRule="auto"/>
              <w:rPr>
                <w:rFonts w:ascii="仿宋" w:hAnsi="仿宋" w:eastAsia="仿宋"/>
                <w:color w:val="993300"/>
                <w:szCs w:val="21"/>
              </w:rPr>
            </w:pPr>
          </w:p>
        </w:tc>
        <w:tc>
          <w:tcPr>
            <w:tcW w:w="1064" w:type="dxa"/>
            <w:vAlign w:val="center"/>
          </w:tcPr>
          <w:p>
            <w:pPr>
              <w:widowControl/>
              <w:spacing w:line="460" w:lineRule="exact"/>
              <w:contextualSpacing/>
              <w:jc w:val="center"/>
              <w:rPr>
                <w:rFonts w:ascii="仿宋" w:hAnsi="仿宋" w:eastAsia="仿宋"/>
                <w:szCs w:val="21"/>
                <w:lang w:bidi="en-US"/>
              </w:rPr>
            </w:pPr>
            <w:r>
              <w:rPr>
                <w:rFonts w:ascii="仿宋" w:hAnsi="仿宋" w:eastAsia="仿宋"/>
                <w:szCs w:val="21"/>
                <w:lang w:bidi="en-US"/>
              </w:rPr>
              <w:t>人员管理计划</w:t>
            </w:r>
          </w:p>
          <w:p>
            <w:pPr>
              <w:widowControl/>
              <w:spacing w:line="460" w:lineRule="exact"/>
              <w:contextualSpacing/>
              <w:jc w:val="center"/>
              <w:rPr>
                <w:rFonts w:ascii="仿宋" w:hAnsi="仿宋" w:eastAsia="仿宋"/>
                <w:szCs w:val="21"/>
                <w:lang w:bidi="en-US"/>
              </w:rPr>
            </w:pPr>
            <w:r>
              <w:rPr>
                <w:rFonts w:hint="eastAsia" w:ascii="仿宋" w:hAnsi="仿宋" w:eastAsia="仿宋"/>
                <w:szCs w:val="21"/>
                <w:lang w:bidi="en-US"/>
              </w:rPr>
              <w:t>（4分）</w:t>
            </w:r>
          </w:p>
        </w:tc>
        <w:tc>
          <w:tcPr>
            <w:tcW w:w="5954" w:type="dxa"/>
            <w:vAlign w:val="center"/>
          </w:tcPr>
          <w:p>
            <w:pPr>
              <w:widowControl/>
              <w:spacing w:line="460" w:lineRule="exact"/>
              <w:contextualSpacing/>
              <w:rPr>
                <w:rFonts w:ascii="仿宋" w:hAnsi="仿宋" w:eastAsia="仿宋"/>
                <w:szCs w:val="21"/>
                <w:lang w:bidi="en-US"/>
              </w:rPr>
            </w:pPr>
            <w:r>
              <w:rPr>
                <w:rFonts w:ascii="仿宋" w:hAnsi="仿宋" w:eastAsia="仿宋"/>
                <w:szCs w:val="21"/>
                <w:lang w:bidi="en-US"/>
              </w:rPr>
              <w:t>根据投标人提供的项目人员管理计划、项目总体人员配置计划以及主要人员的到岗时间计划，从人员配备是否合理、职责是否清晰、数量是否能够满足采购人使用需要、管理制度是否健全等方面，进行综合评分，</w:t>
            </w:r>
            <w:r>
              <w:rPr>
                <w:rFonts w:hint="eastAsia" w:ascii="仿宋" w:hAnsi="仿宋" w:eastAsia="仿宋"/>
                <w:szCs w:val="21"/>
                <w:lang w:bidi="en-US"/>
              </w:rPr>
              <w:t>本项满分</w:t>
            </w:r>
            <w:r>
              <w:rPr>
                <w:rFonts w:ascii="仿宋" w:hAnsi="仿宋" w:eastAsia="仿宋"/>
                <w:szCs w:val="21"/>
                <w:lang w:bidi="en-US"/>
              </w:rPr>
              <w:t>4</w:t>
            </w:r>
            <w:r>
              <w:rPr>
                <w:rFonts w:hint="eastAsia" w:ascii="仿宋" w:hAnsi="仿宋" w:eastAsia="仿宋"/>
                <w:szCs w:val="21"/>
                <w:lang w:bidi="en-US"/>
              </w:rPr>
              <w:t>分。</w:t>
            </w:r>
          </w:p>
          <w:p>
            <w:pPr>
              <w:widowControl/>
              <w:spacing w:line="460" w:lineRule="exact"/>
              <w:contextualSpacing/>
              <w:rPr>
                <w:rFonts w:ascii="仿宋" w:hAnsi="仿宋" w:eastAsia="仿宋"/>
                <w:szCs w:val="21"/>
                <w:lang w:bidi="en-US"/>
              </w:rPr>
            </w:pPr>
            <w:r>
              <w:rPr>
                <w:rFonts w:hint="eastAsia" w:ascii="仿宋" w:hAnsi="仿宋" w:eastAsia="仿宋"/>
                <w:szCs w:val="21"/>
                <w:lang w:bidi="en-US"/>
              </w:rPr>
              <w:t>1）所配备的人员岗位明确、数量合理，能够很好的满足采购人使用需要，得</w:t>
            </w:r>
            <w:r>
              <w:rPr>
                <w:rFonts w:ascii="仿宋" w:hAnsi="仿宋" w:eastAsia="仿宋"/>
                <w:szCs w:val="21"/>
                <w:lang w:bidi="en-US"/>
              </w:rPr>
              <w:t>4</w:t>
            </w:r>
            <w:r>
              <w:rPr>
                <w:rFonts w:hint="eastAsia" w:ascii="仿宋" w:hAnsi="仿宋" w:eastAsia="仿宋"/>
                <w:szCs w:val="21"/>
                <w:lang w:bidi="en-US"/>
              </w:rPr>
              <w:t>分；</w:t>
            </w:r>
          </w:p>
          <w:p>
            <w:pPr>
              <w:widowControl/>
              <w:spacing w:line="460" w:lineRule="exact"/>
              <w:contextualSpacing/>
              <w:rPr>
                <w:rFonts w:ascii="仿宋" w:hAnsi="仿宋" w:eastAsia="仿宋"/>
                <w:szCs w:val="21"/>
                <w:lang w:bidi="en-US"/>
              </w:rPr>
            </w:pPr>
            <w:r>
              <w:rPr>
                <w:rFonts w:hint="eastAsia" w:ascii="仿宋" w:hAnsi="仿宋" w:eastAsia="仿宋"/>
                <w:szCs w:val="21"/>
                <w:lang w:bidi="en-US"/>
              </w:rPr>
              <w:t>2）提供了人员计划，但所提供人员岗位设置欠合理或和数量不足，与采购人使用需要存在一定偏差，得</w:t>
            </w:r>
            <w:r>
              <w:rPr>
                <w:rFonts w:ascii="仿宋" w:hAnsi="仿宋" w:eastAsia="仿宋"/>
                <w:szCs w:val="21"/>
                <w:lang w:bidi="en-US"/>
              </w:rPr>
              <w:t>2</w:t>
            </w:r>
            <w:r>
              <w:rPr>
                <w:rFonts w:hint="eastAsia" w:ascii="仿宋" w:hAnsi="仿宋" w:eastAsia="仿宋"/>
                <w:szCs w:val="21"/>
                <w:lang w:bidi="en-US"/>
              </w:rPr>
              <w:t>分；</w:t>
            </w:r>
          </w:p>
          <w:p>
            <w:pPr>
              <w:widowControl/>
              <w:spacing w:line="460" w:lineRule="exact"/>
              <w:contextualSpacing/>
              <w:rPr>
                <w:rFonts w:ascii="仿宋" w:hAnsi="仿宋" w:eastAsia="仿宋"/>
                <w:szCs w:val="21"/>
                <w:lang w:bidi="en-US"/>
              </w:rPr>
            </w:pPr>
            <w:r>
              <w:rPr>
                <w:rFonts w:hint="eastAsia" w:ascii="仿宋" w:hAnsi="仿宋" w:eastAsia="仿宋"/>
                <w:szCs w:val="21"/>
                <w:lang w:bidi="en-US"/>
              </w:rPr>
              <w:t>3）未提交人员计划或提交的人员计划与采购人使用需要有较大偏差的，得0分。</w:t>
            </w:r>
          </w:p>
        </w:tc>
        <w:tc>
          <w:tcPr>
            <w:tcW w:w="617"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dxa"/>
            <w:vMerge w:val="continue"/>
            <w:vAlign w:val="center"/>
          </w:tcPr>
          <w:p>
            <w:pPr>
              <w:spacing w:line="324" w:lineRule="auto"/>
              <w:rPr>
                <w:rFonts w:ascii="仿宋" w:hAnsi="仿宋" w:eastAsia="仿宋"/>
                <w:color w:val="993300"/>
                <w:szCs w:val="21"/>
              </w:rPr>
            </w:pPr>
          </w:p>
        </w:tc>
        <w:tc>
          <w:tcPr>
            <w:tcW w:w="1064" w:type="dxa"/>
            <w:vAlign w:val="center"/>
          </w:tcPr>
          <w:p>
            <w:pPr>
              <w:widowControl/>
              <w:spacing w:line="460" w:lineRule="exact"/>
              <w:contextualSpacing/>
              <w:jc w:val="center"/>
              <w:rPr>
                <w:rFonts w:ascii="仿宋" w:hAnsi="仿宋" w:eastAsia="仿宋"/>
                <w:szCs w:val="21"/>
                <w:lang w:bidi="en-US"/>
              </w:rPr>
            </w:pPr>
            <w:r>
              <w:rPr>
                <w:rFonts w:ascii="仿宋" w:hAnsi="仿宋" w:eastAsia="仿宋"/>
                <w:szCs w:val="21"/>
                <w:lang w:bidi="en-US"/>
              </w:rPr>
              <w:t>进度管理计划</w:t>
            </w:r>
          </w:p>
          <w:p>
            <w:pPr>
              <w:widowControl/>
              <w:spacing w:line="460" w:lineRule="exact"/>
              <w:contextualSpacing/>
              <w:jc w:val="center"/>
              <w:rPr>
                <w:rFonts w:ascii="仿宋" w:hAnsi="仿宋" w:eastAsia="仿宋"/>
                <w:szCs w:val="21"/>
                <w:lang w:bidi="en-US"/>
              </w:rPr>
            </w:pPr>
            <w:r>
              <w:rPr>
                <w:rFonts w:hint="eastAsia" w:ascii="仿宋" w:hAnsi="仿宋" w:eastAsia="仿宋"/>
                <w:szCs w:val="21"/>
                <w:lang w:bidi="en-US"/>
              </w:rPr>
              <w:t>（4分）</w:t>
            </w:r>
          </w:p>
        </w:tc>
        <w:tc>
          <w:tcPr>
            <w:tcW w:w="5954" w:type="dxa"/>
            <w:vAlign w:val="center"/>
          </w:tcPr>
          <w:p>
            <w:pPr>
              <w:widowControl/>
              <w:spacing w:line="460" w:lineRule="exact"/>
              <w:contextualSpacing/>
              <w:rPr>
                <w:rFonts w:ascii="仿宋" w:hAnsi="仿宋" w:eastAsia="仿宋"/>
                <w:szCs w:val="21"/>
                <w:lang w:bidi="en-US"/>
              </w:rPr>
            </w:pPr>
            <w:r>
              <w:rPr>
                <w:rFonts w:ascii="仿宋" w:hAnsi="仿宋" w:eastAsia="仿宋"/>
                <w:szCs w:val="21"/>
                <w:lang w:bidi="en-US"/>
              </w:rPr>
              <w:t>从进度计划与十四运会和残特奥会整体时间安排的一致程度，进度管理措施的完备性、合理性，是否充分考虑到风险与不确定因素等方面，对投标人所提供的进度管理计划进行综合评分，</w:t>
            </w:r>
            <w:r>
              <w:rPr>
                <w:rFonts w:hint="eastAsia" w:ascii="仿宋" w:hAnsi="仿宋" w:eastAsia="仿宋"/>
                <w:szCs w:val="21"/>
                <w:lang w:bidi="en-US"/>
              </w:rPr>
              <w:t>本项满分</w:t>
            </w:r>
            <w:r>
              <w:rPr>
                <w:rFonts w:ascii="仿宋" w:hAnsi="仿宋" w:eastAsia="仿宋"/>
                <w:szCs w:val="21"/>
                <w:lang w:bidi="en-US"/>
              </w:rPr>
              <w:t>4</w:t>
            </w:r>
            <w:r>
              <w:rPr>
                <w:rFonts w:hint="eastAsia" w:ascii="仿宋" w:hAnsi="仿宋" w:eastAsia="仿宋"/>
                <w:szCs w:val="21"/>
                <w:lang w:bidi="en-US"/>
              </w:rPr>
              <w:t>分。</w:t>
            </w:r>
          </w:p>
          <w:p>
            <w:pPr>
              <w:widowControl/>
              <w:spacing w:line="460" w:lineRule="exact"/>
              <w:contextualSpacing/>
              <w:rPr>
                <w:rFonts w:ascii="仿宋" w:hAnsi="仿宋" w:eastAsia="仿宋"/>
                <w:szCs w:val="21"/>
                <w:lang w:bidi="en-US"/>
              </w:rPr>
            </w:pPr>
            <w:r>
              <w:rPr>
                <w:rFonts w:hint="eastAsia" w:ascii="仿宋" w:hAnsi="仿宋" w:eastAsia="仿宋"/>
                <w:szCs w:val="21"/>
                <w:lang w:bidi="en-US"/>
              </w:rPr>
              <w:t>1）所提供的进度管理计划内容完整、合理、可行，得</w:t>
            </w:r>
            <w:r>
              <w:rPr>
                <w:rFonts w:ascii="仿宋" w:hAnsi="仿宋" w:eastAsia="仿宋"/>
                <w:szCs w:val="21"/>
                <w:lang w:bidi="en-US"/>
              </w:rPr>
              <w:t>4</w:t>
            </w:r>
            <w:r>
              <w:rPr>
                <w:rFonts w:hint="eastAsia" w:ascii="仿宋" w:hAnsi="仿宋" w:eastAsia="仿宋"/>
                <w:szCs w:val="21"/>
                <w:lang w:bidi="en-US"/>
              </w:rPr>
              <w:t>分；</w:t>
            </w:r>
          </w:p>
          <w:p>
            <w:pPr>
              <w:widowControl/>
              <w:spacing w:line="460" w:lineRule="exact"/>
              <w:contextualSpacing/>
              <w:rPr>
                <w:rFonts w:ascii="仿宋" w:hAnsi="仿宋" w:eastAsia="仿宋"/>
                <w:szCs w:val="21"/>
                <w:lang w:bidi="en-US"/>
              </w:rPr>
            </w:pPr>
            <w:r>
              <w:rPr>
                <w:rFonts w:ascii="仿宋" w:hAnsi="仿宋" w:eastAsia="仿宋"/>
                <w:szCs w:val="21"/>
                <w:lang w:bidi="en-US"/>
              </w:rPr>
              <w:t>2</w:t>
            </w:r>
            <w:r>
              <w:rPr>
                <w:rFonts w:hint="eastAsia" w:ascii="仿宋" w:hAnsi="仿宋" w:eastAsia="仿宋"/>
                <w:szCs w:val="21"/>
                <w:lang w:bidi="en-US"/>
              </w:rPr>
              <w:t>）所提供的进度管理计划内容不够完整，功能欠完善，需要进行调整才能满足采购人使用需求，得1分；</w:t>
            </w:r>
          </w:p>
          <w:p>
            <w:pPr>
              <w:widowControl/>
              <w:spacing w:line="460" w:lineRule="exact"/>
              <w:contextualSpacing/>
              <w:rPr>
                <w:rFonts w:ascii="仿宋" w:hAnsi="仿宋" w:eastAsia="仿宋"/>
                <w:szCs w:val="21"/>
                <w:lang w:bidi="en-US"/>
              </w:rPr>
            </w:pPr>
            <w:r>
              <w:rPr>
                <w:rFonts w:ascii="仿宋" w:hAnsi="仿宋" w:eastAsia="仿宋"/>
                <w:szCs w:val="21"/>
                <w:lang w:bidi="en-US"/>
              </w:rPr>
              <w:t>3</w:t>
            </w:r>
            <w:r>
              <w:rPr>
                <w:rFonts w:hint="eastAsia" w:ascii="仿宋" w:hAnsi="仿宋" w:eastAsia="仿宋"/>
                <w:szCs w:val="21"/>
                <w:lang w:bidi="en-US"/>
              </w:rPr>
              <w:t>）所提供的进度管理计划内容不完整、不合理、可行性差，得0分。</w:t>
            </w:r>
          </w:p>
        </w:tc>
        <w:tc>
          <w:tcPr>
            <w:tcW w:w="617" w:type="dxa"/>
          </w:tcPr>
          <w:p>
            <w:pPr>
              <w:widowControl/>
              <w:spacing w:line="460" w:lineRule="exact"/>
              <w:contextualSpacing/>
              <w:rPr>
                <w:rFonts w:ascii="仿宋" w:hAnsi="仿宋" w:eastAsia="仿宋"/>
                <w:szCs w:val="21"/>
                <w:lang w:bidi="en-US"/>
              </w:rPr>
            </w:pPr>
            <w:r>
              <w:rPr>
                <w:rFonts w:hint="eastAsia" w:ascii="仿宋" w:hAnsi="仿宋" w:eastAsia="仿宋"/>
                <w:szCs w:val="21"/>
                <w:lang w:bidi="en-US"/>
              </w:rPr>
              <w:t>4分</w:t>
            </w:r>
          </w:p>
        </w:tc>
      </w:tr>
    </w:tbl>
    <w:p>
      <w:pPr>
        <w:spacing w:after="312" w:afterLines="100" w:line="340" w:lineRule="exact"/>
        <w:jc w:val="center"/>
        <w:outlineLvl w:val="0"/>
        <w:rPr>
          <w:rFonts w:hAnsi="宋体"/>
          <w:b/>
          <w:color w:val="000000" w:themeColor="text1"/>
          <w:sz w:val="36"/>
          <w:szCs w:val="36"/>
          <w14:textFill>
            <w14:solidFill>
              <w14:schemeClr w14:val="tx1"/>
            </w14:solidFill>
          </w14:textFill>
        </w:rPr>
      </w:pPr>
      <w:bookmarkStart w:id="20" w:name="_Toc51935130"/>
    </w:p>
    <w:p>
      <w:pPr>
        <w:spacing w:after="312" w:afterLines="100" w:line="340" w:lineRule="exact"/>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  招标需求</w:t>
      </w:r>
      <w:bookmarkEnd w:id="20"/>
      <w:r>
        <w:rPr>
          <w:rFonts w:hint="eastAsia" w:ascii="仿宋" w:hAnsi="仿宋" w:eastAsia="仿宋"/>
          <w:b/>
          <w:color w:val="000000" w:themeColor="text1"/>
          <w:sz w:val="28"/>
          <w:szCs w:val="28"/>
          <w14:textFill>
            <w14:solidFill>
              <w14:schemeClr w14:val="tx1"/>
            </w14:solidFill>
          </w14:textFill>
        </w:rPr>
        <w:t>▲</w:t>
      </w:r>
    </w:p>
    <w:p>
      <w:pPr>
        <w:snapToGrid w:val="0"/>
        <w:spacing w:before="156" w:beforeLines="50" w:after="156" w:afterLines="50"/>
        <w:jc w:val="center"/>
        <w:rPr>
          <w:rFonts w:ascii="宋体" w:hAnsi="宋体" w:eastAsia="仿宋_GB2312"/>
          <w:b/>
          <w:color w:val="000000" w:themeColor="text1"/>
          <w:spacing w:val="40"/>
          <w:kern w:val="0"/>
          <w:sz w:val="36"/>
          <w:szCs w:val="36"/>
          <w14:textFill>
            <w14:solidFill>
              <w14:schemeClr w14:val="tx1"/>
            </w14:solidFill>
          </w14:textFill>
        </w:rPr>
      </w:pPr>
    </w:p>
    <w:p>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1、招标需求中如果涉及具体品牌或型号，仅供参考，可报同档次或更优产品。</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4</w:t>
      </w:r>
      <w:r>
        <w:rPr>
          <w:rFonts w:hint="eastAsia" w:ascii="仿宋" w:hAnsi="仿宋" w:eastAsia="仿宋"/>
          <w:b/>
          <w:color w:val="000000" w:themeColor="text1"/>
          <w:sz w:val="28"/>
          <w:szCs w:val="28"/>
          <w14:textFill>
            <w14:solidFill>
              <w14:schemeClr w14:val="tx1"/>
            </w14:solidFill>
          </w14:textFill>
        </w:rPr>
        <w:t>、采购人拟采购的产品属于</w:t>
      </w:r>
      <w:r>
        <w:rPr>
          <w:rFonts w:hint="eastAsia" w:ascii="仿宋" w:hAnsi="仿宋" w:eastAsia="仿宋"/>
          <w:b/>
          <w:bCs/>
          <w:color w:val="000000" w:themeColor="text1"/>
          <w:sz w:val="28"/>
          <w:szCs w:val="28"/>
          <w14:textFill>
            <w14:solidFill>
              <w14:schemeClr w14:val="tx1"/>
            </w14:solidFill>
          </w14:textFill>
        </w:rPr>
        <w:t>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p>
    <w:p>
      <w:pPr>
        <w:jc w:val="left"/>
        <w:rPr>
          <w:rFonts w:ascii="仿宋" w:hAnsi="仿宋" w:eastAsia="仿宋"/>
          <w:b/>
          <w:color w:val="FF0000"/>
          <w:sz w:val="32"/>
        </w:rPr>
      </w:pPr>
      <w:r>
        <w:rPr>
          <w:rFonts w:hint="eastAsia" w:ascii="仿宋" w:hAnsi="仿宋" w:eastAsia="仿宋"/>
          <w:b/>
          <w:color w:val="FF0000"/>
          <w:sz w:val="32"/>
        </w:rPr>
        <w:t>一、</w:t>
      </w:r>
      <w:r>
        <w:rPr>
          <w:rFonts w:ascii="仿宋" w:hAnsi="仿宋" w:eastAsia="仿宋"/>
          <w:b/>
          <w:color w:val="FF0000"/>
          <w:sz w:val="32"/>
        </w:rPr>
        <w:t>标项</w:t>
      </w:r>
      <w:r>
        <w:rPr>
          <w:rFonts w:hint="eastAsia" w:ascii="仿宋" w:hAnsi="仿宋" w:eastAsia="仿宋"/>
          <w:b/>
          <w:color w:val="FF0000"/>
          <w:sz w:val="32"/>
        </w:rPr>
        <w:t xml:space="preserve">1需求文档 </w:t>
      </w:r>
      <w:r>
        <w:rPr>
          <w:rFonts w:hint="eastAsia" w:ascii="仿宋" w:hAnsi="仿宋" w:eastAsia="仿宋"/>
          <w:b/>
          <w:color w:val="000000" w:themeColor="text1"/>
          <w:sz w:val="28"/>
          <w:szCs w:val="28"/>
          <w14:textFill>
            <w14:solidFill>
              <w14:schemeClr w14:val="tx1"/>
            </w14:solidFill>
          </w14:textFill>
        </w:rPr>
        <w:t>▲</w:t>
      </w:r>
    </w:p>
    <w:p>
      <w:pPr>
        <w:pStyle w:val="2"/>
        <w:keepNext/>
        <w:keepLines/>
        <w:autoSpaceDE/>
        <w:autoSpaceDN/>
        <w:adjustRightInd/>
        <w:spacing w:before="340" w:after="330" w:line="578" w:lineRule="auto"/>
        <w:jc w:val="both"/>
        <w:rPr>
          <w:rFonts w:ascii="仿宋" w:hAnsi="仿宋" w:eastAsia="仿宋"/>
          <w:sz w:val="24"/>
          <w:szCs w:val="24"/>
        </w:rPr>
      </w:pPr>
      <w:bookmarkStart w:id="21" w:name="_Toc51493537"/>
      <w:r>
        <w:rPr>
          <w:rFonts w:hint="eastAsia" w:ascii="仿宋" w:hAnsi="仿宋" w:eastAsia="仿宋"/>
          <w:sz w:val="24"/>
          <w:szCs w:val="24"/>
        </w:rPr>
        <w:t>采购背景</w:t>
      </w:r>
      <w:bookmarkEnd w:id="21"/>
    </w:p>
    <w:p>
      <w:pPr>
        <w:pStyle w:val="24"/>
        <w:spacing w:line="360" w:lineRule="auto"/>
        <w:ind w:left="420"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中华人民共和国全国运动会（简称“全运会”），是由国家体育总局主办的国内最高级别的大型综合性运动会。全运会每四年举办一次，前九届由北京、上海、广州三地轮流举办，此后四届由江苏、山东、辽宁、天津相继举办。2015年12月29日，国务院批复同意陕西省承办2021年第十四届全国运动会（以下简称“十四运会”）。十四运会是首届由中西部省份承办的全运会，是国家在陕西举办的一次重大标志性活动，也是建党一百周年、全面建成小康社会的重要历史节点，具有十分重要的历史意义。根据国家体育总局办公厅印发的《中华人民共和国第十四届运动会竞赛规程总则》要求，十四运会共设置34个比赛大项，387个小项。竞赛及非竞赛场馆共计53个，分布在陕西省13个市（区）。参赛运动员、教练员预计将达到2万人以上，工作人员、志愿者30万人以上，重大活动及各项赛事观众人数将达20万人次。</w:t>
      </w:r>
    </w:p>
    <w:p>
      <w:pPr>
        <w:pStyle w:val="24"/>
        <w:spacing w:line="360" w:lineRule="auto"/>
        <w:ind w:left="420"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中华人民共和国第十一届残疾人运动会暨第八届特殊奥林匹克运动会（简称“残特奥会”）是由中国残疾人联合会、国家体育总局主办，国内规格最高、规模最大、竞技水平最高、辐射带动作用最强的综合性残疾人运动会,每四年举办一次。2018年5月，国务院批复同意陕西省承办2021年残特奥会，这是国内首次同城同期举办的全运会和残特奥会，也是党中央赋予陕西省无比光荣的政治任务。根据中国残疾人联合会、国家体育总局印发的《中华人民共和国第十一届残疾人运动会暨第八届特殊奥林匹克运动会竞赛规程总则》要求，本届残特奥会共设28个比赛大项，比赛将在西安、杨凌、宝鸡、铜川、渭南等地举行。残特奥会原则上使用与全运会相同的比赛场馆，部分项目使用新场馆。</w:t>
      </w:r>
    </w:p>
    <w:p>
      <w:pPr>
        <w:pStyle w:val="24"/>
        <w:spacing w:line="360" w:lineRule="auto"/>
        <w:ind w:left="420"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按照十四运会和残特奥会陕西省筹委会关于信息化建设“同步规划、同步实施、同步推进”的要求，确保十四运会建设成果最大程度延续服务于残特奥会，为同城同期举办两个运动会做好信息化保障，为实现“办一届精彩圆满的体育盛会”的目标，提供强有力的信息化保障。</w:t>
      </w:r>
    </w:p>
    <w:p>
      <w:pPr>
        <w:pStyle w:val="24"/>
        <w:spacing w:line="360" w:lineRule="auto"/>
        <w:ind w:left="420"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 xml:space="preserve"> “赛事管理信息系统服务”项目完成十四运会和残特奥会的部分赛事指挥系统、部分赛事管理信息系统工程服务工作，配合赛事业务系统和数据总集共同确保十四运会和残特奥会各业务系统持续、安全、稳定运行。</w:t>
      </w:r>
    </w:p>
    <w:p>
      <w:pPr>
        <w:pStyle w:val="24"/>
        <w:spacing w:line="360" w:lineRule="auto"/>
        <w:ind w:left="420"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本</w:t>
      </w:r>
      <w:r>
        <w:rPr>
          <w:rFonts w:hint="eastAsia" w:ascii="仿宋" w:hAnsi="仿宋" w:eastAsia="仿宋"/>
          <w:color w:val="000000"/>
          <w:kern w:val="0"/>
          <w:sz w:val="24"/>
          <w:lang w:val="en-US" w:eastAsia="zh-CN" w:bidi="en-US"/>
        </w:rPr>
        <w:t>标项</w:t>
      </w:r>
      <w:r>
        <w:rPr>
          <w:rFonts w:hint="eastAsia" w:ascii="仿宋" w:hAnsi="仿宋" w:eastAsia="仿宋"/>
          <w:color w:val="000000"/>
          <w:kern w:val="0"/>
          <w:sz w:val="24"/>
          <w:lang w:bidi="en-US"/>
        </w:rPr>
        <w:t>以购买服务方式采购，合同履行期限从合同生效之日起至赛事收尾验收审计结束。</w:t>
      </w:r>
    </w:p>
    <w:p>
      <w:pPr>
        <w:pStyle w:val="2"/>
        <w:keepNext/>
        <w:keepLines/>
        <w:autoSpaceDE/>
        <w:autoSpaceDN/>
        <w:adjustRightInd/>
        <w:spacing w:before="340" w:after="330" w:line="578" w:lineRule="auto"/>
        <w:jc w:val="both"/>
        <w:rPr>
          <w:rFonts w:ascii="仿宋" w:hAnsi="仿宋" w:eastAsia="仿宋"/>
          <w:sz w:val="24"/>
          <w:szCs w:val="24"/>
        </w:rPr>
      </w:pPr>
      <w:bookmarkStart w:id="22" w:name="_Toc51493538"/>
      <w:r>
        <w:rPr>
          <w:rFonts w:hint="eastAsia" w:ascii="仿宋" w:hAnsi="仿宋" w:eastAsia="仿宋"/>
          <w:sz w:val="24"/>
          <w:szCs w:val="24"/>
        </w:rPr>
        <w:t>服务内容</w:t>
      </w:r>
      <w:bookmarkEnd w:id="22"/>
    </w:p>
    <w:p>
      <w:pPr>
        <w:ind w:firstLine="480" w:firstLineChars="200"/>
        <w:rPr>
          <w:rFonts w:ascii="仿宋" w:hAnsi="仿宋" w:eastAsia="仿宋"/>
          <w:sz w:val="24"/>
          <w:szCs w:val="24"/>
        </w:rPr>
      </w:pPr>
      <w:r>
        <w:rPr>
          <w:rFonts w:hint="eastAsia" w:ascii="仿宋" w:hAnsi="仿宋" w:eastAsia="仿宋"/>
          <w:color w:val="000000"/>
          <w:sz w:val="24"/>
          <w:szCs w:val="24"/>
        </w:rPr>
        <w:t>本节仅规定了本项目</w:t>
      </w:r>
      <w:r>
        <w:rPr>
          <w:rFonts w:ascii="仿宋" w:hAnsi="仿宋" w:eastAsia="仿宋"/>
          <w:color w:val="000000"/>
          <w:sz w:val="24"/>
          <w:szCs w:val="24"/>
        </w:rPr>
        <w:t>最基本的服务内容</w:t>
      </w:r>
      <w:r>
        <w:rPr>
          <w:rFonts w:hint="eastAsia" w:ascii="仿宋" w:hAnsi="仿宋" w:eastAsia="仿宋"/>
          <w:color w:val="000000"/>
          <w:sz w:val="24"/>
          <w:szCs w:val="24"/>
        </w:rPr>
        <w:t>，并未规定所有的服务内容和适用的标准。投标人应根据自身</w:t>
      </w:r>
      <w:r>
        <w:rPr>
          <w:rFonts w:ascii="仿宋" w:hAnsi="仿宋" w:eastAsia="仿宋"/>
          <w:color w:val="000000"/>
          <w:sz w:val="24"/>
          <w:szCs w:val="24"/>
        </w:rPr>
        <w:t>的经验和能力，</w:t>
      </w:r>
      <w:r>
        <w:rPr>
          <w:rFonts w:hint="eastAsia" w:ascii="仿宋" w:hAnsi="仿宋" w:eastAsia="仿宋"/>
          <w:color w:val="000000"/>
          <w:sz w:val="24"/>
          <w:szCs w:val="24"/>
        </w:rPr>
        <w:t>在</w:t>
      </w:r>
      <w:r>
        <w:rPr>
          <w:rFonts w:ascii="仿宋" w:hAnsi="仿宋" w:eastAsia="仿宋"/>
          <w:color w:val="000000"/>
          <w:sz w:val="24"/>
          <w:szCs w:val="24"/>
        </w:rPr>
        <w:t>充分</w:t>
      </w:r>
      <w:r>
        <w:rPr>
          <w:rFonts w:hint="eastAsia" w:ascii="仿宋" w:hAnsi="仿宋" w:eastAsia="仿宋"/>
          <w:color w:val="000000"/>
          <w:sz w:val="24"/>
          <w:szCs w:val="24"/>
        </w:rPr>
        <w:t>理解十四运会和残特奥会所有</w:t>
      </w:r>
      <w:r>
        <w:rPr>
          <w:rFonts w:ascii="仿宋" w:hAnsi="仿宋" w:eastAsia="仿宋"/>
          <w:color w:val="000000"/>
          <w:sz w:val="24"/>
          <w:szCs w:val="24"/>
        </w:rPr>
        <w:t>参与者需求</w:t>
      </w:r>
      <w:r>
        <w:rPr>
          <w:rFonts w:hint="eastAsia" w:ascii="仿宋" w:hAnsi="仿宋" w:eastAsia="仿宋"/>
          <w:color w:val="000000"/>
          <w:sz w:val="24"/>
          <w:szCs w:val="24"/>
        </w:rPr>
        <w:t>的</w:t>
      </w:r>
      <w:r>
        <w:rPr>
          <w:rFonts w:ascii="仿宋" w:hAnsi="仿宋" w:eastAsia="仿宋"/>
          <w:color w:val="000000"/>
          <w:sz w:val="24"/>
          <w:szCs w:val="24"/>
        </w:rPr>
        <w:t>基础上，</w:t>
      </w:r>
      <w:r>
        <w:rPr>
          <w:rFonts w:hint="eastAsia" w:ascii="仿宋" w:hAnsi="仿宋" w:eastAsia="仿宋"/>
          <w:color w:val="000000"/>
          <w:sz w:val="24"/>
          <w:szCs w:val="24"/>
        </w:rPr>
        <w:t>提供全面</w:t>
      </w:r>
      <w:r>
        <w:rPr>
          <w:rFonts w:ascii="仿宋" w:hAnsi="仿宋" w:eastAsia="仿宋"/>
          <w:color w:val="000000"/>
          <w:sz w:val="24"/>
          <w:szCs w:val="24"/>
        </w:rPr>
        <w:t>、</w:t>
      </w:r>
      <w:r>
        <w:rPr>
          <w:rFonts w:hint="eastAsia" w:ascii="仿宋" w:hAnsi="仿宋" w:eastAsia="仿宋"/>
          <w:color w:val="000000"/>
          <w:sz w:val="24"/>
          <w:szCs w:val="24"/>
        </w:rPr>
        <w:t>便捷</w:t>
      </w:r>
      <w:r>
        <w:rPr>
          <w:rFonts w:ascii="仿宋" w:hAnsi="仿宋" w:eastAsia="仿宋"/>
          <w:color w:val="000000"/>
          <w:sz w:val="24"/>
          <w:szCs w:val="24"/>
        </w:rPr>
        <w:t>、安全</w:t>
      </w:r>
      <w:r>
        <w:rPr>
          <w:rFonts w:hint="eastAsia" w:ascii="仿宋" w:hAnsi="仿宋" w:eastAsia="仿宋"/>
          <w:color w:val="000000"/>
          <w:sz w:val="24"/>
          <w:szCs w:val="24"/>
        </w:rPr>
        <w:t>、</w:t>
      </w:r>
      <w:r>
        <w:rPr>
          <w:rFonts w:ascii="仿宋" w:hAnsi="仿宋" w:eastAsia="仿宋"/>
          <w:color w:val="000000"/>
          <w:sz w:val="24"/>
          <w:szCs w:val="24"/>
        </w:rPr>
        <w:t>可靠的服务</w:t>
      </w:r>
      <w:r>
        <w:rPr>
          <w:rFonts w:hint="eastAsia" w:ascii="仿宋" w:hAnsi="仿宋" w:eastAsia="仿宋"/>
          <w:color w:val="000000"/>
          <w:sz w:val="24"/>
          <w:szCs w:val="24"/>
        </w:rPr>
        <w:t>。</w:t>
      </w:r>
    </w:p>
    <w:p>
      <w:pPr>
        <w:pStyle w:val="3"/>
        <w:rPr>
          <w:rFonts w:ascii="仿宋" w:hAnsi="仿宋" w:eastAsia="仿宋"/>
          <w:sz w:val="24"/>
          <w:szCs w:val="24"/>
        </w:rPr>
      </w:pPr>
      <w:bookmarkStart w:id="23" w:name="_Toc51493539"/>
      <w:r>
        <w:rPr>
          <w:rFonts w:hint="eastAsia" w:ascii="仿宋" w:hAnsi="仿宋" w:eastAsia="仿宋"/>
          <w:kern w:val="0"/>
          <w:sz w:val="24"/>
          <w:szCs w:val="24"/>
        </w:rPr>
        <w:t>赛事指挥系统工程服务</w:t>
      </w:r>
      <w:bookmarkEnd w:id="23"/>
    </w:p>
    <w:p>
      <w:pPr>
        <w:ind w:firstLine="480" w:firstLineChars="200"/>
        <w:rPr>
          <w:rFonts w:ascii="仿宋" w:hAnsi="仿宋" w:eastAsia="仿宋"/>
          <w:color w:val="000000"/>
          <w:sz w:val="24"/>
          <w:szCs w:val="24"/>
        </w:rPr>
      </w:pPr>
      <w:r>
        <w:rPr>
          <w:rFonts w:hint="eastAsia" w:ascii="仿宋" w:hAnsi="仿宋" w:eastAsia="仿宋"/>
          <w:color w:val="000000"/>
          <w:sz w:val="24"/>
          <w:szCs w:val="24"/>
        </w:rPr>
        <w:t>赛事指挥信息化工程服务涵盖十四运会和残特奥会筹备、建设、运行期间的各个环节，利用信息化的手段，为赛事指挥和应急指挥等提供高效、完善的一体化综合信息服务。服务内容包括事件管理系统、赛事通讯系统等，其目的是保障在十四运会和残特奥会筹备和</w:t>
      </w:r>
      <w:r>
        <w:rPr>
          <w:rFonts w:ascii="仿宋" w:hAnsi="仿宋" w:eastAsia="仿宋"/>
          <w:color w:val="000000"/>
          <w:sz w:val="24"/>
          <w:szCs w:val="24"/>
        </w:rPr>
        <w:t>举办期间</w:t>
      </w:r>
      <w:r>
        <w:rPr>
          <w:rFonts w:hint="eastAsia" w:ascii="仿宋" w:hAnsi="仿宋" w:eastAsia="仿宋"/>
          <w:color w:val="000000"/>
          <w:sz w:val="24"/>
          <w:szCs w:val="24"/>
        </w:rPr>
        <w:t>，持续</w:t>
      </w:r>
      <w:r>
        <w:rPr>
          <w:rFonts w:ascii="仿宋" w:hAnsi="仿宋" w:eastAsia="仿宋"/>
          <w:color w:val="000000"/>
          <w:sz w:val="24"/>
          <w:szCs w:val="24"/>
        </w:rPr>
        <w:t>、</w:t>
      </w:r>
      <w:r>
        <w:rPr>
          <w:rFonts w:hint="eastAsia" w:ascii="仿宋" w:hAnsi="仿宋" w:eastAsia="仿宋"/>
          <w:color w:val="000000"/>
          <w:sz w:val="24"/>
          <w:szCs w:val="24"/>
        </w:rPr>
        <w:t>安全</w:t>
      </w:r>
      <w:r>
        <w:rPr>
          <w:rFonts w:ascii="仿宋" w:hAnsi="仿宋" w:eastAsia="仿宋"/>
          <w:color w:val="000000"/>
          <w:sz w:val="24"/>
          <w:szCs w:val="24"/>
        </w:rPr>
        <w:t>、稳定</w:t>
      </w:r>
      <w:r>
        <w:rPr>
          <w:rFonts w:hint="eastAsia" w:ascii="仿宋" w:hAnsi="仿宋" w:eastAsia="仿宋"/>
          <w:color w:val="000000"/>
          <w:sz w:val="24"/>
          <w:szCs w:val="24"/>
        </w:rPr>
        <w:t>地提供赛事指挥信息化服务。</w:t>
      </w:r>
    </w:p>
    <w:p>
      <w:pPr>
        <w:pStyle w:val="4"/>
        <w:rPr>
          <w:rFonts w:ascii="仿宋" w:hAnsi="仿宋" w:eastAsia="仿宋"/>
          <w:sz w:val="24"/>
          <w:szCs w:val="24"/>
        </w:rPr>
      </w:pPr>
      <w:bookmarkStart w:id="24" w:name="_Toc51493540"/>
      <w:r>
        <w:rPr>
          <w:rFonts w:hint="eastAsia" w:ascii="仿宋" w:hAnsi="仿宋" w:eastAsia="仿宋"/>
          <w:sz w:val="24"/>
          <w:szCs w:val="24"/>
        </w:rPr>
        <w:t>事件管理系统</w:t>
      </w:r>
      <w:bookmarkEnd w:id="24"/>
    </w:p>
    <w:p>
      <w:pPr>
        <w:spacing w:line="276" w:lineRule="auto"/>
        <w:ind w:firstLine="480" w:firstLineChars="200"/>
        <w:rPr>
          <w:rFonts w:ascii="仿宋" w:hAnsi="仿宋" w:eastAsia="仿宋"/>
          <w:sz w:val="24"/>
          <w:szCs w:val="24"/>
        </w:rPr>
      </w:pPr>
      <w:r>
        <w:rPr>
          <w:rFonts w:hint="eastAsia" w:ascii="仿宋" w:hAnsi="仿宋" w:eastAsia="仿宋"/>
          <w:sz w:val="24"/>
          <w:szCs w:val="24"/>
        </w:rPr>
        <w:t>事件管理系统是实现对事件信息进行筛选、报告、汇总、分析、决策和反馈的系统。事件管理系统能提供对各个信息系统运行数据、机构（或单位）数据、资源数据及角色和权限的管理功能。能够将值班、应急预案、知识库等标准化流程和技术运行中心日常管理有机结合，实现技术运行中心指挥调度及日常管理中各类资源的合理配置和使用，提供系统发出调度指令和确认回复调度指令的管理，为赛事指挥中心和技术运行中心的工作人员提供信息化手段。事件管理系统主要功能包括但不限于基础数据管理、服务流程管理、日常管理、系统管理、数据接口和事件管理APP等。</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（1）基础数据管理</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统一数据标准：制定统一的数据标准。</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事件类别定义：定义事件类别，如事件名称、类型、紧急程度等信息。</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人员管理：对工作人员基础数据进行管理，如人员姓名、身份、身高、尺码等信息。</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供应商管理：维护供应商信息，如供应商名称、供应商团队信息、团队负责人员等。</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（2）服务流程管理</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事件上报：包括将接收的电话信息，短信信息，邮件信息，传真信息录入到系统。</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事件指派：通过赛事通讯系统将事件指派给具体负责人员。</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事件处理：一般事件正常流程处理,紧急事件按应急预案进行处理。将事件处理过程及结果录入到系统，包括事件处理结果的录入、修改、重新指派等功能。</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事件升级：对未及时处理的事件进行升级处理，提高事件的紧急程度。</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事件跟踪：对上报的各类事件处理状态进行跟踪，包括事件处理进度、处理结果的查询等功能。</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问题上报：将经常发生的同类故障事件定义为问题，并由问题经理发起问题。</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问题处理：将问题处理过程及结果录入到系统。</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问题跟踪：对问题经理发起的各类问题处理状态进行跟踪，包括问题处理进度、处理结果的查询等功能。</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事件/问题归档：对已处理完的事件和问题进行数据归档，将事件和问题发生原因、处理结果、处理方式归档到知识库。</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查询统计：查询统计各类事件、问题处理进度、处理状态、处理结果。</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报表导出：导出各类统计报表。</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（3）日常管理</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排班管理：维护工作人员排班计划。</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应急预案管理：对应急预案进行管理，包括预案的创建、删除、修改、查询等。</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应急预案批量导入：批量导入整理好的应急预案。</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知识库管理：对常见的故障问题原因、问题处理方式进行汇总，形成知识库，并定期进行更新。</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知识库批量导入：批量导入整理好的知识库。</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（4）系统管理</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公告管理：维护系统公告，在首页轮播。</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日志管理：记录所有用户登录、系统操作日志、Excel导入、导出日志等。</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与“统一用户管理系统”集成</w:t>
      </w:r>
      <w:r>
        <w:rPr>
          <w:rFonts w:ascii="仿宋" w:hAnsi="仿宋" w:eastAsia="仿宋"/>
          <w:sz w:val="24"/>
          <w:szCs w:val="24"/>
        </w:rPr>
        <w:t>，实现</w:t>
      </w:r>
      <w:r>
        <w:rPr>
          <w:rFonts w:hint="eastAsia" w:ascii="仿宋" w:hAnsi="仿宋" w:eastAsia="仿宋"/>
          <w:sz w:val="24"/>
          <w:szCs w:val="24"/>
        </w:rPr>
        <w:t>用户管理、角色管理、权限管理。</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（5）数据接口</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数据输出接口：事件管理系统将异常事件内容、事件处理要求等信息输出到赛事通讯系统和事件管理</w:t>
      </w:r>
      <w:r>
        <w:rPr>
          <w:rFonts w:ascii="仿宋" w:hAnsi="仿宋" w:eastAsia="仿宋"/>
          <w:sz w:val="24"/>
          <w:szCs w:val="24"/>
        </w:rPr>
        <w:t>APP</w:t>
      </w:r>
      <w:r>
        <w:rPr>
          <w:rFonts w:hint="eastAsia" w:ascii="仿宋" w:hAnsi="仿宋" w:eastAsia="仿宋"/>
          <w:sz w:val="24"/>
          <w:szCs w:val="24"/>
        </w:rPr>
        <w:t>中。</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数据输入接口：事件处理负责人通过赛事通讯系统或事件管理</w:t>
      </w:r>
      <w:r>
        <w:rPr>
          <w:rFonts w:ascii="仿宋" w:hAnsi="仿宋" w:eastAsia="仿宋"/>
          <w:sz w:val="24"/>
          <w:szCs w:val="24"/>
        </w:rPr>
        <w:t>APP</w:t>
      </w:r>
      <w:r>
        <w:rPr>
          <w:rFonts w:hint="eastAsia" w:ascii="仿宋" w:hAnsi="仿宋" w:eastAsia="仿宋"/>
          <w:sz w:val="24"/>
          <w:szCs w:val="24"/>
        </w:rPr>
        <w:t>将事件处理进度、处理结果、原因分析等信息推送到事件管理系统。</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（6）事件管理APP</w:t>
      </w:r>
    </w:p>
    <w:p>
      <w:pPr>
        <w:spacing w:line="276" w:lineRule="auto"/>
        <w:ind w:firstLine="480" w:firstLineChars="200"/>
        <w:rPr>
          <w:rFonts w:ascii="仿宋" w:hAnsi="仿宋" w:eastAsia="仿宋"/>
          <w:sz w:val="24"/>
          <w:szCs w:val="24"/>
        </w:rPr>
      </w:pPr>
      <w:r>
        <w:rPr>
          <w:rFonts w:hint="eastAsia" w:ascii="仿宋" w:hAnsi="仿宋" w:eastAsia="仿宋"/>
          <w:sz w:val="24"/>
          <w:szCs w:val="24"/>
        </w:rPr>
        <w:t>作为全运一掌通A</w:t>
      </w:r>
      <w:r>
        <w:rPr>
          <w:rFonts w:ascii="仿宋" w:hAnsi="仿宋" w:eastAsia="仿宋"/>
          <w:sz w:val="24"/>
          <w:szCs w:val="24"/>
        </w:rPr>
        <w:t>PP</w:t>
      </w:r>
      <w:r>
        <w:rPr>
          <w:rFonts w:hint="eastAsia" w:ascii="仿宋" w:hAnsi="仿宋" w:eastAsia="仿宋"/>
          <w:sz w:val="24"/>
          <w:szCs w:val="24"/>
        </w:rPr>
        <w:t>的一部分，支持</w:t>
      </w:r>
      <w:r>
        <w:rPr>
          <w:rFonts w:ascii="仿宋" w:hAnsi="仿宋" w:eastAsia="仿宋"/>
          <w:sz w:val="24"/>
          <w:szCs w:val="24"/>
        </w:rPr>
        <w:t>Android</w:t>
      </w:r>
      <w:r>
        <w:rPr>
          <w:rFonts w:hint="eastAsia" w:ascii="仿宋" w:hAnsi="仿宋" w:eastAsia="仿宋"/>
          <w:sz w:val="24"/>
          <w:szCs w:val="24"/>
        </w:rPr>
        <w:t>、</w:t>
      </w:r>
      <w:r>
        <w:rPr>
          <w:rFonts w:ascii="仿宋" w:hAnsi="仿宋" w:eastAsia="仿宋"/>
          <w:sz w:val="24"/>
          <w:szCs w:val="24"/>
        </w:rPr>
        <w:t>IOS</w:t>
      </w:r>
      <w:r>
        <w:rPr>
          <w:rFonts w:hint="eastAsia" w:ascii="仿宋" w:hAnsi="仿宋" w:eastAsia="仿宋"/>
          <w:sz w:val="24"/>
          <w:szCs w:val="24"/>
        </w:rPr>
        <w:t>等系统，功能包括但不限于：事件上传、事件处理情况反馈、事件消息提醒、事件到时提醒、消息管理、知识库管理、应急预案管理、通讯录管理、个人资料的管理中心（包括账号、密码、联系方式等）。</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（7）服务</w:t>
      </w:r>
      <w:r>
        <w:rPr>
          <w:rFonts w:ascii="仿宋" w:hAnsi="仿宋" w:eastAsia="仿宋"/>
          <w:sz w:val="24"/>
          <w:szCs w:val="24"/>
        </w:rPr>
        <w:t>需求方</w:t>
      </w:r>
      <w:r>
        <w:rPr>
          <w:rFonts w:hint="eastAsia" w:ascii="仿宋" w:hAnsi="仿宋" w:eastAsia="仿宋"/>
          <w:sz w:val="24"/>
          <w:szCs w:val="24"/>
        </w:rPr>
        <w:t>对“事件管理系统”的其他服务内容要求。</w:t>
      </w:r>
    </w:p>
    <w:p>
      <w:pPr>
        <w:pStyle w:val="4"/>
        <w:rPr>
          <w:rFonts w:ascii="仿宋" w:hAnsi="仿宋" w:eastAsia="仿宋"/>
          <w:sz w:val="24"/>
          <w:szCs w:val="24"/>
        </w:rPr>
      </w:pPr>
      <w:bookmarkStart w:id="25" w:name="_Toc51493541"/>
      <w:r>
        <w:rPr>
          <w:rFonts w:hint="eastAsia" w:ascii="仿宋" w:hAnsi="仿宋" w:eastAsia="仿宋"/>
          <w:sz w:val="24"/>
          <w:szCs w:val="24"/>
        </w:rPr>
        <w:t>赛事通讯系统</w:t>
      </w:r>
      <w:bookmarkEnd w:id="25"/>
    </w:p>
    <w:p>
      <w:pPr>
        <w:spacing w:line="276" w:lineRule="auto"/>
        <w:ind w:firstLine="480" w:firstLineChars="200"/>
        <w:rPr>
          <w:rFonts w:ascii="仿宋" w:hAnsi="仿宋" w:eastAsia="仿宋"/>
          <w:sz w:val="24"/>
          <w:szCs w:val="24"/>
        </w:rPr>
      </w:pPr>
      <w:r>
        <w:rPr>
          <w:rFonts w:hint="eastAsia" w:ascii="仿宋" w:hAnsi="仿宋" w:eastAsia="仿宋"/>
          <w:sz w:val="24"/>
          <w:szCs w:val="24"/>
        </w:rPr>
        <w:t>赛事通讯系统是实现十四运会信息技术系统相关工作人员之间的高效安全即时通讯的系统。赛事通讯系统作为赛事指挥系统的通讯枢纽，对接赛事相关的各种信息化系统，整合竞赛指挥、调度、会议和通讯等信息资源，为领导及各业务处室管理人员的赛事指挥、调度提供即时通讯服务。赛事通讯系统主要功能包括但不限于即时通讯、组织管理、开放平台、协同办公、安全管理和系统管理。</w:t>
      </w:r>
    </w:p>
    <w:p>
      <w:pPr>
        <w:pStyle w:val="157"/>
        <w:numPr>
          <w:ilvl w:val="0"/>
          <w:numId w:val="33"/>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即时通讯</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多种终端支持：提供主流的操作系统的终端支持，包括Windows、Mac、</w:t>
      </w:r>
      <w:r>
        <w:rPr>
          <w:rFonts w:ascii="仿宋" w:hAnsi="仿宋" w:eastAsia="仿宋"/>
          <w:sz w:val="24"/>
          <w:szCs w:val="24"/>
        </w:rPr>
        <w:t>Android</w:t>
      </w:r>
      <w:r>
        <w:rPr>
          <w:rFonts w:hint="eastAsia" w:ascii="仿宋" w:hAnsi="仿宋" w:eastAsia="仿宋"/>
          <w:sz w:val="24"/>
          <w:szCs w:val="24"/>
        </w:rPr>
        <w:t>、</w:t>
      </w:r>
      <w:r>
        <w:rPr>
          <w:rFonts w:ascii="仿宋" w:hAnsi="仿宋" w:eastAsia="仿宋"/>
          <w:sz w:val="24"/>
          <w:szCs w:val="24"/>
        </w:rPr>
        <w:t>IOS</w:t>
      </w:r>
      <w:r>
        <w:rPr>
          <w:rFonts w:hint="eastAsia" w:ascii="仿宋" w:hAnsi="仿宋" w:eastAsia="仿宋"/>
          <w:sz w:val="24"/>
          <w:szCs w:val="24"/>
        </w:rPr>
        <w:t>各版本的终端，并支持各自环境下的版本在线升级。</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聊天管理：包括发起聊天、群管理、群成员管理等。</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基础消息发送：支持发送文字、表情、图片、语音、位置、视频、文件等消息；支持聊天记录/文件/链接转发。</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高级消息发送：支持向联系人发起单人音视频通话；支持在群聊中发起多人音视频会议。</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人员调度功能：支持系统内工作人员的实时调度和事件反馈。</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消息操作功能：支持复制粘贴、引用、删除、转发消息；支持清空聊天记录。</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组织架构与通讯录：支持查看组织架构节点信息；支持查看人员资料；支持将人员设为重要联系人。</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搜索：支持通过姓名、拼音搜索联系人；支持搜索群聊、搜索组织节点、搜索应用、搜索聊天记录内容、搜索收藏的内容。</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收藏：支持收藏消息、表情、图片、文件、语音、视频、地理位置等；支持在聊天中发送收藏的内容；支持移除收藏的内容。</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基础设置：支持设置自动登录；支持设置开机自动启动；支持设置关闭主面板时，退出登录；支持勿扰模式；支持设置快捷键；支持设置文件存储路径。</w:t>
      </w:r>
    </w:p>
    <w:p>
      <w:pPr>
        <w:pStyle w:val="157"/>
        <w:numPr>
          <w:ilvl w:val="0"/>
          <w:numId w:val="33"/>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组织管理</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组织通讯录管理：支持组织架构管理、成员管理、标签管理等。</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账号管理：支持通过系统创建账号和密码。</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管理员设置：支持设置超级管理员、分级管理员、审计管理员。</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功能性管理：支持聊天设置、群设置、通讯录设置等。</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赛事信息管理：支持设置赛事logo；支持查看成员人数、部门数量、创建时间。</w:t>
      </w:r>
    </w:p>
    <w:p>
      <w:pPr>
        <w:pStyle w:val="157"/>
        <w:numPr>
          <w:ilvl w:val="0"/>
          <w:numId w:val="33"/>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开放平台</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通讯录同步：支持成员管理、部门管理、标签管理等。</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应用管理：支持获取所有应用列表。</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消息推送：支持发送消息、接收消息服务器设置、接收事件推送、接收普通消息、被动回复消息等。</w:t>
      </w:r>
    </w:p>
    <w:p>
      <w:pPr>
        <w:pStyle w:val="157"/>
        <w:numPr>
          <w:ilvl w:val="0"/>
          <w:numId w:val="32"/>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自定义菜单：支持创建菜单、获取菜单、删除菜单。</w:t>
      </w:r>
    </w:p>
    <w:p>
      <w:pPr>
        <w:pStyle w:val="157"/>
        <w:numPr>
          <w:ilvl w:val="0"/>
          <w:numId w:val="32"/>
        </w:numPr>
        <w:spacing w:line="276" w:lineRule="auto"/>
        <w:ind w:left="840" w:firstLine="480"/>
        <w:contextualSpacing/>
        <w:rPr>
          <w:rFonts w:ascii="仿宋" w:hAnsi="仿宋" w:eastAsia="仿宋"/>
          <w:sz w:val="24"/>
          <w:szCs w:val="24"/>
        </w:rPr>
      </w:pPr>
      <w:r>
        <w:rPr>
          <w:rFonts w:hint="eastAsia" w:ascii="仿宋" w:hAnsi="仿宋" w:eastAsia="仿宋"/>
          <w:sz w:val="24"/>
          <w:szCs w:val="24"/>
        </w:rPr>
        <w:t>素材管理：支持上传临时素材文件、下载临时素材文件；文件类型包括图片、语音、视频，普通文件等。</w:t>
      </w:r>
    </w:p>
    <w:p>
      <w:pPr>
        <w:pStyle w:val="157"/>
        <w:numPr>
          <w:ilvl w:val="0"/>
          <w:numId w:val="33"/>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协同办公</w:t>
      </w:r>
    </w:p>
    <w:p>
      <w:pPr>
        <w:pStyle w:val="157"/>
        <w:numPr>
          <w:ilvl w:val="0"/>
          <w:numId w:val="32"/>
        </w:numPr>
        <w:spacing w:line="276" w:lineRule="auto"/>
        <w:ind w:left="840" w:firstLine="480"/>
        <w:contextualSpacing/>
        <w:rPr>
          <w:rFonts w:ascii="仿宋" w:hAnsi="仿宋" w:eastAsia="仿宋"/>
          <w:sz w:val="24"/>
          <w:szCs w:val="24"/>
        </w:rPr>
      </w:pPr>
      <w:r>
        <w:rPr>
          <w:rFonts w:hint="eastAsia" w:ascii="仿宋" w:hAnsi="仿宋" w:eastAsia="仿宋"/>
          <w:sz w:val="24"/>
          <w:szCs w:val="24"/>
        </w:rPr>
        <w:t>互动交流：支持内部员工互动交流，内容仅对内部员工可见。</w:t>
      </w:r>
    </w:p>
    <w:p>
      <w:pPr>
        <w:pStyle w:val="157"/>
        <w:numPr>
          <w:ilvl w:val="0"/>
          <w:numId w:val="32"/>
        </w:numPr>
        <w:spacing w:line="276" w:lineRule="auto"/>
        <w:ind w:left="840" w:firstLine="480"/>
        <w:contextualSpacing/>
        <w:rPr>
          <w:rFonts w:ascii="仿宋" w:hAnsi="仿宋" w:eastAsia="仿宋"/>
          <w:sz w:val="24"/>
          <w:szCs w:val="24"/>
        </w:rPr>
      </w:pPr>
      <w:r>
        <w:rPr>
          <w:rFonts w:hint="eastAsia" w:ascii="仿宋" w:hAnsi="仿宋" w:eastAsia="仿宋"/>
          <w:sz w:val="24"/>
          <w:szCs w:val="24"/>
        </w:rPr>
        <w:t>邮箱：支持进行邮件的收信、发信、读信、写信等操作等。</w:t>
      </w:r>
    </w:p>
    <w:p>
      <w:pPr>
        <w:pStyle w:val="157"/>
        <w:numPr>
          <w:ilvl w:val="0"/>
          <w:numId w:val="33"/>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安全管理</w:t>
      </w:r>
    </w:p>
    <w:p>
      <w:pPr>
        <w:pStyle w:val="157"/>
        <w:numPr>
          <w:ilvl w:val="0"/>
          <w:numId w:val="32"/>
        </w:numPr>
        <w:spacing w:line="276" w:lineRule="auto"/>
        <w:ind w:left="840" w:firstLine="480"/>
        <w:contextualSpacing/>
        <w:rPr>
          <w:rFonts w:ascii="仿宋" w:hAnsi="仿宋" w:eastAsia="仿宋"/>
          <w:sz w:val="24"/>
          <w:szCs w:val="24"/>
        </w:rPr>
      </w:pPr>
      <w:r>
        <w:rPr>
          <w:rFonts w:hint="eastAsia" w:ascii="仿宋" w:hAnsi="仿宋" w:eastAsia="仿宋"/>
          <w:sz w:val="24"/>
          <w:szCs w:val="24"/>
        </w:rPr>
        <w:t>审计：支持设置审计管理员，仅管理员可以审计消息；支持设置审计白名单；支持查看审计管理员的操作日志；支持审计聊天记录；支持审计文件。</w:t>
      </w:r>
    </w:p>
    <w:p>
      <w:pPr>
        <w:pStyle w:val="157"/>
        <w:numPr>
          <w:ilvl w:val="0"/>
          <w:numId w:val="32"/>
        </w:numPr>
        <w:spacing w:line="276" w:lineRule="auto"/>
        <w:ind w:left="840" w:firstLine="480"/>
        <w:contextualSpacing/>
        <w:rPr>
          <w:rFonts w:ascii="仿宋" w:hAnsi="仿宋" w:eastAsia="仿宋"/>
          <w:sz w:val="24"/>
          <w:szCs w:val="24"/>
        </w:rPr>
      </w:pPr>
      <w:r>
        <w:rPr>
          <w:rFonts w:hint="eastAsia" w:ascii="仿宋" w:hAnsi="仿宋" w:eastAsia="仿宋"/>
          <w:sz w:val="24"/>
          <w:szCs w:val="24"/>
        </w:rPr>
        <w:t>水印：支持开启或关闭在群聊中显示水印，水印显示成员姓名，防止截屏泄密；支持开启或关闭在通讯录显示水印。</w:t>
      </w:r>
    </w:p>
    <w:p>
      <w:pPr>
        <w:pStyle w:val="157"/>
        <w:numPr>
          <w:ilvl w:val="0"/>
          <w:numId w:val="32"/>
        </w:numPr>
        <w:spacing w:line="276" w:lineRule="auto"/>
        <w:ind w:left="840" w:firstLine="480"/>
        <w:contextualSpacing/>
        <w:rPr>
          <w:rFonts w:ascii="仿宋" w:hAnsi="仿宋" w:eastAsia="仿宋"/>
          <w:sz w:val="24"/>
          <w:szCs w:val="24"/>
        </w:rPr>
      </w:pPr>
      <w:r>
        <w:rPr>
          <w:rFonts w:hint="eastAsia" w:ascii="仿宋" w:hAnsi="仿宋" w:eastAsia="仿宋"/>
          <w:sz w:val="24"/>
          <w:szCs w:val="24"/>
        </w:rPr>
        <w:t>移动端信息防泄漏：支持禁止文件或图片保存到手机；支持禁止聊天消息、文件、收藏、互动交流分享；支持禁止文件发送到其他应用；支持禁止应用信息分享；支持禁止邮件发送。</w:t>
      </w:r>
    </w:p>
    <w:p>
      <w:pPr>
        <w:pStyle w:val="157"/>
        <w:numPr>
          <w:ilvl w:val="0"/>
          <w:numId w:val="32"/>
        </w:numPr>
        <w:spacing w:line="276" w:lineRule="auto"/>
        <w:ind w:left="840" w:firstLine="480"/>
        <w:contextualSpacing/>
        <w:rPr>
          <w:rFonts w:ascii="仿宋" w:hAnsi="仿宋" w:eastAsia="仿宋"/>
          <w:sz w:val="24"/>
          <w:szCs w:val="24"/>
        </w:rPr>
      </w:pPr>
      <w:r>
        <w:rPr>
          <w:rFonts w:hint="eastAsia" w:ascii="仿宋" w:hAnsi="仿宋" w:eastAsia="仿宋"/>
          <w:sz w:val="24"/>
          <w:szCs w:val="24"/>
        </w:rPr>
        <w:t>消息关键字过滤：支持设置消息关键字，聊天消息命中关键字时，客户端会提示不可以发送。</w:t>
      </w:r>
    </w:p>
    <w:p>
      <w:pPr>
        <w:pStyle w:val="157"/>
        <w:numPr>
          <w:ilvl w:val="0"/>
          <w:numId w:val="33"/>
        </w:numPr>
        <w:spacing w:line="276" w:lineRule="auto"/>
        <w:ind w:left="840" w:firstLine="480"/>
        <w:contextualSpacing/>
        <w:jc w:val="left"/>
        <w:rPr>
          <w:rFonts w:ascii="仿宋" w:hAnsi="仿宋" w:eastAsia="仿宋"/>
          <w:sz w:val="24"/>
          <w:szCs w:val="24"/>
        </w:rPr>
      </w:pPr>
      <w:r>
        <w:rPr>
          <w:rFonts w:hint="eastAsia" w:ascii="仿宋" w:hAnsi="仿宋" w:eastAsia="仿宋"/>
          <w:sz w:val="24"/>
          <w:szCs w:val="24"/>
        </w:rPr>
        <w:t>系统管理</w:t>
      </w:r>
    </w:p>
    <w:p>
      <w:pPr>
        <w:pStyle w:val="157"/>
        <w:numPr>
          <w:ilvl w:val="0"/>
          <w:numId w:val="32"/>
        </w:numPr>
        <w:spacing w:line="276" w:lineRule="auto"/>
        <w:ind w:left="840" w:firstLine="480"/>
        <w:contextualSpacing/>
        <w:rPr>
          <w:rFonts w:ascii="仿宋" w:hAnsi="仿宋" w:eastAsia="仿宋"/>
          <w:sz w:val="24"/>
          <w:szCs w:val="24"/>
        </w:rPr>
      </w:pPr>
      <w:r>
        <w:rPr>
          <w:rFonts w:hint="eastAsia" w:ascii="仿宋" w:hAnsi="仿宋" w:eastAsia="仿宋"/>
          <w:sz w:val="24"/>
          <w:szCs w:val="24"/>
        </w:rPr>
        <w:t>公告管理：维护系统公告，在首页轮播。</w:t>
      </w:r>
    </w:p>
    <w:p>
      <w:pPr>
        <w:pStyle w:val="157"/>
        <w:numPr>
          <w:ilvl w:val="0"/>
          <w:numId w:val="32"/>
        </w:numPr>
        <w:spacing w:line="276" w:lineRule="auto"/>
        <w:ind w:left="840" w:firstLine="480"/>
        <w:contextualSpacing/>
        <w:rPr>
          <w:rFonts w:ascii="仿宋" w:hAnsi="仿宋" w:eastAsia="仿宋"/>
          <w:sz w:val="24"/>
          <w:szCs w:val="24"/>
        </w:rPr>
      </w:pPr>
      <w:r>
        <w:rPr>
          <w:rFonts w:hint="eastAsia" w:ascii="仿宋" w:hAnsi="仿宋" w:eastAsia="仿宋"/>
          <w:sz w:val="24"/>
          <w:szCs w:val="24"/>
        </w:rPr>
        <w:t>日志管理：记录所有用户登录、系统操作日志、Excel导入、导出日志等。</w:t>
      </w:r>
    </w:p>
    <w:p>
      <w:pPr>
        <w:pStyle w:val="157"/>
        <w:numPr>
          <w:ilvl w:val="0"/>
          <w:numId w:val="32"/>
        </w:numPr>
        <w:spacing w:line="276" w:lineRule="auto"/>
        <w:ind w:left="840" w:firstLine="480"/>
        <w:contextualSpacing/>
        <w:rPr>
          <w:rFonts w:ascii="仿宋" w:hAnsi="仿宋" w:eastAsia="仿宋"/>
          <w:sz w:val="24"/>
          <w:szCs w:val="24"/>
        </w:rPr>
      </w:pPr>
      <w:r>
        <w:rPr>
          <w:rFonts w:hint="eastAsia" w:ascii="仿宋" w:hAnsi="仿宋" w:eastAsia="仿宋"/>
          <w:sz w:val="24"/>
          <w:szCs w:val="24"/>
        </w:rPr>
        <w:t>与“统一用户管理系统”集成，</w:t>
      </w:r>
      <w:r>
        <w:rPr>
          <w:rFonts w:ascii="仿宋" w:hAnsi="仿宋" w:eastAsia="仿宋"/>
          <w:sz w:val="24"/>
          <w:szCs w:val="24"/>
        </w:rPr>
        <w:t>实现</w:t>
      </w:r>
      <w:r>
        <w:rPr>
          <w:rFonts w:hint="eastAsia" w:ascii="仿宋" w:hAnsi="仿宋" w:eastAsia="仿宋"/>
          <w:sz w:val="24"/>
          <w:szCs w:val="24"/>
        </w:rPr>
        <w:t>用户管理、角色管理、权限管理。</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（7）服务</w:t>
      </w:r>
      <w:r>
        <w:rPr>
          <w:rFonts w:ascii="仿宋" w:hAnsi="仿宋" w:eastAsia="仿宋"/>
          <w:sz w:val="24"/>
          <w:szCs w:val="24"/>
        </w:rPr>
        <w:t>需求方</w:t>
      </w:r>
      <w:r>
        <w:rPr>
          <w:rFonts w:hint="eastAsia" w:ascii="仿宋" w:hAnsi="仿宋" w:eastAsia="仿宋"/>
          <w:sz w:val="24"/>
          <w:szCs w:val="24"/>
        </w:rPr>
        <w:t>对“赛事通讯系统”的其他服务内容要求。</w:t>
      </w:r>
    </w:p>
    <w:p>
      <w:pPr>
        <w:pStyle w:val="157"/>
        <w:spacing w:line="276" w:lineRule="auto"/>
        <w:ind w:left="840" w:firstLine="480"/>
        <w:rPr>
          <w:rFonts w:ascii="仿宋" w:hAnsi="仿宋" w:eastAsia="仿宋"/>
          <w:sz w:val="24"/>
          <w:szCs w:val="24"/>
        </w:rPr>
      </w:pPr>
    </w:p>
    <w:p>
      <w:pPr>
        <w:pStyle w:val="4"/>
        <w:spacing w:line="276" w:lineRule="auto"/>
        <w:rPr>
          <w:rFonts w:ascii="仿宋" w:hAnsi="仿宋" w:eastAsia="仿宋"/>
          <w:sz w:val="24"/>
          <w:szCs w:val="24"/>
        </w:rPr>
      </w:pPr>
      <w:bookmarkStart w:id="26" w:name="_Toc51493542"/>
      <w:r>
        <w:rPr>
          <w:rFonts w:hint="eastAsia" w:ascii="仿宋" w:hAnsi="仿宋" w:eastAsia="仿宋"/>
          <w:sz w:val="24"/>
          <w:szCs w:val="24"/>
        </w:rPr>
        <w:t>残特奥会延续服务内容</w:t>
      </w:r>
      <w:bookmarkEnd w:id="26"/>
    </w:p>
    <w:p>
      <w:pPr>
        <w:spacing w:line="276" w:lineRule="auto"/>
        <w:ind w:firstLine="480" w:firstLineChars="200"/>
        <w:rPr>
          <w:rFonts w:ascii="仿宋" w:hAnsi="仿宋" w:eastAsia="仿宋"/>
          <w:sz w:val="24"/>
          <w:szCs w:val="24"/>
        </w:rPr>
      </w:pPr>
      <w:r>
        <w:rPr>
          <w:rFonts w:hint="eastAsia" w:ascii="仿宋" w:hAnsi="仿宋" w:eastAsia="仿宋"/>
          <w:sz w:val="24"/>
          <w:szCs w:val="24"/>
        </w:rPr>
        <w:t>残特奥会赛事指挥信息化工程相关系统服务要求与十四运会相同，但须扩大服务范围，增加部分设备、人员，覆盖残运会、特奥会，服务时长至残特奥会结束。具体如下表所示：</w:t>
      </w:r>
    </w:p>
    <w:tbl>
      <w:tblPr>
        <w:tblStyle w:val="5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2642"/>
        <w:gridCol w:w="4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769" w:type="dxa"/>
            <w:vAlign w:val="center"/>
          </w:tcPr>
          <w:p>
            <w:pPr>
              <w:spacing w:line="276" w:lineRule="auto"/>
              <w:jc w:val="center"/>
              <w:rPr>
                <w:rFonts w:ascii="仿宋" w:hAnsi="仿宋" w:eastAsia="仿宋"/>
                <w:b/>
                <w:bCs/>
                <w:color w:val="000000"/>
                <w:sz w:val="24"/>
                <w:szCs w:val="24"/>
              </w:rPr>
            </w:pPr>
            <w:r>
              <w:rPr>
                <w:rFonts w:hint="eastAsia" w:ascii="仿宋" w:hAnsi="仿宋" w:eastAsia="仿宋"/>
                <w:b/>
                <w:bCs/>
                <w:color w:val="000000"/>
                <w:sz w:val="24"/>
                <w:szCs w:val="24"/>
              </w:rPr>
              <w:t>序号</w:t>
            </w:r>
          </w:p>
        </w:tc>
        <w:tc>
          <w:tcPr>
            <w:tcW w:w="2642" w:type="dxa"/>
            <w:vAlign w:val="center"/>
          </w:tcPr>
          <w:p>
            <w:pPr>
              <w:spacing w:line="276" w:lineRule="auto"/>
              <w:jc w:val="center"/>
              <w:rPr>
                <w:rFonts w:ascii="仿宋" w:hAnsi="仿宋" w:eastAsia="仿宋"/>
                <w:b/>
                <w:bCs/>
                <w:color w:val="000000"/>
                <w:sz w:val="24"/>
                <w:szCs w:val="24"/>
              </w:rPr>
            </w:pPr>
            <w:r>
              <w:rPr>
                <w:rFonts w:hint="eastAsia" w:ascii="仿宋" w:hAnsi="仿宋" w:eastAsia="仿宋"/>
                <w:b/>
                <w:bCs/>
                <w:color w:val="000000"/>
                <w:sz w:val="24"/>
                <w:szCs w:val="24"/>
              </w:rPr>
              <w:t>系统名称</w:t>
            </w:r>
          </w:p>
        </w:tc>
        <w:tc>
          <w:tcPr>
            <w:tcW w:w="4885" w:type="dxa"/>
            <w:vAlign w:val="center"/>
          </w:tcPr>
          <w:p>
            <w:pPr>
              <w:spacing w:line="276" w:lineRule="auto"/>
              <w:jc w:val="center"/>
              <w:rPr>
                <w:rFonts w:ascii="仿宋" w:hAnsi="仿宋" w:eastAsia="仿宋"/>
                <w:b/>
                <w:bCs/>
                <w:color w:val="000000"/>
                <w:sz w:val="24"/>
                <w:szCs w:val="24"/>
              </w:rPr>
            </w:pPr>
            <w:r>
              <w:rPr>
                <w:rFonts w:hint="eastAsia" w:ascii="仿宋" w:hAnsi="仿宋" w:eastAsia="仿宋"/>
                <w:b/>
                <w:bCs/>
                <w:color w:val="00000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9" w:type="dxa"/>
            <w:vAlign w:val="center"/>
          </w:tcPr>
          <w:p>
            <w:pPr>
              <w:spacing w:line="276" w:lineRule="auto"/>
              <w:ind w:hanging="39"/>
              <w:jc w:val="center"/>
              <w:rPr>
                <w:rFonts w:ascii="仿宋" w:hAnsi="仿宋" w:eastAsia="仿宋"/>
                <w:color w:val="000000"/>
                <w:sz w:val="24"/>
                <w:szCs w:val="24"/>
              </w:rPr>
            </w:pPr>
            <w:r>
              <w:rPr>
                <w:rFonts w:hint="eastAsia" w:ascii="仿宋" w:hAnsi="仿宋" w:eastAsia="仿宋"/>
                <w:color w:val="000000"/>
                <w:sz w:val="24"/>
                <w:szCs w:val="24"/>
              </w:rPr>
              <w:t>1</w:t>
            </w:r>
          </w:p>
        </w:tc>
        <w:tc>
          <w:tcPr>
            <w:tcW w:w="2642" w:type="dxa"/>
            <w:vAlign w:val="center"/>
          </w:tcPr>
          <w:p>
            <w:pPr>
              <w:spacing w:line="276" w:lineRule="auto"/>
              <w:ind w:firstLine="200"/>
              <w:jc w:val="left"/>
              <w:rPr>
                <w:rFonts w:ascii="仿宋" w:hAnsi="仿宋" w:eastAsia="仿宋"/>
                <w:sz w:val="24"/>
                <w:szCs w:val="24"/>
              </w:rPr>
            </w:pPr>
            <w:r>
              <w:rPr>
                <w:rFonts w:hint="eastAsia" w:ascii="仿宋" w:hAnsi="仿宋" w:eastAsia="仿宋"/>
                <w:sz w:val="24"/>
                <w:szCs w:val="24"/>
              </w:rPr>
              <w:t>事件管理系统</w:t>
            </w:r>
          </w:p>
        </w:tc>
        <w:tc>
          <w:tcPr>
            <w:tcW w:w="4885" w:type="dxa"/>
            <w:vAlign w:val="center"/>
          </w:tcPr>
          <w:p>
            <w:pPr>
              <w:spacing w:line="276" w:lineRule="auto"/>
              <w:ind w:firstLine="200"/>
              <w:jc w:val="left"/>
              <w:rPr>
                <w:rFonts w:ascii="仿宋" w:hAnsi="仿宋" w:eastAsia="仿宋"/>
                <w:sz w:val="24"/>
                <w:szCs w:val="24"/>
              </w:rPr>
            </w:pPr>
            <w:r>
              <w:rPr>
                <w:rFonts w:hint="eastAsia" w:ascii="仿宋" w:hAnsi="仿宋" w:eastAsia="仿宋"/>
                <w:sz w:val="24"/>
                <w:szCs w:val="24"/>
              </w:rPr>
              <w:t>扩大服务范围,覆盖十四运会、残运会、特奥会，服务时长延长至残特奥会结束。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9" w:type="dxa"/>
            <w:vAlign w:val="center"/>
          </w:tcPr>
          <w:p>
            <w:pPr>
              <w:spacing w:line="276" w:lineRule="auto"/>
              <w:ind w:hanging="39"/>
              <w:jc w:val="center"/>
              <w:rPr>
                <w:rFonts w:ascii="仿宋" w:hAnsi="仿宋" w:eastAsia="仿宋"/>
                <w:sz w:val="24"/>
                <w:szCs w:val="24"/>
              </w:rPr>
            </w:pPr>
            <w:r>
              <w:rPr>
                <w:rFonts w:hint="eastAsia" w:ascii="仿宋" w:hAnsi="仿宋" w:eastAsia="仿宋"/>
                <w:sz w:val="24"/>
                <w:szCs w:val="24"/>
              </w:rPr>
              <w:t>2</w:t>
            </w:r>
          </w:p>
        </w:tc>
        <w:tc>
          <w:tcPr>
            <w:tcW w:w="2642" w:type="dxa"/>
            <w:vAlign w:val="center"/>
          </w:tcPr>
          <w:p>
            <w:pPr>
              <w:spacing w:line="276" w:lineRule="auto"/>
              <w:ind w:firstLine="200"/>
              <w:jc w:val="left"/>
              <w:rPr>
                <w:rFonts w:ascii="仿宋" w:hAnsi="仿宋" w:eastAsia="仿宋"/>
                <w:sz w:val="24"/>
                <w:szCs w:val="24"/>
              </w:rPr>
            </w:pPr>
            <w:r>
              <w:rPr>
                <w:rFonts w:hint="eastAsia" w:ascii="仿宋" w:hAnsi="仿宋" w:eastAsia="仿宋"/>
                <w:sz w:val="24"/>
                <w:szCs w:val="24"/>
              </w:rPr>
              <w:t>赛事通讯系统</w:t>
            </w:r>
          </w:p>
        </w:tc>
        <w:tc>
          <w:tcPr>
            <w:tcW w:w="4885" w:type="dxa"/>
            <w:vAlign w:val="center"/>
          </w:tcPr>
          <w:p>
            <w:pPr>
              <w:spacing w:line="276" w:lineRule="auto"/>
              <w:ind w:firstLine="200"/>
              <w:jc w:val="left"/>
              <w:rPr>
                <w:rFonts w:ascii="仿宋" w:hAnsi="仿宋" w:eastAsia="仿宋"/>
                <w:sz w:val="24"/>
                <w:szCs w:val="24"/>
              </w:rPr>
            </w:pPr>
            <w:r>
              <w:rPr>
                <w:rFonts w:hint="eastAsia" w:ascii="仿宋" w:hAnsi="仿宋" w:eastAsia="仿宋"/>
                <w:sz w:val="24"/>
                <w:szCs w:val="24"/>
              </w:rPr>
              <w:t>扩大服务范围,覆盖残运会、特奥会，增加部分设备、人员，为残特奥会提供赛事指挥运行保障服务，服务时长延长至残特奥会结束。</w:t>
            </w:r>
          </w:p>
        </w:tc>
      </w:tr>
    </w:tbl>
    <w:p>
      <w:pPr>
        <w:spacing w:line="276" w:lineRule="auto"/>
        <w:ind w:firstLine="480" w:firstLineChars="200"/>
        <w:rPr>
          <w:rFonts w:ascii="仿宋" w:hAnsi="仿宋" w:eastAsia="仿宋"/>
          <w:sz w:val="24"/>
          <w:szCs w:val="24"/>
        </w:rPr>
      </w:pPr>
    </w:p>
    <w:p>
      <w:pPr>
        <w:pStyle w:val="3"/>
        <w:spacing w:line="276" w:lineRule="auto"/>
        <w:rPr>
          <w:rFonts w:ascii="仿宋" w:hAnsi="仿宋" w:eastAsia="仿宋"/>
          <w:sz w:val="24"/>
          <w:szCs w:val="24"/>
        </w:rPr>
      </w:pPr>
      <w:bookmarkStart w:id="27" w:name="_Toc51493543"/>
      <w:r>
        <w:rPr>
          <w:rFonts w:hint="eastAsia" w:ascii="仿宋" w:hAnsi="仿宋" w:eastAsia="仿宋"/>
          <w:sz w:val="24"/>
          <w:szCs w:val="24"/>
        </w:rPr>
        <w:t>赛事管理信息化工程服务</w:t>
      </w:r>
      <w:bookmarkEnd w:id="27"/>
    </w:p>
    <w:p>
      <w:pPr>
        <w:spacing w:line="276" w:lineRule="auto"/>
        <w:ind w:firstLine="480" w:firstLineChars="200"/>
        <w:rPr>
          <w:rFonts w:ascii="仿宋" w:hAnsi="仿宋" w:eastAsia="仿宋"/>
          <w:sz w:val="24"/>
          <w:szCs w:val="24"/>
        </w:rPr>
      </w:pPr>
      <w:r>
        <w:rPr>
          <w:rFonts w:hint="eastAsia" w:ascii="仿宋" w:hAnsi="仿宋" w:eastAsia="仿宋"/>
          <w:sz w:val="24"/>
          <w:szCs w:val="24"/>
        </w:rPr>
        <w:t>赛事管理信息化工程是十四运会和残特奥会赛事运行期间为运动会的筹备、组织、管理提供的信息系统及服务，目的是保障在十四运会和残特奥会筹备和举办期间，持续、安全、稳定地提供赛事管理信息化服务。本标段服务内容包括注册管理系统、抵离管理系统、礼宾管理系统、交通管理系统、制服管理系统、医疗管理系统等。</w:t>
      </w:r>
    </w:p>
    <w:p>
      <w:pPr>
        <w:pStyle w:val="4"/>
        <w:spacing w:line="276" w:lineRule="auto"/>
        <w:rPr>
          <w:rFonts w:ascii="仿宋" w:hAnsi="仿宋" w:eastAsia="仿宋"/>
          <w:sz w:val="24"/>
          <w:szCs w:val="24"/>
        </w:rPr>
      </w:pPr>
      <w:bookmarkStart w:id="28" w:name="_Toc51493544"/>
      <w:r>
        <w:rPr>
          <w:rFonts w:hint="eastAsia" w:ascii="仿宋" w:hAnsi="仿宋" w:eastAsia="仿宋"/>
          <w:sz w:val="24"/>
          <w:szCs w:val="24"/>
        </w:rPr>
        <w:t>注册管理系统</w:t>
      </w:r>
      <w:bookmarkEnd w:id="28"/>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注册管理系统是对参加十四运会的参赛人员、赛事管理人员、嘉宾人员、工作人员、媒体人员等进行身份鉴别和确认的系统。</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系统功能包括但不限于</w:t>
      </w:r>
      <w:r>
        <w:rPr>
          <w:rFonts w:hint="eastAsia" w:ascii="仿宋" w:hAnsi="仿宋" w:eastAsia="仿宋"/>
          <w:color w:val="000000"/>
          <w:sz w:val="24"/>
          <w:szCs w:val="24"/>
        </w:rPr>
        <w:t>：</w:t>
      </w:r>
    </w:p>
    <w:p>
      <w:pPr>
        <w:pStyle w:val="157"/>
        <w:spacing w:line="276" w:lineRule="auto"/>
        <w:ind w:left="840" w:firstLine="424" w:firstLineChars="177"/>
        <w:rPr>
          <w:rFonts w:ascii="仿宋" w:hAnsi="仿宋" w:eastAsia="仿宋"/>
          <w:sz w:val="24"/>
          <w:szCs w:val="24"/>
        </w:rPr>
      </w:pPr>
      <w:r>
        <w:rPr>
          <w:rFonts w:hint="eastAsia" w:ascii="仿宋" w:hAnsi="仿宋" w:eastAsia="仿宋"/>
          <w:sz w:val="24"/>
          <w:szCs w:val="24"/>
        </w:rPr>
        <w:t>（1）基础数据管理:包括主责单位管理、负责单位类型管理、负责单位管理、运动项目类型管理、运动项目管理、运动小项管理、场馆类型管理、场馆管理、身份注册卡管理、交通权限管理、坐席类型权限管理、坐席权限管理、餐饮权限管理、通行区域权限管理、权限组管理、岗位管理、人员类别管理、证件模板库管理、证件类型管理、地区管理、省（市）管理、市(区)管理、民族管理、制证地点管理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24" w:firstLineChars="177"/>
        <w:rPr>
          <w:rFonts w:ascii="仿宋" w:hAnsi="仿宋" w:eastAsia="仿宋"/>
          <w:sz w:val="24"/>
          <w:szCs w:val="24"/>
        </w:rPr>
      </w:pPr>
      <w:r>
        <w:rPr>
          <w:rFonts w:hint="eastAsia" w:ascii="仿宋" w:hAnsi="仿宋" w:eastAsia="仿宋"/>
          <w:sz w:val="24"/>
          <w:szCs w:val="24"/>
        </w:rPr>
        <w:t>（2）系统管理：包括主栏目管理、功能菜单管理、页面按钮管理、登录/登出日志管理、系统参数配置、表单元素库管理、注册申请表单管理、操作日志管理等</w:t>
      </w:r>
      <w:r>
        <w:rPr>
          <w:rFonts w:ascii="仿宋" w:hAnsi="仿宋" w:eastAsia="仿宋"/>
          <w:sz w:val="24"/>
          <w:szCs w:val="24"/>
        </w:rPr>
        <w:t>功能</w:t>
      </w:r>
      <w:r>
        <w:rPr>
          <w:rFonts w:hint="eastAsia" w:ascii="仿宋" w:hAnsi="仿宋" w:eastAsia="仿宋"/>
          <w:sz w:val="24"/>
          <w:szCs w:val="24"/>
        </w:rPr>
        <w:t>。并与“统一用户管理系统”集成，实现用户管理、角色管理、权限管理。</w:t>
      </w:r>
    </w:p>
    <w:p>
      <w:pPr>
        <w:pStyle w:val="157"/>
        <w:spacing w:line="276" w:lineRule="auto"/>
        <w:ind w:left="840" w:firstLine="424" w:firstLineChars="177"/>
        <w:rPr>
          <w:rFonts w:ascii="仿宋" w:hAnsi="仿宋" w:eastAsia="仿宋"/>
          <w:sz w:val="24"/>
          <w:szCs w:val="24"/>
        </w:rPr>
      </w:pPr>
      <w:r>
        <w:rPr>
          <w:rFonts w:hint="eastAsia" w:ascii="仿宋" w:hAnsi="仿宋" w:eastAsia="仿宋"/>
          <w:sz w:val="24"/>
          <w:szCs w:val="24"/>
        </w:rPr>
        <w:t>（3）登录及主页：包括系统登录、重置密码、账户申请、账户审核、下载管理、公告管理、个人信息管理等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24" w:firstLineChars="177"/>
        <w:rPr>
          <w:rFonts w:ascii="仿宋" w:hAnsi="仿宋" w:eastAsia="仿宋"/>
          <w:sz w:val="24"/>
          <w:szCs w:val="24"/>
        </w:rPr>
      </w:pPr>
      <w:r>
        <w:rPr>
          <w:rFonts w:hint="eastAsia" w:ascii="仿宋" w:hAnsi="仿宋" w:eastAsia="仿宋"/>
          <w:sz w:val="24"/>
          <w:szCs w:val="24"/>
        </w:rPr>
        <w:t>（4）注册申请管理：包括注册申请表填写、注册申请表导入、导入日志、草稿箱等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24" w:firstLineChars="177"/>
        <w:rPr>
          <w:rFonts w:ascii="仿宋" w:hAnsi="仿宋" w:eastAsia="仿宋"/>
          <w:sz w:val="24"/>
          <w:szCs w:val="24"/>
        </w:rPr>
      </w:pPr>
      <w:r>
        <w:rPr>
          <w:rFonts w:hint="eastAsia" w:ascii="仿宋" w:hAnsi="仿宋" w:eastAsia="仿宋"/>
          <w:sz w:val="24"/>
          <w:szCs w:val="24"/>
        </w:rPr>
        <w:t>（5）数据审核管理：包括数据审核、照片审核、数据管理、数据权限管理、注销记录和数据浏览等功能。</w:t>
      </w:r>
    </w:p>
    <w:p>
      <w:pPr>
        <w:pStyle w:val="157"/>
        <w:spacing w:line="276" w:lineRule="auto"/>
        <w:ind w:left="840" w:firstLine="424" w:firstLineChars="177"/>
        <w:rPr>
          <w:rFonts w:ascii="仿宋" w:hAnsi="仿宋" w:eastAsia="仿宋"/>
          <w:sz w:val="24"/>
          <w:szCs w:val="24"/>
        </w:rPr>
      </w:pPr>
      <w:r>
        <w:rPr>
          <w:rFonts w:hint="eastAsia" w:ascii="仿宋" w:hAnsi="仿宋" w:eastAsia="仿宋"/>
          <w:sz w:val="24"/>
          <w:szCs w:val="24"/>
        </w:rPr>
        <w:t>（6）数据交换管理：包括数据发送-背审（支持物理离线方式完成数据交换）、数据发送-接待、数据发送-全运村、数据发送-运营商、数据发送-验证、数据发送-报名、数据发送-制证、发送记录、接收记录、数据状态查看、手动管理数据状态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24" w:firstLineChars="177"/>
        <w:rPr>
          <w:rFonts w:ascii="仿宋" w:hAnsi="仿宋" w:eastAsia="仿宋"/>
          <w:sz w:val="24"/>
          <w:szCs w:val="24"/>
        </w:rPr>
      </w:pPr>
      <w:r>
        <w:rPr>
          <w:rFonts w:hint="eastAsia" w:ascii="仿宋" w:hAnsi="仿宋" w:eastAsia="仿宋"/>
          <w:sz w:val="24"/>
          <w:szCs w:val="24"/>
        </w:rPr>
        <w:t>（7）卡数据管理：包括卡片预览、接收卡管理、审核管理、卡激活管理、有效卡片管理、补办卡片管理、分发卡片管理等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24" w:firstLineChars="177"/>
        <w:rPr>
          <w:rFonts w:ascii="仿宋" w:hAnsi="仿宋" w:eastAsia="仿宋"/>
          <w:sz w:val="24"/>
          <w:szCs w:val="24"/>
        </w:rPr>
      </w:pPr>
      <w:r>
        <w:rPr>
          <w:rFonts w:hint="eastAsia" w:ascii="仿宋" w:hAnsi="仿宋" w:eastAsia="仿宋"/>
          <w:sz w:val="24"/>
          <w:szCs w:val="24"/>
        </w:rPr>
        <w:t>（8）报表输出管理：包括注册状态报告、数据发送凭证、注销凭证、制证状态报告、岗位人数汇总统计、注册类别人员汇总统计、代表团人员汇总统计、运动项目人员汇总统计等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24" w:firstLineChars="177"/>
        <w:rPr>
          <w:rFonts w:ascii="仿宋" w:hAnsi="仿宋" w:eastAsia="仿宋"/>
          <w:sz w:val="24"/>
          <w:szCs w:val="24"/>
        </w:rPr>
      </w:pPr>
      <w:r>
        <w:rPr>
          <w:rFonts w:hint="eastAsia" w:ascii="仿宋" w:hAnsi="仿宋" w:eastAsia="仿宋"/>
          <w:sz w:val="24"/>
          <w:szCs w:val="24"/>
        </w:rPr>
        <w:t>（9）在线注册管理：包括用户登录及架构、公告查看、离线表格下载、注册申请、数据导入接口、数据提交、数据审核、统计报表输出、个人信息管理等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24" w:firstLineChars="177"/>
        <w:rPr>
          <w:rFonts w:ascii="仿宋" w:hAnsi="仿宋" w:eastAsia="仿宋"/>
          <w:sz w:val="24"/>
          <w:szCs w:val="24"/>
        </w:rPr>
      </w:pPr>
      <w:r>
        <w:rPr>
          <w:rFonts w:hint="eastAsia" w:ascii="仿宋" w:hAnsi="仿宋" w:eastAsia="仿宋"/>
          <w:sz w:val="24"/>
          <w:szCs w:val="24"/>
        </w:rPr>
        <w:t>（10）数据接口服务：包括制证平台接口模块（双向）、背审平台接口模块（支持物理离线方式完成双向数据交换）、竞赛报名接口模块（单向）、接待系统接口模块（单向）、全运村系统接口模块（单向）、标准字段接口模块（单向）。</w:t>
      </w:r>
    </w:p>
    <w:p>
      <w:pPr>
        <w:pStyle w:val="157"/>
        <w:spacing w:line="276" w:lineRule="auto"/>
        <w:ind w:left="840" w:firstLine="424" w:firstLineChars="177"/>
        <w:rPr>
          <w:rFonts w:ascii="仿宋" w:hAnsi="仿宋" w:eastAsia="仿宋"/>
          <w:sz w:val="24"/>
          <w:szCs w:val="24"/>
        </w:rPr>
      </w:pPr>
      <w:r>
        <w:rPr>
          <w:rFonts w:hint="eastAsia" w:ascii="仿宋" w:hAnsi="仿宋" w:eastAsia="仿宋"/>
          <w:sz w:val="24"/>
          <w:szCs w:val="24"/>
        </w:rPr>
        <w:t>（11）注册APP</w:t>
      </w:r>
    </w:p>
    <w:p>
      <w:pPr>
        <w:pStyle w:val="157"/>
        <w:spacing w:line="276" w:lineRule="auto"/>
        <w:ind w:left="840" w:firstLine="424" w:firstLineChars="177"/>
        <w:rPr>
          <w:rFonts w:ascii="仿宋" w:hAnsi="仿宋" w:eastAsia="仿宋"/>
          <w:sz w:val="24"/>
          <w:szCs w:val="24"/>
        </w:rPr>
      </w:pPr>
      <w:r>
        <w:rPr>
          <w:rFonts w:hint="eastAsia" w:ascii="仿宋" w:hAnsi="仿宋" w:eastAsia="仿宋"/>
          <w:sz w:val="24"/>
          <w:szCs w:val="24"/>
        </w:rPr>
        <w:t>作为全运一掌通</w:t>
      </w:r>
      <w:r>
        <w:rPr>
          <w:rFonts w:ascii="仿宋" w:hAnsi="仿宋" w:eastAsia="仿宋"/>
          <w:sz w:val="24"/>
          <w:szCs w:val="24"/>
        </w:rPr>
        <w:t>APP的一部分，支持Android、IOS等系统，功能</w:t>
      </w:r>
      <w:r>
        <w:rPr>
          <w:rFonts w:hint="eastAsia" w:ascii="仿宋" w:hAnsi="仿宋" w:eastAsia="仿宋"/>
          <w:sz w:val="24"/>
          <w:szCs w:val="24"/>
        </w:rPr>
        <w:t>须涵盖</w:t>
      </w:r>
      <w:r>
        <w:rPr>
          <w:rFonts w:ascii="仿宋" w:hAnsi="仿宋" w:eastAsia="仿宋"/>
          <w:sz w:val="24"/>
          <w:szCs w:val="24"/>
        </w:rPr>
        <w:t>注册管理系统</w:t>
      </w:r>
      <w:r>
        <w:rPr>
          <w:rFonts w:hint="eastAsia" w:ascii="仿宋" w:hAnsi="仿宋" w:eastAsia="仿宋"/>
          <w:sz w:val="24"/>
          <w:szCs w:val="24"/>
        </w:rPr>
        <w:t>的所有</w:t>
      </w:r>
      <w:r>
        <w:rPr>
          <w:rFonts w:ascii="仿宋" w:hAnsi="仿宋" w:eastAsia="仿宋"/>
          <w:sz w:val="24"/>
          <w:szCs w:val="24"/>
        </w:rPr>
        <w:t>功能。</w:t>
      </w:r>
    </w:p>
    <w:p>
      <w:pPr>
        <w:pStyle w:val="4"/>
        <w:spacing w:line="276" w:lineRule="auto"/>
        <w:rPr>
          <w:rFonts w:ascii="仿宋" w:hAnsi="仿宋" w:eastAsia="仿宋"/>
          <w:sz w:val="24"/>
          <w:szCs w:val="24"/>
        </w:rPr>
      </w:pPr>
      <w:bookmarkStart w:id="29" w:name="_Toc51493545"/>
      <w:r>
        <w:rPr>
          <w:rFonts w:hint="eastAsia" w:ascii="仿宋" w:hAnsi="仿宋" w:eastAsia="仿宋"/>
          <w:sz w:val="24"/>
          <w:szCs w:val="24"/>
        </w:rPr>
        <w:t>抵离管理系统</w:t>
      </w:r>
      <w:bookmarkEnd w:id="29"/>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抵离管理系统实现代表团人员、官员和媒体人员抵离信息的采集，包括抵离迎送计划制定，接待工作安排等功能，并为全运村的住宿管理提供基础数据。抵离管理系统为十四运会所有参赛人员、来宾和媒体记者提供高效优质的抵离接待服务，对参赛人员、来宾和媒体记者的抵离迎送、交通出行、食宿安排提供技术支持。</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系统功能包括但不限于：</w:t>
      </w:r>
    </w:p>
    <w:p>
      <w:pPr>
        <w:pStyle w:val="157"/>
        <w:numPr>
          <w:ilvl w:val="0"/>
          <w:numId w:val="34"/>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抵离基础数据管理:包括团队管理、来宾身份信息管理、竞赛场馆管理、竞赛项目管理、接待场站管理、接待小组管理等</w:t>
      </w:r>
      <w:r>
        <w:rPr>
          <w:rFonts w:ascii="仿宋" w:hAnsi="仿宋" w:eastAsia="仿宋"/>
          <w:sz w:val="24"/>
          <w:szCs w:val="24"/>
        </w:rPr>
        <w:t>功能</w:t>
      </w:r>
      <w:r>
        <w:rPr>
          <w:rFonts w:hint="eastAsia" w:ascii="仿宋" w:hAnsi="仿宋" w:eastAsia="仿宋"/>
          <w:sz w:val="24"/>
          <w:szCs w:val="24"/>
        </w:rPr>
        <w:t>。</w:t>
      </w:r>
    </w:p>
    <w:p>
      <w:pPr>
        <w:pStyle w:val="157"/>
        <w:numPr>
          <w:ilvl w:val="0"/>
          <w:numId w:val="34"/>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抵离信息管理：包括在线录入、批量导入、数据导入校验、批量导出、抵离信息管理、抵离信息审核、生成待办任务等</w:t>
      </w:r>
      <w:r>
        <w:rPr>
          <w:rFonts w:ascii="仿宋" w:hAnsi="仿宋" w:eastAsia="仿宋"/>
          <w:sz w:val="24"/>
          <w:szCs w:val="24"/>
        </w:rPr>
        <w:t>功能</w:t>
      </w:r>
      <w:r>
        <w:rPr>
          <w:rFonts w:hint="eastAsia" w:ascii="仿宋" w:hAnsi="仿宋" w:eastAsia="仿宋"/>
          <w:sz w:val="24"/>
          <w:szCs w:val="24"/>
        </w:rPr>
        <w:t>。</w:t>
      </w:r>
    </w:p>
    <w:p>
      <w:pPr>
        <w:pStyle w:val="157"/>
        <w:numPr>
          <w:ilvl w:val="0"/>
          <w:numId w:val="34"/>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抵离任务管理：包括抵离任务划分、抵离任务指派、抵离任务确认、抵离任务退回、抵离任务作废等</w:t>
      </w:r>
      <w:r>
        <w:rPr>
          <w:rFonts w:ascii="仿宋" w:hAnsi="仿宋" w:eastAsia="仿宋"/>
          <w:sz w:val="24"/>
          <w:szCs w:val="24"/>
        </w:rPr>
        <w:t>功能</w:t>
      </w:r>
      <w:r>
        <w:rPr>
          <w:rFonts w:hint="eastAsia" w:ascii="仿宋" w:hAnsi="仿宋" w:eastAsia="仿宋"/>
          <w:sz w:val="24"/>
          <w:szCs w:val="24"/>
        </w:rPr>
        <w:t>。</w:t>
      </w:r>
    </w:p>
    <w:p>
      <w:pPr>
        <w:pStyle w:val="157"/>
        <w:numPr>
          <w:ilvl w:val="0"/>
          <w:numId w:val="34"/>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抵离异常管理：包括抵离异常上报、异常状态查询统计、新增临时抵离任务、临时抵离任务指派、临时抵离任务管理等</w:t>
      </w:r>
      <w:r>
        <w:rPr>
          <w:rFonts w:ascii="仿宋" w:hAnsi="仿宋" w:eastAsia="仿宋"/>
          <w:sz w:val="24"/>
          <w:szCs w:val="24"/>
        </w:rPr>
        <w:t>功能</w:t>
      </w:r>
      <w:r>
        <w:rPr>
          <w:rFonts w:hint="eastAsia" w:ascii="仿宋" w:hAnsi="仿宋" w:eastAsia="仿宋"/>
          <w:sz w:val="24"/>
          <w:szCs w:val="24"/>
        </w:rPr>
        <w:t>。</w:t>
      </w:r>
    </w:p>
    <w:p>
      <w:pPr>
        <w:pStyle w:val="157"/>
        <w:numPr>
          <w:ilvl w:val="0"/>
          <w:numId w:val="34"/>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抵离任务日程管理：包括抵离任务查询统计、抵离任务提醒、抵离任务进程管理等</w:t>
      </w:r>
      <w:r>
        <w:rPr>
          <w:rFonts w:ascii="仿宋" w:hAnsi="仿宋" w:eastAsia="仿宋"/>
          <w:sz w:val="24"/>
          <w:szCs w:val="24"/>
        </w:rPr>
        <w:t>功能</w:t>
      </w:r>
      <w:r>
        <w:rPr>
          <w:rFonts w:hint="eastAsia" w:ascii="仿宋" w:hAnsi="仿宋" w:eastAsia="仿宋"/>
          <w:sz w:val="24"/>
          <w:szCs w:val="24"/>
        </w:rPr>
        <w:t>。</w:t>
      </w:r>
    </w:p>
    <w:p>
      <w:pPr>
        <w:pStyle w:val="157"/>
        <w:numPr>
          <w:ilvl w:val="0"/>
          <w:numId w:val="34"/>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系统管理：包括公告管理、日志管理等</w:t>
      </w:r>
      <w:r>
        <w:rPr>
          <w:rFonts w:ascii="仿宋" w:hAnsi="仿宋" w:eastAsia="仿宋"/>
          <w:sz w:val="24"/>
          <w:szCs w:val="24"/>
        </w:rPr>
        <w:t>功能</w:t>
      </w:r>
      <w:r>
        <w:rPr>
          <w:rFonts w:hint="eastAsia" w:ascii="仿宋" w:hAnsi="仿宋" w:eastAsia="仿宋"/>
          <w:sz w:val="24"/>
          <w:szCs w:val="24"/>
        </w:rPr>
        <w:t>，并与“统一用户管理系统”集成，实现用户管理、角色管理、权限管理。</w:t>
      </w:r>
    </w:p>
    <w:p>
      <w:pPr>
        <w:pStyle w:val="157"/>
        <w:numPr>
          <w:ilvl w:val="0"/>
          <w:numId w:val="34"/>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数据接口服务。</w:t>
      </w:r>
    </w:p>
    <w:p>
      <w:pPr>
        <w:pStyle w:val="157"/>
        <w:numPr>
          <w:ilvl w:val="0"/>
          <w:numId w:val="34"/>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抵离APP：作为全运一掌通</w:t>
      </w:r>
      <w:r>
        <w:rPr>
          <w:rFonts w:ascii="仿宋" w:hAnsi="仿宋" w:eastAsia="仿宋"/>
          <w:sz w:val="24"/>
          <w:szCs w:val="24"/>
        </w:rPr>
        <w:t>APP的一部分，支持Android、IOS等系统，功能</w:t>
      </w:r>
      <w:r>
        <w:rPr>
          <w:rFonts w:hint="eastAsia" w:ascii="仿宋" w:hAnsi="仿宋" w:eastAsia="仿宋"/>
          <w:sz w:val="24"/>
          <w:szCs w:val="24"/>
        </w:rPr>
        <w:t>须涵盖抵离</w:t>
      </w:r>
      <w:r>
        <w:rPr>
          <w:rFonts w:ascii="仿宋" w:hAnsi="仿宋" w:eastAsia="仿宋"/>
          <w:sz w:val="24"/>
          <w:szCs w:val="24"/>
        </w:rPr>
        <w:t>管理系统</w:t>
      </w:r>
      <w:r>
        <w:rPr>
          <w:rFonts w:hint="eastAsia" w:ascii="仿宋" w:hAnsi="仿宋" w:eastAsia="仿宋"/>
          <w:sz w:val="24"/>
          <w:szCs w:val="24"/>
        </w:rPr>
        <w:t>的所有</w:t>
      </w:r>
      <w:r>
        <w:rPr>
          <w:rFonts w:ascii="仿宋" w:hAnsi="仿宋" w:eastAsia="仿宋"/>
          <w:sz w:val="24"/>
          <w:szCs w:val="24"/>
        </w:rPr>
        <w:t>功能。</w:t>
      </w:r>
    </w:p>
    <w:p>
      <w:pPr>
        <w:pStyle w:val="4"/>
        <w:spacing w:line="276" w:lineRule="auto"/>
        <w:rPr>
          <w:rFonts w:ascii="仿宋" w:hAnsi="仿宋" w:eastAsia="仿宋"/>
          <w:sz w:val="24"/>
          <w:szCs w:val="24"/>
        </w:rPr>
      </w:pPr>
      <w:bookmarkStart w:id="30" w:name="_Toc51493546"/>
      <w:r>
        <w:rPr>
          <w:rFonts w:hint="eastAsia" w:ascii="仿宋" w:hAnsi="仿宋" w:eastAsia="仿宋"/>
          <w:sz w:val="24"/>
          <w:szCs w:val="24"/>
        </w:rPr>
        <w:t>礼宾管理系统</w:t>
      </w:r>
      <w:bookmarkEnd w:id="30"/>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礼宾管理系统是为十四运会所有参会的嘉宾提供高效优质的接待服务，对嘉宾的抵离迎送、交通出行、酒店安排、活动日程、礼仪接待提供技术支持服务的系统。</w:t>
      </w:r>
    </w:p>
    <w:p>
      <w:pPr>
        <w:spacing w:line="276" w:lineRule="auto"/>
        <w:ind w:firstLine="480" w:firstLineChars="200"/>
        <w:rPr>
          <w:rFonts w:ascii="仿宋" w:hAnsi="仿宋" w:eastAsia="仿宋"/>
          <w:color w:val="000000"/>
          <w:sz w:val="24"/>
          <w:szCs w:val="24"/>
        </w:rPr>
      </w:pPr>
      <w:r>
        <w:rPr>
          <w:rFonts w:hint="eastAsia" w:ascii="仿宋" w:hAnsi="仿宋" w:eastAsia="仿宋"/>
          <w:sz w:val="24"/>
          <w:szCs w:val="24"/>
        </w:rPr>
        <w:t>系统功能</w:t>
      </w:r>
      <w:r>
        <w:rPr>
          <w:rFonts w:hint="eastAsia" w:ascii="仿宋" w:hAnsi="仿宋" w:eastAsia="仿宋"/>
          <w:color w:val="000000"/>
          <w:sz w:val="24"/>
          <w:szCs w:val="24"/>
        </w:rPr>
        <w:t>包括但不限于：</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（1）基础数据管理：包括贵宾职级管理、贵宾身份信息管理、竞赛场馆管理、竞赛项目管理、接待场站管理、接待小组管理、通讯录管理、礼仪管理、礼品管理、贵宾职级关联关系管理等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（2）礼宾信息管理：包括在线录入、批量导入、数据导入校验、批量导出、礼宾信息管理、礼宾信息审核、生成待办任务等功能。</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（3）礼宾任务管理：包括礼宾任务分割、礼宾任务指派、礼宾任务确认、礼宾任务退回、礼宾任务作废等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（4）礼宾异常管理：包括礼宾异常上报、异常状态查询统计、新增临时礼宾任务、临时礼宾任务指派、临时礼宾任务管理等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（5）礼宾任务日程管理：包括礼宾任务查询统计、礼宾任务提醒、礼宾任务进程管理、活动日程管理、会议日程管理等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（6）礼仪礼品管理：包括礼仪安排、礼品安排等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（7）酒店管理：包括酒店客房登记、餐饮管理、上报管理、费用审核等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（8）系统管理：包括公告管理、日志管理等功能，并与“统一用户管理系统”集成，实现用户管理、角色管理、权限管理。</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（9）数据接口：包括与注册管理系统、抵离管理系统等其他系统的数据接口。</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（10）接待</w:t>
      </w:r>
      <w:r>
        <w:rPr>
          <w:rFonts w:ascii="仿宋" w:hAnsi="仿宋" w:eastAsia="仿宋"/>
          <w:sz w:val="24"/>
          <w:szCs w:val="24"/>
        </w:rPr>
        <w:t>人员APP</w:t>
      </w:r>
      <w:r>
        <w:rPr>
          <w:rFonts w:hint="eastAsia" w:ascii="仿宋" w:hAnsi="仿宋" w:eastAsia="仿宋"/>
          <w:sz w:val="24"/>
          <w:szCs w:val="24"/>
        </w:rPr>
        <w:t>：作为全运一掌通</w:t>
      </w:r>
      <w:r>
        <w:rPr>
          <w:rFonts w:ascii="仿宋" w:hAnsi="仿宋" w:eastAsia="仿宋"/>
          <w:sz w:val="24"/>
          <w:szCs w:val="24"/>
        </w:rPr>
        <w:t>APP的一部分，支持Android、IOS等系统</w:t>
      </w:r>
      <w:r>
        <w:rPr>
          <w:rFonts w:hint="eastAsia" w:ascii="仿宋" w:hAnsi="仿宋" w:eastAsia="仿宋"/>
          <w:sz w:val="24"/>
          <w:szCs w:val="24"/>
        </w:rPr>
        <w:t>，内容涵盖礼宾管理系统的所有功能。</w:t>
      </w:r>
    </w:p>
    <w:p>
      <w:pPr>
        <w:pStyle w:val="4"/>
        <w:spacing w:line="276" w:lineRule="auto"/>
        <w:rPr>
          <w:rFonts w:ascii="仿宋" w:hAnsi="仿宋" w:eastAsia="仿宋"/>
          <w:sz w:val="24"/>
          <w:szCs w:val="24"/>
        </w:rPr>
      </w:pPr>
      <w:bookmarkStart w:id="31" w:name="_Toc51493547"/>
      <w:r>
        <w:rPr>
          <w:rFonts w:hint="eastAsia" w:ascii="仿宋" w:hAnsi="仿宋" w:eastAsia="仿宋"/>
          <w:sz w:val="24"/>
          <w:szCs w:val="24"/>
        </w:rPr>
        <w:t>医疗管理系统</w:t>
      </w:r>
      <w:bookmarkEnd w:id="31"/>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医疗管理系统是为十四运会的医疗事件管理、就诊、药品药库管理、健康状态管理等工作提供信息技术支持，确保参会人员健康与安全的系统。</w:t>
      </w:r>
    </w:p>
    <w:p>
      <w:pPr>
        <w:spacing w:line="276" w:lineRule="auto"/>
        <w:ind w:firstLine="480" w:firstLineChars="200"/>
        <w:rPr>
          <w:rFonts w:ascii="仿宋" w:hAnsi="仿宋" w:eastAsia="仿宋"/>
          <w:color w:val="000000"/>
          <w:sz w:val="24"/>
          <w:szCs w:val="24"/>
        </w:rPr>
      </w:pPr>
      <w:r>
        <w:rPr>
          <w:rFonts w:hint="eastAsia" w:ascii="仿宋" w:hAnsi="仿宋" w:eastAsia="仿宋"/>
          <w:sz w:val="24"/>
          <w:szCs w:val="24"/>
        </w:rPr>
        <w:t>系统功能</w:t>
      </w:r>
      <w:r>
        <w:rPr>
          <w:rFonts w:hint="eastAsia" w:ascii="仿宋" w:hAnsi="仿宋" w:eastAsia="仿宋"/>
          <w:color w:val="000000"/>
          <w:sz w:val="24"/>
          <w:szCs w:val="24"/>
        </w:rPr>
        <w:t>包括但不限于：</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（1）基础数据管理：包括医疗事件类型管理、医疗预案信息管理和药房管理等功能。</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（2）医疗事件管理：包括医疗事件信息录入、医疗事件信息审核、统计报表等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（3）药房管理：包括药品入库管理、药品领用管理、药品出库管理、批次管理、药房库存盘点等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（4）药品管理：包括药品类别维护、药品编码、药品详细信息维护、查询统计等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（5）就诊管理：管理就诊人员的病历，包括病历的增加、删除、修改、查询等功能。</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（6）健康登记管理：包括参赛等相关人员的健康登记、查询、修改、统计等功能。</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（7）系统管理：包括公告管理、日志管理等</w:t>
      </w:r>
      <w:r>
        <w:rPr>
          <w:rFonts w:ascii="仿宋" w:hAnsi="仿宋" w:eastAsia="仿宋"/>
          <w:sz w:val="24"/>
          <w:szCs w:val="24"/>
        </w:rPr>
        <w:t>功能</w:t>
      </w:r>
      <w:r>
        <w:rPr>
          <w:rFonts w:hint="eastAsia" w:ascii="仿宋" w:hAnsi="仿宋" w:eastAsia="仿宋"/>
          <w:sz w:val="24"/>
          <w:szCs w:val="24"/>
        </w:rPr>
        <w:t>，并与“统一用户管理系统”集成，实现用户管理、角色管理、权限管理。</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（8）医疗APP：作为全运一掌通</w:t>
      </w:r>
      <w:r>
        <w:rPr>
          <w:rFonts w:ascii="仿宋" w:hAnsi="仿宋" w:eastAsia="仿宋"/>
          <w:sz w:val="24"/>
          <w:szCs w:val="24"/>
        </w:rPr>
        <w:t>APP的一部分，支持Android、IOS等系统，功能须涵盖</w:t>
      </w:r>
      <w:r>
        <w:rPr>
          <w:rFonts w:hint="eastAsia" w:ascii="仿宋" w:hAnsi="仿宋" w:eastAsia="仿宋"/>
          <w:sz w:val="24"/>
          <w:szCs w:val="24"/>
        </w:rPr>
        <w:t>医疗管理系统的所有</w:t>
      </w:r>
      <w:r>
        <w:rPr>
          <w:rFonts w:ascii="仿宋" w:hAnsi="仿宋" w:eastAsia="仿宋"/>
          <w:sz w:val="24"/>
          <w:szCs w:val="24"/>
        </w:rPr>
        <w:t>功能。</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（9）数据接口：包括与注册管理系统等其他系统的数据接口。</w:t>
      </w:r>
    </w:p>
    <w:p>
      <w:pPr>
        <w:pStyle w:val="4"/>
        <w:spacing w:line="276" w:lineRule="auto"/>
        <w:rPr>
          <w:rFonts w:ascii="仿宋" w:hAnsi="仿宋" w:eastAsia="仿宋"/>
          <w:sz w:val="24"/>
          <w:szCs w:val="24"/>
        </w:rPr>
      </w:pPr>
      <w:bookmarkStart w:id="32" w:name="_Toc51493548"/>
      <w:r>
        <w:rPr>
          <w:rFonts w:hint="eastAsia" w:ascii="仿宋" w:hAnsi="仿宋" w:eastAsia="仿宋"/>
          <w:sz w:val="24"/>
          <w:szCs w:val="24"/>
        </w:rPr>
        <w:t>交通管理系统</w:t>
      </w:r>
      <w:bookmarkEnd w:id="32"/>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交通管理系统是为十四运会交通管理、车辆调度、人员管理、路线规划等提供信息技术支持的系统。</w:t>
      </w:r>
    </w:p>
    <w:p>
      <w:pPr>
        <w:spacing w:line="276" w:lineRule="auto"/>
        <w:ind w:firstLine="480" w:firstLineChars="200"/>
        <w:rPr>
          <w:rFonts w:ascii="仿宋" w:hAnsi="仿宋" w:eastAsia="仿宋"/>
          <w:color w:val="000000"/>
          <w:sz w:val="24"/>
          <w:szCs w:val="24"/>
        </w:rPr>
      </w:pPr>
      <w:r>
        <w:rPr>
          <w:rFonts w:hint="eastAsia" w:ascii="仿宋" w:hAnsi="仿宋" w:eastAsia="仿宋"/>
          <w:sz w:val="24"/>
          <w:szCs w:val="24"/>
        </w:rPr>
        <w:t>系统功能</w:t>
      </w:r>
      <w:r>
        <w:rPr>
          <w:rFonts w:hint="eastAsia" w:ascii="仿宋" w:hAnsi="仿宋" w:eastAsia="仿宋"/>
          <w:color w:val="000000"/>
          <w:sz w:val="24"/>
          <w:szCs w:val="24"/>
        </w:rPr>
        <w:t>包括但不限于：</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（1）基础数据管理：包括固定路线管理、班车站点管理、车辆管理、车队管理和司机管理等。</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（2）交通任务管理：包括计划用车任务审核、临时用车任务审核、用车任务分割、用车任务指派等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（3）车辆调度管理：包括行车计划、临时行车计划、车辆派遣、车辆调度信息审核、信息推送、派车任务确认、派车任务退回、派车任务作废等功能。</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（4）交通图层管理：包括路况专题图、综合服务站信息、车辆轨迹信息、车辆定位信息等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（5）统计分析：包括准点率分析、运力情况统计分析、异常事件统计、司机考勤统计等</w:t>
      </w:r>
      <w:r>
        <w:rPr>
          <w:rFonts w:ascii="仿宋" w:hAnsi="仿宋" w:eastAsia="仿宋"/>
          <w:sz w:val="24"/>
          <w:szCs w:val="24"/>
        </w:rPr>
        <w:t>功能</w:t>
      </w:r>
      <w:r>
        <w:rPr>
          <w:rFonts w:hint="eastAsia" w:ascii="仿宋" w:hAnsi="仿宋" w:eastAsia="仿宋"/>
          <w:sz w:val="24"/>
          <w:szCs w:val="24"/>
        </w:rPr>
        <w:t>。</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（6）系统管理：包括公告管理、日志管理等功能，并与“统一用户管理系统”集成，实现用户管理、角色管理、权限管理。</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（7）数据接口：包括与注册管理系统等其他系统的数据接口。</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（8）交通管理APP：作为全运一掌通</w:t>
      </w:r>
      <w:r>
        <w:rPr>
          <w:rFonts w:ascii="仿宋" w:hAnsi="仿宋" w:eastAsia="仿宋"/>
          <w:sz w:val="24"/>
          <w:szCs w:val="24"/>
        </w:rPr>
        <w:t>APP的一部分，支持Android、IOS等系统，功能须涵盖</w:t>
      </w:r>
      <w:r>
        <w:rPr>
          <w:rFonts w:hint="eastAsia" w:ascii="仿宋" w:hAnsi="仿宋" w:eastAsia="仿宋"/>
          <w:sz w:val="24"/>
          <w:szCs w:val="24"/>
        </w:rPr>
        <w:t>交通管理系统的所有</w:t>
      </w:r>
      <w:r>
        <w:rPr>
          <w:rFonts w:ascii="仿宋" w:hAnsi="仿宋" w:eastAsia="仿宋"/>
          <w:sz w:val="24"/>
          <w:szCs w:val="24"/>
        </w:rPr>
        <w:t>功能。</w:t>
      </w:r>
    </w:p>
    <w:p>
      <w:pPr>
        <w:pStyle w:val="4"/>
        <w:spacing w:line="276" w:lineRule="auto"/>
        <w:rPr>
          <w:rFonts w:ascii="仿宋" w:hAnsi="仿宋" w:eastAsia="仿宋"/>
          <w:sz w:val="24"/>
          <w:szCs w:val="24"/>
        </w:rPr>
      </w:pPr>
      <w:bookmarkStart w:id="33" w:name="_Toc51493549"/>
      <w:r>
        <w:rPr>
          <w:rFonts w:hint="eastAsia" w:ascii="仿宋" w:hAnsi="仿宋" w:eastAsia="仿宋"/>
          <w:sz w:val="24"/>
          <w:szCs w:val="24"/>
        </w:rPr>
        <w:t>制服管理系统</w:t>
      </w:r>
      <w:bookmarkEnd w:id="33"/>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制服管理系统是对制服需求、制服信息、采购、库存等进行管理的系统。由于比赛期间制服数量大，分发时段集中，制服管理系统将在库存管理、物资发放的过程中起到组织和控制的作用。</w:t>
      </w:r>
    </w:p>
    <w:p>
      <w:pPr>
        <w:spacing w:line="276" w:lineRule="auto"/>
        <w:ind w:firstLine="480" w:firstLineChars="200"/>
        <w:rPr>
          <w:rFonts w:ascii="仿宋" w:hAnsi="仿宋" w:eastAsia="仿宋"/>
          <w:color w:val="000000"/>
          <w:sz w:val="24"/>
          <w:szCs w:val="24"/>
        </w:rPr>
      </w:pPr>
      <w:r>
        <w:rPr>
          <w:rFonts w:hint="eastAsia" w:ascii="仿宋" w:hAnsi="仿宋" w:eastAsia="仿宋"/>
          <w:sz w:val="24"/>
          <w:szCs w:val="24"/>
        </w:rPr>
        <w:t>系统功能</w:t>
      </w:r>
      <w:r>
        <w:rPr>
          <w:rFonts w:hint="eastAsia" w:ascii="仿宋" w:hAnsi="仿宋" w:eastAsia="仿宋"/>
          <w:color w:val="000000"/>
          <w:sz w:val="24"/>
          <w:szCs w:val="24"/>
        </w:rPr>
        <w:t>包括但不限于：</w:t>
      </w:r>
    </w:p>
    <w:p>
      <w:pPr>
        <w:pStyle w:val="157"/>
        <w:numPr>
          <w:ilvl w:val="0"/>
          <w:numId w:val="35"/>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基础数据管理：包括制服数据管理、人员信息管理和供应商管理等功能。</w:t>
      </w:r>
    </w:p>
    <w:p>
      <w:pPr>
        <w:pStyle w:val="157"/>
        <w:numPr>
          <w:ilvl w:val="0"/>
          <w:numId w:val="35"/>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需求管理：包括需求上报、需求审核、统计报表等</w:t>
      </w:r>
      <w:r>
        <w:rPr>
          <w:rFonts w:ascii="仿宋" w:hAnsi="仿宋" w:eastAsia="仿宋"/>
          <w:sz w:val="24"/>
          <w:szCs w:val="24"/>
        </w:rPr>
        <w:t>功能</w:t>
      </w:r>
      <w:r>
        <w:rPr>
          <w:rFonts w:hint="eastAsia" w:ascii="仿宋" w:hAnsi="仿宋" w:eastAsia="仿宋"/>
          <w:sz w:val="24"/>
          <w:szCs w:val="24"/>
        </w:rPr>
        <w:t>。</w:t>
      </w:r>
    </w:p>
    <w:p>
      <w:pPr>
        <w:pStyle w:val="157"/>
        <w:numPr>
          <w:ilvl w:val="0"/>
          <w:numId w:val="35"/>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采购管理：包括采购计划、采购合同、采购订单和统计报表等。</w:t>
      </w:r>
    </w:p>
    <w:p>
      <w:pPr>
        <w:pStyle w:val="157"/>
        <w:numPr>
          <w:ilvl w:val="0"/>
          <w:numId w:val="35"/>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库存管理：包括入库、出库、退换货、盘点、统计报表等</w:t>
      </w:r>
      <w:r>
        <w:rPr>
          <w:rFonts w:ascii="仿宋" w:hAnsi="仿宋" w:eastAsia="仿宋"/>
          <w:sz w:val="24"/>
          <w:szCs w:val="24"/>
        </w:rPr>
        <w:t>功能</w:t>
      </w:r>
      <w:r>
        <w:rPr>
          <w:rFonts w:hint="eastAsia" w:ascii="仿宋" w:hAnsi="仿宋" w:eastAsia="仿宋"/>
          <w:sz w:val="24"/>
          <w:szCs w:val="24"/>
        </w:rPr>
        <w:t>。</w:t>
      </w:r>
    </w:p>
    <w:p>
      <w:pPr>
        <w:pStyle w:val="157"/>
        <w:numPr>
          <w:ilvl w:val="0"/>
          <w:numId w:val="35"/>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物资管理：包括制服领用申请、领用申请审批、制服发放、打印领用申请单等</w:t>
      </w:r>
      <w:r>
        <w:rPr>
          <w:rFonts w:ascii="仿宋" w:hAnsi="仿宋" w:eastAsia="仿宋"/>
          <w:sz w:val="24"/>
          <w:szCs w:val="24"/>
        </w:rPr>
        <w:t>功能</w:t>
      </w:r>
      <w:r>
        <w:rPr>
          <w:rFonts w:hint="eastAsia" w:ascii="仿宋" w:hAnsi="仿宋" w:eastAsia="仿宋"/>
          <w:sz w:val="24"/>
          <w:szCs w:val="24"/>
        </w:rPr>
        <w:t>。</w:t>
      </w:r>
    </w:p>
    <w:p>
      <w:pPr>
        <w:pStyle w:val="157"/>
        <w:numPr>
          <w:ilvl w:val="0"/>
          <w:numId w:val="35"/>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系统管理：包括公告管理、日志管理等</w:t>
      </w:r>
      <w:r>
        <w:rPr>
          <w:rFonts w:ascii="仿宋" w:hAnsi="仿宋" w:eastAsia="仿宋"/>
          <w:sz w:val="24"/>
          <w:szCs w:val="24"/>
        </w:rPr>
        <w:t>功能</w:t>
      </w:r>
      <w:r>
        <w:rPr>
          <w:rFonts w:hint="eastAsia" w:ascii="仿宋" w:hAnsi="仿宋" w:eastAsia="仿宋"/>
          <w:sz w:val="24"/>
          <w:szCs w:val="24"/>
        </w:rPr>
        <w:t>，并与“统一用户管理系统”集成，实现用户管理、角色管理、权限管理。</w:t>
      </w:r>
    </w:p>
    <w:p>
      <w:pPr>
        <w:pStyle w:val="157"/>
        <w:numPr>
          <w:ilvl w:val="0"/>
          <w:numId w:val="35"/>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制服APP：作为全运一掌通</w:t>
      </w:r>
      <w:r>
        <w:rPr>
          <w:rFonts w:ascii="仿宋" w:hAnsi="仿宋" w:eastAsia="仿宋"/>
          <w:sz w:val="24"/>
          <w:szCs w:val="24"/>
        </w:rPr>
        <w:t>APP的一部分，支持Android、IOS等系统，功能须涵盖</w:t>
      </w:r>
      <w:r>
        <w:rPr>
          <w:rFonts w:hint="eastAsia" w:ascii="仿宋" w:hAnsi="仿宋" w:eastAsia="仿宋"/>
          <w:sz w:val="24"/>
          <w:szCs w:val="24"/>
        </w:rPr>
        <w:t>制服管理系统的所有</w:t>
      </w:r>
      <w:r>
        <w:rPr>
          <w:rFonts w:ascii="仿宋" w:hAnsi="仿宋" w:eastAsia="仿宋"/>
          <w:sz w:val="24"/>
          <w:szCs w:val="24"/>
        </w:rPr>
        <w:t>功能。</w:t>
      </w:r>
    </w:p>
    <w:p>
      <w:pPr>
        <w:pStyle w:val="157"/>
        <w:numPr>
          <w:ilvl w:val="0"/>
          <w:numId w:val="35"/>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数据接口：包括与注册管理系统、志愿者管理系统等其他系统的数据接口。</w:t>
      </w:r>
    </w:p>
    <w:p>
      <w:pPr>
        <w:pStyle w:val="4"/>
        <w:spacing w:line="276" w:lineRule="auto"/>
        <w:rPr>
          <w:rFonts w:ascii="仿宋" w:hAnsi="仿宋" w:eastAsia="仿宋"/>
          <w:sz w:val="24"/>
          <w:szCs w:val="24"/>
        </w:rPr>
      </w:pPr>
      <w:bookmarkStart w:id="34" w:name="_Toc51493550"/>
      <w:r>
        <w:rPr>
          <w:rFonts w:hint="eastAsia" w:ascii="仿宋" w:hAnsi="仿宋" w:eastAsia="仿宋"/>
          <w:sz w:val="24"/>
          <w:szCs w:val="24"/>
        </w:rPr>
        <w:t>残特奥会延续服务内</w:t>
      </w:r>
      <w:bookmarkEnd w:id="34"/>
    </w:p>
    <w:p>
      <w:pPr>
        <w:spacing w:line="276" w:lineRule="auto"/>
        <w:ind w:firstLine="480" w:firstLineChars="200"/>
        <w:rPr>
          <w:rFonts w:ascii="仿宋" w:hAnsi="仿宋" w:eastAsia="仿宋"/>
          <w:sz w:val="24"/>
          <w:szCs w:val="24"/>
        </w:rPr>
      </w:pPr>
      <w:r>
        <w:rPr>
          <w:rFonts w:hint="eastAsia" w:ascii="仿宋" w:hAnsi="仿宋" w:eastAsia="仿宋"/>
          <w:sz w:val="24"/>
          <w:szCs w:val="24"/>
        </w:rPr>
        <w:t>残特奥会志愿者管理系统、全运村管理系统服务要求与十四运会相同，服务提供商须根据残特奥会特点重新定制业务流程，修改相关功能，为残特奥会提供服务。具体如下表所示：</w:t>
      </w:r>
    </w:p>
    <w:tbl>
      <w:tblPr>
        <w:tblStyle w:val="58"/>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2050"/>
        <w:gridCol w:w="5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blHeader/>
        </w:trPr>
        <w:tc>
          <w:tcPr>
            <w:tcW w:w="815" w:type="dxa"/>
            <w:vAlign w:val="center"/>
          </w:tcPr>
          <w:p>
            <w:pPr>
              <w:spacing w:line="276" w:lineRule="auto"/>
              <w:jc w:val="center"/>
              <w:rPr>
                <w:rFonts w:ascii="仿宋" w:hAnsi="仿宋" w:eastAsia="仿宋"/>
                <w:b/>
                <w:bCs/>
                <w:color w:val="000000"/>
                <w:sz w:val="24"/>
                <w:szCs w:val="24"/>
              </w:rPr>
            </w:pPr>
            <w:r>
              <w:rPr>
                <w:rFonts w:hint="eastAsia" w:ascii="仿宋" w:hAnsi="仿宋" w:eastAsia="仿宋"/>
                <w:b/>
                <w:bCs/>
                <w:color w:val="000000"/>
                <w:sz w:val="24"/>
                <w:szCs w:val="24"/>
              </w:rPr>
              <w:t>序号</w:t>
            </w:r>
          </w:p>
        </w:tc>
        <w:tc>
          <w:tcPr>
            <w:tcW w:w="2050" w:type="dxa"/>
            <w:vAlign w:val="center"/>
          </w:tcPr>
          <w:p>
            <w:pPr>
              <w:spacing w:line="276" w:lineRule="auto"/>
              <w:jc w:val="center"/>
              <w:rPr>
                <w:rFonts w:ascii="仿宋" w:hAnsi="仿宋" w:eastAsia="仿宋"/>
                <w:b/>
                <w:bCs/>
                <w:color w:val="000000"/>
                <w:sz w:val="24"/>
                <w:szCs w:val="24"/>
              </w:rPr>
            </w:pPr>
            <w:r>
              <w:rPr>
                <w:rFonts w:hint="eastAsia" w:ascii="仿宋" w:hAnsi="仿宋" w:eastAsia="仿宋"/>
                <w:b/>
                <w:bCs/>
                <w:color w:val="000000"/>
                <w:sz w:val="24"/>
                <w:szCs w:val="24"/>
              </w:rPr>
              <w:t>系统名称</w:t>
            </w:r>
          </w:p>
        </w:tc>
        <w:tc>
          <w:tcPr>
            <w:tcW w:w="5607" w:type="dxa"/>
            <w:vAlign w:val="center"/>
          </w:tcPr>
          <w:p>
            <w:pPr>
              <w:spacing w:line="276" w:lineRule="auto"/>
              <w:jc w:val="center"/>
              <w:rPr>
                <w:rFonts w:ascii="仿宋" w:hAnsi="仿宋" w:eastAsia="仿宋"/>
                <w:b/>
                <w:bCs/>
                <w:color w:val="000000"/>
                <w:sz w:val="24"/>
                <w:szCs w:val="24"/>
              </w:rPr>
            </w:pPr>
            <w:r>
              <w:rPr>
                <w:rFonts w:hint="eastAsia" w:ascii="仿宋" w:hAnsi="仿宋" w:eastAsia="仿宋"/>
                <w:b/>
                <w:bCs/>
                <w:color w:val="00000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vAlign w:val="center"/>
          </w:tcPr>
          <w:p>
            <w:pPr>
              <w:spacing w:line="276" w:lineRule="auto"/>
              <w:ind w:firstLine="200"/>
              <w:rPr>
                <w:rFonts w:ascii="仿宋" w:hAnsi="仿宋" w:eastAsia="仿宋"/>
                <w:color w:val="000000"/>
                <w:sz w:val="24"/>
                <w:szCs w:val="24"/>
              </w:rPr>
            </w:pPr>
            <w:r>
              <w:rPr>
                <w:rFonts w:hint="eastAsia" w:ascii="仿宋" w:hAnsi="仿宋" w:eastAsia="仿宋"/>
                <w:color w:val="000000"/>
                <w:sz w:val="24"/>
                <w:szCs w:val="24"/>
              </w:rPr>
              <w:t>1</w:t>
            </w:r>
          </w:p>
        </w:tc>
        <w:tc>
          <w:tcPr>
            <w:tcW w:w="2050" w:type="dxa"/>
            <w:vAlign w:val="center"/>
          </w:tcPr>
          <w:p>
            <w:pPr>
              <w:spacing w:line="276" w:lineRule="auto"/>
              <w:ind w:firstLine="38" w:firstLineChars="16"/>
              <w:rPr>
                <w:rFonts w:ascii="仿宋" w:hAnsi="仿宋" w:eastAsia="仿宋"/>
                <w:sz w:val="24"/>
                <w:szCs w:val="24"/>
              </w:rPr>
            </w:pPr>
            <w:r>
              <w:rPr>
                <w:rFonts w:hint="eastAsia" w:ascii="仿宋" w:hAnsi="仿宋" w:eastAsia="仿宋"/>
                <w:color w:val="000000"/>
                <w:sz w:val="24"/>
                <w:szCs w:val="24"/>
              </w:rPr>
              <w:t>抵离管理系统</w:t>
            </w:r>
          </w:p>
        </w:tc>
        <w:tc>
          <w:tcPr>
            <w:tcW w:w="5607" w:type="dxa"/>
            <w:vAlign w:val="center"/>
          </w:tcPr>
          <w:p>
            <w:pPr>
              <w:spacing w:line="276" w:lineRule="auto"/>
              <w:rPr>
                <w:rFonts w:ascii="仿宋" w:hAnsi="仿宋" w:eastAsia="仿宋"/>
                <w:sz w:val="24"/>
                <w:szCs w:val="24"/>
              </w:rPr>
            </w:pPr>
            <w:r>
              <w:rPr>
                <w:rFonts w:hint="eastAsia" w:ascii="仿宋" w:hAnsi="仿宋" w:eastAsia="仿宋"/>
                <w:color w:val="000000"/>
                <w:sz w:val="24"/>
                <w:szCs w:val="24"/>
              </w:rPr>
              <w:t>根据残特奥会特点重新定制业务流程，为残特奥会提供服务。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vAlign w:val="center"/>
          </w:tcPr>
          <w:p>
            <w:pPr>
              <w:spacing w:line="276" w:lineRule="auto"/>
              <w:ind w:firstLine="200"/>
              <w:rPr>
                <w:rFonts w:ascii="仿宋" w:hAnsi="仿宋" w:eastAsia="仿宋"/>
                <w:color w:val="000000"/>
                <w:sz w:val="24"/>
                <w:szCs w:val="24"/>
              </w:rPr>
            </w:pPr>
            <w:r>
              <w:rPr>
                <w:rFonts w:hint="eastAsia" w:ascii="仿宋" w:hAnsi="仿宋" w:eastAsia="仿宋"/>
                <w:color w:val="000000"/>
                <w:sz w:val="24"/>
                <w:szCs w:val="24"/>
              </w:rPr>
              <w:t>2</w:t>
            </w:r>
          </w:p>
        </w:tc>
        <w:tc>
          <w:tcPr>
            <w:tcW w:w="2050" w:type="dxa"/>
            <w:vAlign w:val="center"/>
          </w:tcPr>
          <w:p>
            <w:pPr>
              <w:spacing w:line="276" w:lineRule="auto"/>
              <w:ind w:firstLine="38" w:firstLineChars="16"/>
              <w:rPr>
                <w:rFonts w:ascii="仿宋" w:hAnsi="仿宋" w:eastAsia="仿宋"/>
                <w:color w:val="000000"/>
                <w:sz w:val="24"/>
                <w:szCs w:val="24"/>
              </w:rPr>
            </w:pPr>
            <w:r>
              <w:rPr>
                <w:rFonts w:hint="eastAsia" w:ascii="仿宋" w:hAnsi="仿宋" w:eastAsia="仿宋"/>
                <w:color w:val="000000"/>
                <w:sz w:val="24"/>
                <w:szCs w:val="24"/>
              </w:rPr>
              <w:t>礼宾管理系统</w:t>
            </w:r>
          </w:p>
        </w:tc>
        <w:tc>
          <w:tcPr>
            <w:tcW w:w="5607" w:type="dxa"/>
            <w:vAlign w:val="center"/>
          </w:tcPr>
          <w:p>
            <w:pPr>
              <w:spacing w:line="276" w:lineRule="auto"/>
              <w:rPr>
                <w:rFonts w:ascii="仿宋" w:hAnsi="仿宋" w:eastAsia="仿宋"/>
                <w:color w:val="000000"/>
                <w:sz w:val="24"/>
                <w:szCs w:val="24"/>
              </w:rPr>
            </w:pPr>
            <w:r>
              <w:rPr>
                <w:rFonts w:hint="eastAsia" w:ascii="仿宋" w:hAnsi="仿宋" w:eastAsia="仿宋"/>
                <w:color w:val="000000"/>
                <w:sz w:val="24"/>
                <w:szCs w:val="24"/>
              </w:rPr>
              <w:t>根据残特奥会特点重新定制业务流程，为残特奥会提供服务。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vAlign w:val="center"/>
          </w:tcPr>
          <w:p>
            <w:pPr>
              <w:spacing w:line="276" w:lineRule="auto"/>
              <w:ind w:firstLine="200"/>
              <w:rPr>
                <w:rFonts w:ascii="仿宋" w:hAnsi="仿宋" w:eastAsia="仿宋"/>
                <w:color w:val="000000"/>
                <w:sz w:val="24"/>
                <w:szCs w:val="24"/>
              </w:rPr>
            </w:pPr>
            <w:r>
              <w:rPr>
                <w:rFonts w:hint="eastAsia" w:ascii="仿宋" w:hAnsi="仿宋" w:eastAsia="仿宋"/>
                <w:color w:val="000000"/>
                <w:sz w:val="24"/>
                <w:szCs w:val="24"/>
              </w:rPr>
              <w:t>3</w:t>
            </w:r>
          </w:p>
        </w:tc>
        <w:tc>
          <w:tcPr>
            <w:tcW w:w="2050" w:type="dxa"/>
            <w:vAlign w:val="center"/>
          </w:tcPr>
          <w:p>
            <w:pPr>
              <w:spacing w:line="276" w:lineRule="auto"/>
              <w:ind w:firstLine="38" w:firstLineChars="16"/>
              <w:rPr>
                <w:rFonts w:ascii="仿宋" w:hAnsi="仿宋" w:eastAsia="仿宋"/>
                <w:color w:val="000000"/>
                <w:sz w:val="24"/>
                <w:szCs w:val="24"/>
              </w:rPr>
            </w:pPr>
            <w:r>
              <w:rPr>
                <w:rFonts w:hint="eastAsia" w:ascii="仿宋" w:hAnsi="仿宋" w:eastAsia="仿宋"/>
                <w:color w:val="000000"/>
                <w:sz w:val="24"/>
                <w:szCs w:val="24"/>
              </w:rPr>
              <w:t>医疗管理系统</w:t>
            </w:r>
          </w:p>
        </w:tc>
        <w:tc>
          <w:tcPr>
            <w:tcW w:w="5607" w:type="dxa"/>
            <w:vAlign w:val="center"/>
          </w:tcPr>
          <w:p>
            <w:pPr>
              <w:spacing w:line="276" w:lineRule="auto"/>
              <w:rPr>
                <w:rFonts w:ascii="仿宋" w:hAnsi="仿宋" w:eastAsia="仿宋"/>
                <w:color w:val="000000"/>
                <w:sz w:val="24"/>
                <w:szCs w:val="24"/>
              </w:rPr>
            </w:pPr>
            <w:r>
              <w:rPr>
                <w:rFonts w:hint="eastAsia" w:ascii="仿宋" w:hAnsi="仿宋" w:eastAsia="仿宋"/>
                <w:color w:val="000000"/>
                <w:sz w:val="24"/>
                <w:szCs w:val="24"/>
              </w:rPr>
              <w:t>根据残特奥会特点重新定制业务流程，为残特奥会提供服务。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vAlign w:val="center"/>
          </w:tcPr>
          <w:p>
            <w:pPr>
              <w:spacing w:line="276" w:lineRule="auto"/>
              <w:ind w:firstLine="200"/>
              <w:rPr>
                <w:rFonts w:ascii="仿宋" w:hAnsi="仿宋" w:eastAsia="仿宋"/>
                <w:color w:val="000000"/>
                <w:sz w:val="24"/>
                <w:szCs w:val="24"/>
              </w:rPr>
            </w:pPr>
            <w:r>
              <w:rPr>
                <w:rFonts w:hint="eastAsia" w:ascii="仿宋" w:hAnsi="仿宋" w:eastAsia="仿宋"/>
                <w:color w:val="000000"/>
                <w:sz w:val="24"/>
                <w:szCs w:val="24"/>
              </w:rPr>
              <w:t>4</w:t>
            </w:r>
          </w:p>
        </w:tc>
        <w:tc>
          <w:tcPr>
            <w:tcW w:w="2050" w:type="dxa"/>
            <w:vAlign w:val="center"/>
          </w:tcPr>
          <w:p>
            <w:pPr>
              <w:spacing w:line="276" w:lineRule="auto"/>
              <w:ind w:firstLine="38" w:firstLineChars="16"/>
              <w:rPr>
                <w:rFonts w:ascii="仿宋" w:hAnsi="仿宋" w:eastAsia="仿宋"/>
                <w:color w:val="000000"/>
                <w:sz w:val="24"/>
                <w:szCs w:val="24"/>
              </w:rPr>
            </w:pPr>
            <w:r>
              <w:rPr>
                <w:rFonts w:hint="eastAsia" w:ascii="仿宋" w:hAnsi="仿宋" w:eastAsia="仿宋"/>
                <w:color w:val="000000"/>
                <w:sz w:val="24"/>
                <w:szCs w:val="24"/>
              </w:rPr>
              <w:t>交通管理系统</w:t>
            </w:r>
          </w:p>
        </w:tc>
        <w:tc>
          <w:tcPr>
            <w:tcW w:w="5607" w:type="dxa"/>
            <w:vAlign w:val="center"/>
          </w:tcPr>
          <w:p>
            <w:pPr>
              <w:spacing w:line="276" w:lineRule="auto"/>
              <w:rPr>
                <w:rFonts w:ascii="仿宋" w:hAnsi="仿宋" w:eastAsia="仿宋"/>
                <w:color w:val="000000"/>
                <w:sz w:val="24"/>
                <w:szCs w:val="24"/>
              </w:rPr>
            </w:pPr>
            <w:r>
              <w:rPr>
                <w:rFonts w:hint="eastAsia" w:ascii="仿宋" w:hAnsi="仿宋" w:eastAsia="仿宋"/>
                <w:color w:val="000000"/>
                <w:sz w:val="24"/>
                <w:szCs w:val="24"/>
              </w:rPr>
              <w:t>根据残特奥会特点重新定制业务流程，为残特奥会提供服务。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vAlign w:val="center"/>
          </w:tcPr>
          <w:p>
            <w:pPr>
              <w:spacing w:line="276" w:lineRule="auto"/>
              <w:ind w:firstLine="200"/>
              <w:rPr>
                <w:rFonts w:ascii="仿宋" w:hAnsi="仿宋" w:eastAsia="仿宋"/>
                <w:color w:val="000000"/>
                <w:sz w:val="24"/>
                <w:szCs w:val="24"/>
              </w:rPr>
            </w:pPr>
            <w:r>
              <w:rPr>
                <w:rFonts w:hint="eastAsia" w:ascii="仿宋" w:hAnsi="仿宋" w:eastAsia="仿宋"/>
                <w:color w:val="000000"/>
                <w:sz w:val="24"/>
                <w:szCs w:val="24"/>
              </w:rPr>
              <w:t>5</w:t>
            </w:r>
          </w:p>
        </w:tc>
        <w:tc>
          <w:tcPr>
            <w:tcW w:w="2050" w:type="dxa"/>
            <w:vAlign w:val="center"/>
          </w:tcPr>
          <w:p>
            <w:pPr>
              <w:spacing w:line="276" w:lineRule="auto"/>
              <w:ind w:firstLine="38" w:firstLineChars="16"/>
              <w:rPr>
                <w:rFonts w:ascii="仿宋" w:hAnsi="仿宋" w:eastAsia="仿宋"/>
                <w:color w:val="000000"/>
                <w:sz w:val="24"/>
                <w:szCs w:val="24"/>
              </w:rPr>
            </w:pPr>
            <w:r>
              <w:rPr>
                <w:rFonts w:hint="eastAsia" w:ascii="仿宋" w:hAnsi="仿宋" w:eastAsia="仿宋"/>
                <w:color w:val="000000"/>
                <w:sz w:val="24"/>
                <w:szCs w:val="24"/>
              </w:rPr>
              <w:t>制服管理系统</w:t>
            </w:r>
          </w:p>
        </w:tc>
        <w:tc>
          <w:tcPr>
            <w:tcW w:w="5607" w:type="dxa"/>
            <w:vAlign w:val="center"/>
          </w:tcPr>
          <w:p>
            <w:pPr>
              <w:spacing w:line="276" w:lineRule="auto"/>
              <w:rPr>
                <w:rFonts w:ascii="仿宋" w:hAnsi="仿宋" w:eastAsia="仿宋"/>
                <w:color w:val="000000"/>
                <w:sz w:val="24"/>
                <w:szCs w:val="24"/>
              </w:rPr>
            </w:pPr>
            <w:r>
              <w:rPr>
                <w:rFonts w:hint="eastAsia" w:ascii="仿宋" w:hAnsi="仿宋" w:eastAsia="仿宋"/>
                <w:color w:val="000000"/>
                <w:sz w:val="24"/>
                <w:szCs w:val="24"/>
              </w:rPr>
              <w:t>根据残特奥会特点重新定制业务流程，为残特奥会提供服务。</w:t>
            </w:r>
          </w:p>
        </w:tc>
      </w:tr>
    </w:tbl>
    <w:p>
      <w:pPr>
        <w:pStyle w:val="4"/>
        <w:spacing w:line="276" w:lineRule="auto"/>
        <w:rPr>
          <w:rFonts w:ascii="仿宋" w:hAnsi="仿宋" w:eastAsia="仿宋"/>
          <w:sz w:val="24"/>
          <w:szCs w:val="24"/>
        </w:rPr>
      </w:pPr>
      <w:bookmarkStart w:id="35" w:name="_Toc51493551"/>
      <w:r>
        <w:rPr>
          <w:rFonts w:hint="eastAsia" w:ascii="仿宋" w:hAnsi="仿宋" w:eastAsia="仿宋"/>
          <w:sz w:val="24"/>
          <w:szCs w:val="24"/>
        </w:rPr>
        <w:t>残特奥会新增服务内容</w:t>
      </w:r>
      <w:bookmarkEnd w:id="35"/>
    </w:p>
    <w:p>
      <w:pPr>
        <w:pStyle w:val="157"/>
        <w:numPr>
          <w:ilvl w:val="0"/>
          <w:numId w:val="36"/>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注册管理系统</w:t>
      </w:r>
    </w:p>
    <w:p>
      <w:pPr>
        <w:spacing w:line="276" w:lineRule="auto"/>
        <w:ind w:firstLine="480" w:firstLineChars="200"/>
        <w:rPr>
          <w:rFonts w:ascii="仿宋" w:hAnsi="仿宋" w:eastAsia="仿宋"/>
          <w:sz w:val="24"/>
          <w:szCs w:val="24"/>
        </w:rPr>
      </w:pPr>
      <w:r>
        <w:rPr>
          <w:rFonts w:hint="eastAsia" w:ascii="仿宋" w:hAnsi="仿宋" w:eastAsia="仿宋"/>
          <w:sz w:val="24"/>
          <w:szCs w:val="24"/>
        </w:rPr>
        <w:t>残特奥会注册管理系统是对参加本届残特奥会的参赛人员、赛事管理人员、嘉宾人员、工作人员、媒体人员等进行身份鉴别和确认的系统。</w:t>
      </w:r>
    </w:p>
    <w:p>
      <w:pPr>
        <w:spacing w:line="276" w:lineRule="auto"/>
        <w:ind w:firstLine="480" w:firstLineChars="200"/>
        <w:rPr>
          <w:rFonts w:ascii="仿宋" w:hAnsi="仿宋" w:eastAsia="仿宋"/>
          <w:sz w:val="24"/>
          <w:szCs w:val="24"/>
        </w:rPr>
      </w:pPr>
      <w:r>
        <w:rPr>
          <w:rFonts w:hint="eastAsia" w:ascii="仿宋" w:hAnsi="仿宋" w:eastAsia="仿宋"/>
          <w:sz w:val="24"/>
          <w:szCs w:val="24"/>
        </w:rPr>
        <w:t>残特奥会注册管理系统主要功能包括但不限于：基础数据管理、系统管理、登录及主页、注册申请管理、数据审核管理、数据交换管理、卡数据管理、报表输出管理、在线注册管理、数据接口服务、数据导入服务、注册</w:t>
      </w:r>
      <w:r>
        <w:rPr>
          <w:rFonts w:ascii="仿宋" w:hAnsi="仿宋" w:eastAsia="仿宋"/>
          <w:sz w:val="24"/>
          <w:szCs w:val="24"/>
        </w:rPr>
        <w:t>APP</w:t>
      </w:r>
      <w:r>
        <w:rPr>
          <w:rFonts w:hint="eastAsia" w:ascii="仿宋" w:hAnsi="仿宋" w:eastAsia="仿宋"/>
          <w:sz w:val="24"/>
          <w:szCs w:val="24"/>
        </w:rPr>
        <w:t>等。</w:t>
      </w:r>
    </w:p>
    <w:p>
      <w:pPr>
        <w:spacing w:line="276" w:lineRule="auto"/>
        <w:ind w:firstLine="480" w:firstLineChars="200"/>
        <w:rPr>
          <w:rFonts w:ascii="仿宋" w:hAnsi="仿宋" w:eastAsia="仿宋"/>
          <w:sz w:val="24"/>
          <w:szCs w:val="24"/>
        </w:rPr>
      </w:pPr>
      <w:r>
        <w:rPr>
          <w:rFonts w:hint="eastAsia" w:ascii="仿宋" w:hAnsi="仿宋" w:eastAsia="仿宋"/>
          <w:sz w:val="24"/>
          <w:szCs w:val="24"/>
        </w:rPr>
        <w:t>残特奥会注册管理系统须根据残特奥会特点重新定制业务流程，并根据残特奥会特点修改相关功能，如注册字段、信息来源及接口等。</w:t>
      </w:r>
    </w:p>
    <w:p>
      <w:pPr>
        <w:pStyle w:val="24"/>
        <w:spacing w:line="276" w:lineRule="auto"/>
        <w:ind w:left="980" w:hanging="560"/>
        <w:rPr>
          <w:rFonts w:ascii="仿宋" w:hAnsi="仿宋" w:eastAsia="仿宋"/>
          <w:b/>
          <w:sz w:val="24"/>
          <w:highlight w:val="yellow"/>
        </w:rPr>
      </w:pPr>
      <w:r>
        <w:rPr>
          <w:rFonts w:hint="eastAsia" w:ascii="仿宋" w:hAnsi="仿宋" w:eastAsia="仿宋"/>
          <w:sz w:val="24"/>
        </w:rPr>
        <w:t>数据导入服务须将中残联竞赛报名系统中的运动员报名报项数据导入残特奥会注册管理系统。</w:t>
      </w:r>
    </w:p>
    <w:p>
      <w:pPr>
        <w:pStyle w:val="2"/>
        <w:keepNext/>
        <w:keepLines/>
        <w:autoSpaceDE/>
        <w:autoSpaceDN/>
        <w:adjustRightInd/>
        <w:spacing w:before="340" w:after="330" w:line="276" w:lineRule="auto"/>
        <w:jc w:val="both"/>
        <w:rPr>
          <w:rFonts w:ascii="仿宋" w:hAnsi="仿宋" w:eastAsia="仿宋"/>
          <w:sz w:val="24"/>
          <w:szCs w:val="24"/>
        </w:rPr>
      </w:pPr>
      <w:bookmarkStart w:id="36" w:name="_Toc51493552"/>
      <w:r>
        <w:rPr>
          <w:rFonts w:hint="eastAsia" w:ascii="仿宋" w:hAnsi="仿宋" w:eastAsia="仿宋"/>
          <w:sz w:val="24"/>
          <w:szCs w:val="24"/>
        </w:rPr>
        <w:t>服务要求</w:t>
      </w:r>
      <w:bookmarkEnd w:id="36"/>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本节仅规定了本项目最低限度的服务要求，并未规定所有的服务要求和适用的标准。服务提供商应根据自身</w:t>
      </w:r>
      <w:r>
        <w:rPr>
          <w:rFonts w:ascii="仿宋" w:hAnsi="仿宋" w:eastAsia="仿宋"/>
          <w:sz w:val="24"/>
          <w:szCs w:val="24"/>
        </w:rPr>
        <w:t>的经验和能力，</w:t>
      </w:r>
      <w:r>
        <w:rPr>
          <w:rFonts w:hint="eastAsia" w:ascii="仿宋" w:hAnsi="仿宋" w:eastAsia="仿宋"/>
          <w:sz w:val="24"/>
          <w:szCs w:val="24"/>
        </w:rPr>
        <w:t>在</w:t>
      </w:r>
      <w:r>
        <w:rPr>
          <w:rFonts w:ascii="仿宋" w:hAnsi="仿宋" w:eastAsia="仿宋"/>
          <w:sz w:val="24"/>
          <w:szCs w:val="24"/>
        </w:rPr>
        <w:t>充分</w:t>
      </w:r>
      <w:r>
        <w:rPr>
          <w:rFonts w:hint="eastAsia" w:ascii="仿宋" w:hAnsi="仿宋" w:eastAsia="仿宋"/>
          <w:sz w:val="24"/>
          <w:szCs w:val="24"/>
        </w:rPr>
        <w:t>理解所有</w:t>
      </w:r>
      <w:r>
        <w:rPr>
          <w:rFonts w:ascii="仿宋" w:hAnsi="仿宋" w:eastAsia="仿宋"/>
          <w:sz w:val="24"/>
          <w:szCs w:val="24"/>
        </w:rPr>
        <w:t>参与者需求</w:t>
      </w:r>
      <w:r>
        <w:rPr>
          <w:rFonts w:hint="eastAsia" w:ascii="仿宋" w:hAnsi="仿宋" w:eastAsia="仿宋"/>
          <w:sz w:val="24"/>
          <w:szCs w:val="24"/>
        </w:rPr>
        <w:t>的</w:t>
      </w:r>
      <w:r>
        <w:rPr>
          <w:rFonts w:ascii="仿宋" w:hAnsi="仿宋" w:eastAsia="仿宋"/>
          <w:sz w:val="24"/>
          <w:szCs w:val="24"/>
        </w:rPr>
        <w:t>基础上</w:t>
      </w:r>
      <w:r>
        <w:rPr>
          <w:rFonts w:ascii="仿宋" w:hAnsi="仿宋" w:eastAsia="仿宋"/>
          <w:color w:val="000000"/>
          <w:sz w:val="24"/>
          <w:szCs w:val="24"/>
        </w:rPr>
        <w:t>，以参与者良好体验为出发点，</w:t>
      </w:r>
      <w:r>
        <w:rPr>
          <w:rFonts w:hint="eastAsia" w:ascii="仿宋" w:hAnsi="仿宋" w:eastAsia="仿宋"/>
          <w:sz w:val="24"/>
          <w:szCs w:val="24"/>
        </w:rPr>
        <w:t>提供全面</w:t>
      </w:r>
      <w:r>
        <w:rPr>
          <w:rFonts w:ascii="仿宋" w:hAnsi="仿宋" w:eastAsia="仿宋"/>
          <w:sz w:val="24"/>
          <w:szCs w:val="24"/>
        </w:rPr>
        <w:t>、</w:t>
      </w:r>
      <w:r>
        <w:rPr>
          <w:rFonts w:hint="eastAsia" w:ascii="仿宋" w:hAnsi="仿宋" w:eastAsia="仿宋"/>
          <w:sz w:val="24"/>
          <w:szCs w:val="24"/>
        </w:rPr>
        <w:t>便捷</w:t>
      </w:r>
      <w:r>
        <w:rPr>
          <w:rFonts w:ascii="仿宋" w:hAnsi="仿宋" w:eastAsia="仿宋"/>
          <w:sz w:val="24"/>
          <w:szCs w:val="24"/>
        </w:rPr>
        <w:t>、安全</w:t>
      </w:r>
      <w:r>
        <w:rPr>
          <w:rFonts w:hint="eastAsia" w:ascii="仿宋" w:hAnsi="仿宋" w:eastAsia="仿宋"/>
          <w:sz w:val="24"/>
          <w:szCs w:val="24"/>
        </w:rPr>
        <w:t>、</w:t>
      </w:r>
      <w:r>
        <w:rPr>
          <w:rFonts w:ascii="仿宋" w:hAnsi="仿宋" w:eastAsia="仿宋"/>
          <w:sz w:val="24"/>
          <w:szCs w:val="24"/>
        </w:rPr>
        <w:t>可靠的服务</w:t>
      </w:r>
      <w:r>
        <w:rPr>
          <w:rFonts w:hint="eastAsia" w:ascii="仿宋" w:hAnsi="仿宋" w:eastAsia="仿宋"/>
          <w:sz w:val="24"/>
          <w:szCs w:val="24"/>
        </w:rPr>
        <w:t>。</w:t>
      </w:r>
    </w:p>
    <w:p>
      <w:pPr>
        <w:pStyle w:val="3"/>
        <w:spacing w:line="276" w:lineRule="auto"/>
        <w:rPr>
          <w:rFonts w:ascii="仿宋" w:hAnsi="仿宋" w:eastAsia="仿宋"/>
          <w:sz w:val="24"/>
          <w:szCs w:val="24"/>
        </w:rPr>
      </w:pPr>
      <w:bookmarkStart w:id="37" w:name="_Toc51493553"/>
      <w:r>
        <w:rPr>
          <w:rFonts w:ascii="仿宋" w:hAnsi="仿宋" w:eastAsia="仿宋"/>
          <w:sz w:val="24"/>
          <w:szCs w:val="24"/>
        </w:rPr>
        <w:t>总体要求</w:t>
      </w:r>
      <w:bookmarkEnd w:id="37"/>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服务提供商须服从组委会、国家体育总局体育信息中心领导，保证十四运会和残特奥会信息化工作安全、高效、顺利的进行。</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服务提供商应配合工程监理完成相关工作，处理工程实施过程中的出现的问题。</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应提供满足所列要求的高质量的系统及服务，采用先进、成熟、适用、安全，并业已通过使用证明是成功和可靠的信息技术和产品，所选用主要软硬件原则上要求具有相关应用案例，在任何环节均不得采用具有风险、未经严格检测、不成熟、过度冗余或具有安全隐患的信息技术和产品。</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服务提供商所提供的系统及服务必须遵循国际、国内的行业标准，符合国家体育总局体育信息中心的技术要求，切合十四运会和残特奥会赛事与赛事管理需求并满足国家有关安全、环保等强制性标准。</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除了在主数据中心、应用容灾与数据备份中心部署业务系统外，服务提供商还须在服务需求方指定的数据中心部署一套与主数据中心完全一致的业务系统作为备份，确保数据资源与主数据中心内容同步，并保证业务系统可正常运行。备份业务系统部署所需的网络、存储和计算等资源由服务需求方指定的数据中心提供。</w:t>
      </w:r>
    </w:p>
    <w:p>
      <w:pPr>
        <w:pStyle w:val="3"/>
        <w:spacing w:line="276" w:lineRule="auto"/>
        <w:rPr>
          <w:rFonts w:ascii="仿宋" w:hAnsi="仿宋" w:eastAsia="仿宋"/>
          <w:sz w:val="24"/>
          <w:szCs w:val="24"/>
        </w:rPr>
      </w:pPr>
      <w:r>
        <w:rPr>
          <w:rFonts w:ascii="仿宋" w:hAnsi="仿宋" w:eastAsia="仿宋"/>
          <w:sz w:val="24"/>
          <w:szCs w:val="24"/>
        </w:rPr>
        <w:tab/>
      </w:r>
      <w:bookmarkStart w:id="38" w:name="_Toc51493554"/>
      <w:r>
        <w:rPr>
          <w:rFonts w:ascii="仿宋" w:hAnsi="仿宋" w:eastAsia="仿宋"/>
          <w:sz w:val="24"/>
          <w:szCs w:val="24"/>
        </w:rPr>
        <w:t>建设阶段要求</w:t>
      </w:r>
      <w:bookmarkEnd w:id="38"/>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建设阶段分为方案编制和系统建设两</w:t>
      </w:r>
      <w:r>
        <w:rPr>
          <w:rFonts w:ascii="仿宋" w:hAnsi="仿宋" w:eastAsia="仿宋"/>
          <w:color w:val="000000"/>
          <w:sz w:val="24"/>
          <w:szCs w:val="24"/>
        </w:rPr>
        <w:t>个子阶段。服务提供商应根据各子阶段的服务目标和内容，合理调配人员、系统、设备等资源，提供优质服务，确保各子阶段的服务目标顺利实现。</w:t>
      </w:r>
    </w:p>
    <w:p>
      <w:pPr>
        <w:pStyle w:val="4"/>
        <w:spacing w:line="276" w:lineRule="auto"/>
        <w:rPr>
          <w:rFonts w:ascii="仿宋" w:hAnsi="仿宋" w:eastAsia="仿宋"/>
          <w:sz w:val="24"/>
          <w:szCs w:val="24"/>
        </w:rPr>
      </w:pPr>
      <w:bookmarkStart w:id="39" w:name="_Toc51493555"/>
      <w:r>
        <w:rPr>
          <w:rFonts w:ascii="仿宋" w:hAnsi="仿宋" w:eastAsia="仿宋"/>
          <w:sz w:val="24"/>
          <w:szCs w:val="24"/>
        </w:rPr>
        <w:t>方案编制</w:t>
      </w:r>
      <w:bookmarkEnd w:id="39"/>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服务提供商与服务需求方充分沟通，应根据以往经验，结合十四运会和残特奥会信息化服务的背景与需求，进行需求分析，提出满足要求的设计方案，</w:t>
      </w:r>
      <w:r>
        <w:rPr>
          <w:rFonts w:ascii="仿宋" w:hAnsi="仿宋" w:eastAsia="仿宋"/>
          <w:color w:val="000000"/>
          <w:sz w:val="24"/>
          <w:szCs w:val="24"/>
        </w:rPr>
        <w:t>并提交服务需求方确认，在服务需求方</w:t>
      </w:r>
      <w:r>
        <w:rPr>
          <w:rFonts w:hint="eastAsia" w:ascii="仿宋" w:hAnsi="仿宋" w:eastAsia="仿宋"/>
          <w:color w:val="000000"/>
          <w:sz w:val="24"/>
          <w:szCs w:val="24"/>
        </w:rPr>
        <w:t>审核</w:t>
      </w:r>
      <w:r>
        <w:rPr>
          <w:rFonts w:ascii="仿宋" w:hAnsi="仿宋" w:eastAsia="仿宋"/>
          <w:color w:val="000000"/>
          <w:sz w:val="24"/>
          <w:szCs w:val="24"/>
        </w:rPr>
        <w:t>通过后才能按照方案进行实施。</w:t>
      </w:r>
    </w:p>
    <w:p>
      <w:pPr>
        <w:pStyle w:val="4"/>
        <w:spacing w:line="276" w:lineRule="auto"/>
        <w:rPr>
          <w:rFonts w:ascii="仿宋" w:hAnsi="仿宋" w:eastAsia="仿宋"/>
          <w:sz w:val="24"/>
          <w:szCs w:val="24"/>
        </w:rPr>
      </w:pPr>
      <w:bookmarkStart w:id="40" w:name="_Toc51493556"/>
      <w:r>
        <w:rPr>
          <w:rFonts w:ascii="仿宋" w:hAnsi="仿宋" w:eastAsia="仿宋"/>
          <w:sz w:val="24"/>
          <w:szCs w:val="24"/>
        </w:rPr>
        <w:t>系统建设</w:t>
      </w:r>
      <w:bookmarkEnd w:id="40"/>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按照国家体育总局体育信息中心总体实施方案组织各系统开发与建设，及时通报开发与建设进度。及时响应服务需求方的变更要求，提出变更措施。</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服务提供商在此阶段，须按以下要求完成工作（但不限于）：</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1）应提供完整的软件开发过程文档，包括但不限于系统分析说明书、系统设计说明书、测试方案等。</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2）</w:t>
      </w:r>
      <w:r>
        <w:rPr>
          <w:rFonts w:hint="eastAsia" w:ascii="仿宋" w:hAnsi="仿宋" w:eastAsia="仿宋"/>
          <w:color w:val="000000"/>
          <w:sz w:val="24"/>
          <w:szCs w:val="24"/>
        </w:rPr>
        <w:t>应</w:t>
      </w:r>
      <w:r>
        <w:rPr>
          <w:rFonts w:ascii="仿宋" w:hAnsi="仿宋" w:eastAsia="仿宋"/>
          <w:color w:val="000000"/>
          <w:sz w:val="24"/>
          <w:szCs w:val="24"/>
        </w:rPr>
        <w:t>及时通报开发与建设进度，及时协调解决项目建设过程中出现的各种问题，及时响应服务需求方的变更要求，协调有关各方，提出变更措施并监督实施。</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3）在设计方案的基础上，根据项目的特点和信息化项目的规律，结合各个工程的实施要求，合理分配项目工作任务。</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4）梳理各系统之间的关系和集成接口，确保项目的整体实施效果。</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5）细化各系统的设计方案，对各系统的实施过程进行管控。</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6）根据各系统的实施进度和风险，对实施过程中的问题进行协调解决。</w:t>
      </w:r>
    </w:p>
    <w:p>
      <w:pPr>
        <w:pStyle w:val="3"/>
        <w:spacing w:line="276" w:lineRule="auto"/>
        <w:rPr>
          <w:rFonts w:ascii="仿宋" w:hAnsi="仿宋" w:eastAsia="仿宋"/>
          <w:sz w:val="24"/>
          <w:szCs w:val="24"/>
        </w:rPr>
      </w:pPr>
      <w:bookmarkStart w:id="41" w:name="_Toc51493557"/>
      <w:r>
        <w:rPr>
          <w:rFonts w:ascii="仿宋" w:hAnsi="仿宋" w:eastAsia="仿宋"/>
          <w:sz w:val="24"/>
          <w:szCs w:val="24"/>
        </w:rPr>
        <w:t>测试阶段要求</w:t>
      </w:r>
      <w:bookmarkEnd w:id="41"/>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测试阶段分为集成测试、测试赛、联调联试</w:t>
      </w:r>
      <w:r>
        <w:rPr>
          <w:rFonts w:ascii="仿宋" w:hAnsi="仿宋" w:eastAsia="仿宋"/>
          <w:color w:val="000000"/>
          <w:sz w:val="24"/>
          <w:szCs w:val="24"/>
        </w:rPr>
        <w:t>3个子阶段。服务提供商应根据各子阶段的服务目标和内容，合理调配人员、系统、设备等资源，提供优质服务，确保各子阶段的服务目标顺利实现。</w:t>
      </w:r>
    </w:p>
    <w:p>
      <w:pPr>
        <w:pStyle w:val="4"/>
        <w:spacing w:line="276" w:lineRule="auto"/>
        <w:rPr>
          <w:rFonts w:ascii="仿宋" w:hAnsi="仿宋" w:eastAsia="仿宋"/>
          <w:sz w:val="24"/>
          <w:szCs w:val="24"/>
        </w:rPr>
      </w:pPr>
      <w:bookmarkStart w:id="42" w:name="_Toc51493558"/>
      <w:r>
        <w:rPr>
          <w:rFonts w:ascii="仿宋" w:hAnsi="仿宋" w:eastAsia="仿宋"/>
          <w:sz w:val="24"/>
          <w:szCs w:val="24"/>
        </w:rPr>
        <w:t>集成测试</w:t>
      </w:r>
      <w:bookmarkEnd w:id="42"/>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根据国家体育总局体育信息中心《总体测试方案》要求，组织各项目和各场馆实施集成测试，及时通报测试进度，协调解决集成测试过程中出现的各种问题，提出整改措施并监督实施。</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派遣人员驻场工作，完成各系统测试包括整个系统端到端功能性测试、各系统之间的接口测试、性能、压力、安全等非功能性测试，提交测试报告。</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另外还须进行模拟测试、一致性测试和现场测试等内容，出具新技术及集成测试实验室的测试报告，以确保系统的功能和性能能够满足十四运会和残特奥会比赛的要求。</w:t>
      </w:r>
    </w:p>
    <w:p>
      <w:pPr>
        <w:pStyle w:val="4"/>
        <w:spacing w:line="276" w:lineRule="auto"/>
        <w:rPr>
          <w:rFonts w:ascii="仿宋" w:hAnsi="仿宋" w:eastAsia="仿宋"/>
          <w:sz w:val="24"/>
          <w:szCs w:val="24"/>
        </w:rPr>
      </w:pPr>
      <w:bookmarkStart w:id="43" w:name="_Toc51493559"/>
      <w:r>
        <w:rPr>
          <w:rFonts w:ascii="仿宋" w:hAnsi="仿宋" w:eastAsia="仿宋"/>
          <w:sz w:val="24"/>
          <w:szCs w:val="24"/>
        </w:rPr>
        <w:t>测试赛</w:t>
      </w:r>
      <w:bookmarkEnd w:id="43"/>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按照组委会、国家体育总局体育信息中心要求组织实施测试赛赛事运行、维护、保障服务，发现并解决在测试赛中出现的技术问题。</w:t>
      </w:r>
    </w:p>
    <w:p>
      <w:pPr>
        <w:pStyle w:val="4"/>
        <w:spacing w:line="276" w:lineRule="auto"/>
        <w:rPr>
          <w:rFonts w:ascii="仿宋" w:hAnsi="仿宋" w:eastAsia="仿宋"/>
          <w:sz w:val="24"/>
          <w:szCs w:val="24"/>
        </w:rPr>
      </w:pPr>
      <w:bookmarkStart w:id="44" w:name="_Toc51493560"/>
      <w:r>
        <w:rPr>
          <w:rFonts w:ascii="仿宋" w:hAnsi="仿宋" w:eastAsia="仿宋"/>
          <w:sz w:val="24"/>
          <w:szCs w:val="24"/>
        </w:rPr>
        <w:t>联调联试</w:t>
      </w:r>
      <w:bookmarkEnd w:id="44"/>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派遣人员驻场与其他项目相关系统和服务进行联调联试，测试所有系统的功能、服务水平及运行流程是否能够满足赛时的要求。及时解决联调联试过程中发现的技术问题。</w:t>
      </w:r>
    </w:p>
    <w:p>
      <w:pPr>
        <w:pStyle w:val="3"/>
        <w:spacing w:line="276" w:lineRule="auto"/>
        <w:rPr>
          <w:rFonts w:ascii="仿宋" w:hAnsi="仿宋" w:eastAsia="仿宋"/>
          <w:sz w:val="24"/>
          <w:szCs w:val="24"/>
        </w:rPr>
      </w:pPr>
      <w:bookmarkStart w:id="45" w:name="_Toc51493561"/>
      <w:r>
        <w:rPr>
          <w:rFonts w:ascii="仿宋" w:hAnsi="仿宋" w:eastAsia="仿宋"/>
          <w:sz w:val="24"/>
          <w:szCs w:val="24"/>
        </w:rPr>
        <w:t>运行服务阶段要求</w:t>
      </w:r>
      <w:bookmarkEnd w:id="45"/>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运行服务阶段分为正式比赛和赛事收尾两</w:t>
      </w:r>
      <w:r>
        <w:rPr>
          <w:rFonts w:ascii="仿宋" w:hAnsi="仿宋" w:eastAsia="仿宋"/>
          <w:color w:val="000000"/>
          <w:sz w:val="24"/>
          <w:szCs w:val="24"/>
        </w:rPr>
        <w:t>个子阶段。正式比赛子阶段包括开闭幕式以及所有正式比赛项目。服务提供商应根据各个子阶段的服务目标和内容，合理调配人员、系统、设备等资源，提供优质服务，确保各个子阶段的服务目标顺利实现。</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服务提供商须按照组委会、国家体育总局体育信息中心和国家标准《信息技术服务</w:t>
      </w:r>
      <w:r>
        <w:rPr>
          <w:rFonts w:ascii="仿宋" w:hAnsi="仿宋" w:eastAsia="仿宋"/>
          <w:color w:val="000000"/>
          <w:sz w:val="24"/>
          <w:szCs w:val="24"/>
        </w:rPr>
        <w:t xml:space="preserve"> 运行维护》（GB∕T 28827）的要求提供相应的运维服务。</w:t>
      </w:r>
    </w:p>
    <w:p>
      <w:pPr>
        <w:pStyle w:val="4"/>
        <w:spacing w:line="276" w:lineRule="auto"/>
        <w:rPr>
          <w:rFonts w:ascii="仿宋" w:hAnsi="仿宋" w:eastAsia="仿宋"/>
          <w:sz w:val="24"/>
          <w:szCs w:val="24"/>
        </w:rPr>
      </w:pPr>
      <w:bookmarkStart w:id="46" w:name="_Toc51493562"/>
      <w:r>
        <w:rPr>
          <w:rFonts w:ascii="仿宋" w:hAnsi="仿宋" w:eastAsia="仿宋"/>
          <w:sz w:val="24"/>
          <w:szCs w:val="24"/>
        </w:rPr>
        <w:t>正式比赛</w:t>
      </w:r>
      <w:bookmarkEnd w:id="46"/>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按照服务内容的服务水平定义提供正式比赛及重大活动的系统运行、维护和保障服务。</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负责协助组织十四运会和残特奥会信息化项目在正式比赛阶段运行，负责协助解决在正式比赛运行阶段出现的技术问题。</w:t>
      </w:r>
    </w:p>
    <w:p>
      <w:pPr>
        <w:pStyle w:val="4"/>
        <w:spacing w:line="276" w:lineRule="auto"/>
        <w:rPr>
          <w:rFonts w:ascii="仿宋" w:hAnsi="仿宋" w:eastAsia="仿宋"/>
          <w:sz w:val="24"/>
          <w:szCs w:val="24"/>
        </w:rPr>
      </w:pPr>
      <w:bookmarkStart w:id="47" w:name="_Toc51493563"/>
      <w:r>
        <w:rPr>
          <w:rFonts w:ascii="仿宋" w:hAnsi="仿宋" w:eastAsia="仿宋"/>
          <w:sz w:val="24"/>
          <w:szCs w:val="24"/>
        </w:rPr>
        <w:t>赛事收尾</w:t>
      </w:r>
      <w:bookmarkEnd w:id="47"/>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正式比赛结束后对系统及服务的相关工作进行收尾工作，包括但不限于服务关闭、资料汇总归档、配合审计等。</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1）各类服务的关闭和设备的拆除应组织有序、登记在册；移交的资产应提供详实的说明文档，移交过程要有交接清单，并经双方签字盖章确认。</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2）服务提供商提供的信息化建设项目归档资料应全面且装订成册，方便查询。</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3）服务提供商在审计部门审计过程中应提供7×24小时服务，提供的资料应详实可信，确保审计工作顺利完成。</w:t>
      </w:r>
    </w:p>
    <w:p>
      <w:pPr>
        <w:pStyle w:val="2"/>
        <w:keepNext/>
        <w:keepLines/>
        <w:autoSpaceDE/>
        <w:autoSpaceDN/>
        <w:adjustRightInd/>
        <w:spacing w:before="340" w:after="330" w:line="276" w:lineRule="auto"/>
        <w:jc w:val="both"/>
        <w:rPr>
          <w:rFonts w:ascii="仿宋" w:hAnsi="仿宋" w:eastAsia="仿宋"/>
          <w:sz w:val="24"/>
          <w:szCs w:val="24"/>
        </w:rPr>
      </w:pPr>
      <w:bookmarkStart w:id="48" w:name="_Toc51493564"/>
      <w:r>
        <w:rPr>
          <w:rFonts w:hint="eastAsia" w:ascii="仿宋" w:hAnsi="仿宋" w:eastAsia="仿宋"/>
          <w:sz w:val="24"/>
          <w:szCs w:val="24"/>
        </w:rPr>
        <w:t>服务保障要求</w:t>
      </w:r>
      <w:bookmarkEnd w:id="48"/>
    </w:p>
    <w:p>
      <w:pPr>
        <w:pStyle w:val="3"/>
        <w:spacing w:line="276" w:lineRule="auto"/>
        <w:rPr>
          <w:rFonts w:ascii="仿宋" w:hAnsi="仿宋" w:eastAsia="仿宋"/>
          <w:sz w:val="24"/>
          <w:szCs w:val="24"/>
        </w:rPr>
      </w:pPr>
      <w:bookmarkStart w:id="49" w:name="_Toc51493565"/>
      <w:r>
        <w:rPr>
          <w:rFonts w:ascii="仿宋" w:hAnsi="仿宋" w:eastAsia="仿宋"/>
          <w:sz w:val="24"/>
          <w:szCs w:val="24"/>
        </w:rPr>
        <w:t>服务时间及服务方式要求</w:t>
      </w:r>
      <w:bookmarkEnd w:id="49"/>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服务时间：提供</w:t>
      </w:r>
      <w:r>
        <w:rPr>
          <w:rFonts w:ascii="仿宋" w:hAnsi="仿宋" w:eastAsia="仿宋"/>
          <w:color w:val="000000"/>
          <w:sz w:val="24"/>
          <w:szCs w:val="24"/>
        </w:rPr>
        <w:t>7*24小时不间断服务。</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服务方式：驻场服务</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服务提供商须为本项目组建稳定的、专业的、独立的服务团队，须在竞赛所在地设立专门的服务机构，专门负责本项目需求确认、系统部署、联调联试、赛前准备、赛时运行保障等工作。</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服务提供商须根据服务内容，提供满足服务需求，足以保证服务运行的服务人员，在系统集成、系统测试、联调联试、赛事运行以及重大活动期间提供相应的服务。</w:t>
      </w:r>
    </w:p>
    <w:p>
      <w:pPr>
        <w:pStyle w:val="3"/>
        <w:spacing w:line="276" w:lineRule="auto"/>
        <w:rPr>
          <w:rFonts w:ascii="仿宋" w:hAnsi="仿宋" w:eastAsia="仿宋"/>
          <w:sz w:val="24"/>
          <w:szCs w:val="24"/>
        </w:rPr>
      </w:pPr>
      <w:bookmarkStart w:id="50" w:name="_Toc51493566"/>
      <w:r>
        <w:rPr>
          <w:rFonts w:ascii="仿宋" w:hAnsi="仿宋" w:eastAsia="仿宋"/>
          <w:sz w:val="24"/>
          <w:szCs w:val="24"/>
        </w:rPr>
        <w:t>例行操作要求</w:t>
      </w:r>
      <w:bookmarkEnd w:id="50"/>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巡检要求：服务提供商应根据不同的服务内容，提出关键巡检指标，制定巡检计划。</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备份要求：服务提供商应根据不同的服务内容，提出备份策略，制定备份计划，保证在服务期间，如果发生问题，不影响服务的正常交付。</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服务结束后应提交巡检报告。</w:t>
      </w:r>
    </w:p>
    <w:p>
      <w:pPr>
        <w:pStyle w:val="3"/>
        <w:spacing w:line="276" w:lineRule="auto"/>
        <w:rPr>
          <w:rFonts w:ascii="仿宋" w:hAnsi="仿宋" w:eastAsia="仿宋"/>
          <w:sz w:val="24"/>
          <w:szCs w:val="24"/>
        </w:rPr>
      </w:pPr>
      <w:bookmarkStart w:id="51" w:name="_Toc51493567"/>
      <w:r>
        <w:rPr>
          <w:rFonts w:ascii="仿宋" w:hAnsi="仿宋" w:eastAsia="仿宋"/>
          <w:sz w:val="24"/>
          <w:szCs w:val="24"/>
        </w:rPr>
        <w:t>响应支持要求</w:t>
      </w:r>
      <w:bookmarkEnd w:id="51"/>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服务提供商应建立故障响应的机制，根据不同的服务内容，定义故障等级，按照故障等级进行响应。如涉及到核心功能的变更，必须提前三天向服务需求方提交变更申请，经审批后准予变更。</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服务结束后应提交故障总结报告。</w:t>
      </w:r>
    </w:p>
    <w:p>
      <w:pPr>
        <w:pStyle w:val="3"/>
        <w:spacing w:line="276" w:lineRule="auto"/>
        <w:rPr>
          <w:rFonts w:ascii="仿宋" w:hAnsi="仿宋" w:eastAsia="仿宋"/>
          <w:sz w:val="24"/>
          <w:szCs w:val="24"/>
        </w:rPr>
      </w:pPr>
      <w:bookmarkStart w:id="52" w:name="_Toc51493568"/>
      <w:r>
        <w:rPr>
          <w:rFonts w:ascii="仿宋" w:hAnsi="仿宋" w:eastAsia="仿宋"/>
          <w:sz w:val="24"/>
          <w:szCs w:val="24"/>
        </w:rPr>
        <w:t>应急响应要求</w:t>
      </w:r>
      <w:bookmarkEnd w:id="52"/>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服务提供商应根据不同的服务内容，制定相应的应急预案。应急预案应包括启动时机、应急组织、应急人员联络方式及详尽的应急方法和处理措施。</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服务期间如果发生应急事件，服务结束后应提交应急响应报告。</w:t>
      </w:r>
    </w:p>
    <w:p>
      <w:pPr>
        <w:pStyle w:val="3"/>
        <w:spacing w:line="276" w:lineRule="auto"/>
        <w:rPr>
          <w:rFonts w:ascii="仿宋" w:hAnsi="仿宋" w:eastAsia="仿宋"/>
          <w:sz w:val="24"/>
          <w:szCs w:val="24"/>
        </w:rPr>
      </w:pPr>
      <w:bookmarkStart w:id="53" w:name="_Toc51493569"/>
      <w:r>
        <w:rPr>
          <w:rFonts w:ascii="仿宋" w:hAnsi="仿宋" w:eastAsia="仿宋"/>
          <w:sz w:val="24"/>
          <w:szCs w:val="24"/>
        </w:rPr>
        <w:t>可用性要求</w:t>
      </w:r>
      <w:bookmarkEnd w:id="53"/>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在正式比赛期间，确保服务的可用性达到各系统可用性设计指标。</w:t>
      </w:r>
    </w:p>
    <w:p>
      <w:pPr>
        <w:pStyle w:val="2"/>
        <w:keepNext/>
        <w:keepLines/>
        <w:autoSpaceDE/>
        <w:autoSpaceDN/>
        <w:adjustRightInd/>
        <w:spacing w:before="340" w:after="330" w:line="276" w:lineRule="auto"/>
        <w:jc w:val="both"/>
        <w:rPr>
          <w:rFonts w:ascii="仿宋" w:hAnsi="仿宋" w:eastAsia="仿宋"/>
          <w:sz w:val="24"/>
          <w:szCs w:val="24"/>
        </w:rPr>
      </w:pPr>
      <w:bookmarkStart w:id="54" w:name="_Toc51493570"/>
      <w:r>
        <w:rPr>
          <w:rFonts w:hint="eastAsia" w:ascii="仿宋" w:hAnsi="仿宋" w:eastAsia="仿宋"/>
          <w:sz w:val="24"/>
          <w:szCs w:val="24"/>
        </w:rPr>
        <w:t>培训要求</w:t>
      </w:r>
      <w:bookmarkEnd w:id="54"/>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服务提供商应从全局角度出发，提供完整的培训方案，制定培训计划。</w:t>
      </w:r>
    </w:p>
    <w:p>
      <w:pPr>
        <w:pStyle w:val="3"/>
        <w:spacing w:line="276" w:lineRule="auto"/>
        <w:rPr>
          <w:rFonts w:ascii="仿宋" w:hAnsi="仿宋" w:eastAsia="仿宋"/>
          <w:sz w:val="24"/>
          <w:szCs w:val="24"/>
        </w:rPr>
      </w:pPr>
      <w:bookmarkStart w:id="55" w:name="_Toc51493571"/>
      <w:r>
        <w:rPr>
          <w:rFonts w:ascii="仿宋" w:hAnsi="仿宋" w:eastAsia="仿宋"/>
          <w:sz w:val="24"/>
          <w:szCs w:val="24"/>
        </w:rPr>
        <w:t>培训目标</w:t>
      </w:r>
      <w:bookmarkEnd w:id="55"/>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使相关人员熟悉十四运会和残特奥会的基本知识和业务流程，熟悉各系统及设施设备的操作要求和方法，保障系统安全可靠、高效的运行。</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使相关人员熟悉基本流程、服务规范，熟练操作各系统及设施设备的各项功能。</w:t>
      </w:r>
    </w:p>
    <w:p>
      <w:pPr>
        <w:pStyle w:val="3"/>
        <w:spacing w:line="276" w:lineRule="auto"/>
        <w:rPr>
          <w:rFonts w:ascii="仿宋" w:hAnsi="仿宋" w:eastAsia="仿宋"/>
          <w:sz w:val="24"/>
          <w:szCs w:val="24"/>
        </w:rPr>
      </w:pPr>
      <w:bookmarkStart w:id="56" w:name="_Toc51493572"/>
      <w:r>
        <w:rPr>
          <w:rFonts w:ascii="仿宋" w:hAnsi="仿宋" w:eastAsia="仿宋"/>
          <w:sz w:val="24"/>
          <w:szCs w:val="24"/>
        </w:rPr>
        <w:t>培训对象</w:t>
      </w:r>
      <w:bookmarkEnd w:id="56"/>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组委会工作人员、技术支持人员和志愿者等。</w:t>
      </w:r>
    </w:p>
    <w:p>
      <w:pPr>
        <w:pStyle w:val="3"/>
        <w:spacing w:line="276" w:lineRule="auto"/>
        <w:rPr>
          <w:rFonts w:ascii="仿宋" w:hAnsi="仿宋" w:eastAsia="仿宋"/>
          <w:sz w:val="24"/>
          <w:szCs w:val="24"/>
        </w:rPr>
      </w:pPr>
      <w:bookmarkStart w:id="57" w:name="_Toc51493573"/>
      <w:r>
        <w:rPr>
          <w:rFonts w:ascii="仿宋" w:hAnsi="仿宋" w:eastAsia="仿宋"/>
          <w:sz w:val="24"/>
          <w:szCs w:val="24"/>
        </w:rPr>
        <w:t>培训内容</w:t>
      </w:r>
      <w:bookmarkEnd w:id="57"/>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服务提供商应按照服务范围提供相应的培训，服务提供商须在培训计划中详细列明相应的培训教材、课程内容、师资和时间安排。</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服务提供商应根据以往经验，结合十四运会和残特奥会信息化服务的要求，编制详尽培训方案。</w:t>
      </w:r>
    </w:p>
    <w:p>
      <w:pPr>
        <w:pStyle w:val="3"/>
        <w:spacing w:line="276" w:lineRule="auto"/>
        <w:rPr>
          <w:rFonts w:ascii="仿宋" w:hAnsi="仿宋" w:eastAsia="仿宋"/>
          <w:sz w:val="24"/>
          <w:szCs w:val="24"/>
        </w:rPr>
      </w:pPr>
      <w:bookmarkStart w:id="58" w:name="_Toc51493574"/>
      <w:r>
        <w:rPr>
          <w:rFonts w:ascii="仿宋" w:hAnsi="仿宋" w:eastAsia="仿宋"/>
          <w:sz w:val="24"/>
          <w:szCs w:val="24"/>
        </w:rPr>
        <w:t>培训费用</w:t>
      </w:r>
      <w:bookmarkEnd w:id="58"/>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所有培训费用（含培训教材费、场地费等）及各项支出可包含在各子系统报价中，无须单列。</w:t>
      </w:r>
    </w:p>
    <w:p>
      <w:pPr>
        <w:pStyle w:val="2"/>
        <w:keepNext/>
        <w:keepLines/>
        <w:autoSpaceDE/>
        <w:autoSpaceDN/>
        <w:adjustRightInd/>
        <w:spacing w:before="340" w:after="330" w:line="276" w:lineRule="auto"/>
        <w:jc w:val="both"/>
        <w:rPr>
          <w:rFonts w:ascii="仿宋" w:hAnsi="仿宋" w:eastAsia="仿宋"/>
          <w:sz w:val="24"/>
          <w:szCs w:val="24"/>
        </w:rPr>
      </w:pPr>
      <w:bookmarkStart w:id="59" w:name="_Toc51493575"/>
      <w:r>
        <w:rPr>
          <w:rFonts w:hint="eastAsia" w:ascii="仿宋" w:hAnsi="仿宋" w:eastAsia="仿宋"/>
          <w:sz w:val="24"/>
          <w:szCs w:val="24"/>
        </w:rPr>
        <w:t>验收要求</w:t>
      </w:r>
      <w:bookmarkEnd w:id="59"/>
    </w:p>
    <w:p>
      <w:pPr>
        <w:pStyle w:val="3"/>
        <w:spacing w:line="276" w:lineRule="auto"/>
        <w:rPr>
          <w:rFonts w:ascii="仿宋" w:hAnsi="仿宋" w:eastAsia="仿宋"/>
          <w:sz w:val="24"/>
          <w:szCs w:val="24"/>
        </w:rPr>
      </w:pPr>
      <w:bookmarkStart w:id="60" w:name="_Toc51493576"/>
      <w:r>
        <w:rPr>
          <w:rFonts w:ascii="仿宋" w:hAnsi="仿宋" w:eastAsia="仿宋"/>
          <w:sz w:val="24"/>
          <w:szCs w:val="24"/>
        </w:rPr>
        <w:t>初验</w:t>
      </w:r>
      <w:bookmarkEnd w:id="60"/>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服务提供商应在系统建设完成且集成测试通过后，提交初验申请。验收时应提交投标文件、项目合同、设计方案、各阶段成果、过程记录文档、变更纪要、集成测试报告等。</w:t>
      </w:r>
    </w:p>
    <w:p>
      <w:pPr>
        <w:pStyle w:val="3"/>
        <w:spacing w:line="276" w:lineRule="auto"/>
        <w:rPr>
          <w:rFonts w:ascii="仿宋" w:hAnsi="仿宋" w:eastAsia="仿宋"/>
          <w:sz w:val="24"/>
          <w:szCs w:val="24"/>
        </w:rPr>
      </w:pPr>
      <w:bookmarkStart w:id="61" w:name="_Toc51493577"/>
      <w:r>
        <w:rPr>
          <w:rFonts w:ascii="仿宋" w:hAnsi="仿宋" w:eastAsia="仿宋"/>
          <w:sz w:val="24"/>
          <w:szCs w:val="24"/>
        </w:rPr>
        <w:t>终验</w:t>
      </w:r>
      <w:bookmarkEnd w:id="61"/>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应在联调联试通过，且按照组委会、国家体育总局体育信息中心要求完成测试赛、开闭幕式和正式比赛运行保障服务，完成信息化建设项目总体收尾工作后，提交终验申请。验收时应提交联调联试总结报告、测试赛和正式比赛阶段的服务总结报告、数据移交报告等。</w:t>
      </w:r>
    </w:p>
    <w:p>
      <w:pPr>
        <w:pStyle w:val="2"/>
        <w:keepNext/>
        <w:keepLines/>
        <w:autoSpaceDE/>
        <w:autoSpaceDN/>
        <w:adjustRightInd/>
        <w:spacing w:before="340" w:after="330" w:line="276" w:lineRule="auto"/>
        <w:jc w:val="both"/>
        <w:rPr>
          <w:rFonts w:ascii="仿宋" w:hAnsi="仿宋" w:eastAsia="仿宋"/>
          <w:sz w:val="24"/>
          <w:szCs w:val="24"/>
        </w:rPr>
      </w:pPr>
      <w:bookmarkStart w:id="62" w:name="_Toc51493578"/>
      <w:r>
        <w:rPr>
          <w:rFonts w:hint="eastAsia" w:ascii="仿宋" w:hAnsi="仿宋" w:eastAsia="仿宋"/>
          <w:sz w:val="24"/>
          <w:szCs w:val="24"/>
        </w:rPr>
        <w:t>工期要求</w:t>
      </w:r>
      <w:bookmarkEnd w:id="62"/>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项目工期要求如下：</w:t>
      </w:r>
    </w:p>
    <w:tbl>
      <w:tblPr>
        <w:tblStyle w:val="5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2"/>
        <w:gridCol w:w="2743"/>
        <w:gridCol w:w="2334"/>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37" w:type="pct"/>
            <w:vAlign w:val="center"/>
          </w:tcPr>
          <w:p>
            <w:pPr>
              <w:spacing w:line="276" w:lineRule="auto"/>
              <w:rPr>
                <w:rFonts w:ascii="仿宋" w:hAnsi="仿宋" w:eastAsia="仿宋"/>
              </w:rPr>
            </w:pPr>
            <w:r>
              <w:rPr>
                <w:rFonts w:hint="eastAsia" w:ascii="仿宋" w:hAnsi="仿宋" w:eastAsia="仿宋"/>
              </w:rPr>
              <w:t>序号</w:t>
            </w:r>
          </w:p>
        </w:tc>
        <w:tc>
          <w:tcPr>
            <w:tcW w:w="1514" w:type="pct"/>
            <w:vAlign w:val="center"/>
          </w:tcPr>
          <w:p>
            <w:pPr>
              <w:spacing w:line="276" w:lineRule="auto"/>
              <w:rPr>
                <w:rFonts w:ascii="仿宋" w:hAnsi="仿宋" w:eastAsia="仿宋"/>
              </w:rPr>
            </w:pPr>
            <w:r>
              <w:rPr>
                <w:rFonts w:hint="eastAsia" w:ascii="仿宋" w:hAnsi="仿宋" w:eastAsia="仿宋"/>
              </w:rPr>
              <w:t>时间要求</w:t>
            </w:r>
          </w:p>
        </w:tc>
        <w:tc>
          <w:tcPr>
            <w:tcW w:w="1288" w:type="pct"/>
            <w:vAlign w:val="center"/>
          </w:tcPr>
          <w:p>
            <w:pPr>
              <w:spacing w:line="276" w:lineRule="auto"/>
              <w:rPr>
                <w:rFonts w:ascii="仿宋" w:hAnsi="仿宋" w:eastAsia="仿宋"/>
              </w:rPr>
            </w:pPr>
            <w:r>
              <w:rPr>
                <w:rFonts w:hint="eastAsia" w:ascii="仿宋" w:hAnsi="仿宋" w:eastAsia="仿宋"/>
              </w:rPr>
              <w:t>阶段任务</w:t>
            </w:r>
          </w:p>
        </w:tc>
        <w:tc>
          <w:tcPr>
            <w:tcW w:w="1761" w:type="pct"/>
            <w:vAlign w:val="center"/>
          </w:tcPr>
          <w:p>
            <w:pPr>
              <w:spacing w:line="276" w:lineRule="auto"/>
              <w:rPr>
                <w:rFonts w:ascii="仿宋" w:hAnsi="仿宋" w:eastAsia="仿宋"/>
              </w:rPr>
            </w:pPr>
            <w:r>
              <w:rPr>
                <w:rFonts w:hint="eastAsia" w:ascii="仿宋" w:hAnsi="仿宋" w:eastAsia="仿宋"/>
              </w:rPr>
              <w:t>交付成果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spacing w:line="276" w:lineRule="auto"/>
              <w:rPr>
                <w:rFonts w:ascii="仿宋" w:hAnsi="仿宋" w:eastAsia="仿宋"/>
              </w:rPr>
            </w:pPr>
            <w:r>
              <w:rPr>
                <w:rFonts w:ascii="仿宋" w:hAnsi="仿宋" w:eastAsia="仿宋"/>
              </w:rPr>
              <w:t>1</w:t>
            </w:r>
          </w:p>
        </w:tc>
        <w:tc>
          <w:tcPr>
            <w:tcW w:w="1514" w:type="pct"/>
            <w:vAlign w:val="center"/>
          </w:tcPr>
          <w:p>
            <w:pPr>
              <w:spacing w:line="276" w:lineRule="auto"/>
              <w:rPr>
                <w:rFonts w:ascii="仿宋" w:hAnsi="仿宋" w:eastAsia="仿宋"/>
              </w:rPr>
            </w:pPr>
            <w:r>
              <w:rPr>
                <w:rFonts w:ascii="仿宋" w:hAnsi="仿宋" w:eastAsia="仿宋"/>
              </w:rPr>
              <w:t>2020年</w:t>
            </w:r>
            <w:r>
              <w:rPr>
                <w:rFonts w:hint="eastAsia" w:ascii="仿宋" w:hAnsi="仿宋" w:eastAsia="仿宋"/>
              </w:rPr>
              <w:t>12月</w:t>
            </w:r>
          </w:p>
        </w:tc>
        <w:tc>
          <w:tcPr>
            <w:tcW w:w="1288" w:type="pct"/>
            <w:vAlign w:val="center"/>
          </w:tcPr>
          <w:p>
            <w:pPr>
              <w:spacing w:line="276" w:lineRule="auto"/>
              <w:rPr>
                <w:rFonts w:ascii="仿宋" w:hAnsi="仿宋" w:eastAsia="仿宋"/>
              </w:rPr>
            </w:pPr>
            <w:r>
              <w:rPr>
                <w:rFonts w:hint="eastAsia" w:ascii="仿宋" w:hAnsi="仿宋" w:eastAsia="仿宋"/>
              </w:rPr>
              <w:t>完成方案编制</w:t>
            </w:r>
          </w:p>
        </w:tc>
        <w:tc>
          <w:tcPr>
            <w:tcW w:w="1761" w:type="pct"/>
            <w:vAlign w:val="center"/>
          </w:tcPr>
          <w:p>
            <w:pPr>
              <w:spacing w:line="276" w:lineRule="auto"/>
              <w:rPr>
                <w:rFonts w:ascii="仿宋" w:hAnsi="仿宋" w:eastAsia="仿宋"/>
              </w:rPr>
            </w:pPr>
            <w:r>
              <w:rPr>
                <w:rFonts w:hint="eastAsia" w:ascii="仿宋" w:hAnsi="仿宋" w:eastAsia="仿宋"/>
              </w:rPr>
              <w:t>设计方案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spacing w:line="276" w:lineRule="auto"/>
              <w:rPr>
                <w:rFonts w:ascii="仿宋" w:hAnsi="仿宋" w:eastAsia="仿宋"/>
              </w:rPr>
            </w:pPr>
            <w:r>
              <w:rPr>
                <w:rFonts w:ascii="仿宋" w:hAnsi="仿宋" w:eastAsia="仿宋"/>
              </w:rPr>
              <w:t>2</w:t>
            </w:r>
          </w:p>
        </w:tc>
        <w:tc>
          <w:tcPr>
            <w:tcW w:w="1514" w:type="pct"/>
            <w:vAlign w:val="center"/>
          </w:tcPr>
          <w:p>
            <w:pPr>
              <w:spacing w:line="276" w:lineRule="auto"/>
              <w:rPr>
                <w:rFonts w:ascii="仿宋" w:hAnsi="仿宋" w:eastAsia="仿宋"/>
              </w:rPr>
            </w:pPr>
            <w:r>
              <w:rPr>
                <w:rFonts w:hint="eastAsia" w:ascii="仿宋" w:hAnsi="仿宋" w:eastAsia="仿宋"/>
              </w:rPr>
              <w:t>2020年</w:t>
            </w:r>
            <w:r>
              <w:rPr>
                <w:rFonts w:ascii="仿宋" w:hAnsi="仿宋" w:eastAsia="仿宋"/>
              </w:rPr>
              <w:t>12</w:t>
            </w:r>
            <w:r>
              <w:rPr>
                <w:rFonts w:hint="eastAsia" w:ascii="仿宋" w:hAnsi="仿宋" w:eastAsia="仿宋"/>
              </w:rPr>
              <w:t>月</w:t>
            </w:r>
          </w:p>
        </w:tc>
        <w:tc>
          <w:tcPr>
            <w:tcW w:w="1288" w:type="pct"/>
            <w:vAlign w:val="center"/>
          </w:tcPr>
          <w:p>
            <w:pPr>
              <w:spacing w:line="276" w:lineRule="auto"/>
              <w:rPr>
                <w:rFonts w:ascii="仿宋" w:hAnsi="仿宋" w:eastAsia="仿宋"/>
              </w:rPr>
            </w:pPr>
            <w:r>
              <w:rPr>
                <w:rFonts w:hint="eastAsia" w:ascii="仿宋" w:hAnsi="仿宋" w:eastAsia="仿宋"/>
              </w:rPr>
              <w:t>完成系统建设和集成</w:t>
            </w:r>
          </w:p>
        </w:tc>
        <w:tc>
          <w:tcPr>
            <w:tcW w:w="1761" w:type="pct"/>
            <w:vAlign w:val="center"/>
          </w:tcPr>
          <w:p>
            <w:pPr>
              <w:spacing w:line="276" w:lineRule="auto"/>
              <w:rPr>
                <w:rFonts w:ascii="仿宋" w:hAnsi="仿宋" w:eastAsia="仿宋"/>
              </w:rPr>
            </w:pPr>
            <w:r>
              <w:rPr>
                <w:rFonts w:hint="eastAsia" w:ascii="仿宋" w:hAnsi="仿宋" w:eastAsia="仿宋"/>
              </w:rPr>
              <w:t>系统建设各阶段成果、过程记录文档、变更纪要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spacing w:line="276" w:lineRule="auto"/>
              <w:rPr>
                <w:rFonts w:ascii="仿宋" w:hAnsi="仿宋" w:eastAsia="仿宋"/>
              </w:rPr>
            </w:pPr>
            <w:r>
              <w:rPr>
                <w:rFonts w:hint="eastAsia" w:ascii="仿宋" w:hAnsi="仿宋" w:eastAsia="仿宋"/>
              </w:rPr>
              <w:t>3</w:t>
            </w:r>
          </w:p>
        </w:tc>
        <w:tc>
          <w:tcPr>
            <w:tcW w:w="1514" w:type="pct"/>
            <w:vAlign w:val="center"/>
          </w:tcPr>
          <w:p>
            <w:pPr>
              <w:spacing w:line="276" w:lineRule="auto"/>
              <w:rPr>
                <w:rFonts w:ascii="仿宋" w:hAnsi="仿宋" w:eastAsia="仿宋"/>
              </w:rPr>
            </w:pPr>
            <w:r>
              <w:rPr>
                <w:rFonts w:hint="eastAsia" w:ascii="仿宋" w:hAnsi="仿宋" w:eastAsia="仿宋"/>
              </w:rPr>
              <w:t>2021年</w:t>
            </w:r>
            <w:r>
              <w:rPr>
                <w:rFonts w:ascii="仿宋" w:hAnsi="仿宋" w:eastAsia="仿宋"/>
              </w:rPr>
              <w:t>1</w:t>
            </w:r>
            <w:r>
              <w:rPr>
                <w:rFonts w:hint="eastAsia" w:ascii="仿宋" w:hAnsi="仿宋" w:eastAsia="仿宋"/>
              </w:rPr>
              <w:t>月-</w:t>
            </w:r>
            <w:r>
              <w:rPr>
                <w:rFonts w:ascii="仿宋" w:hAnsi="仿宋" w:eastAsia="仿宋"/>
              </w:rPr>
              <w:t>2</w:t>
            </w:r>
            <w:r>
              <w:rPr>
                <w:rFonts w:hint="eastAsia" w:ascii="仿宋" w:hAnsi="仿宋" w:eastAsia="仿宋"/>
              </w:rPr>
              <w:t>月</w:t>
            </w:r>
          </w:p>
        </w:tc>
        <w:tc>
          <w:tcPr>
            <w:tcW w:w="1288" w:type="pct"/>
            <w:vAlign w:val="center"/>
          </w:tcPr>
          <w:p>
            <w:pPr>
              <w:spacing w:line="276" w:lineRule="auto"/>
              <w:rPr>
                <w:rFonts w:ascii="仿宋" w:hAnsi="仿宋" w:eastAsia="仿宋"/>
              </w:rPr>
            </w:pPr>
            <w:r>
              <w:rPr>
                <w:rFonts w:hint="eastAsia" w:ascii="仿宋" w:hAnsi="仿宋" w:eastAsia="仿宋"/>
              </w:rPr>
              <w:t>完成集成测试</w:t>
            </w:r>
          </w:p>
        </w:tc>
        <w:tc>
          <w:tcPr>
            <w:tcW w:w="1761" w:type="pct"/>
            <w:vAlign w:val="center"/>
          </w:tcPr>
          <w:p>
            <w:pPr>
              <w:spacing w:line="276" w:lineRule="auto"/>
              <w:rPr>
                <w:rFonts w:ascii="仿宋" w:hAnsi="仿宋" w:eastAsia="仿宋"/>
              </w:rPr>
            </w:pPr>
            <w:r>
              <w:rPr>
                <w:rFonts w:hint="eastAsia" w:ascii="仿宋" w:hAnsi="仿宋" w:eastAsia="仿宋"/>
              </w:rPr>
              <w:t>集成测试报告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spacing w:line="276" w:lineRule="auto"/>
              <w:rPr>
                <w:rFonts w:ascii="仿宋" w:hAnsi="仿宋" w:eastAsia="仿宋"/>
              </w:rPr>
            </w:pPr>
            <w:r>
              <w:rPr>
                <w:rFonts w:hint="eastAsia" w:ascii="仿宋" w:hAnsi="仿宋" w:eastAsia="仿宋"/>
              </w:rPr>
              <w:t>4</w:t>
            </w:r>
          </w:p>
        </w:tc>
        <w:tc>
          <w:tcPr>
            <w:tcW w:w="1514" w:type="pct"/>
            <w:vAlign w:val="center"/>
          </w:tcPr>
          <w:p>
            <w:pPr>
              <w:spacing w:line="276" w:lineRule="auto"/>
              <w:rPr>
                <w:rFonts w:ascii="仿宋" w:hAnsi="仿宋" w:eastAsia="仿宋"/>
              </w:rPr>
            </w:pPr>
            <w:r>
              <w:rPr>
                <w:rFonts w:hint="eastAsia" w:ascii="仿宋" w:hAnsi="仿宋" w:eastAsia="仿宋"/>
              </w:rPr>
              <w:t>2021年</w:t>
            </w:r>
            <w:r>
              <w:rPr>
                <w:rFonts w:ascii="仿宋" w:hAnsi="仿宋" w:eastAsia="仿宋"/>
              </w:rPr>
              <w:t>2</w:t>
            </w:r>
            <w:r>
              <w:rPr>
                <w:rFonts w:hint="eastAsia" w:ascii="仿宋" w:hAnsi="仿宋" w:eastAsia="仿宋"/>
              </w:rPr>
              <w:t>月-</w:t>
            </w:r>
            <w:r>
              <w:rPr>
                <w:rFonts w:ascii="仿宋" w:hAnsi="仿宋" w:eastAsia="仿宋"/>
              </w:rPr>
              <w:t>3</w:t>
            </w:r>
            <w:r>
              <w:rPr>
                <w:rFonts w:hint="eastAsia" w:ascii="仿宋" w:hAnsi="仿宋" w:eastAsia="仿宋"/>
              </w:rPr>
              <w:t>月</w:t>
            </w:r>
          </w:p>
        </w:tc>
        <w:tc>
          <w:tcPr>
            <w:tcW w:w="3049" w:type="pct"/>
            <w:gridSpan w:val="2"/>
            <w:vAlign w:val="center"/>
          </w:tcPr>
          <w:p>
            <w:pPr>
              <w:spacing w:line="276" w:lineRule="auto"/>
              <w:rPr>
                <w:rFonts w:ascii="仿宋" w:hAnsi="仿宋" w:eastAsia="仿宋"/>
              </w:rPr>
            </w:pPr>
            <w:r>
              <w:rPr>
                <w:rFonts w:hint="eastAsia" w:ascii="仿宋" w:hAnsi="仿宋" w:eastAsia="仿宋"/>
              </w:rPr>
              <w:t>组织</w:t>
            </w:r>
            <w:r>
              <w:rPr>
                <w:rFonts w:ascii="仿宋" w:hAnsi="仿宋" w:eastAsia="仿宋"/>
              </w:rPr>
              <w:t>项目</w:t>
            </w:r>
            <w:r>
              <w:rPr>
                <w:rFonts w:hint="eastAsia" w:ascii="仿宋" w:hAnsi="仿宋" w:eastAsia="仿宋"/>
              </w:rPr>
              <w:t>初验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spacing w:line="276" w:lineRule="auto"/>
              <w:rPr>
                <w:rFonts w:ascii="仿宋" w:hAnsi="仿宋" w:eastAsia="仿宋"/>
              </w:rPr>
            </w:pPr>
            <w:r>
              <w:rPr>
                <w:rFonts w:hint="eastAsia" w:ascii="仿宋" w:hAnsi="仿宋" w:eastAsia="仿宋"/>
              </w:rPr>
              <w:t>5</w:t>
            </w:r>
          </w:p>
        </w:tc>
        <w:tc>
          <w:tcPr>
            <w:tcW w:w="1514" w:type="pct"/>
            <w:vAlign w:val="center"/>
          </w:tcPr>
          <w:p>
            <w:pPr>
              <w:spacing w:line="276" w:lineRule="auto"/>
              <w:rPr>
                <w:rFonts w:ascii="仿宋" w:hAnsi="仿宋" w:eastAsia="仿宋"/>
              </w:rPr>
            </w:pPr>
            <w:r>
              <w:rPr>
                <w:rFonts w:ascii="仿宋" w:hAnsi="仿宋" w:eastAsia="仿宋"/>
              </w:rPr>
              <w:t>2021</w:t>
            </w:r>
            <w:r>
              <w:rPr>
                <w:rFonts w:hint="eastAsia" w:ascii="仿宋" w:hAnsi="仿宋" w:eastAsia="仿宋"/>
              </w:rPr>
              <w:t>年</w:t>
            </w:r>
            <w:r>
              <w:rPr>
                <w:rFonts w:ascii="仿宋" w:hAnsi="仿宋" w:eastAsia="仿宋"/>
              </w:rPr>
              <w:t>3</w:t>
            </w:r>
            <w:r>
              <w:rPr>
                <w:rFonts w:hint="eastAsia" w:ascii="仿宋" w:hAnsi="仿宋" w:eastAsia="仿宋"/>
              </w:rPr>
              <w:t>月</w:t>
            </w:r>
            <w:r>
              <w:rPr>
                <w:rFonts w:ascii="仿宋" w:hAnsi="仿宋" w:eastAsia="仿宋"/>
              </w:rPr>
              <w:t>-8</w:t>
            </w:r>
            <w:r>
              <w:rPr>
                <w:rFonts w:hint="eastAsia" w:ascii="仿宋" w:hAnsi="仿宋" w:eastAsia="仿宋"/>
              </w:rPr>
              <w:t>月</w:t>
            </w:r>
          </w:p>
        </w:tc>
        <w:tc>
          <w:tcPr>
            <w:tcW w:w="1288" w:type="pct"/>
            <w:vAlign w:val="center"/>
          </w:tcPr>
          <w:p>
            <w:pPr>
              <w:spacing w:line="276" w:lineRule="auto"/>
              <w:rPr>
                <w:rFonts w:ascii="仿宋" w:hAnsi="仿宋" w:eastAsia="仿宋"/>
              </w:rPr>
            </w:pPr>
            <w:r>
              <w:rPr>
                <w:rFonts w:hint="eastAsia" w:ascii="仿宋" w:hAnsi="仿宋" w:eastAsia="仿宋"/>
              </w:rPr>
              <w:t>完成测试赛</w:t>
            </w:r>
          </w:p>
        </w:tc>
        <w:tc>
          <w:tcPr>
            <w:tcW w:w="1761" w:type="pct"/>
            <w:vAlign w:val="center"/>
          </w:tcPr>
          <w:p>
            <w:pPr>
              <w:spacing w:line="276" w:lineRule="auto"/>
              <w:rPr>
                <w:rFonts w:ascii="仿宋" w:hAnsi="仿宋" w:eastAsia="仿宋"/>
              </w:rPr>
            </w:pPr>
            <w:r>
              <w:rPr>
                <w:rFonts w:ascii="仿宋" w:hAnsi="仿宋" w:eastAsia="仿宋"/>
              </w:rPr>
              <w:t>测试赛服务</w:t>
            </w:r>
            <w:r>
              <w:rPr>
                <w:rFonts w:hint="eastAsia" w:ascii="仿宋" w:hAnsi="仿宋" w:eastAsia="仿宋"/>
              </w:rPr>
              <w:t>总结</w:t>
            </w:r>
            <w:r>
              <w:rPr>
                <w:rFonts w:ascii="仿宋" w:hAnsi="仿宋" w:eastAsia="仿宋"/>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spacing w:line="276" w:lineRule="auto"/>
              <w:rPr>
                <w:rFonts w:ascii="仿宋" w:hAnsi="仿宋" w:eastAsia="仿宋"/>
              </w:rPr>
            </w:pPr>
            <w:r>
              <w:rPr>
                <w:rFonts w:hint="eastAsia" w:ascii="仿宋" w:hAnsi="仿宋" w:eastAsia="仿宋"/>
              </w:rPr>
              <w:t>6</w:t>
            </w:r>
          </w:p>
        </w:tc>
        <w:tc>
          <w:tcPr>
            <w:tcW w:w="1514" w:type="pct"/>
            <w:vAlign w:val="center"/>
          </w:tcPr>
          <w:p>
            <w:pPr>
              <w:spacing w:line="276" w:lineRule="auto"/>
              <w:rPr>
                <w:rFonts w:ascii="仿宋" w:hAnsi="仿宋" w:eastAsia="仿宋"/>
              </w:rPr>
            </w:pPr>
            <w:r>
              <w:rPr>
                <w:rFonts w:ascii="仿宋" w:hAnsi="仿宋" w:eastAsia="仿宋"/>
              </w:rPr>
              <w:t>2021</w:t>
            </w:r>
            <w:r>
              <w:rPr>
                <w:rFonts w:hint="eastAsia" w:ascii="仿宋" w:hAnsi="仿宋" w:eastAsia="仿宋"/>
              </w:rPr>
              <w:t>年</w:t>
            </w:r>
            <w:r>
              <w:rPr>
                <w:rFonts w:ascii="仿宋" w:hAnsi="仿宋" w:eastAsia="仿宋"/>
              </w:rPr>
              <w:t>7</w:t>
            </w:r>
            <w:r>
              <w:rPr>
                <w:rFonts w:hint="eastAsia" w:ascii="仿宋" w:hAnsi="仿宋" w:eastAsia="仿宋"/>
              </w:rPr>
              <w:t>月</w:t>
            </w:r>
            <w:r>
              <w:rPr>
                <w:rFonts w:ascii="仿宋" w:hAnsi="仿宋" w:eastAsia="仿宋"/>
              </w:rPr>
              <w:t>-8</w:t>
            </w:r>
            <w:r>
              <w:rPr>
                <w:rFonts w:hint="eastAsia" w:ascii="仿宋" w:hAnsi="仿宋" w:eastAsia="仿宋"/>
              </w:rPr>
              <w:t>月</w:t>
            </w:r>
          </w:p>
        </w:tc>
        <w:tc>
          <w:tcPr>
            <w:tcW w:w="1288" w:type="pct"/>
            <w:vAlign w:val="center"/>
          </w:tcPr>
          <w:p>
            <w:pPr>
              <w:spacing w:line="276" w:lineRule="auto"/>
              <w:rPr>
                <w:rFonts w:ascii="仿宋" w:hAnsi="仿宋" w:eastAsia="仿宋"/>
              </w:rPr>
            </w:pPr>
            <w:r>
              <w:rPr>
                <w:rFonts w:hint="eastAsia" w:ascii="仿宋" w:hAnsi="仿宋" w:eastAsia="仿宋"/>
              </w:rPr>
              <w:t>完成联调联试</w:t>
            </w:r>
          </w:p>
        </w:tc>
        <w:tc>
          <w:tcPr>
            <w:tcW w:w="1761" w:type="pct"/>
            <w:vAlign w:val="center"/>
          </w:tcPr>
          <w:p>
            <w:pPr>
              <w:spacing w:line="276" w:lineRule="auto"/>
              <w:rPr>
                <w:rFonts w:ascii="仿宋" w:hAnsi="仿宋" w:eastAsia="仿宋"/>
              </w:rPr>
            </w:pPr>
            <w:r>
              <w:rPr>
                <w:rFonts w:hint="eastAsia" w:ascii="仿宋" w:hAnsi="仿宋" w:eastAsia="仿宋"/>
              </w:rPr>
              <w:t>联调联试总结报告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spacing w:line="276" w:lineRule="auto"/>
              <w:rPr>
                <w:rFonts w:ascii="仿宋" w:hAnsi="仿宋" w:eastAsia="仿宋"/>
              </w:rPr>
            </w:pPr>
            <w:r>
              <w:rPr>
                <w:rFonts w:hint="eastAsia" w:ascii="仿宋" w:hAnsi="仿宋" w:eastAsia="仿宋"/>
              </w:rPr>
              <w:t>7</w:t>
            </w:r>
          </w:p>
        </w:tc>
        <w:tc>
          <w:tcPr>
            <w:tcW w:w="1514" w:type="pct"/>
            <w:vAlign w:val="center"/>
          </w:tcPr>
          <w:p>
            <w:pPr>
              <w:spacing w:line="276" w:lineRule="auto"/>
              <w:rPr>
                <w:rFonts w:ascii="仿宋" w:hAnsi="仿宋" w:eastAsia="仿宋"/>
              </w:rPr>
            </w:pPr>
            <w:r>
              <w:rPr>
                <w:rFonts w:hint="eastAsia" w:ascii="仿宋" w:hAnsi="仿宋" w:eastAsia="仿宋"/>
              </w:rPr>
              <w:t>2021年</w:t>
            </w:r>
            <w:r>
              <w:rPr>
                <w:rFonts w:ascii="仿宋" w:hAnsi="仿宋" w:eastAsia="仿宋"/>
              </w:rPr>
              <w:t>9</w:t>
            </w:r>
            <w:r>
              <w:rPr>
                <w:rFonts w:hint="eastAsia" w:ascii="仿宋" w:hAnsi="仿宋" w:eastAsia="仿宋"/>
              </w:rPr>
              <w:t>月-</w:t>
            </w:r>
            <w:r>
              <w:rPr>
                <w:rFonts w:ascii="仿宋" w:hAnsi="仿宋" w:eastAsia="仿宋"/>
              </w:rPr>
              <w:t>10</w:t>
            </w:r>
            <w:r>
              <w:rPr>
                <w:rFonts w:hint="eastAsia" w:ascii="仿宋" w:hAnsi="仿宋" w:eastAsia="仿宋"/>
              </w:rPr>
              <w:t>月</w:t>
            </w:r>
          </w:p>
        </w:tc>
        <w:tc>
          <w:tcPr>
            <w:tcW w:w="1288" w:type="pct"/>
            <w:vAlign w:val="center"/>
          </w:tcPr>
          <w:p>
            <w:pPr>
              <w:spacing w:line="276" w:lineRule="auto"/>
              <w:rPr>
                <w:rFonts w:ascii="仿宋" w:hAnsi="仿宋" w:eastAsia="仿宋"/>
              </w:rPr>
            </w:pPr>
            <w:r>
              <w:rPr>
                <w:rFonts w:hint="eastAsia" w:ascii="仿宋" w:hAnsi="仿宋" w:eastAsia="仿宋"/>
              </w:rPr>
              <w:t>完成正式比赛</w:t>
            </w:r>
          </w:p>
        </w:tc>
        <w:tc>
          <w:tcPr>
            <w:tcW w:w="1761" w:type="pct"/>
            <w:vAlign w:val="center"/>
          </w:tcPr>
          <w:p>
            <w:pPr>
              <w:spacing w:line="276" w:lineRule="auto"/>
              <w:rPr>
                <w:rFonts w:ascii="仿宋" w:hAnsi="仿宋" w:eastAsia="仿宋"/>
              </w:rPr>
            </w:pPr>
            <w:r>
              <w:rPr>
                <w:rFonts w:hint="eastAsia" w:ascii="仿宋" w:hAnsi="仿宋" w:eastAsia="仿宋"/>
              </w:rPr>
              <w:t>正式比赛</w:t>
            </w:r>
            <w:r>
              <w:rPr>
                <w:rFonts w:ascii="仿宋" w:hAnsi="仿宋" w:eastAsia="仿宋"/>
              </w:rPr>
              <w:t>服务</w:t>
            </w:r>
            <w:r>
              <w:rPr>
                <w:rFonts w:hint="eastAsia" w:ascii="仿宋" w:hAnsi="仿宋" w:eastAsia="仿宋"/>
              </w:rPr>
              <w:t>总结</w:t>
            </w:r>
            <w:r>
              <w:rPr>
                <w:rFonts w:ascii="仿宋" w:hAnsi="仿宋" w:eastAsia="仿宋"/>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spacing w:line="276" w:lineRule="auto"/>
              <w:rPr>
                <w:rFonts w:ascii="仿宋" w:hAnsi="仿宋" w:eastAsia="仿宋"/>
              </w:rPr>
            </w:pPr>
            <w:r>
              <w:rPr>
                <w:rFonts w:hint="eastAsia" w:ascii="仿宋" w:hAnsi="仿宋" w:eastAsia="仿宋"/>
              </w:rPr>
              <w:t>8</w:t>
            </w:r>
          </w:p>
        </w:tc>
        <w:tc>
          <w:tcPr>
            <w:tcW w:w="1514" w:type="pct"/>
            <w:vAlign w:val="center"/>
          </w:tcPr>
          <w:p>
            <w:pPr>
              <w:spacing w:line="276" w:lineRule="auto"/>
              <w:rPr>
                <w:rFonts w:ascii="仿宋" w:hAnsi="仿宋" w:eastAsia="仿宋"/>
              </w:rPr>
            </w:pPr>
            <w:r>
              <w:rPr>
                <w:rFonts w:hint="eastAsia" w:ascii="仿宋" w:hAnsi="仿宋" w:eastAsia="仿宋"/>
              </w:rPr>
              <w:t>2021年</w:t>
            </w:r>
            <w:r>
              <w:rPr>
                <w:rFonts w:ascii="仿宋" w:hAnsi="仿宋" w:eastAsia="仿宋"/>
              </w:rPr>
              <w:t>10</w:t>
            </w:r>
            <w:r>
              <w:rPr>
                <w:rFonts w:hint="eastAsia" w:ascii="仿宋" w:hAnsi="仿宋" w:eastAsia="仿宋"/>
              </w:rPr>
              <w:t>月</w:t>
            </w:r>
          </w:p>
        </w:tc>
        <w:tc>
          <w:tcPr>
            <w:tcW w:w="3049" w:type="pct"/>
            <w:gridSpan w:val="2"/>
            <w:vAlign w:val="center"/>
          </w:tcPr>
          <w:p>
            <w:pPr>
              <w:spacing w:line="276" w:lineRule="auto"/>
              <w:rPr>
                <w:rFonts w:ascii="仿宋" w:hAnsi="仿宋" w:eastAsia="仿宋"/>
              </w:rPr>
            </w:pPr>
            <w:r>
              <w:rPr>
                <w:rFonts w:hint="eastAsia" w:ascii="仿宋" w:hAnsi="仿宋" w:eastAsia="仿宋"/>
              </w:rPr>
              <w:t>组织</w:t>
            </w:r>
            <w:r>
              <w:rPr>
                <w:rFonts w:ascii="仿宋" w:hAnsi="仿宋" w:eastAsia="仿宋"/>
              </w:rPr>
              <w:t>项目</w:t>
            </w:r>
            <w:r>
              <w:rPr>
                <w:rFonts w:hint="eastAsia" w:ascii="仿宋" w:hAnsi="仿宋" w:eastAsia="仿宋"/>
              </w:rPr>
              <w:t>终验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spacing w:line="276" w:lineRule="auto"/>
              <w:rPr>
                <w:rFonts w:ascii="仿宋" w:hAnsi="仿宋" w:eastAsia="仿宋"/>
              </w:rPr>
            </w:pPr>
            <w:r>
              <w:rPr>
                <w:rFonts w:hint="eastAsia" w:ascii="仿宋" w:hAnsi="仿宋" w:eastAsia="仿宋"/>
              </w:rPr>
              <w:t>9</w:t>
            </w:r>
          </w:p>
        </w:tc>
        <w:tc>
          <w:tcPr>
            <w:tcW w:w="1514" w:type="pct"/>
            <w:vAlign w:val="center"/>
          </w:tcPr>
          <w:p>
            <w:pPr>
              <w:spacing w:line="276" w:lineRule="auto"/>
              <w:rPr>
                <w:rFonts w:ascii="仿宋" w:hAnsi="仿宋" w:eastAsia="仿宋"/>
              </w:rPr>
            </w:pPr>
            <w:r>
              <w:rPr>
                <w:rFonts w:hint="eastAsia" w:ascii="仿宋" w:hAnsi="仿宋" w:eastAsia="仿宋"/>
              </w:rPr>
              <w:t>2021年</w:t>
            </w:r>
            <w:r>
              <w:rPr>
                <w:rFonts w:ascii="仿宋" w:hAnsi="仿宋" w:eastAsia="仿宋"/>
              </w:rPr>
              <w:t>10</w:t>
            </w:r>
            <w:r>
              <w:rPr>
                <w:rFonts w:hint="eastAsia" w:ascii="仿宋" w:hAnsi="仿宋" w:eastAsia="仿宋"/>
              </w:rPr>
              <w:t>月至审计结束</w:t>
            </w:r>
          </w:p>
        </w:tc>
        <w:tc>
          <w:tcPr>
            <w:tcW w:w="1288" w:type="pct"/>
            <w:vAlign w:val="center"/>
          </w:tcPr>
          <w:p>
            <w:pPr>
              <w:spacing w:line="276" w:lineRule="auto"/>
              <w:rPr>
                <w:rFonts w:ascii="仿宋" w:hAnsi="仿宋" w:eastAsia="仿宋"/>
              </w:rPr>
            </w:pPr>
            <w:r>
              <w:rPr>
                <w:rFonts w:hint="eastAsia" w:ascii="仿宋" w:hAnsi="仿宋" w:eastAsia="仿宋"/>
              </w:rPr>
              <w:t>完成赛事</w:t>
            </w:r>
            <w:r>
              <w:rPr>
                <w:rFonts w:ascii="仿宋" w:hAnsi="仿宋" w:eastAsia="仿宋"/>
              </w:rPr>
              <w:t>收尾工作</w:t>
            </w:r>
          </w:p>
        </w:tc>
        <w:tc>
          <w:tcPr>
            <w:tcW w:w="1761" w:type="pct"/>
            <w:vAlign w:val="center"/>
          </w:tcPr>
          <w:p>
            <w:pPr>
              <w:spacing w:line="276" w:lineRule="auto"/>
              <w:rPr>
                <w:rFonts w:ascii="仿宋" w:hAnsi="仿宋" w:eastAsia="仿宋"/>
              </w:rPr>
            </w:pPr>
            <w:r>
              <w:rPr>
                <w:rFonts w:hint="eastAsia" w:ascii="仿宋" w:hAnsi="仿宋" w:eastAsia="仿宋"/>
              </w:rPr>
              <w:t>移交相关资料</w:t>
            </w:r>
          </w:p>
        </w:tc>
      </w:tr>
    </w:tbl>
    <w:p>
      <w:pPr>
        <w:pStyle w:val="157"/>
        <w:spacing w:line="276" w:lineRule="auto"/>
        <w:ind w:left="840" w:firstLine="480"/>
        <w:rPr>
          <w:rFonts w:ascii="仿宋" w:hAnsi="仿宋" w:eastAsia="仿宋"/>
          <w:sz w:val="24"/>
          <w:szCs w:val="24"/>
        </w:rPr>
      </w:pPr>
      <w:r>
        <w:rPr>
          <w:rFonts w:hint="eastAsia" w:ascii="仿宋" w:hAnsi="仿宋" w:eastAsia="仿宋"/>
          <w:sz w:val="24"/>
          <w:szCs w:val="24"/>
        </w:rPr>
        <w:t>服务提供商必须</w:t>
      </w:r>
      <w:r>
        <w:rPr>
          <w:rFonts w:ascii="仿宋" w:hAnsi="仿宋" w:eastAsia="仿宋"/>
          <w:sz w:val="24"/>
          <w:szCs w:val="24"/>
        </w:rPr>
        <w:t>严格按照工期要求</w:t>
      </w:r>
      <w:r>
        <w:rPr>
          <w:rFonts w:hint="eastAsia" w:ascii="仿宋" w:hAnsi="仿宋" w:eastAsia="仿宋"/>
          <w:sz w:val="24"/>
          <w:szCs w:val="24"/>
        </w:rPr>
        <w:t>组织实施</w:t>
      </w:r>
      <w:r>
        <w:rPr>
          <w:rFonts w:ascii="仿宋" w:hAnsi="仿宋" w:eastAsia="仿宋"/>
          <w:sz w:val="24"/>
          <w:szCs w:val="24"/>
        </w:rPr>
        <w:t>，</w:t>
      </w:r>
      <w:r>
        <w:rPr>
          <w:rFonts w:hint="eastAsia" w:ascii="仿宋" w:hAnsi="仿宋" w:eastAsia="仿宋"/>
          <w:sz w:val="24"/>
          <w:szCs w:val="24"/>
        </w:rPr>
        <w:t>确保</w:t>
      </w:r>
      <w:r>
        <w:rPr>
          <w:rFonts w:ascii="仿宋" w:hAnsi="仿宋" w:eastAsia="仿宋"/>
          <w:sz w:val="24"/>
          <w:szCs w:val="24"/>
        </w:rPr>
        <w:t>在规定的时间节点前完成。</w:t>
      </w:r>
      <w:r>
        <w:rPr>
          <w:rFonts w:hint="eastAsia" w:ascii="仿宋" w:hAnsi="仿宋" w:eastAsia="仿宋"/>
          <w:sz w:val="24"/>
          <w:szCs w:val="24"/>
        </w:rPr>
        <w:t>必要时</w:t>
      </w:r>
      <w:r>
        <w:rPr>
          <w:rFonts w:ascii="仿宋" w:hAnsi="仿宋" w:eastAsia="仿宋"/>
          <w:sz w:val="24"/>
          <w:szCs w:val="24"/>
        </w:rPr>
        <w:t>，</w:t>
      </w:r>
      <w:r>
        <w:rPr>
          <w:rFonts w:hint="eastAsia" w:ascii="仿宋" w:hAnsi="仿宋" w:eastAsia="仿宋"/>
          <w:sz w:val="24"/>
          <w:szCs w:val="24"/>
        </w:rPr>
        <w:t>服务提供商应根据服务需求方要求对工期进行调整。</w:t>
      </w:r>
    </w:p>
    <w:p>
      <w:pPr>
        <w:pStyle w:val="2"/>
        <w:keepNext/>
        <w:keepLines/>
        <w:autoSpaceDE/>
        <w:autoSpaceDN/>
        <w:adjustRightInd/>
        <w:spacing w:before="340" w:after="330" w:line="276" w:lineRule="auto"/>
        <w:jc w:val="both"/>
        <w:rPr>
          <w:rFonts w:ascii="仿宋" w:hAnsi="仿宋" w:eastAsia="仿宋"/>
          <w:sz w:val="24"/>
          <w:szCs w:val="24"/>
        </w:rPr>
      </w:pPr>
      <w:bookmarkStart w:id="63" w:name="_Toc51493579"/>
      <w:r>
        <w:rPr>
          <w:rFonts w:hint="eastAsia" w:ascii="仿宋" w:hAnsi="仿宋" w:eastAsia="仿宋"/>
          <w:sz w:val="24"/>
          <w:szCs w:val="24"/>
        </w:rPr>
        <w:t>结算方式</w:t>
      </w:r>
      <w:bookmarkEnd w:id="63"/>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1、结算单位：</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采购人结算，在付款前，必须开具等额发票给采购人。</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2、付款方式：</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（1）合同签署生效后，在15个工作日内支付合同总价的40%。支付依据：项目合同。</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（2）正式比赛顺利完成后，在15个工作日内支付合同总价的50%。支付依据：服务总结报告、验收证明。</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（3）赛事收尾终验通过后，在15个工作日内支付合同总价的10%。支付依据：资料移交报告、验收证明。</w:t>
      </w:r>
    </w:p>
    <w:p>
      <w:pPr>
        <w:pStyle w:val="2"/>
        <w:keepNext/>
        <w:keepLines/>
        <w:autoSpaceDE/>
        <w:autoSpaceDN/>
        <w:adjustRightInd/>
        <w:spacing w:before="340" w:after="330" w:line="276" w:lineRule="auto"/>
        <w:jc w:val="both"/>
        <w:rPr>
          <w:rFonts w:ascii="仿宋" w:hAnsi="仿宋" w:eastAsia="仿宋"/>
          <w:sz w:val="24"/>
          <w:szCs w:val="24"/>
        </w:rPr>
      </w:pPr>
      <w:bookmarkStart w:id="64" w:name="_Toc51493580"/>
      <w:r>
        <w:rPr>
          <w:rFonts w:hint="eastAsia" w:ascii="仿宋" w:hAnsi="仿宋" w:eastAsia="仿宋"/>
          <w:sz w:val="24"/>
          <w:szCs w:val="24"/>
        </w:rPr>
        <w:t>知识产权</w:t>
      </w:r>
      <w:bookmarkEnd w:id="64"/>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服务提供商提供的系统</w:t>
      </w:r>
      <w:r>
        <w:rPr>
          <w:rFonts w:ascii="仿宋" w:hAnsi="仿宋" w:eastAsia="仿宋"/>
          <w:sz w:val="24"/>
          <w:szCs w:val="24"/>
        </w:rPr>
        <w:t>和</w:t>
      </w:r>
      <w:r>
        <w:rPr>
          <w:rFonts w:hint="eastAsia" w:ascii="仿宋" w:hAnsi="仿宋" w:eastAsia="仿宋"/>
          <w:sz w:val="24"/>
          <w:szCs w:val="24"/>
        </w:rPr>
        <w:t>服务必须具有合法手续及相关文件。如涉及知识产权则必须是自己拥有或合法使用的。因知识产权纠纷造成的损失由服务提供商负责。</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在服务期内产生的数据产权归属服务需求方所有。</w:t>
      </w:r>
    </w:p>
    <w:p>
      <w:pPr>
        <w:pStyle w:val="2"/>
        <w:keepNext/>
        <w:keepLines/>
        <w:autoSpaceDE/>
        <w:autoSpaceDN/>
        <w:adjustRightInd/>
        <w:spacing w:before="340" w:after="330" w:line="276" w:lineRule="auto"/>
        <w:jc w:val="both"/>
        <w:rPr>
          <w:rFonts w:ascii="仿宋" w:hAnsi="仿宋" w:eastAsia="仿宋"/>
          <w:sz w:val="24"/>
          <w:szCs w:val="24"/>
        </w:rPr>
      </w:pPr>
      <w:bookmarkStart w:id="65" w:name="_Toc51493581"/>
      <w:r>
        <w:rPr>
          <w:rFonts w:hint="eastAsia" w:ascii="仿宋" w:hAnsi="仿宋" w:eastAsia="仿宋"/>
          <w:sz w:val="24"/>
          <w:szCs w:val="24"/>
        </w:rPr>
        <w:t>赛后软硬件系统及设备权益要求</w:t>
      </w:r>
      <w:bookmarkEnd w:id="65"/>
    </w:p>
    <w:p>
      <w:pPr>
        <w:spacing w:line="276" w:lineRule="auto"/>
        <w:ind w:firstLine="480" w:firstLineChars="200"/>
        <w:rPr>
          <w:rFonts w:ascii="仿宋" w:hAnsi="仿宋" w:eastAsia="仿宋"/>
          <w:sz w:val="24"/>
          <w:szCs w:val="24"/>
        </w:rPr>
      </w:pPr>
      <w:r>
        <w:rPr>
          <w:rFonts w:hint="eastAsia" w:ascii="仿宋" w:hAnsi="仿宋" w:eastAsia="仿宋"/>
          <w:sz w:val="24"/>
          <w:szCs w:val="24"/>
        </w:rPr>
        <w:t>在十四运会及残特奥会赛事结束后半年内，服务需求方或陕西省政府相关部门有权选择本项目采购的服务中所包含的部分软硬件系统及设备进行采购。所选软硬件系统及设备的采购价格以服务提供商分项报价单中该软硬件系统及设备价格的40%计。</w:t>
      </w:r>
    </w:p>
    <w:p>
      <w:pPr>
        <w:spacing w:line="276" w:lineRule="auto"/>
        <w:jc w:val="left"/>
        <w:rPr>
          <w:rFonts w:ascii="仿宋" w:hAnsi="仿宋" w:eastAsia="仿宋"/>
          <w:b/>
          <w:color w:val="FF0000"/>
          <w:sz w:val="32"/>
        </w:rPr>
      </w:pPr>
    </w:p>
    <w:p>
      <w:pPr>
        <w:jc w:val="left"/>
        <w:rPr>
          <w:rFonts w:ascii="仿宋" w:hAnsi="仿宋" w:eastAsia="仿宋"/>
          <w:b/>
          <w:color w:val="FF0000"/>
          <w:sz w:val="32"/>
        </w:rPr>
      </w:pPr>
      <w:r>
        <w:rPr>
          <w:rFonts w:ascii="仿宋" w:hAnsi="仿宋" w:eastAsia="仿宋"/>
          <w:b/>
          <w:color w:val="FF0000"/>
          <w:sz w:val="32"/>
        </w:rPr>
        <w:t>二</w:t>
      </w:r>
      <w:r>
        <w:rPr>
          <w:rFonts w:hint="eastAsia" w:ascii="仿宋" w:hAnsi="仿宋" w:eastAsia="仿宋"/>
          <w:b/>
          <w:color w:val="FF0000"/>
          <w:sz w:val="32"/>
        </w:rPr>
        <w:t>、</w:t>
      </w:r>
      <w:r>
        <w:rPr>
          <w:rFonts w:ascii="仿宋" w:hAnsi="仿宋" w:eastAsia="仿宋"/>
          <w:b/>
          <w:color w:val="FF0000"/>
          <w:sz w:val="32"/>
        </w:rPr>
        <w:t>标项</w:t>
      </w:r>
      <w:r>
        <w:rPr>
          <w:rFonts w:hint="eastAsia" w:ascii="仿宋" w:hAnsi="仿宋" w:eastAsia="仿宋"/>
          <w:b/>
          <w:color w:val="FF0000"/>
          <w:sz w:val="32"/>
        </w:rPr>
        <w:t>2需求文档▲</w:t>
      </w:r>
    </w:p>
    <w:p>
      <w:pPr>
        <w:pStyle w:val="2"/>
        <w:keepNext/>
        <w:keepLines/>
        <w:numPr>
          <w:ilvl w:val="0"/>
          <w:numId w:val="37"/>
        </w:numPr>
        <w:autoSpaceDE/>
        <w:autoSpaceDN/>
        <w:adjustRightInd/>
        <w:spacing w:before="340" w:after="330" w:line="276" w:lineRule="auto"/>
        <w:jc w:val="both"/>
        <w:rPr>
          <w:rFonts w:ascii="仿宋" w:hAnsi="仿宋" w:eastAsia="仿宋"/>
          <w:sz w:val="24"/>
          <w:szCs w:val="24"/>
        </w:rPr>
      </w:pPr>
      <w:bookmarkStart w:id="66" w:name="_Toc54270343"/>
      <w:r>
        <w:rPr>
          <w:rFonts w:hint="eastAsia" w:ascii="仿宋" w:hAnsi="仿宋" w:eastAsia="仿宋"/>
          <w:sz w:val="24"/>
          <w:szCs w:val="24"/>
        </w:rPr>
        <w:t>采购背景</w:t>
      </w:r>
      <w:bookmarkEnd w:id="66"/>
    </w:p>
    <w:p>
      <w:pPr>
        <w:pStyle w:val="24"/>
        <w:spacing w:line="276" w:lineRule="auto"/>
        <w:ind w:left="420"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中华人民共和国全国运动会（简称“全运会”），是由国家体育总局主办的国内最高级别的大型综合性运动会。全运会每四年举办一次，前九届由北京、上海、广州三地轮流举办，此后四届由江苏、山东、辽宁、天津相继举办。2015年12月29日，国务院批复同意陕西省承办2021年第十四届全国运动会（以下简称“十四运会”）。十四运会是首届由中西部省份承办的全运会，是国家在陕西举办的一次重大标志性活动，也是建党一百周年、全面建成小康社会的重要历史节点，具有十分重要的历史意义。根据国家体育总局办公厅印发的《中华人民共和国第十四届运动会竞赛规程总则》要求，十四运会共设置34个比赛大项，387个小项。竞赛及非竞赛场馆共计53个，分布在陕西省13个市（区）。参赛运动员、教练员预计将达到2万人以上，工作人员、志愿者30万人以上，重大活动及各项赛事观众人数将达20万人次。</w:t>
      </w:r>
    </w:p>
    <w:p>
      <w:pPr>
        <w:pStyle w:val="24"/>
        <w:spacing w:line="276" w:lineRule="auto"/>
        <w:ind w:left="420"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中华人民共和国第十一届残疾人运动会暨第八届特殊奥林匹克运动会（简称“残特奥会”）是由中国残疾人联合会、国家体育总局主办，国内规格最高、规模最大、竞技水平最高、辐射带动作用最强的综合性残疾人运动会,每四年举办一次。2018年5月，国务院批复同意陕西省承办2021年残特奥会，这是国内首次同城同期举办的全运会和残特奥会，也是党中央赋予陕西省无比光荣的政治任务。根据中国残疾人联合会、国家体育总局印发的《中华人民共和国第十一届残疾人运动会暨第八届特殊奥林匹克运动会竞赛规程总则》要求，本届残特奥会共设28个比赛大项，比赛将在西安、杨凌、宝鸡、铜川、渭南等地举行。残特奥会原则上使用与全运会相同的比赛场馆，部分项目使用新场馆。</w:t>
      </w:r>
    </w:p>
    <w:p>
      <w:pPr>
        <w:pStyle w:val="24"/>
        <w:spacing w:line="276" w:lineRule="auto"/>
        <w:ind w:left="420"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按照十四运会和残特奥会陕西省筹委会关于信息化建设“同步规划、同步实施、同步推进”的要求，确保十四运会建设成果最大程度延续服务于残特奥会，为同城同期举办两个运动会做好信息化保障，为实现“办一届精彩圆满的体育盛会”的目标，提供强有力的信息化保障。</w:t>
      </w:r>
    </w:p>
    <w:p>
      <w:pPr>
        <w:pStyle w:val="24"/>
        <w:spacing w:line="276" w:lineRule="auto"/>
        <w:ind w:left="420"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“竞赛通用设备集成保障服务”项目完成十四运会和残特奥会的竞赛通用设备集成保障服务工作，配合赛事业务系统和数据总集共同确保十四运会和残特奥会各业务系统持续、安全、稳定运行。</w:t>
      </w:r>
    </w:p>
    <w:p>
      <w:pPr>
        <w:pStyle w:val="24"/>
        <w:spacing w:line="276" w:lineRule="auto"/>
        <w:ind w:left="420"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本</w:t>
      </w:r>
      <w:r>
        <w:rPr>
          <w:rFonts w:hint="eastAsia" w:ascii="仿宋" w:hAnsi="仿宋" w:eastAsia="仿宋"/>
          <w:color w:val="000000"/>
          <w:kern w:val="0"/>
          <w:sz w:val="24"/>
          <w:lang w:val="en-US" w:eastAsia="zh-CN" w:bidi="en-US"/>
        </w:rPr>
        <w:t>标项</w:t>
      </w:r>
      <w:r>
        <w:rPr>
          <w:rFonts w:hint="eastAsia" w:ascii="仿宋" w:hAnsi="仿宋" w:eastAsia="仿宋"/>
          <w:color w:val="000000"/>
          <w:kern w:val="0"/>
          <w:sz w:val="24"/>
          <w:lang w:bidi="en-US"/>
        </w:rPr>
        <w:t>以购买服务方式采购。合同履行期限从合同生效之日起至赛事收尾验收审计结束。</w:t>
      </w:r>
    </w:p>
    <w:p>
      <w:pPr>
        <w:pStyle w:val="2"/>
        <w:keepNext/>
        <w:keepLines/>
        <w:autoSpaceDE/>
        <w:autoSpaceDN/>
        <w:adjustRightInd/>
        <w:spacing w:before="340" w:after="330" w:line="276" w:lineRule="auto"/>
        <w:jc w:val="both"/>
        <w:rPr>
          <w:rFonts w:ascii="仿宋" w:hAnsi="仿宋" w:eastAsia="仿宋"/>
          <w:sz w:val="24"/>
          <w:szCs w:val="24"/>
        </w:rPr>
      </w:pPr>
      <w:bookmarkStart w:id="67" w:name="_Toc54270344"/>
      <w:r>
        <w:rPr>
          <w:rFonts w:hint="eastAsia" w:ascii="仿宋" w:hAnsi="仿宋" w:eastAsia="仿宋"/>
          <w:sz w:val="24"/>
          <w:szCs w:val="24"/>
        </w:rPr>
        <w:t>服务内容</w:t>
      </w:r>
      <w:bookmarkEnd w:id="67"/>
    </w:p>
    <w:p>
      <w:pPr>
        <w:spacing w:line="276" w:lineRule="auto"/>
        <w:ind w:firstLine="480" w:firstLineChars="200"/>
        <w:rPr>
          <w:rFonts w:ascii="仿宋" w:hAnsi="仿宋" w:eastAsia="仿宋"/>
          <w:sz w:val="24"/>
          <w:szCs w:val="24"/>
        </w:rPr>
      </w:pPr>
      <w:r>
        <w:rPr>
          <w:rFonts w:hint="eastAsia" w:ascii="仿宋" w:hAnsi="仿宋" w:eastAsia="仿宋"/>
          <w:color w:val="000000"/>
          <w:sz w:val="24"/>
          <w:szCs w:val="24"/>
        </w:rPr>
        <w:t>本节仅规定了本项目</w:t>
      </w:r>
      <w:r>
        <w:rPr>
          <w:rFonts w:ascii="仿宋" w:hAnsi="仿宋" w:eastAsia="仿宋"/>
          <w:color w:val="000000"/>
          <w:sz w:val="24"/>
          <w:szCs w:val="24"/>
        </w:rPr>
        <w:t>最基本的服务内容</w:t>
      </w:r>
      <w:r>
        <w:rPr>
          <w:rFonts w:hint="eastAsia" w:ascii="仿宋" w:hAnsi="仿宋" w:eastAsia="仿宋"/>
          <w:color w:val="000000"/>
          <w:sz w:val="24"/>
          <w:szCs w:val="24"/>
        </w:rPr>
        <w:t>，并未规定所有的服务内容和适用的标准。投标人应根据自身</w:t>
      </w:r>
      <w:r>
        <w:rPr>
          <w:rFonts w:ascii="仿宋" w:hAnsi="仿宋" w:eastAsia="仿宋"/>
          <w:color w:val="000000"/>
          <w:sz w:val="24"/>
          <w:szCs w:val="24"/>
        </w:rPr>
        <w:t>的经验和能力，</w:t>
      </w:r>
      <w:r>
        <w:rPr>
          <w:rFonts w:hint="eastAsia" w:ascii="仿宋" w:hAnsi="仿宋" w:eastAsia="仿宋"/>
          <w:color w:val="000000"/>
          <w:sz w:val="24"/>
          <w:szCs w:val="24"/>
        </w:rPr>
        <w:t>在</w:t>
      </w:r>
      <w:r>
        <w:rPr>
          <w:rFonts w:ascii="仿宋" w:hAnsi="仿宋" w:eastAsia="仿宋"/>
          <w:color w:val="000000"/>
          <w:sz w:val="24"/>
          <w:szCs w:val="24"/>
        </w:rPr>
        <w:t>充分</w:t>
      </w:r>
      <w:r>
        <w:rPr>
          <w:rFonts w:hint="eastAsia" w:ascii="仿宋" w:hAnsi="仿宋" w:eastAsia="仿宋"/>
          <w:color w:val="000000"/>
          <w:sz w:val="24"/>
          <w:szCs w:val="24"/>
        </w:rPr>
        <w:t>理解十四运会和残特奥会所有</w:t>
      </w:r>
      <w:r>
        <w:rPr>
          <w:rFonts w:ascii="仿宋" w:hAnsi="仿宋" w:eastAsia="仿宋"/>
          <w:color w:val="000000"/>
          <w:sz w:val="24"/>
          <w:szCs w:val="24"/>
        </w:rPr>
        <w:t>参与者需求</w:t>
      </w:r>
      <w:r>
        <w:rPr>
          <w:rFonts w:hint="eastAsia" w:ascii="仿宋" w:hAnsi="仿宋" w:eastAsia="仿宋"/>
          <w:color w:val="000000"/>
          <w:sz w:val="24"/>
          <w:szCs w:val="24"/>
        </w:rPr>
        <w:t>的</w:t>
      </w:r>
      <w:r>
        <w:rPr>
          <w:rFonts w:ascii="仿宋" w:hAnsi="仿宋" w:eastAsia="仿宋"/>
          <w:color w:val="000000"/>
          <w:sz w:val="24"/>
          <w:szCs w:val="24"/>
        </w:rPr>
        <w:t>基础上，</w:t>
      </w:r>
      <w:r>
        <w:rPr>
          <w:rFonts w:hint="eastAsia" w:ascii="仿宋" w:hAnsi="仿宋" w:eastAsia="仿宋"/>
          <w:color w:val="000000"/>
          <w:sz w:val="24"/>
          <w:szCs w:val="24"/>
        </w:rPr>
        <w:t>提供全面</w:t>
      </w:r>
      <w:r>
        <w:rPr>
          <w:rFonts w:ascii="仿宋" w:hAnsi="仿宋" w:eastAsia="仿宋"/>
          <w:color w:val="000000"/>
          <w:sz w:val="24"/>
          <w:szCs w:val="24"/>
        </w:rPr>
        <w:t>、</w:t>
      </w:r>
      <w:r>
        <w:rPr>
          <w:rFonts w:hint="eastAsia" w:ascii="仿宋" w:hAnsi="仿宋" w:eastAsia="仿宋"/>
          <w:color w:val="000000"/>
          <w:sz w:val="24"/>
          <w:szCs w:val="24"/>
        </w:rPr>
        <w:t>便捷</w:t>
      </w:r>
      <w:r>
        <w:rPr>
          <w:rFonts w:ascii="仿宋" w:hAnsi="仿宋" w:eastAsia="仿宋"/>
          <w:color w:val="000000"/>
          <w:sz w:val="24"/>
          <w:szCs w:val="24"/>
        </w:rPr>
        <w:t>、安全</w:t>
      </w:r>
      <w:r>
        <w:rPr>
          <w:rFonts w:hint="eastAsia" w:ascii="仿宋" w:hAnsi="仿宋" w:eastAsia="仿宋"/>
          <w:color w:val="000000"/>
          <w:sz w:val="24"/>
          <w:szCs w:val="24"/>
        </w:rPr>
        <w:t>、</w:t>
      </w:r>
      <w:r>
        <w:rPr>
          <w:rFonts w:ascii="仿宋" w:hAnsi="仿宋" w:eastAsia="仿宋"/>
          <w:color w:val="000000"/>
          <w:sz w:val="24"/>
          <w:szCs w:val="24"/>
        </w:rPr>
        <w:t>可靠的服务</w:t>
      </w:r>
      <w:r>
        <w:rPr>
          <w:rFonts w:hint="eastAsia" w:ascii="仿宋" w:hAnsi="仿宋" w:eastAsia="仿宋"/>
          <w:color w:val="000000"/>
          <w:sz w:val="24"/>
          <w:szCs w:val="24"/>
        </w:rPr>
        <w:t>。</w:t>
      </w:r>
    </w:p>
    <w:p>
      <w:pPr>
        <w:spacing w:line="276" w:lineRule="auto"/>
        <w:ind w:firstLine="480" w:firstLineChars="200"/>
        <w:rPr>
          <w:rFonts w:ascii="仿宋" w:hAnsi="仿宋" w:eastAsia="仿宋"/>
          <w:sz w:val="24"/>
          <w:szCs w:val="24"/>
        </w:rPr>
      </w:pPr>
      <w:r>
        <w:rPr>
          <w:rFonts w:hint="eastAsia" w:ascii="仿宋" w:hAnsi="仿宋" w:eastAsia="仿宋"/>
          <w:sz w:val="24"/>
          <w:szCs w:val="24"/>
        </w:rPr>
        <w:t>竞赛通用设备租赁服务是为了满足十四运会和残特奥会期间信息化建设和</w:t>
      </w:r>
      <w:r>
        <w:rPr>
          <w:rFonts w:ascii="仿宋" w:hAnsi="仿宋" w:eastAsia="仿宋"/>
          <w:sz w:val="24"/>
          <w:szCs w:val="24"/>
        </w:rPr>
        <w:t>管理</w:t>
      </w:r>
      <w:r>
        <w:rPr>
          <w:rFonts w:hint="eastAsia" w:ascii="仿宋" w:hAnsi="仿宋" w:eastAsia="仿宋"/>
          <w:sz w:val="24"/>
          <w:szCs w:val="24"/>
        </w:rPr>
        <w:t>的需求，租用</w:t>
      </w:r>
      <w:r>
        <w:rPr>
          <w:rFonts w:ascii="仿宋" w:hAnsi="仿宋" w:eastAsia="仿宋"/>
          <w:sz w:val="24"/>
          <w:szCs w:val="24"/>
        </w:rPr>
        <w:t>的软硬件设备</w:t>
      </w:r>
      <w:r>
        <w:rPr>
          <w:rFonts w:hint="eastAsia" w:ascii="仿宋" w:hAnsi="仿宋" w:eastAsia="仿宋"/>
          <w:sz w:val="24"/>
          <w:szCs w:val="24"/>
        </w:rPr>
        <w:t>及其</w:t>
      </w:r>
      <w:r>
        <w:rPr>
          <w:rFonts w:ascii="仿宋" w:hAnsi="仿宋" w:eastAsia="仿宋"/>
          <w:sz w:val="24"/>
          <w:szCs w:val="24"/>
        </w:rPr>
        <w:t>运行保障服务，</w:t>
      </w:r>
      <w:r>
        <w:rPr>
          <w:rFonts w:hint="eastAsia" w:ascii="仿宋" w:hAnsi="仿宋" w:eastAsia="仿宋"/>
          <w:sz w:val="24"/>
          <w:szCs w:val="24"/>
        </w:rPr>
        <w:t>包括竞赛通用设备、办公耗材、公共显示屏、系统软件</w:t>
      </w:r>
      <w:r>
        <w:rPr>
          <w:rFonts w:ascii="仿宋" w:hAnsi="仿宋" w:eastAsia="仿宋"/>
          <w:sz w:val="24"/>
          <w:szCs w:val="24"/>
        </w:rPr>
        <w:t>等</w:t>
      </w:r>
      <w:r>
        <w:rPr>
          <w:rFonts w:hint="eastAsia" w:ascii="仿宋" w:hAnsi="仿宋" w:eastAsia="仿宋"/>
          <w:sz w:val="24"/>
          <w:szCs w:val="24"/>
        </w:rPr>
        <w:t>。</w:t>
      </w:r>
    </w:p>
    <w:p>
      <w:pPr>
        <w:pStyle w:val="3"/>
        <w:spacing w:line="276" w:lineRule="auto"/>
        <w:rPr>
          <w:rFonts w:ascii="仿宋" w:hAnsi="仿宋" w:eastAsia="仿宋"/>
          <w:sz w:val="24"/>
          <w:szCs w:val="24"/>
        </w:rPr>
      </w:pPr>
      <w:bookmarkStart w:id="68" w:name="_Toc54270345"/>
      <w:r>
        <w:rPr>
          <w:rFonts w:hint="eastAsia" w:ascii="仿宋" w:hAnsi="仿宋" w:eastAsia="仿宋"/>
          <w:sz w:val="24"/>
          <w:szCs w:val="24"/>
        </w:rPr>
        <w:t>竞赛通用设备集成保障服务</w:t>
      </w:r>
      <w:bookmarkEnd w:id="68"/>
    </w:p>
    <w:p>
      <w:pPr>
        <w:spacing w:line="276" w:lineRule="auto"/>
        <w:ind w:firstLine="480" w:firstLineChars="200"/>
        <w:rPr>
          <w:rFonts w:ascii="仿宋" w:hAnsi="仿宋" w:eastAsia="仿宋"/>
          <w:sz w:val="24"/>
          <w:szCs w:val="24"/>
        </w:rPr>
      </w:pPr>
      <w:r>
        <w:rPr>
          <w:rFonts w:hint="eastAsia" w:ascii="仿宋" w:hAnsi="仿宋" w:eastAsia="仿宋"/>
          <w:sz w:val="24"/>
          <w:szCs w:val="24"/>
        </w:rPr>
        <w:t>竞赛通用设备是十四运会信息技术系统运行所需要的基础设备，服务</w:t>
      </w:r>
      <w:r>
        <w:rPr>
          <w:rFonts w:ascii="仿宋" w:hAnsi="仿宋" w:eastAsia="仿宋"/>
          <w:sz w:val="24"/>
          <w:szCs w:val="24"/>
        </w:rPr>
        <w:t>提供商应提供竞赛通用设备租用服务，</w:t>
      </w:r>
      <w:r>
        <w:rPr>
          <w:rFonts w:hint="eastAsia" w:ascii="仿宋" w:hAnsi="仿宋" w:eastAsia="仿宋"/>
          <w:sz w:val="24"/>
          <w:szCs w:val="24"/>
        </w:rPr>
        <w:t>要求提供的设备均为首次开封的新品，且设备状态良好、规格标准、型号尽量统一。</w:t>
      </w:r>
    </w:p>
    <w:p>
      <w:pPr>
        <w:spacing w:line="276" w:lineRule="auto"/>
        <w:ind w:firstLine="480" w:firstLineChars="200"/>
        <w:rPr>
          <w:rFonts w:ascii="仿宋" w:hAnsi="仿宋" w:eastAsia="仿宋"/>
          <w:sz w:val="24"/>
          <w:szCs w:val="24"/>
        </w:rPr>
      </w:pPr>
      <w:r>
        <w:rPr>
          <w:rFonts w:hint="eastAsia" w:ascii="仿宋" w:hAnsi="仿宋" w:eastAsia="仿宋"/>
          <w:sz w:val="24"/>
          <w:szCs w:val="24"/>
        </w:rPr>
        <w:t>竞赛通用设备租用的内容包括：场馆成绩服务器、场馆视频服务器、笔记本电脑、PDP平板电视、台式计算机、信息查询机（多媒体查询一体机）、A4黑白激光打印机、办公一体机、投影仪及幕布、高速复印机、碎纸机、竞赛对讲机等。</w:t>
      </w:r>
    </w:p>
    <w:p>
      <w:pPr>
        <w:spacing w:line="276" w:lineRule="auto"/>
        <w:ind w:firstLine="480" w:firstLineChars="200"/>
        <w:rPr>
          <w:rFonts w:ascii="仿宋" w:hAnsi="仿宋" w:eastAsia="仿宋"/>
          <w:sz w:val="24"/>
          <w:szCs w:val="24"/>
        </w:rPr>
      </w:pPr>
      <w:r>
        <w:rPr>
          <w:rFonts w:hint="eastAsia" w:ascii="仿宋" w:hAnsi="仿宋" w:eastAsia="仿宋"/>
          <w:sz w:val="24"/>
          <w:szCs w:val="24"/>
        </w:rPr>
        <w:t>竞赛通用设备租用具体要求如下：</w:t>
      </w:r>
    </w:p>
    <w:p>
      <w:pPr>
        <w:pStyle w:val="157"/>
        <w:numPr>
          <w:ilvl w:val="0"/>
          <w:numId w:val="38"/>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场馆成绩服务器：</w:t>
      </w:r>
      <w:r>
        <w:rPr>
          <w:rFonts w:ascii="仿宋" w:hAnsi="仿宋" w:eastAsia="仿宋"/>
          <w:sz w:val="24"/>
          <w:szCs w:val="24"/>
        </w:rPr>
        <w:t>38</w:t>
      </w:r>
      <w:r>
        <w:rPr>
          <w:rFonts w:hint="eastAsia" w:ascii="仿宋" w:hAnsi="仿宋" w:eastAsia="仿宋"/>
          <w:sz w:val="24"/>
          <w:szCs w:val="24"/>
        </w:rPr>
        <w:t>台场馆成绩服务器，要求预装服务需求方指定操作系统、数据库，要求参数性能满足C</w:t>
      </w:r>
      <w:r>
        <w:rPr>
          <w:rFonts w:ascii="仿宋" w:hAnsi="仿宋" w:eastAsia="仿宋"/>
          <w:sz w:val="24"/>
          <w:szCs w:val="24"/>
        </w:rPr>
        <w:t>PU</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颗</w:t>
      </w:r>
      <w:r>
        <w:rPr>
          <w:rFonts w:ascii="仿宋" w:hAnsi="仿宋" w:eastAsia="仿宋"/>
          <w:sz w:val="24"/>
          <w:szCs w:val="24"/>
        </w:rPr>
        <w:t>，</w:t>
      </w:r>
      <w:r>
        <w:rPr>
          <w:rFonts w:hint="eastAsia" w:ascii="仿宋" w:hAnsi="仿宋" w:eastAsia="仿宋"/>
          <w:sz w:val="24"/>
          <w:szCs w:val="24"/>
        </w:rPr>
        <w:t>内核≥</w:t>
      </w:r>
      <w:r>
        <w:rPr>
          <w:rFonts w:ascii="仿宋" w:hAnsi="仿宋" w:eastAsia="仿宋"/>
          <w:sz w:val="24"/>
          <w:szCs w:val="24"/>
        </w:rPr>
        <w:t>10</w:t>
      </w:r>
      <w:r>
        <w:rPr>
          <w:rFonts w:hint="eastAsia" w:ascii="仿宋" w:hAnsi="仿宋" w:eastAsia="仿宋"/>
          <w:sz w:val="24"/>
          <w:szCs w:val="24"/>
        </w:rPr>
        <w:t>核心</w:t>
      </w:r>
      <w:r>
        <w:rPr>
          <w:rFonts w:ascii="仿宋" w:hAnsi="仿宋" w:eastAsia="仿宋"/>
          <w:sz w:val="24"/>
          <w:szCs w:val="24"/>
        </w:rPr>
        <w:t>，</w:t>
      </w:r>
      <w:r>
        <w:rPr>
          <w:rFonts w:hint="eastAsia" w:ascii="仿宋" w:hAnsi="仿宋" w:eastAsia="仿宋"/>
          <w:sz w:val="24"/>
          <w:szCs w:val="24"/>
        </w:rPr>
        <w:t>内存容量≥6</w:t>
      </w:r>
      <w:r>
        <w:rPr>
          <w:rFonts w:ascii="仿宋" w:hAnsi="仿宋" w:eastAsia="仿宋"/>
          <w:sz w:val="24"/>
          <w:szCs w:val="24"/>
        </w:rPr>
        <w:t>4GB</w:t>
      </w:r>
      <w:r>
        <w:rPr>
          <w:rFonts w:hint="eastAsia" w:ascii="仿宋" w:hAnsi="仿宋" w:eastAsia="仿宋"/>
          <w:sz w:val="24"/>
          <w:szCs w:val="24"/>
        </w:rPr>
        <w:t>，高性能RAID卡且硬盘容量≥6</w:t>
      </w:r>
      <w:r>
        <w:rPr>
          <w:rFonts w:ascii="仿宋" w:hAnsi="仿宋" w:eastAsia="仿宋"/>
          <w:sz w:val="24"/>
          <w:szCs w:val="24"/>
        </w:rPr>
        <w:t>00GB</w:t>
      </w:r>
      <w:r>
        <w:rPr>
          <w:rFonts w:hint="eastAsia" w:ascii="仿宋" w:hAnsi="仿宋" w:eastAsia="仿宋"/>
          <w:sz w:val="24"/>
          <w:szCs w:val="24"/>
        </w:rPr>
        <w:t>，硬盘数量≥3块，千兆以太网口≥3个，冗余电源≥1+1，显示器≥2</w:t>
      </w:r>
      <w:r>
        <w:rPr>
          <w:rFonts w:ascii="仿宋" w:hAnsi="仿宋" w:eastAsia="仿宋"/>
          <w:sz w:val="24"/>
          <w:szCs w:val="24"/>
        </w:rPr>
        <w:t>1</w:t>
      </w:r>
      <w:r>
        <w:rPr>
          <w:rFonts w:hint="eastAsia" w:ascii="仿宋" w:hAnsi="仿宋" w:eastAsia="仿宋"/>
          <w:sz w:val="24"/>
          <w:szCs w:val="24"/>
        </w:rPr>
        <w:t>寸。</w:t>
      </w:r>
    </w:p>
    <w:p>
      <w:pPr>
        <w:pStyle w:val="157"/>
        <w:numPr>
          <w:ilvl w:val="0"/>
          <w:numId w:val="38"/>
        </w:numPr>
        <w:spacing w:line="276" w:lineRule="auto"/>
        <w:ind w:left="840" w:firstLine="200" w:firstLineChars="0"/>
        <w:contextualSpacing/>
        <w:rPr>
          <w:rFonts w:ascii="仿宋" w:hAnsi="仿宋" w:eastAsia="仿宋"/>
          <w:sz w:val="24"/>
          <w:szCs w:val="24"/>
        </w:rPr>
      </w:pPr>
      <w:r>
        <w:rPr>
          <w:rFonts w:hint="eastAsia" w:ascii="仿宋" w:hAnsi="仿宋" w:eastAsia="仿宋"/>
          <w:sz w:val="24"/>
          <w:szCs w:val="24"/>
        </w:rPr>
        <w:t>场馆视频服务器：5</w:t>
      </w:r>
      <w:r>
        <w:rPr>
          <w:rFonts w:ascii="仿宋" w:hAnsi="仿宋" w:eastAsia="仿宋"/>
          <w:sz w:val="24"/>
          <w:szCs w:val="24"/>
        </w:rPr>
        <w:t>3</w:t>
      </w:r>
      <w:r>
        <w:rPr>
          <w:rFonts w:hint="eastAsia" w:ascii="仿宋" w:hAnsi="仿宋" w:eastAsia="仿宋"/>
          <w:sz w:val="24"/>
          <w:szCs w:val="24"/>
        </w:rPr>
        <w:t>台场馆视频服务器，要求预装服务需求方指定操作系统，要求参数性能满足C</w:t>
      </w:r>
      <w:r>
        <w:rPr>
          <w:rFonts w:ascii="仿宋" w:hAnsi="仿宋" w:eastAsia="仿宋"/>
          <w:sz w:val="24"/>
          <w:szCs w:val="24"/>
        </w:rPr>
        <w:t>PU</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颗</w:t>
      </w:r>
      <w:r>
        <w:rPr>
          <w:rFonts w:ascii="仿宋" w:hAnsi="仿宋" w:eastAsia="仿宋"/>
          <w:sz w:val="24"/>
          <w:szCs w:val="24"/>
        </w:rPr>
        <w:t>，</w:t>
      </w:r>
      <w:r>
        <w:rPr>
          <w:rFonts w:hint="eastAsia" w:ascii="仿宋" w:hAnsi="仿宋" w:eastAsia="仿宋"/>
          <w:sz w:val="24"/>
          <w:szCs w:val="24"/>
        </w:rPr>
        <w:t>内核≥</w:t>
      </w:r>
      <w:r>
        <w:rPr>
          <w:rFonts w:ascii="仿宋" w:hAnsi="仿宋" w:eastAsia="仿宋"/>
          <w:sz w:val="24"/>
          <w:szCs w:val="24"/>
        </w:rPr>
        <w:t>10</w:t>
      </w:r>
      <w:r>
        <w:rPr>
          <w:rFonts w:hint="eastAsia" w:ascii="仿宋" w:hAnsi="仿宋" w:eastAsia="仿宋"/>
          <w:sz w:val="24"/>
          <w:szCs w:val="24"/>
        </w:rPr>
        <w:t>核心</w:t>
      </w:r>
      <w:r>
        <w:rPr>
          <w:rFonts w:ascii="仿宋" w:hAnsi="仿宋" w:eastAsia="仿宋"/>
          <w:sz w:val="24"/>
          <w:szCs w:val="24"/>
        </w:rPr>
        <w:t>，</w:t>
      </w:r>
      <w:r>
        <w:rPr>
          <w:rFonts w:hint="eastAsia" w:ascii="仿宋" w:hAnsi="仿宋" w:eastAsia="仿宋"/>
          <w:sz w:val="24"/>
          <w:szCs w:val="24"/>
        </w:rPr>
        <w:t>内存容量≥6</w:t>
      </w:r>
      <w:r>
        <w:rPr>
          <w:rFonts w:ascii="仿宋" w:hAnsi="仿宋" w:eastAsia="仿宋"/>
          <w:sz w:val="24"/>
          <w:szCs w:val="24"/>
        </w:rPr>
        <w:t>4GB</w:t>
      </w:r>
      <w:r>
        <w:rPr>
          <w:rFonts w:hint="eastAsia" w:ascii="仿宋" w:hAnsi="仿宋" w:eastAsia="仿宋"/>
          <w:sz w:val="24"/>
          <w:szCs w:val="24"/>
        </w:rPr>
        <w:t>，高性能RAID卡且硬盘容量≥6</w:t>
      </w:r>
      <w:r>
        <w:rPr>
          <w:rFonts w:ascii="仿宋" w:hAnsi="仿宋" w:eastAsia="仿宋"/>
          <w:sz w:val="24"/>
          <w:szCs w:val="24"/>
        </w:rPr>
        <w:t>00GB</w:t>
      </w:r>
      <w:r>
        <w:rPr>
          <w:rFonts w:hint="eastAsia" w:ascii="仿宋" w:hAnsi="仿宋" w:eastAsia="仿宋"/>
          <w:sz w:val="24"/>
          <w:szCs w:val="24"/>
        </w:rPr>
        <w:t>，硬盘数量≥3块，千兆以太网口≥3个，冗余电源≥1+1，显示器≥2</w:t>
      </w:r>
      <w:r>
        <w:rPr>
          <w:rFonts w:ascii="仿宋" w:hAnsi="仿宋" w:eastAsia="仿宋"/>
          <w:sz w:val="24"/>
          <w:szCs w:val="24"/>
        </w:rPr>
        <w:t>1</w:t>
      </w:r>
      <w:r>
        <w:rPr>
          <w:rFonts w:hint="eastAsia" w:ascii="仿宋" w:hAnsi="仿宋" w:eastAsia="仿宋"/>
          <w:sz w:val="24"/>
          <w:szCs w:val="24"/>
        </w:rPr>
        <w:t>寸。</w:t>
      </w:r>
    </w:p>
    <w:p>
      <w:pPr>
        <w:pStyle w:val="157"/>
        <w:numPr>
          <w:ilvl w:val="0"/>
          <w:numId w:val="38"/>
        </w:numPr>
        <w:spacing w:line="276" w:lineRule="auto"/>
        <w:ind w:left="840" w:firstLine="200" w:firstLineChars="0"/>
        <w:contextualSpacing/>
        <w:rPr>
          <w:rFonts w:ascii="仿宋" w:hAnsi="仿宋" w:eastAsia="仿宋"/>
          <w:sz w:val="24"/>
          <w:szCs w:val="24"/>
        </w:rPr>
      </w:pPr>
      <w:r>
        <w:rPr>
          <w:rFonts w:hint="eastAsia" w:ascii="仿宋" w:hAnsi="仿宋" w:eastAsia="仿宋"/>
          <w:sz w:val="24"/>
          <w:szCs w:val="24"/>
        </w:rPr>
        <w:t>笔记本电脑：</w:t>
      </w:r>
      <w:r>
        <w:rPr>
          <w:rFonts w:ascii="仿宋" w:hAnsi="仿宋" w:eastAsia="仿宋"/>
          <w:sz w:val="24"/>
          <w:szCs w:val="24"/>
        </w:rPr>
        <w:t>728</w:t>
      </w:r>
      <w:r>
        <w:rPr>
          <w:rFonts w:hint="eastAsia" w:ascii="仿宋" w:hAnsi="仿宋" w:eastAsia="仿宋"/>
          <w:sz w:val="24"/>
          <w:szCs w:val="24"/>
        </w:rPr>
        <w:t>台笔记本电脑，用于现场成绩处理和视频管理，要求参数性能满足CPU-i7，内存≥8GB，硬盘配置不低于256G固态硬盘、1TB硬盘，显存≥2G，U</w:t>
      </w:r>
      <w:r>
        <w:rPr>
          <w:rFonts w:ascii="仿宋" w:hAnsi="仿宋" w:eastAsia="仿宋"/>
          <w:sz w:val="24"/>
          <w:szCs w:val="24"/>
        </w:rPr>
        <w:t>SB</w:t>
      </w:r>
      <w:r>
        <w:rPr>
          <w:rFonts w:hint="eastAsia" w:ascii="仿宋" w:hAnsi="仿宋" w:eastAsia="仿宋"/>
          <w:sz w:val="24"/>
          <w:szCs w:val="24"/>
        </w:rPr>
        <w:t>接口≥3个，网卡≥</w:t>
      </w:r>
      <w:r>
        <w:rPr>
          <w:rFonts w:ascii="仿宋" w:hAnsi="仿宋" w:eastAsia="仿宋"/>
          <w:sz w:val="24"/>
          <w:szCs w:val="24"/>
        </w:rPr>
        <w:t>1</w:t>
      </w:r>
      <w:r>
        <w:rPr>
          <w:rFonts w:hint="eastAsia" w:ascii="仿宋" w:hAnsi="仿宋" w:eastAsia="仿宋"/>
          <w:sz w:val="24"/>
          <w:szCs w:val="24"/>
        </w:rPr>
        <w:t>个，并预装服务需求方指定操作系统、办公软件及杀毒软件。</w:t>
      </w:r>
    </w:p>
    <w:p>
      <w:pPr>
        <w:pStyle w:val="157"/>
        <w:numPr>
          <w:ilvl w:val="0"/>
          <w:numId w:val="38"/>
        </w:numPr>
        <w:spacing w:line="276" w:lineRule="auto"/>
        <w:ind w:left="840" w:firstLine="200" w:firstLineChars="0"/>
        <w:contextualSpacing/>
        <w:rPr>
          <w:rFonts w:ascii="仿宋" w:hAnsi="仿宋" w:eastAsia="仿宋"/>
          <w:sz w:val="24"/>
          <w:szCs w:val="24"/>
        </w:rPr>
      </w:pPr>
      <w:r>
        <w:rPr>
          <w:rFonts w:hint="eastAsia" w:ascii="仿宋" w:hAnsi="仿宋" w:eastAsia="仿宋"/>
          <w:sz w:val="24"/>
          <w:szCs w:val="24"/>
        </w:rPr>
        <w:t>PDP平板电视：</w:t>
      </w:r>
      <w:r>
        <w:rPr>
          <w:rFonts w:ascii="仿宋" w:hAnsi="仿宋" w:eastAsia="仿宋"/>
          <w:sz w:val="24"/>
          <w:szCs w:val="24"/>
        </w:rPr>
        <w:t>187</w:t>
      </w:r>
      <w:r>
        <w:rPr>
          <w:rFonts w:hint="eastAsia" w:ascii="仿宋" w:hAnsi="仿宋" w:eastAsia="仿宋"/>
          <w:sz w:val="24"/>
          <w:szCs w:val="24"/>
        </w:rPr>
        <w:t>台PDP平板电视，要求参数性能满足CPU核数≥2核，GPU≥2核，运行内存≥1G。</w:t>
      </w:r>
    </w:p>
    <w:p>
      <w:pPr>
        <w:pStyle w:val="157"/>
        <w:numPr>
          <w:ilvl w:val="0"/>
          <w:numId w:val="38"/>
        </w:numPr>
        <w:spacing w:line="276" w:lineRule="auto"/>
        <w:ind w:left="840" w:firstLine="200" w:firstLineChars="0"/>
        <w:contextualSpacing/>
        <w:rPr>
          <w:rFonts w:ascii="仿宋" w:hAnsi="仿宋" w:eastAsia="仿宋"/>
          <w:sz w:val="24"/>
          <w:szCs w:val="24"/>
        </w:rPr>
      </w:pPr>
      <w:r>
        <w:rPr>
          <w:rFonts w:hint="eastAsia" w:ascii="仿宋" w:hAnsi="仿宋" w:eastAsia="仿宋"/>
          <w:sz w:val="24"/>
          <w:szCs w:val="24"/>
        </w:rPr>
        <w:t>台式计算机：</w:t>
      </w:r>
      <w:r>
        <w:rPr>
          <w:rFonts w:ascii="仿宋" w:hAnsi="仿宋" w:eastAsia="仿宋"/>
          <w:sz w:val="24"/>
          <w:szCs w:val="24"/>
        </w:rPr>
        <w:t>200</w:t>
      </w:r>
      <w:r>
        <w:rPr>
          <w:rFonts w:hint="eastAsia" w:ascii="仿宋" w:hAnsi="仿宋" w:eastAsia="仿宋"/>
          <w:sz w:val="24"/>
          <w:szCs w:val="24"/>
        </w:rPr>
        <w:t>台式计算机，要求参数性能满足CPU-i7，内存≥8GB，硬盘≥1TB，显存≥2G，并预装服务需求方指定操作系统、办公软件及杀毒软件。</w:t>
      </w:r>
    </w:p>
    <w:p>
      <w:pPr>
        <w:pStyle w:val="157"/>
        <w:numPr>
          <w:ilvl w:val="0"/>
          <w:numId w:val="38"/>
        </w:numPr>
        <w:spacing w:line="276" w:lineRule="auto"/>
        <w:ind w:left="840" w:firstLine="200" w:firstLineChars="0"/>
        <w:contextualSpacing/>
        <w:rPr>
          <w:rFonts w:ascii="仿宋" w:hAnsi="仿宋" w:eastAsia="仿宋"/>
          <w:sz w:val="24"/>
          <w:szCs w:val="24"/>
        </w:rPr>
      </w:pPr>
      <w:r>
        <w:rPr>
          <w:rFonts w:hint="eastAsia" w:ascii="仿宋" w:hAnsi="仿宋" w:eastAsia="仿宋"/>
          <w:sz w:val="24"/>
          <w:szCs w:val="24"/>
        </w:rPr>
        <w:t>信息查询机（多媒体查询一体机）：租赁</w:t>
      </w:r>
      <w:r>
        <w:rPr>
          <w:rFonts w:ascii="仿宋" w:hAnsi="仿宋" w:eastAsia="仿宋"/>
          <w:sz w:val="24"/>
          <w:szCs w:val="24"/>
        </w:rPr>
        <w:t>182</w:t>
      </w:r>
      <w:r>
        <w:rPr>
          <w:rFonts w:hint="eastAsia" w:ascii="仿宋" w:hAnsi="仿宋" w:eastAsia="仿宋"/>
          <w:sz w:val="24"/>
          <w:szCs w:val="24"/>
        </w:rPr>
        <w:t>台信息查询机（多媒体查询一体机），要求参数性能满足CPU-i5，内存≥4GB，硬盘≥1TB，显示屏≥</w:t>
      </w:r>
      <w:r>
        <w:rPr>
          <w:rFonts w:ascii="仿宋" w:hAnsi="仿宋" w:eastAsia="仿宋"/>
          <w:sz w:val="24"/>
          <w:szCs w:val="24"/>
        </w:rPr>
        <w:t>19</w:t>
      </w:r>
      <w:r>
        <w:rPr>
          <w:rFonts w:hint="eastAsia" w:ascii="仿宋" w:hAnsi="仿宋" w:eastAsia="仿宋"/>
          <w:sz w:val="24"/>
          <w:szCs w:val="24"/>
        </w:rPr>
        <w:t>寸，U</w:t>
      </w:r>
      <w:r>
        <w:rPr>
          <w:rFonts w:ascii="仿宋" w:hAnsi="仿宋" w:eastAsia="仿宋"/>
          <w:sz w:val="24"/>
          <w:szCs w:val="24"/>
        </w:rPr>
        <w:t>SB</w:t>
      </w:r>
      <w:r>
        <w:rPr>
          <w:rFonts w:hint="eastAsia" w:ascii="仿宋" w:hAnsi="仿宋" w:eastAsia="仿宋"/>
          <w:sz w:val="24"/>
          <w:szCs w:val="24"/>
        </w:rPr>
        <w:t>接口≥</w:t>
      </w:r>
      <w:r>
        <w:rPr>
          <w:rFonts w:ascii="仿宋" w:hAnsi="仿宋" w:eastAsia="仿宋"/>
          <w:sz w:val="24"/>
          <w:szCs w:val="24"/>
        </w:rPr>
        <w:t>6</w:t>
      </w:r>
      <w:r>
        <w:rPr>
          <w:rFonts w:hint="eastAsia" w:ascii="仿宋" w:hAnsi="仿宋" w:eastAsia="仿宋"/>
          <w:sz w:val="24"/>
          <w:szCs w:val="24"/>
        </w:rPr>
        <w:t>个（3</w:t>
      </w:r>
      <w:r>
        <w:rPr>
          <w:rFonts w:ascii="仿宋" w:hAnsi="仿宋" w:eastAsia="仿宋"/>
          <w:sz w:val="24"/>
          <w:szCs w:val="24"/>
        </w:rPr>
        <w:t>.0</w:t>
      </w:r>
      <w:r>
        <w:rPr>
          <w:rFonts w:hint="eastAsia" w:ascii="仿宋" w:hAnsi="仿宋" w:eastAsia="仿宋"/>
          <w:sz w:val="24"/>
          <w:szCs w:val="24"/>
        </w:rPr>
        <w:t>接口≥</w:t>
      </w:r>
      <w:r>
        <w:rPr>
          <w:rFonts w:ascii="仿宋" w:hAnsi="仿宋" w:eastAsia="仿宋"/>
          <w:sz w:val="24"/>
          <w:szCs w:val="24"/>
        </w:rPr>
        <w:t>2</w:t>
      </w:r>
      <w:r>
        <w:rPr>
          <w:rFonts w:hint="eastAsia" w:ascii="仿宋" w:hAnsi="仿宋" w:eastAsia="仿宋"/>
          <w:sz w:val="24"/>
          <w:szCs w:val="24"/>
        </w:rPr>
        <w:t>个），预装服务需求方指定操作系统。</w:t>
      </w:r>
    </w:p>
    <w:p>
      <w:pPr>
        <w:pStyle w:val="157"/>
        <w:numPr>
          <w:ilvl w:val="0"/>
          <w:numId w:val="38"/>
        </w:numPr>
        <w:spacing w:line="276" w:lineRule="auto"/>
        <w:ind w:left="840" w:firstLine="200" w:firstLineChars="0"/>
        <w:contextualSpacing/>
        <w:rPr>
          <w:rFonts w:ascii="仿宋" w:hAnsi="仿宋" w:eastAsia="仿宋"/>
          <w:sz w:val="24"/>
          <w:szCs w:val="24"/>
        </w:rPr>
      </w:pPr>
      <w:r>
        <w:rPr>
          <w:rFonts w:hint="eastAsia" w:ascii="仿宋" w:hAnsi="仿宋" w:eastAsia="仿宋"/>
          <w:sz w:val="24"/>
          <w:szCs w:val="24"/>
        </w:rPr>
        <w:t>A4黑白激光打印机：</w:t>
      </w:r>
      <w:r>
        <w:rPr>
          <w:rFonts w:ascii="仿宋" w:hAnsi="仿宋" w:eastAsia="仿宋"/>
          <w:sz w:val="24"/>
          <w:szCs w:val="24"/>
        </w:rPr>
        <w:t>150</w:t>
      </w:r>
      <w:r>
        <w:rPr>
          <w:rFonts w:hint="eastAsia" w:ascii="仿宋" w:hAnsi="仿宋" w:eastAsia="仿宋"/>
          <w:sz w:val="24"/>
          <w:szCs w:val="24"/>
        </w:rPr>
        <w:t>台A4黑白激光打印机，要求打印速度≥28ppm，内存≥256MB，支持自动双面打印，接口类型为USB，耗材类型为硒鼓，打印幅面支持A4。</w:t>
      </w:r>
    </w:p>
    <w:p>
      <w:pPr>
        <w:pStyle w:val="157"/>
        <w:numPr>
          <w:ilvl w:val="0"/>
          <w:numId w:val="38"/>
        </w:numPr>
        <w:spacing w:line="276" w:lineRule="auto"/>
        <w:ind w:left="840" w:firstLine="200" w:firstLineChars="0"/>
        <w:contextualSpacing/>
        <w:rPr>
          <w:rFonts w:ascii="仿宋" w:hAnsi="仿宋" w:eastAsia="仿宋"/>
          <w:sz w:val="24"/>
          <w:szCs w:val="24"/>
        </w:rPr>
      </w:pPr>
      <w:r>
        <w:rPr>
          <w:rFonts w:hint="eastAsia" w:ascii="仿宋" w:hAnsi="仿宋" w:eastAsia="仿宋"/>
          <w:sz w:val="24"/>
          <w:szCs w:val="24"/>
        </w:rPr>
        <w:t>办公一体机：</w:t>
      </w:r>
      <w:r>
        <w:rPr>
          <w:rFonts w:ascii="仿宋" w:hAnsi="仿宋" w:eastAsia="仿宋"/>
          <w:sz w:val="24"/>
          <w:szCs w:val="24"/>
        </w:rPr>
        <w:t>65</w:t>
      </w:r>
      <w:r>
        <w:rPr>
          <w:rFonts w:hint="eastAsia" w:ascii="仿宋" w:hAnsi="仿宋" w:eastAsia="仿宋"/>
          <w:sz w:val="24"/>
          <w:szCs w:val="24"/>
        </w:rPr>
        <w:t>台办公一体机，要求支持打印、复印、扫描、传真，打印速度≥25ppm，内存≥256MB，支持自动双面打印，接口类型为USB，耗材类型为硒鼓，打印幅面支持A4。</w:t>
      </w:r>
    </w:p>
    <w:p>
      <w:pPr>
        <w:pStyle w:val="157"/>
        <w:numPr>
          <w:ilvl w:val="0"/>
          <w:numId w:val="38"/>
        </w:numPr>
        <w:spacing w:line="276" w:lineRule="auto"/>
        <w:ind w:left="840" w:firstLine="200" w:firstLineChars="0"/>
        <w:contextualSpacing/>
        <w:rPr>
          <w:rFonts w:ascii="仿宋" w:hAnsi="仿宋" w:eastAsia="仿宋"/>
          <w:sz w:val="24"/>
          <w:szCs w:val="24"/>
        </w:rPr>
      </w:pPr>
      <w:r>
        <w:rPr>
          <w:rFonts w:hint="eastAsia" w:ascii="仿宋" w:hAnsi="仿宋" w:eastAsia="仿宋"/>
          <w:sz w:val="24"/>
          <w:szCs w:val="24"/>
        </w:rPr>
        <w:t>投影仪及幕布：</w:t>
      </w:r>
      <w:r>
        <w:rPr>
          <w:rFonts w:ascii="仿宋" w:hAnsi="仿宋" w:eastAsia="仿宋"/>
          <w:sz w:val="24"/>
          <w:szCs w:val="24"/>
        </w:rPr>
        <w:t>10</w:t>
      </w:r>
      <w:r>
        <w:rPr>
          <w:rFonts w:hint="eastAsia" w:ascii="仿宋" w:hAnsi="仿宋" w:eastAsia="仿宋"/>
          <w:sz w:val="24"/>
          <w:szCs w:val="24"/>
        </w:rPr>
        <w:t>台投影仪及幕布，要求标准亮度≥4000流明，标准分辨率≥1024*768，整机功率≤300W(标准模式)，接口支持HDMI接口、VGA接口、USB接口，梯形矫正支持垂直/水平/四角，重量≤3KG，幕布≥100寸。</w:t>
      </w:r>
    </w:p>
    <w:p>
      <w:pPr>
        <w:pStyle w:val="157"/>
        <w:numPr>
          <w:ilvl w:val="0"/>
          <w:numId w:val="38"/>
        </w:numPr>
        <w:spacing w:line="276" w:lineRule="auto"/>
        <w:ind w:left="840" w:firstLine="200" w:firstLineChars="0"/>
        <w:contextualSpacing/>
        <w:rPr>
          <w:rFonts w:ascii="仿宋" w:hAnsi="仿宋" w:eastAsia="仿宋"/>
          <w:sz w:val="24"/>
          <w:szCs w:val="24"/>
        </w:rPr>
      </w:pPr>
      <w:r>
        <w:rPr>
          <w:rFonts w:hint="eastAsia" w:ascii="仿宋" w:hAnsi="仿宋" w:eastAsia="仿宋"/>
          <w:sz w:val="24"/>
          <w:szCs w:val="24"/>
        </w:rPr>
        <w:t>高速复印机：</w:t>
      </w:r>
      <w:r>
        <w:rPr>
          <w:rFonts w:ascii="仿宋" w:hAnsi="仿宋" w:eastAsia="仿宋"/>
          <w:sz w:val="24"/>
          <w:szCs w:val="24"/>
        </w:rPr>
        <w:t>3</w:t>
      </w:r>
      <w:r>
        <w:rPr>
          <w:rFonts w:hint="eastAsia" w:ascii="仿宋" w:hAnsi="仿宋" w:eastAsia="仿宋"/>
          <w:sz w:val="24"/>
          <w:szCs w:val="24"/>
        </w:rPr>
        <w:t>台高速复印机，要求最大原稿尺寸A3，内存≥1GB，双面器自动，复印速度≥25ppm，耗材类型为硒鼓，接口类型支持USB，支持有线网络打印。</w:t>
      </w:r>
    </w:p>
    <w:p>
      <w:pPr>
        <w:pStyle w:val="157"/>
        <w:numPr>
          <w:ilvl w:val="0"/>
          <w:numId w:val="38"/>
        </w:numPr>
        <w:spacing w:line="276" w:lineRule="auto"/>
        <w:ind w:left="840" w:firstLine="200" w:firstLineChars="0"/>
        <w:contextualSpacing/>
        <w:rPr>
          <w:rFonts w:ascii="仿宋" w:hAnsi="仿宋" w:eastAsia="仿宋"/>
          <w:sz w:val="24"/>
          <w:szCs w:val="24"/>
        </w:rPr>
      </w:pPr>
      <w:r>
        <w:rPr>
          <w:rFonts w:hint="eastAsia" w:ascii="仿宋" w:hAnsi="仿宋" w:eastAsia="仿宋"/>
          <w:sz w:val="24"/>
          <w:szCs w:val="24"/>
        </w:rPr>
        <w:t>碎纸机：15台碎纸机，要求最大幅面≥A4，碎纸能力≥5张/次，可碎介质支持普通纸、光盘，支持纸满停机、过热保护，碎纸速度≥2.5米/分，纸箱容量≥17L。</w:t>
      </w:r>
    </w:p>
    <w:p>
      <w:pPr>
        <w:pStyle w:val="157"/>
        <w:numPr>
          <w:ilvl w:val="0"/>
          <w:numId w:val="38"/>
        </w:numPr>
        <w:spacing w:line="276" w:lineRule="auto"/>
        <w:ind w:left="840" w:firstLine="200" w:firstLineChars="0"/>
        <w:contextualSpacing/>
        <w:rPr>
          <w:rFonts w:ascii="仿宋" w:hAnsi="仿宋" w:eastAsia="仿宋"/>
          <w:sz w:val="24"/>
          <w:szCs w:val="24"/>
        </w:rPr>
      </w:pPr>
      <w:r>
        <w:rPr>
          <w:rFonts w:hint="eastAsia" w:ascii="仿宋" w:hAnsi="仿宋" w:eastAsia="仿宋"/>
          <w:sz w:val="24"/>
          <w:szCs w:val="24"/>
        </w:rPr>
        <w:t>竞赛对讲机：对讲机1940部，要求电池容量≥2800mAh，理论通信距离≥3km，发射和接收音频失真≤3%，发射和接收音频响应+1～-3dB。</w:t>
      </w:r>
    </w:p>
    <w:p>
      <w:pPr>
        <w:pStyle w:val="3"/>
        <w:spacing w:line="276" w:lineRule="auto"/>
        <w:rPr>
          <w:rFonts w:ascii="仿宋" w:hAnsi="仿宋" w:eastAsia="仿宋"/>
          <w:sz w:val="24"/>
          <w:szCs w:val="24"/>
        </w:rPr>
      </w:pPr>
      <w:bookmarkStart w:id="69" w:name="_Toc54270346"/>
      <w:r>
        <w:rPr>
          <w:rFonts w:hint="eastAsia" w:ascii="仿宋" w:hAnsi="仿宋" w:eastAsia="仿宋"/>
          <w:sz w:val="24"/>
          <w:szCs w:val="24"/>
        </w:rPr>
        <w:t>办公耗材采购</w:t>
      </w:r>
      <w:bookmarkEnd w:id="69"/>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办公耗材采购的内容包括：A4黑白激光打印机硒鼓、一体机打印机硒鼓、高速复印机硒鼓、A4打印纸70g、A4打印纸90g。服务提供商提供的办公耗材须与对应的设备匹配。</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具体数量如下：</w:t>
      </w:r>
    </w:p>
    <w:p>
      <w:pPr>
        <w:pStyle w:val="157"/>
        <w:numPr>
          <w:ilvl w:val="0"/>
          <w:numId w:val="39"/>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A4黑白激光打印机硒鼓：</w:t>
      </w:r>
      <w:r>
        <w:rPr>
          <w:rFonts w:ascii="仿宋" w:hAnsi="仿宋" w:eastAsia="仿宋"/>
          <w:sz w:val="24"/>
          <w:szCs w:val="24"/>
        </w:rPr>
        <w:t>450</w:t>
      </w:r>
      <w:r>
        <w:rPr>
          <w:rFonts w:hint="eastAsia" w:ascii="仿宋" w:hAnsi="仿宋" w:eastAsia="仿宋"/>
          <w:sz w:val="24"/>
          <w:szCs w:val="24"/>
        </w:rPr>
        <w:t>套。</w:t>
      </w:r>
    </w:p>
    <w:p>
      <w:pPr>
        <w:pStyle w:val="157"/>
        <w:numPr>
          <w:ilvl w:val="0"/>
          <w:numId w:val="39"/>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一体机打印机硒鼓：</w:t>
      </w:r>
      <w:r>
        <w:rPr>
          <w:rFonts w:ascii="仿宋" w:hAnsi="仿宋" w:eastAsia="仿宋"/>
          <w:sz w:val="24"/>
          <w:szCs w:val="24"/>
        </w:rPr>
        <w:t>130</w:t>
      </w:r>
      <w:r>
        <w:rPr>
          <w:rFonts w:hint="eastAsia" w:ascii="仿宋" w:hAnsi="仿宋" w:eastAsia="仿宋"/>
          <w:sz w:val="24"/>
          <w:szCs w:val="24"/>
        </w:rPr>
        <w:t>套。</w:t>
      </w:r>
    </w:p>
    <w:p>
      <w:pPr>
        <w:pStyle w:val="157"/>
        <w:numPr>
          <w:ilvl w:val="0"/>
          <w:numId w:val="39"/>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高速复印机硒鼓：</w:t>
      </w:r>
      <w:r>
        <w:rPr>
          <w:rFonts w:ascii="仿宋" w:hAnsi="仿宋" w:eastAsia="仿宋"/>
          <w:sz w:val="24"/>
          <w:szCs w:val="24"/>
        </w:rPr>
        <w:t>15</w:t>
      </w:r>
      <w:r>
        <w:rPr>
          <w:rFonts w:hint="eastAsia" w:ascii="仿宋" w:hAnsi="仿宋" w:eastAsia="仿宋"/>
          <w:sz w:val="24"/>
          <w:szCs w:val="24"/>
        </w:rPr>
        <w:t>套。</w:t>
      </w:r>
    </w:p>
    <w:p>
      <w:pPr>
        <w:pStyle w:val="157"/>
        <w:numPr>
          <w:ilvl w:val="0"/>
          <w:numId w:val="39"/>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A4打印纸70g：</w:t>
      </w:r>
      <w:r>
        <w:rPr>
          <w:rFonts w:ascii="仿宋" w:hAnsi="仿宋" w:eastAsia="仿宋"/>
          <w:sz w:val="24"/>
          <w:szCs w:val="24"/>
        </w:rPr>
        <w:t>610</w:t>
      </w:r>
      <w:r>
        <w:rPr>
          <w:rFonts w:hint="eastAsia" w:ascii="仿宋" w:hAnsi="仿宋" w:eastAsia="仿宋"/>
          <w:sz w:val="24"/>
          <w:szCs w:val="24"/>
        </w:rPr>
        <w:t>箱。</w:t>
      </w:r>
    </w:p>
    <w:p>
      <w:pPr>
        <w:pStyle w:val="157"/>
        <w:numPr>
          <w:ilvl w:val="0"/>
          <w:numId w:val="39"/>
        </w:numPr>
        <w:spacing w:line="276" w:lineRule="auto"/>
        <w:ind w:left="840" w:firstLine="426" w:firstLineChars="0"/>
        <w:contextualSpacing/>
        <w:rPr>
          <w:rFonts w:ascii="仿宋" w:hAnsi="仿宋" w:eastAsia="仿宋"/>
          <w:sz w:val="24"/>
          <w:szCs w:val="24"/>
        </w:rPr>
      </w:pPr>
      <w:r>
        <w:rPr>
          <w:rFonts w:hint="eastAsia" w:ascii="仿宋" w:hAnsi="仿宋" w:eastAsia="仿宋"/>
          <w:sz w:val="24"/>
          <w:szCs w:val="24"/>
        </w:rPr>
        <w:t>A4打印纸90g：</w:t>
      </w:r>
      <w:r>
        <w:rPr>
          <w:rFonts w:ascii="仿宋" w:hAnsi="仿宋" w:eastAsia="仿宋"/>
          <w:sz w:val="24"/>
          <w:szCs w:val="24"/>
        </w:rPr>
        <w:t>203</w:t>
      </w:r>
      <w:r>
        <w:rPr>
          <w:rFonts w:hint="eastAsia" w:ascii="仿宋" w:hAnsi="仿宋" w:eastAsia="仿宋"/>
          <w:sz w:val="24"/>
          <w:szCs w:val="24"/>
        </w:rPr>
        <w:t>箱。</w:t>
      </w:r>
    </w:p>
    <w:p>
      <w:pPr>
        <w:pStyle w:val="3"/>
        <w:spacing w:line="276" w:lineRule="auto"/>
        <w:rPr>
          <w:rFonts w:ascii="仿宋" w:hAnsi="仿宋" w:eastAsia="仿宋"/>
          <w:sz w:val="24"/>
          <w:szCs w:val="24"/>
        </w:rPr>
      </w:pPr>
      <w:bookmarkStart w:id="70" w:name="_Toc54270347"/>
      <w:r>
        <w:rPr>
          <w:rFonts w:hint="eastAsia" w:ascii="仿宋" w:hAnsi="仿宋" w:eastAsia="仿宋"/>
          <w:sz w:val="24"/>
          <w:szCs w:val="24"/>
        </w:rPr>
        <w:t>系统软件集成保障服务</w:t>
      </w:r>
      <w:bookmarkEnd w:id="70"/>
    </w:p>
    <w:p>
      <w:pPr>
        <w:spacing w:line="276" w:lineRule="auto"/>
        <w:ind w:firstLine="484" w:firstLineChars="202"/>
        <w:rPr>
          <w:rFonts w:ascii="仿宋" w:hAnsi="仿宋" w:eastAsia="仿宋"/>
          <w:sz w:val="24"/>
          <w:szCs w:val="24"/>
        </w:rPr>
      </w:pPr>
      <w:r>
        <w:rPr>
          <w:rFonts w:hint="eastAsia" w:ascii="仿宋" w:hAnsi="仿宋" w:eastAsia="仿宋"/>
          <w:sz w:val="24"/>
          <w:szCs w:val="24"/>
        </w:rPr>
        <w:t>系统软件包括：操作系统、数据库、办公软件等。服务提供商须将这些</w:t>
      </w:r>
      <w:r>
        <w:rPr>
          <w:rFonts w:ascii="仿宋" w:hAnsi="仿宋" w:eastAsia="仿宋"/>
          <w:sz w:val="24"/>
          <w:szCs w:val="24"/>
        </w:rPr>
        <w:t>软件</w:t>
      </w:r>
      <w:r>
        <w:rPr>
          <w:rFonts w:hint="eastAsia" w:ascii="仿宋" w:hAnsi="仿宋" w:eastAsia="仿宋"/>
          <w:sz w:val="24"/>
          <w:szCs w:val="24"/>
        </w:rPr>
        <w:t>预装到设备中，并提供正版软件的证明。具体内容包括：</w:t>
      </w:r>
    </w:p>
    <w:p>
      <w:pPr>
        <w:pStyle w:val="157"/>
        <w:numPr>
          <w:ilvl w:val="0"/>
          <w:numId w:val="40"/>
        </w:numPr>
        <w:spacing w:line="276" w:lineRule="auto"/>
        <w:ind w:left="840" w:firstLine="484" w:firstLineChars="202"/>
        <w:contextualSpacing/>
        <w:rPr>
          <w:rFonts w:ascii="仿宋" w:hAnsi="仿宋" w:eastAsia="仿宋"/>
          <w:sz w:val="24"/>
          <w:szCs w:val="24"/>
        </w:rPr>
      </w:pPr>
      <w:r>
        <w:rPr>
          <w:rFonts w:hint="eastAsia" w:ascii="仿宋" w:hAnsi="仿宋" w:eastAsia="仿宋"/>
          <w:sz w:val="24"/>
          <w:szCs w:val="24"/>
        </w:rPr>
        <w:t>操作系统：应预装服务需求方指定的服务器版操作系统、单机版操作系统。</w:t>
      </w:r>
    </w:p>
    <w:p>
      <w:pPr>
        <w:pStyle w:val="157"/>
        <w:numPr>
          <w:ilvl w:val="0"/>
          <w:numId w:val="40"/>
        </w:numPr>
        <w:spacing w:line="276" w:lineRule="auto"/>
        <w:ind w:left="840" w:firstLine="484" w:firstLineChars="202"/>
        <w:contextualSpacing/>
        <w:rPr>
          <w:rFonts w:ascii="仿宋" w:hAnsi="仿宋" w:eastAsia="仿宋"/>
          <w:sz w:val="24"/>
          <w:szCs w:val="24"/>
        </w:rPr>
      </w:pPr>
      <w:r>
        <w:rPr>
          <w:rFonts w:hint="eastAsia" w:ascii="仿宋" w:hAnsi="仿宋" w:eastAsia="仿宋"/>
          <w:sz w:val="24"/>
          <w:szCs w:val="24"/>
        </w:rPr>
        <w:t>数据库：应预装服务需求方指定的数据库。</w:t>
      </w:r>
    </w:p>
    <w:p>
      <w:pPr>
        <w:pStyle w:val="157"/>
        <w:numPr>
          <w:ilvl w:val="0"/>
          <w:numId w:val="40"/>
        </w:numPr>
        <w:spacing w:line="276" w:lineRule="auto"/>
        <w:ind w:left="840" w:firstLine="484" w:firstLineChars="202"/>
        <w:contextualSpacing/>
        <w:rPr>
          <w:rFonts w:ascii="仿宋" w:hAnsi="仿宋" w:eastAsia="仿宋"/>
          <w:sz w:val="24"/>
          <w:szCs w:val="24"/>
        </w:rPr>
      </w:pPr>
      <w:r>
        <w:rPr>
          <w:rFonts w:hint="eastAsia" w:ascii="仿宋" w:hAnsi="仿宋" w:eastAsia="仿宋"/>
          <w:sz w:val="24"/>
          <w:szCs w:val="24"/>
        </w:rPr>
        <w:t>办公软件：应预装服务需求方指定的办公软件。</w:t>
      </w:r>
    </w:p>
    <w:p>
      <w:pPr>
        <w:pStyle w:val="157"/>
        <w:spacing w:line="276" w:lineRule="auto"/>
        <w:ind w:left="840" w:firstLine="484" w:firstLineChars="202"/>
        <w:rPr>
          <w:rFonts w:ascii="仿宋" w:hAnsi="仿宋" w:eastAsia="仿宋"/>
          <w:sz w:val="24"/>
          <w:szCs w:val="24"/>
        </w:rPr>
      </w:pPr>
      <w:r>
        <w:rPr>
          <w:rFonts w:hint="eastAsia" w:ascii="仿宋" w:hAnsi="仿宋" w:eastAsia="仿宋"/>
          <w:sz w:val="24"/>
          <w:szCs w:val="24"/>
        </w:rPr>
        <w:t>所有系统软件租赁费用包含在硬件设备报价中，无须单列。</w:t>
      </w:r>
    </w:p>
    <w:p>
      <w:pPr>
        <w:pStyle w:val="3"/>
        <w:spacing w:line="276" w:lineRule="auto"/>
        <w:rPr>
          <w:rFonts w:ascii="仿宋" w:hAnsi="仿宋" w:eastAsia="仿宋"/>
          <w:sz w:val="24"/>
          <w:szCs w:val="24"/>
        </w:rPr>
      </w:pPr>
      <w:bookmarkStart w:id="71" w:name="_Toc54270348"/>
      <w:r>
        <w:rPr>
          <w:rFonts w:hint="eastAsia" w:ascii="仿宋" w:hAnsi="仿宋" w:eastAsia="仿宋"/>
          <w:sz w:val="24"/>
          <w:szCs w:val="24"/>
        </w:rPr>
        <w:t>残特奥会延续服务内容</w:t>
      </w:r>
      <w:bookmarkEnd w:id="71"/>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残特奥会基础设备服务将错时复用十四运会该项服务，相同场馆错时复用十四运会基础设备服务，新增场馆转场复用十四运会基础设备服务，包括竞赛通用设备租用（含竞赛对讲）、系统软件租用等，服务要求与十四运会相同。</w:t>
      </w:r>
    </w:p>
    <w:p>
      <w:pPr>
        <w:pStyle w:val="3"/>
        <w:spacing w:line="276" w:lineRule="auto"/>
        <w:rPr>
          <w:rFonts w:ascii="仿宋" w:hAnsi="仿宋" w:eastAsia="仿宋"/>
          <w:sz w:val="24"/>
          <w:szCs w:val="24"/>
        </w:rPr>
      </w:pPr>
      <w:bookmarkStart w:id="72" w:name="_Toc54270349"/>
      <w:r>
        <w:rPr>
          <w:rFonts w:hint="eastAsia" w:ascii="仿宋" w:hAnsi="仿宋" w:eastAsia="仿宋"/>
          <w:sz w:val="24"/>
          <w:szCs w:val="24"/>
        </w:rPr>
        <w:t>残特奥会新增服务内容</w:t>
      </w:r>
      <w:bookmarkEnd w:id="72"/>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1、办公耗材</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服务提供商提供的办公耗材须与对应的设备匹配。残特奥会新增采购办公耗材具体数量如下：</w:t>
      </w:r>
    </w:p>
    <w:p>
      <w:pPr>
        <w:pStyle w:val="157"/>
        <w:numPr>
          <w:ilvl w:val="0"/>
          <w:numId w:val="41"/>
        </w:numPr>
        <w:spacing w:line="276" w:lineRule="auto"/>
        <w:ind w:left="840" w:firstLine="425" w:firstLineChars="0"/>
        <w:contextualSpacing/>
        <w:rPr>
          <w:rFonts w:ascii="仿宋" w:hAnsi="仿宋" w:eastAsia="仿宋"/>
          <w:sz w:val="24"/>
          <w:szCs w:val="24"/>
        </w:rPr>
      </w:pPr>
      <w:r>
        <w:rPr>
          <w:rFonts w:hint="eastAsia" w:ascii="仿宋" w:hAnsi="仿宋" w:eastAsia="仿宋"/>
          <w:sz w:val="24"/>
          <w:szCs w:val="24"/>
        </w:rPr>
        <w:t>A4黑白激光打印机硒鼓：</w:t>
      </w:r>
      <w:r>
        <w:rPr>
          <w:rFonts w:ascii="仿宋" w:hAnsi="仿宋" w:eastAsia="仿宋"/>
          <w:sz w:val="24"/>
          <w:szCs w:val="24"/>
        </w:rPr>
        <w:t>138</w:t>
      </w:r>
      <w:r>
        <w:rPr>
          <w:rFonts w:hint="eastAsia" w:ascii="仿宋" w:hAnsi="仿宋" w:eastAsia="仿宋"/>
          <w:sz w:val="24"/>
          <w:szCs w:val="24"/>
        </w:rPr>
        <w:t>套。</w:t>
      </w:r>
    </w:p>
    <w:p>
      <w:pPr>
        <w:pStyle w:val="157"/>
        <w:numPr>
          <w:ilvl w:val="0"/>
          <w:numId w:val="41"/>
        </w:numPr>
        <w:spacing w:line="276" w:lineRule="auto"/>
        <w:ind w:left="840" w:firstLine="425" w:firstLineChars="0"/>
        <w:contextualSpacing/>
        <w:rPr>
          <w:rFonts w:ascii="仿宋" w:hAnsi="仿宋" w:eastAsia="仿宋"/>
          <w:sz w:val="24"/>
          <w:szCs w:val="24"/>
        </w:rPr>
      </w:pPr>
      <w:r>
        <w:rPr>
          <w:rFonts w:hint="eastAsia" w:ascii="仿宋" w:hAnsi="仿宋" w:eastAsia="仿宋"/>
          <w:sz w:val="24"/>
          <w:szCs w:val="24"/>
        </w:rPr>
        <w:t>一体机打印机硒鼓：</w:t>
      </w:r>
      <w:r>
        <w:rPr>
          <w:rFonts w:ascii="仿宋" w:hAnsi="仿宋" w:eastAsia="仿宋"/>
          <w:sz w:val="24"/>
          <w:szCs w:val="24"/>
        </w:rPr>
        <w:t>37</w:t>
      </w:r>
      <w:r>
        <w:rPr>
          <w:rFonts w:hint="eastAsia" w:ascii="仿宋" w:hAnsi="仿宋" w:eastAsia="仿宋"/>
          <w:sz w:val="24"/>
          <w:szCs w:val="24"/>
        </w:rPr>
        <w:t>套。</w:t>
      </w:r>
    </w:p>
    <w:p>
      <w:pPr>
        <w:pStyle w:val="157"/>
        <w:numPr>
          <w:ilvl w:val="0"/>
          <w:numId w:val="41"/>
        </w:numPr>
        <w:spacing w:line="276" w:lineRule="auto"/>
        <w:ind w:left="840" w:firstLine="425" w:firstLineChars="0"/>
        <w:contextualSpacing/>
        <w:rPr>
          <w:rFonts w:ascii="仿宋" w:hAnsi="仿宋" w:eastAsia="仿宋"/>
          <w:sz w:val="24"/>
          <w:szCs w:val="24"/>
        </w:rPr>
      </w:pPr>
      <w:r>
        <w:rPr>
          <w:rFonts w:hint="eastAsia" w:ascii="仿宋" w:hAnsi="仿宋" w:eastAsia="仿宋"/>
          <w:sz w:val="24"/>
          <w:szCs w:val="24"/>
        </w:rPr>
        <w:t>高速复印机硒鼓：</w:t>
      </w:r>
      <w:r>
        <w:rPr>
          <w:rFonts w:ascii="仿宋" w:hAnsi="仿宋" w:eastAsia="仿宋"/>
          <w:sz w:val="24"/>
          <w:szCs w:val="24"/>
        </w:rPr>
        <w:t>3</w:t>
      </w:r>
      <w:r>
        <w:rPr>
          <w:rFonts w:hint="eastAsia" w:ascii="仿宋" w:hAnsi="仿宋" w:eastAsia="仿宋"/>
          <w:sz w:val="24"/>
          <w:szCs w:val="24"/>
        </w:rPr>
        <w:t>套。</w:t>
      </w:r>
    </w:p>
    <w:p>
      <w:pPr>
        <w:pStyle w:val="157"/>
        <w:numPr>
          <w:ilvl w:val="0"/>
          <w:numId w:val="41"/>
        </w:numPr>
        <w:spacing w:line="276" w:lineRule="auto"/>
        <w:ind w:left="840" w:firstLine="425" w:firstLineChars="0"/>
        <w:contextualSpacing/>
        <w:rPr>
          <w:rFonts w:ascii="仿宋" w:hAnsi="仿宋" w:eastAsia="仿宋"/>
          <w:sz w:val="24"/>
          <w:szCs w:val="24"/>
        </w:rPr>
      </w:pPr>
      <w:r>
        <w:rPr>
          <w:rFonts w:hint="eastAsia" w:ascii="仿宋" w:hAnsi="仿宋" w:eastAsia="仿宋"/>
          <w:sz w:val="24"/>
          <w:szCs w:val="24"/>
        </w:rPr>
        <w:t>A4打印纸70g：</w:t>
      </w:r>
      <w:r>
        <w:rPr>
          <w:rFonts w:ascii="仿宋" w:hAnsi="仿宋" w:eastAsia="仿宋"/>
          <w:sz w:val="24"/>
          <w:szCs w:val="24"/>
        </w:rPr>
        <w:t>215</w:t>
      </w:r>
      <w:r>
        <w:rPr>
          <w:rFonts w:hint="eastAsia" w:ascii="仿宋" w:hAnsi="仿宋" w:eastAsia="仿宋"/>
          <w:sz w:val="24"/>
          <w:szCs w:val="24"/>
        </w:rPr>
        <w:t>箱。</w:t>
      </w:r>
    </w:p>
    <w:p>
      <w:pPr>
        <w:pStyle w:val="24"/>
        <w:spacing w:line="276" w:lineRule="auto"/>
        <w:ind w:left="980" w:hanging="560"/>
        <w:rPr>
          <w:rFonts w:ascii="仿宋" w:hAnsi="仿宋" w:eastAsia="仿宋"/>
          <w:b/>
          <w:sz w:val="24"/>
          <w:highlight w:val="yellow"/>
        </w:rPr>
      </w:pPr>
      <w:r>
        <w:rPr>
          <w:rFonts w:hint="eastAsia" w:ascii="仿宋" w:hAnsi="仿宋" w:eastAsia="仿宋"/>
          <w:sz w:val="24"/>
        </w:rPr>
        <w:t>（5）A4打印纸90g：</w:t>
      </w:r>
      <w:r>
        <w:rPr>
          <w:rFonts w:ascii="仿宋" w:hAnsi="仿宋" w:eastAsia="仿宋"/>
          <w:sz w:val="24"/>
        </w:rPr>
        <w:t>72</w:t>
      </w:r>
      <w:r>
        <w:rPr>
          <w:rFonts w:hint="eastAsia" w:ascii="仿宋" w:hAnsi="仿宋" w:eastAsia="仿宋"/>
          <w:sz w:val="24"/>
        </w:rPr>
        <w:t>箱。</w:t>
      </w:r>
    </w:p>
    <w:p>
      <w:pPr>
        <w:pStyle w:val="2"/>
        <w:keepNext/>
        <w:keepLines/>
        <w:autoSpaceDE/>
        <w:autoSpaceDN/>
        <w:adjustRightInd/>
        <w:spacing w:before="340" w:after="330" w:line="276" w:lineRule="auto"/>
        <w:jc w:val="both"/>
        <w:rPr>
          <w:rFonts w:ascii="仿宋" w:hAnsi="仿宋" w:eastAsia="仿宋"/>
          <w:sz w:val="24"/>
          <w:szCs w:val="24"/>
        </w:rPr>
      </w:pPr>
      <w:bookmarkStart w:id="73" w:name="_Toc54270350"/>
      <w:r>
        <w:rPr>
          <w:rFonts w:hint="eastAsia" w:ascii="仿宋" w:hAnsi="仿宋" w:eastAsia="仿宋"/>
          <w:sz w:val="24"/>
          <w:szCs w:val="24"/>
        </w:rPr>
        <w:t>服务要求</w:t>
      </w:r>
      <w:bookmarkEnd w:id="73"/>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本节仅规定了本项目最低限度的服务要求，并未规定所有的服务要求和适用的标准。服务提供商应根据自身</w:t>
      </w:r>
      <w:r>
        <w:rPr>
          <w:rFonts w:ascii="仿宋" w:hAnsi="仿宋" w:eastAsia="仿宋"/>
          <w:sz w:val="24"/>
          <w:szCs w:val="24"/>
        </w:rPr>
        <w:t>的经验和能力，</w:t>
      </w:r>
      <w:r>
        <w:rPr>
          <w:rFonts w:hint="eastAsia" w:ascii="仿宋" w:hAnsi="仿宋" w:eastAsia="仿宋"/>
          <w:sz w:val="24"/>
          <w:szCs w:val="24"/>
        </w:rPr>
        <w:t>在</w:t>
      </w:r>
      <w:r>
        <w:rPr>
          <w:rFonts w:ascii="仿宋" w:hAnsi="仿宋" w:eastAsia="仿宋"/>
          <w:sz w:val="24"/>
          <w:szCs w:val="24"/>
        </w:rPr>
        <w:t>充分</w:t>
      </w:r>
      <w:r>
        <w:rPr>
          <w:rFonts w:hint="eastAsia" w:ascii="仿宋" w:hAnsi="仿宋" w:eastAsia="仿宋"/>
          <w:sz w:val="24"/>
          <w:szCs w:val="24"/>
        </w:rPr>
        <w:t>理解所有</w:t>
      </w:r>
      <w:r>
        <w:rPr>
          <w:rFonts w:ascii="仿宋" w:hAnsi="仿宋" w:eastAsia="仿宋"/>
          <w:sz w:val="24"/>
          <w:szCs w:val="24"/>
        </w:rPr>
        <w:t>参与者需求</w:t>
      </w:r>
      <w:r>
        <w:rPr>
          <w:rFonts w:hint="eastAsia" w:ascii="仿宋" w:hAnsi="仿宋" w:eastAsia="仿宋"/>
          <w:sz w:val="24"/>
          <w:szCs w:val="24"/>
        </w:rPr>
        <w:t>的</w:t>
      </w:r>
      <w:r>
        <w:rPr>
          <w:rFonts w:ascii="仿宋" w:hAnsi="仿宋" w:eastAsia="仿宋"/>
          <w:sz w:val="24"/>
          <w:szCs w:val="24"/>
        </w:rPr>
        <w:t>基础上</w:t>
      </w:r>
      <w:r>
        <w:rPr>
          <w:rFonts w:ascii="仿宋" w:hAnsi="仿宋" w:eastAsia="仿宋"/>
          <w:color w:val="000000"/>
          <w:sz w:val="24"/>
          <w:szCs w:val="24"/>
        </w:rPr>
        <w:t>，以参与者良好体验为出发点，</w:t>
      </w:r>
      <w:r>
        <w:rPr>
          <w:rFonts w:hint="eastAsia" w:ascii="仿宋" w:hAnsi="仿宋" w:eastAsia="仿宋"/>
          <w:sz w:val="24"/>
          <w:szCs w:val="24"/>
        </w:rPr>
        <w:t>提供全面</w:t>
      </w:r>
      <w:r>
        <w:rPr>
          <w:rFonts w:ascii="仿宋" w:hAnsi="仿宋" w:eastAsia="仿宋"/>
          <w:sz w:val="24"/>
          <w:szCs w:val="24"/>
        </w:rPr>
        <w:t>、</w:t>
      </w:r>
      <w:r>
        <w:rPr>
          <w:rFonts w:hint="eastAsia" w:ascii="仿宋" w:hAnsi="仿宋" w:eastAsia="仿宋"/>
          <w:sz w:val="24"/>
          <w:szCs w:val="24"/>
        </w:rPr>
        <w:t>便捷</w:t>
      </w:r>
      <w:r>
        <w:rPr>
          <w:rFonts w:ascii="仿宋" w:hAnsi="仿宋" w:eastAsia="仿宋"/>
          <w:sz w:val="24"/>
          <w:szCs w:val="24"/>
        </w:rPr>
        <w:t>、安全</w:t>
      </w:r>
      <w:r>
        <w:rPr>
          <w:rFonts w:hint="eastAsia" w:ascii="仿宋" w:hAnsi="仿宋" w:eastAsia="仿宋"/>
          <w:sz w:val="24"/>
          <w:szCs w:val="24"/>
        </w:rPr>
        <w:t>、</w:t>
      </w:r>
      <w:r>
        <w:rPr>
          <w:rFonts w:ascii="仿宋" w:hAnsi="仿宋" w:eastAsia="仿宋"/>
          <w:sz w:val="24"/>
          <w:szCs w:val="24"/>
        </w:rPr>
        <w:t>可靠的服务</w:t>
      </w:r>
      <w:r>
        <w:rPr>
          <w:rFonts w:hint="eastAsia" w:ascii="仿宋" w:hAnsi="仿宋" w:eastAsia="仿宋"/>
          <w:sz w:val="24"/>
          <w:szCs w:val="24"/>
        </w:rPr>
        <w:t>。</w:t>
      </w:r>
    </w:p>
    <w:p>
      <w:pPr>
        <w:pStyle w:val="3"/>
        <w:spacing w:line="276" w:lineRule="auto"/>
        <w:rPr>
          <w:rFonts w:ascii="仿宋" w:hAnsi="仿宋" w:eastAsia="仿宋"/>
          <w:sz w:val="24"/>
          <w:szCs w:val="24"/>
        </w:rPr>
      </w:pPr>
      <w:bookmarkStart w:id="74" w:name="_Toc54270351"/>
      <w:r>
        <w:rPr>
          <w:rFonts w:ascii="仿宋" w:hAnsi="仿宋" w:eastAsia="仿宋"/>
          <w:sz w:val="24"/>
          <w:szCs w:val="24"/>
        </w:rPr>
        <w:t>总体要求</w:t>
      </w:r>
      <w:bookmarkEnd w:id="74"/>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服务提供商须服从组委会、国家体育总局体育信息中心领导，保证十四运会和残特奥会信息化工作安全、高效、顺利的进行。</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服务提供商应配合工程监理完成相关工作，处理工程实施过程中的出现的问题。</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应提供满足所列要求的高质量的系统及服务，采用先进、成熟、适用、安全，并业已通过使用证明是成功和可靠的信息技术和产品，所选用主要软硬件原则上要求具有相关应用案例，在任何环节均不得采用具有风险、未经严格检测、不成熟、过度冗余或具有安全隐患的信息技术和产品。</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服务提供商所提供的系统及服务必须遵循国际、国内的行业标准，符合国家体育总局体育信息中心的技术要求，切合十四运会和残特奥会赛事与赛事管理需求并满足国家有关安全、环保等强制性标准。</w:t>
      </w:r>
    </w:p>
    <w:p>
      <w:pPr>
        <w:pStyle w:val="3"/>
        <w:spacing w:line="276" w:lineRule="auto"/>
        <w:rPr>
          <w:rFonts w:ascii="仿宋" w:hAnsi="仿宋" w:eastAsia="仿宋"/>
          <w:sz w:val="24"/>
          <w:szCs w:val="24"/>
        </w:rPr>
      </w:pPr>
      <w:r>
        <w:rPr>
          <w:rFonts w:ascii="仿宋" w:hAnsi="仿宋" w:eastAsia="仿宋"/>
          <w:sz w:val="24"/>
          <w:szCs w:val="24"/>
        </w:rPr>
        <w:tab/>
      </w:r>
      <w:bookmarkStart w:id="75" w:name="_Toc54270352"/>
      <w:r>
        <w:rPr>
          <w:rFonts w:ascii="仿宋" w:hAnsi="仿宋" w:eastAsia="仿宋"/>
          <w:sz w:val="24"/>
          <w:szCs w:val="24"/>
        </w:rPr>
        <w:t>建设阶段要求</w:t>
      </w:r>
      <w:bookmarkEnd w:id="75"/>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建设阶段分为方案编制和系统建设两</w:t>
      </w:r>
      <w:r>
        <w:rPr>
          <w:rFonts w:ascii="仿宋" w:hAnsi="仿宋" w:eastAsia="仿宋"/>
          <w:color w:val="000000"/>
          <w:sz w:val="24"/>
          <w:szCs w:val="24"/>
        </w:rPr>
        <w:t>个子阶段。服务提供商应根据各子阶段的服务目标和内容，合理调配人员、系统、设备等资源，提供优质服务，确保各子阶段的服务目标顺利实现。</w:t>
      </w:r>
    </w:p>
    <w:p>
      <w:pPr>
        <w:pStyle w:val="4"/>
        <w:spacing w:line="276" w:lineRule="auto"/>
        <w:rPr>
          <w:rFonts w:ascii="仿宋" w:hAnsi="仿宋" w:eastAsia="仿宋"/>
          <w:sz w:val="24"/>
          <w:szCs w:val="24"/>
        </w:rPr>
      </w:pPr>
      <w:bookmarkStart w:id="76" w:name="_Toc54270353"/>
      <w:r>
        <w:rPr>
          <w:rFonts w:ascii="仿宋" w:hAnsi="仿宋" w:eastAsia="仿宋"/>
          <w:sz w:val="24"/>
          <w:szCs w:val="24"/>
        </w:rPr>
        <w:t>方案编制</w:t>
      </w:r>
      <w:bookmarkEnd w:id="76"/>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服务提供商与服务需求方充分沟通，应根据以往经验，结合十四运会和残特奥会信息化服务的背景与需求，进行需求分析，提出满足要求的设计方案，</w:t>
      </w:r>
      <w:r>
        <w:rPr>
          <w:rFonts w:ascii="仿宋" w:hAnsi="仿宋" w:eastAsia="仿宋"/>
          <w:color w:val="000000"/>
          <w:sz w:val="24"/>
          <w:szCs w:val="24"/>
        </w:rPr>
        <w:t>并提交服务需求方确认，在服务需求方</w:t>
      </w:r>
      <w:r>
        <w:rPr>
          <w:rFonts w:hint="eastAsia" w:ascii="仿宋" w:hAnsi="仿宋" w:eastAsia="仿宋"/>
          <w:color w:val="000000"/>
          <w:sz w:val="24"/>
          <w:szCs w:val="24"/>
        </w:rPr>
        <w:t>审核</w:t>
      </w:r>
      <w:r>
        <w:rPr>
          <w:rFonts w:ascii="仿宋" w:hAnsi="仿宋" w:eastAsia="仿宋"/>
          <w:color w:val="000000"/>
          <w:sz w:val="24"/>
          <w:szCs w:val="24"/>
        </w:rPr>
        <w:t>通过后才能按照方案进行实施。</w:t>
      </w:r>
    </w:p>
    <w:p>
      <w:pPr>
        <w:pStyle w:val="4"/>
        <w:spacing w:line="276" w:lineRule="auto"/>
        <w:rPr>
          <w:rFonts w:ascii="仿宋" w:hAnsi="仿宋" w:eastAsia="仿宋"/>
          <w:sz w:val="24"/>
          <w:szCs w:val="24"/>
        </w:rPr>
      </w:pPr>
      <w:bookmarkStart w:id="77" w:name="_Toc54270354"/>
      <w:r>
        <w:rPr>
          <w:rFonts w:hint="eastAsia" w:ascii="仿宋" w:hAnsi="仿宋" w:eastAsia="仿宋"/>
          <w:sz w:val="24"/>
          <w:szCs w:val="24"/>
        </w:rPr>
        <w:t>组织</w:t>
      </w:r>
      <w:r>
        <w:rPr>
          <w:rFonts w:ascii="仿宋" w:hAnsi="仿宋" w:eastAsia="仿宋"/>
          <w:sz w:val="24"/>
          <w:szCs w:val="24"/>
        </w:rPr>
        <w:t>建设</w:t>
      </w:r>
      <w:bookmarkEnd w:id="77"/>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按照国家体育总局体育信息中心总体实施方案组织建设，及时通报建设进度。及时响应服务需求方的变更要求，提出变更措施。</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服务提供商在此阶段，须按以下要求完成工作（但不限于）：</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w:t>
      </w:r>
      <w:r>
        <w:rPr>
          <w:rFonts w:hint="eastAsia" w:ascii="仿宋" w:hAnsi="仿宋" w:eastAsia="仿宋"/>
          <w:color w:val="000000"/>
          <w:sz w:val="24"/>
          <w:szCs w:val="24"/>
        </w:rPr>
        <w:t>应</w:t>
      </w:r>
      <w:r>
        <w:rPr>
          <w:rFonts w:ascii="仿宋" w:hAnsi="仿宋" w:eastAsia="仿宋"/>
          <w:color w:val="000000"/>
          <w:sz w:val="24"/>
          <w:szCs w:val="24"/>
        </w:rPr>
        <w:t>及时通报建设进度，及时协调解决项目建设过程中出现的各种问题，及时响应服务需求方的变更要求，协调有关各方，提出变更措施并监督实施。</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）在设计方案的基础上，根据项目的特点和信息化项目的规律，结合各个工程的实施要求，合理分配项目工作任务。</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（3</w:t>
      </w:r>
      <w:r>
        <w:rPr>
          <w:rFonts w:ascii="仿宋" w:hAnsi="仿宋" w:eastAsia="仿宋"/>
          <w:color w:val="000000"/>
          <w:sz w:val="24"/>
          <w:szCs w:val="24"/>
        </w:rPr>
        <w:t>）对实施过程进行管控。</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（4</w:t>
      </w:r>
      <w:r>
        <w:rPr>
          <w:rFonts w:ascii="仿宋" w:hAnsi="仿宋" w:eastAsia="仿宋"/>
          <w:color w:val="000000"/>
          <w:sz w:val="24"/>
          <w:szCs w:val="24"/>
        </w:rPr>
        <w:t>）根据实施进度和风险，对实施过程中的问题进行协调解决。</w:t>
      </w:r>
    </w:p>
    <w:p>
      <w:pPr>
        <w:pStyle w:val="3"/>
        <w:spacing w:line="276" w:lineRule="auto"/>
        <w:rPr>
          <w:rFonts w:ascii="仿宋" w:hAnsi="仿宋" w:eastAsia="仿宋"/>
          <w:sz w:val="24"/>
          <w:szCs w:val="24"/>
        </w:rPr>
      </w:pPr>
      <w:bookmarkStart w:id="78" w:name="_Toc54270355"/>
      <w:r>
        <w:rPr>
          <w:rFonts w:ascii="仿宋" w:hAnsi="仿宋" w:eastAsia="仿宋"/>
          <w:sz w:val="24"/>
          <w:szCs w:val="24"/>
        </w:rPr>
        <w:t>测试阶段要求</w:t>
      </w:r>
      <w:bookmarkEnd w:id="78"/>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测试阶段分为集成测试、测试赛、联调联试</w:t>
      </w:r>
      <w:r>
        <w:rPr>
          <w:rFonts w:ascii="仿宋" w:hAnsi="仿宋" w:eastAsia="仿宋"/>
          <w:color w:val="000000"/>
          <w:sz w:val="24"/>
          <w:szCs w:val="24"/>
        </w:rPr>
        <w:t>3个子阶段。服务提供商应根据各子阶段的服务目标和内容，合理调配人员、系统、设备等资源，提供优质服务，确保各子阶段的服务目标顺利实现。</w:t>
      </w:r>
    </w:p>
    <w:p>
      <w:pPr>
        <w:pStyle w:val="4"/>
        <w:spacing w:line="276" w:lineRule="auto"/>
        <w:rPr>
          <w:rFonts w:ascii="仿宋" w:hAnsi="仿宋" w:eastAsia="仿宋"/>
          <w:sz w:val="24"/>
          <w:szCs w:val="24"/>
        </w:rPr>
      </w:pPr>
      <w:bookmarkStart w:id="79" w:name="_Toc54270356"/>
      <w:r>
        <w:rPr>
          <w:rFonts w:ascii="仿宋" w:hAnsi="仿宋" w:eastAsia="仿宋"/>
          <w:sz w:val="24"/>
          <w:szCs w:val="24"/>
        </w:rPr>
        <w:t>集成测试</w:t>
      </w:r>
      <w:bookmarkEnd w:id="79"/>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根据国家体育总局体育信息中心《总体测试方案》要求，组织各项目和各场馆实施集成测试，及时通报测试进度，协调解决集成测试过程中出现的各种问题，提出整改措施并监督实施。</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派遣人员驻场工作，配合完成各系统测试包括整个系统端到端功能性测试、各系统之间的接口测试、性能、压力、安全等非功能性测试，提交测试报告。</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另外还须进行模拟测试、一致性测试和现场测试等内容，出具新技术及集成测试实验室的测试报告，以确保系统或设备的功能和性能能够满足十四运会和残特奥会比赛的要求。</w:t>
      </w:r>
    </w:p>
    <w:p>
      <w:pPr>
        <w:pStyle w:val="4"/>
        <w:spacing w:line="276" w:lineRule="auto"/>
        <w:rPr>
          <w:rFonts w:ascii="仿宋" w:hAnsi="仿宋" w:eastAsia="仿宋"/>
          <w:sz w:val="24"/>
          <w:szCs w:val="24"/>
        </w:rPr>
      </w:pPr>
      <w:bookmarkStart w:id="80" w:name="_Toc54270357"/>
      <w:r>
        <w:rPr>
          <w:rFonts w:ascii="仿宋" w:hAnsi="仿宋" w:eastAsia="仿宋"/>
          <w:sz w:val="24"/>
          <w:szCs w:val="24"/>
        </w:rPr>
        <w:t>测试赛</w:t>
      </w:r>
      <w:bookmarkEnd w:id="80"/>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按照组委会、国家体育总局体育信息中心要求组织实施测试赛赛事运行、维护、保障服务，发现并解决在测试赛中出现的技术问题。</w:t>
      </w:r>
    </w:p>
    <w:p>
      <w:pPr>
        <w:pStyle w:val="4"/>
        <w:spacing w:line="276" w:lineRule="auto"/>
        <w:rPr>
          <w:rFonts w:ascii="仿宋" w:hAnsi="仿宋" w:eastAsia="仿宋"/>
          <w:sz w:val="24"/>
          <w:szCs w:val="24"/>
        </w:rPr>
      </w:pPr>
      <w:bookmarkStart w:id="81" w:name="_Toc54270358"/>
      <w:r>
        <w:rPr>
          <w:rFonts w:ascii="仿宋" w:hAnsi="仿宋" w:eastAsia="仿宋"/>
          <w:sz w:val="24"/>
          <w:szCs w:val="24"/>
        </w:rPr>
        <w:t>联调联试</w:t>
      </w:r>
      <w:bookmarkEnd w:id="81"/>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派遣人员驻场与其他项目相关系统和服务进行联调联试，测试所有系统的功能、服务水平及运行流程是否能够满足赛时的要求。及时解决联调联试过程中发现的技术问题。</w:t>
      </w:r>
    </w:p>
    <w:p>
      <w:pPr>
        <w:pStyle w:val="3"/>
        <w:spacing w:line="276" w:lineRule="auto"/>
        <w:rPr>
          <w:rFonts w:ascii="仿宋" w:hAnsi="仿宋" w:eastAsia="仿宋"/>
          <w:sz w:val="24"/>
          <w:szCs w:val="24"/>
        </w:rPr>
      </w:pPr>
      <w:bookmarkStart w:id="82" w:name="_Toc54270359"/>
      <w:r>
        <w:rPr>
          <w:rFonts w:ascii="仿宋" w:hAnsi="仿宋" w:eastAsia="仿宋"/>
          <w:sz w:val="24"/>
          <w:szCs w:val="24"/>
        </w:rPr>
        <w:t>运行服务阶段要求</w:t>
      </w:r>
      <w:bookmarkEnd w:id="82"/>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运行服务阶段分为正式比赛和赛事收尾两</w:t>
      </w:r>
      <w:r>
        <w:rPr>
          <w:rFonts w:ascii="仿宋" w:hAnsi="仿宋" w:eastAsia="仿宋"/>
          <w:color w:val="000000"/>
          <w:sz w:val="24"/>
          <w:szCs w:val="24"/>
        </w:rPr>
        <w:t>个子阶段。正式比赛子阶段包括开闭幕式以及所有正式比赛项目。服务提供商应根据各个子阶段的服务目标和内容，合理调配人员、系统、设备等资源，提供优质服务，确保各个子阶段的服务目标顺利实现。</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服务提供商须按照组委会、国家体育总局体育信息中心和国家标准《信息技术服务</w:t>
      </w:r>
      <w:r>
        <w:rPr>
          <w:rFonts w:ascii="仿宋" w:hAnsi="仿宋" w:eastAsia="仿宋"/>
          <w:color w:val="000000"/>
          <w:sz w:val="24"/>
          <w:szCs w:val="24"/>
        </w:rPr>
        <w:t xml:space="preserve"> 运行维护》（GB∕T 28827）的要求提供相应的运维服务。</w:t>
      </w:r>
    </w:p>
    <w:p>
      <w:pPr>
        <w:pStyle w:val="4"/>
        <w:spacing w:line="276" w:lineRule="auto"/>
        <w:rPr>
          <w:rFonts w:ascii="仿宋" w:hAnsi="仿宋" w:eastAsia="仿宋"/>
          <w:sz w:val="24"/>
          <w:szCs w:val="24"/>
        </w:rPr>
      </w:pPr>
      <w:bookmarkStart w:id="83" w:name="_Toc54270360"/>
      <w:r>
        <w:rPr>
          <w:rFonts w:ascii="仿宋" w:hAnsi="仿宋" w:eastAsia="仿宋"/>
          <w:sz w:val="24"/>
          <w:szCs w:val="24"/>
        </w:rPr>
        <w:t>正式比赛</w:t>
      </w:r>
      <w:bookmarkEnd w:id="83"/>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按照服务内容的服务水平定义提供正式比赛及重大活动的系统运行、维护和保障服务。</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负责协助组织十四运会和残特奥会信息化项目在正式比赛阶段运行，负责协助解决在正式比赛运行阶段出现的技术问题。</w:t>
      </w:r>
    </w:p>
    <w:p>
      <w:pPr>
        <w:pStyle w:val="4"/>
        <w:spacing w:line="276" w:lineRule="auto"/>
        <w:rPr>
          <w:rFonts w:ascii="仿宋" w:hAnsi="仿宋" w:eastAsia="仿宋"/>
          <w:sz w:val="24"/>
          <w:szCs w:val="24"/>
        </w:rPr>
      </w:pPr>
      <w:bookmarkStart w:id="84" w:name="_Toc54270361"/>
      <w:r>
        <w:rPr>
          <w:rFonts w:ascii="仿宋" w:hAnsi="仿宋" w:eastAsia="仿宋"/>
          <w:sz w:val="24"/>
          <w:szCs w:val="24"/>
        </w:rPr>
        <w:t>赛事收尾</w:t>
      </w:r>
      <w:bookmarkEnd w:id="84"/>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正式比赛结束后对系统及服务的相关工作进行收尾工作，包括但不限于服务关闭、资料汇总归档、配合审计等。</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1）各类服务的关闭和设备的拆除应组织有序、登记在册；移交的资产应提供详实的说明文档，移交过程要有交接清单，并经双方签字盖章确认。</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2）服务提供商提供的信息化建设项目归档资料应全面且装订成册，方便查询。</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3）服务提供商在审计部门审计过程中应提供7×24小时服务，提供的资料应详实可信，确保审计工作顺利完成。</w:t>
      </w:r>
    </w:p>
    <w:p>
      <w:pPr>
        <w:pStyle w:val="2"/>
        <w:keepNext/>
        <w:keepLines/>
        <w:autoSpaceDE/>
        <w:autoSpaceDN/>
        <w:adjustRightInd/>
        <w:spacing w:before="340" w:after="330" w:line="276" w:lineRule="auto"/>
        <w:jc w:val="both"/>
        <w:rPr>
          <w:rFonts w:ascii="仿宋" w:hAnsi="仿宋" w:eastAsia="仿宋"/>
          <w:sz w:val="24"/>
          <w:szCs w:val="24"/>
        </w:rPr>
      </w:pPr>
      <w:bookmarkStart w:id="85" w:name="_Toc54270362"/>
      <w:r>
        <w:rPr>
          <w:rFonts w:hint="eastAsia" w:ascii="仿宋" w:hAnsi="仿宋" w:eastAsia="仿宋"/>
          <w:sz w:val="24"/>
          <w:szCs w:val="24"/>
        </w:rPr>
        <w:t>服务保障要求</w:t>
      </w:r>
      <w:bookmarkEnd w:id="85"/>
    </w:p>
    <w:p>
      <w:pPr>
        <w:pStyle w:val="3"/>
        <w:spacing w:line="276" w:lineRule="auto"/>
        <w:rPr>
          <w:rFonts w:ascii="仿宋" w:hAnsi="仿宋" w:eastAsia="仿宋"/>
          <w:sz w:val="24"/>
          <w:szCs w:val="24"/>
        </w:rPr>
      </w:pPr>
      <w:bookmarkStart w:id="86" w:name="_Toc54270363"/>
      <w:r>
        <w:rPr>
          <w:rFonts w:ascii="仿宋" w:hAnsi="仿宋" w:eastAsia="仿宋"/>
          <w:sz w:val="24"/>
          <w:szCs w:val="24"/>
        </w:rPr>
        <w:t>服务时间及服务方式要求</w:t>
      </w:r>
      <w:bookmarkEnd w:id="86"/>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服务时间：提供</w:t>
      </w:r>
      <w:r>
        <w:rPr>
          <w:rFonts w:ascii="仿宋" w:hAnsi="仿宋" w:eastAsia="仿宋"/>
          <w:color w:val="000000"/>
          <w:sz w:val="24"/>
          <w:szCs w:val="24"/>
        </w:rPr>
        <w:t>7*24小时不间断服务。</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服务方式：驻场服务</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服务提供商须为本项目组建稳定的、专业的、独立的服务团队，须在竞赛所在地设立专门的服务机构，专门负责本项目需求确认、设备部署、联调联试、赛前准备、赛时运行保障等工作。</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服务提供商须根据服务内容，提供满足服务需求，足以保证服务运行的服务人员，在系统集成、系统测试、联调联试、赛事运行以及重大活动期间提供相应的服务。</w:t>
      </w:r>
    </w:p>
    <w:p>
      <w:pPr>
        <w:pStyle w:val="3"/>
        <w:spacing w:line="276" w:lineRule="auto"/>
        <w:rPr>
          <w:rFonts w:ascii="仿宋" w:hAnsi="仿宋" w:eastAsia="仿宋"/>
          <w:sz w:val="24"/>
          <w:szCs w:val="24"/>
        </w:rPr>
      </w:pPr>
      <w:bookmarkStart w:id="87" w:name="_Toc54270364"/>
      <w:r>
        <w:rPr>
          <w:rFonts w:ascii="仿宋" w:hAnsi="仿宋" w:eastAsia="仿宋"/>
          <w:sz w:val="24"/>
          <w:szCs w:val="24"/>
        </w:rPr>
        <w:t>例行操作要求</w:t>
      </w:r>
      <w:bookmarkEnd w:id="87"/>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巡检要求：服务提供商应根据不同的服务内容，提出关键巡检指标，制定巡检计划。</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备份要求：服务提供商应根据不同的服务内容，提出备份策略，制定备份计划，保证在服务期间，如果发生问题，不影响服务的正常交付。</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服务结束后应提交巡检报告。</w:t>
      </w:r>
    </w:p>
    <w:p>
      <w:pPr>
        <w:pStyle w:val="3"/>
        <w:spacing w:line="276" w:lineRule="auto"/>
        <w:rPr>
          <w:rFonts w:ascii="仿宋" w:hAnsi="仿宋" w:eastAsia="仿宋"/>
          <w:sz w:val="24"/>
          <w:szCs w:val="24"/>
        </w:rPr>
      </w:pPr>
      <w:bookmarkStart w:id="88" w:name="_Toc54270365"/>
      <w:r>
        <w:rPr>
          <w:rFonts w:ascii="仿宋" w:hAnsi="仿宋" w:eastAsia="仿宋"/>
          <w:sz w:val="24"/>
          <w:szCs w:val="24"/>
        </w:rPr>
        <w:t>响应支持要求</w:t>
      </w:r>
      <w:bookmarkEnd w:id="88"/>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服务提供商应建立故障响应的机制，根据不同的服务内容，定义故障等级，按照故障等级进行响应。如涉及到核心功能的变更，必须提前三天向服务需求方提交变更申请，经审批后准予变更。</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服务结束后应提交故障总结报告。</w:t>
      </w:r>
    </w:p>
    <w:p>
      <w:pPr>
        <w:pStyle w:val="3"/>
        <w:spacing w:line="276" w:lineRule="auto"/>
        <w:rPr>
          <w:rFonts w:ascii="仿宋" w:hAnsi="仿宋" w:eastAsia="仿宋"/>
          <w:sz w:val="24"/>
          <w:szCs w:val="24"/>
        </w:rPr>
      </w:pPr>
      <w:bookmarkStart w:id="89" w:name="_Toc54270366"/>
      <w:r>
        <w:rPr>
          <w:rFonts w:ascii="仿宋" w:hAnsi="仿宋" w:eastAsia="仿宋"/>
          <w:sz w:val="24"/>
          <w:szCs w:val="24"/>
        </w:rPr>
        <w:t>应急响应要求</w:t>
      </w:r>
      <w:bookmarkEnd w:id="89"/>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服务提供商应根据不同的服务内容，制定相应的应急预案。应急预案应包括启动时机、应急组织、应急人员联络方式及详尽的应急方法和处理措施。</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服务期间如果发生应急事件，服务结束后应提交应急响应报告。</w:t>
      </w:r>
    </w:p>
    <w:p>
      <w:pPr>
        <w:pStyle w:val="3"/>
        <w:spacing w:line="276" w:lineRule="auto"/>
        <w:rPr>
          <w:rFonts w:ascii="仿宋" w:hAnsi="仿宋" w:eastAsia="仿宋"/>
          <w:sz w:val="24"/>
          <w:szCs w:val="24"/>
        </w:rPr>
      </w:pPr>
      <w:bookmarkStart w:id="90" w:name="_Toc54270367"/>
      <w:r>
        <w:rPr>
          <w:rFonts w:ascii="仿宋" w:hAnsi="仿宋" w:eastAsia="仿宋"/>
          <w:sz w:val="24"/>
          <w:szCs w:val="24"/>
        </w:rPr>
        <w:t>可用性要求</w:t>
      </w:r>
      <w:bookmarkEnd w:id="90"/>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在正式比赛期间，确保服务的可用性达到各系统可用性设计指标。</w:t>
      </w:r>
    </w:p>
    <w:p>
      <w:pPr>
        <w:pStyle w:val="2"/>
        <w:keepNext/>
        <w:keepLines/>
        <w:autoSpaceDE/>
        <w:autoSpaceDN/>
        <w:adjustRightInd/>
        <w:spacing w:before="340" w:after="330" w:line="276" w:lineRule="auto"/>
        <w:jc w:val="both"/>
        <w:rPr>
          <w:rFonts w:ascii="仿宋" w:hAnsi="仿宋" w:eastAsia="仿宋"/>
          <w:sz w:val="24"/>
          <w:szCs w:val="24"/>
        </w:rPr>
      </w:pPr>
      <w:bookmarkStart w:id="91" w:name="_Toc54270368"/>
      <w:r>
        <w:rPr>
          <w:rFonts w:hint="eastAsia" w:ascii="仿宋" w:hAnsi="仿宋" w:eastAsia="仿宋"/>
          <w:sz w:val="24"/>
          <w:szCs w:val="24"/>
        </w:rPr>
        <w:t>培训要求</w:t>
      </w:r>
      <w:bookmarkEnd w:id="91"/>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服务提供商应从全局角度出发，提供完整的培训方案，制定培训计划。</w:t>
      </w:r>
    </w:p>
    <w:p>
      <w:pPr>
        <w:pStyle w:val="3"/>
        <w:spacing w:line="276" w:lineRule="auto"/>
        <w:rPr>
          <w:rFonts w:ascii="仿宋" w:hAnsi="仿宋" w:eastAsia="仿宋"/>
          <w:sz w:val="24"/>
          <w:szCs w:val="24"/>
        </w:rPr>
      </w:pPr>
      <w:bookmarkStart w:id="92" w:name="_Toc54270369"/>
      <w:r>
        <w:rPr>
          <w:rFonts w:ascii="仿宋" w:hAnsi="仿宋" w:eastAsia="仿宋"/>
          <w:sz w:val="24"/>
          <w:szCs w:val="24"/>
        </w:rPr>
        <w:t>培训目标</w:t>
      </w:r>
      <w:bookmarkEnd w:id="92"/>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使相关人员熟悉十四运会和残特奥会的基本知识和业务流程，熟悉各系统及设施设备的操作要求和方法，保障系统安全可靠、高效的运行。</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使相关人员熟悉基本流程、服务规范，熟练操作各系统及设施设备的各项功能。</w:t>
      </w:r>
    </w:p>
    <w:p>
      <w:pPr>
        <w:pStyle w:val="3"/>
        <w:spacing w:line="276" w:lineRule="auto"/>
        <w:rPr>
          <w:rFonts w:ascii="仿宋" w:hAnsi="仿宋" w:eastAsia="仿宋"/>
          <w:sz w:val="24"/>
          <w:szCs w:val="24"/>
        </w:rPr>
      </w:pPr>
      <w:bookmarkStart w:id="93" w:name="_Toc54270370"/>
      <w:r>
        <w:rPr>
          <w:rFonts w:ascii="仿宋" w:hAnsi="仿宋" w:eastAsia="仿宋"/>
          <w:sz w:val="24"/>
          <w:szCs w:val="24"/>
        </w:rPr>
        <w:t>培训对象</w:t>
      </w:r>
      <w:bookmarkEnd w:id="93"/>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组委会工作人员、技术支持人员和志愿者等。</w:t>
      </w:r>
    </w:p>
    <w:p>
      <w:pPr>
        <w:pStyle w:val="3"/>
        <w:spacing w:line="276" w:lineRule="auto"/>
        <w:rPr>
          <w:rFonts w:ascii="仿宋" w:hAnsi="仿宋" w:eastAsia="仿宋"/>
          <w:sz w:val="24"/>
          <w:szCs w:val="24"/>
        </w:rPr>
      </w:pPr>
      <w:bookmarkStart w:id="94" w:name="_Toc54270371"/>
      <w:r>
        <w:rPr>
          <w:rFonts w:ascii="仿宋" w:hAnsi="仿宋" w:eastAsia="仿宋"/>
          <w:sz w:val="24"/>
          <w:szCs w:val="24"/>
        </w:rPr>
        <w:t>培训内容</w:t>
      </w:r>
      <w:bookmarkEnd w:id="94"/>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服务提供商应按照服务范围提供相应的培训，服务提供商须在培训计划中详细列明相应的培训教材、课程内容、师资和时间安排。</w:t>
      </w:r>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服务提供商应根据以往经验，结合十四运会和残特奥会信息化服务的要求，编制详尽培训方案。</w:t>
      </w:r>
    </w:p>
    <w:p>
      <w:pPr>
        <w:pStyle w:val="3"/>
        <w:spacing w:line="276" w:lineRule="auto"/>
        <w:rPr>
          <w:rFonts w:ascii="仿宋" w:hAnsi="仿宋" w:eastAsia="仿宋"/>
          <w:sz w:val="24"/>
          <w:szCs w:val="24"/>
        </w:rPr>
      </w:pPr>
      <w:bookmarkStart w:id="95" w:name="_Toc54270372"/>
      <w:r>
        <w:rPr>
          <w:rFonts w:ascii="仿宋" w:hAnsi="仿宋" w:eastAsia="仿宋"/>
          <w:sz w:val="24"/>
          <w:szCs w:val="24"/>
        </w:rPr>
        <w:t>培训费用</w:t>
      </w:r>
      <w:bookmarkEnd w:id="95"/>
    </w:p>
    <w:p>
      <w:pPr>
        <w:pStyle w:val="157"/>
        <w:spacing w:line="276" w:lineRule="auto"/>
        <w:ind w:left="840" w:firstLine="480"/>
        <w:rPr>
          <w:rFonts w:ascii="仿宋" w:hAnsi="仿宋" w:eastAsia="仿宋"/>
          <w:color w:val="000000"/>
          <w:sz w:val="24"/>
          <w:szCs w:val="24"/>
        </w:rPr>
      </w:pPr>
      <w:r>
        <w:rPr>
          <w:rFonts w:hint="eastAsia" w:ascii="仿宋" w:hAnsi="仿宋" w:eastAsia="仿宋"/>
          <w:color w:val="000000"/>
          <w:sz w:val="24"/>
          <w:szCs w:val="24"/>
        </w:rPr>
        <w:t>所有培训费用（含培训教材费、场地费等）及各项支出可包含在各子系统报价中，无须单列。</w:t>
      </w:r>
    </w:p>
    <w:p>
      <w:pPr>
        <w:pStyle w:val="2"/>
        <w:keepNext/>
        <w:keepLines/>
        <w:autoSpaceDE/>
        <w:autoSpaceDN/>
        <w:adjustRightInd/>
        <w:spacing w:before="340" w:after="330" w:line="276" w:lineRule="auto"/>
        <w:jc w:val="both"/>
        <w:rPr>
          <w:rFonts w:ascii="仿宋" w:hAnsi="仿宋" w:eastAsia="仿宋"/>
          <w:sz w:val="24"/>
          <w:szCs w:val="24"/>
        </w:rPr>
      </w:pPr>
      <w:bookmarkStart w:id="96" w:name="_Toc54270373"/>
      <w:r>
        <w:rPr>
          <w:rFonts w:hint="eastAsia" w:ascii="仿宋" w:hAnsi="仿宋" w:eastAsia="仿宋"/>
          <w:sz w:val="24"/>
          <w:szCs w:val="24"/>
        </w:rPr>
        <w:t>验收要求</w:t>
      </w:r>
      <w:bookmarkEnd w:id="96"/>
    </w:p>
    <w:p>
      <w:pPr>
        <w:pStyle w:val="3"/>
        <w:spacing w:line="276" w:lineRule="auto"/>
        <w:rPr>
          <w:rFonts w:ascii="仿宋" w:hAnsi="仿宋" w:eastAsia="仿宋"/>
          <w:sz w:val="24"/>
          <w:szCs w:val="24"/>
        </w:rPr>
      </w:pPr>
      <w:bookmarkStart w:id="97" w:name="_Toc54270374"/>
      <w:r>
        <w:rPr>
          <w:rFonts w:ascii="仿宋" w:hAnsi="仿宋" w:eastAsia="仿宋"/>
          <w:sz w:val="24"/>
          <w:szCs w:val="24"/>
        </w:rPr>
        <w:t>初验</w:t>
      </w:r>
      <w:bookmarkEnd w:id="97"/>
    </w:p>
    <w:p>
      <w:pPr>
        <w:spacing w:line="276"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服务提供商应在建设完成且集成测试通过后，提交初验申请。验收时应提交投标文件、项目合同、设计方案、各阶段成果、过程记录文档、变更纪要、集成测试报告等。</w:t>
      </w:r>
    </w:p>
    <w:p>
      <w:pPr>
        <w:pStyle w:val="3"/>
        <w:spacing w:line="276" w:lineRule="auto"/>
        <w:rPr>
          <w:rFonts w:ascii="仿宋" w:hAnsi="仿宋" w:eastAsia="仿宋"/>
          <w:sz w:val="24"/>
          <w:szCs w:val="24"/>
        </w:rPr>
      </w:pPr>
      <w:bookmarkStart w:id="98" w:name="_Toc54270375"/>
      <w:r>
        <w:rPr>
          <w:rFonts w:ascii="仿宋" w:hAnsi="仿宋" w:eastAsia="仿宋"/>
          <w:sz w:val="24"/>
          <w:szCs w:val="24"/>
        </w:rPr>
        <w:t>终验</w:t>
      </w:r>
      <w:bookmarkEnd w:id="98"/>
    </w:p>
    <w:p>
      <w:pPr>
        <w:spacing w:line="276"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服务提供商应在联调联试通过，且按照组委会、国家体育总局体育信息中心要求完成测试赛、开闭幕式和正式比赛运行保障服务，完成信息化建设项目总体收尾工作后，提交终验申请。验收时应提交联调联试总结报告、测试赛和正式比赛阶段的服务总结报告等。</w:t>
      </w:r>
    </w:p>
    <w:p>
      <w:pPr>
        <w:pStyle w:val="2"/>
        <w:keepNext/>
        <w:keepLines/>
        <w:autoSpaceDE/>
        <w:autoSpaceDN/>
        <w:adjustRightInd/>
        <w:spacing w:before="340" w:after="330" w:line="276" w:lineRule="auto"/>
        <w:jc w:val="both"/>
        <w:rPr>
          <w:rFonts w:ascii="仿宋" w:hAnsi="仿宋" w:eastAsia="仿宋"/>
          <w:sz w:val="24"/>
          <w:szCs w:val="24"/>
        </w:rPr>
      </w:pPr>
      <w:bookmarkStart w:id="99" w:name="_Toc54270376"/>
      <w:r>
        <w:rPr>
          <w:rFonts w:hint="eastAsia" w:ascii="仿宋" w:hAnsi="仿宋" w:eastAsia="仿宋"/>
          <w:sz w:val="24"/>
          <w:szCs w:val="24"/>
        </w:rPr>
        <w:t>工期要求</w:t>
      </w:r>
      <w:bookmarkEnd w:id="99"/>
    </w:p>
    <w:p>
      <w:pPr>
        <w:spacing w:line="276" w:lineRule="auto"/>
        <w:ind w:firstLine="420" w:firstLineChars="175"/>
        <w:rPr>
          <w:rFonts w:ascii="仿宋" w:hAnsi="仿宋" w:eastAsia="仿宋"/>
          <w:color w:val="000000"/>
          <w:sz w:val="24"/>
          <w:szCs w:val="24"/>
        </w:rPr>
      </w:pPr>
      <w:r>
        <w:rPr>
          <w:rFonts w:hint="eastAsia" w:ascii="仿宋" w:hAnsi="仿宋" w:eastAsia="仿宋"/>
          <w:color w:val="000000"/>
          <w:sz w:val="24"/>
          <w:szCs w:val="24"/>
        </w:rPr>
        <w:t>项目工期要求如下：</w:t>
      </w:r>
    </w:p>
    <w:tbl>
      <w:tblPr>
        <w:tblStyle w:val="5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2"/>
        <w:gridCol w:w="2743"/>
        <w:gridCol w:w="2334"/>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37" w:type="pct"/>
            <w:vAlign w:val="center"/>
          </w:tcPr>
          <w:p>
            <w:pPr>
              <w:rPr>
                <w:rFonts w:ascii="仿宋" w:hAnsi="仿宋" w:eastAsia="仿宋"/>
              </w:rPr>
            </w:pPr>
            <w:r>
              <w:rPr>
                <w:rFonts w:hint="eastAsia" w:ascii="仿宋" w:hAnsi="仿宋" w:eastAsia="仿宋"/>
              </w:rPr>
              <w:t>序号</w:t>
            </w:r>
          </w:p>
        </w:tc>
        <w:tc>
          <w:tcPr>
            <w:tcW w:w="1514" w:type="pct"/>
            <w:vAlign w:val="center"/>
          </w:tcPr>
          <w:p>
            <w:pPr>
              <w:rPr>
                <w:rFonts w:ascii="仿宋" w:hAnsi="仿宋" w:eastAsia="仿宋"/>
              </w:rPr>
            </w:pPr>
            <w:r>
              <w:rPr>
                <w:rFonts w:hint="eastAsia" w:ascii="仿宋" w:hAnsi="仿宋" w:eastAsia="仿宋"/>
              </w:rPr>
              <w:t>时间要求</w:t>
            </w:r>
          </w:p>
        </w:tc>
        <w:tc>
          <w:tcPr>
            <w:tcW w:w="1288" w:type="pct"/>
            <w:vAlign w:val="center"/>
          </w:tcPr>
          <w:p>
            <w:pPr>
              <w:rPr>
                <w:rFonts w:ascii="仿宋" w:hAnsi="仿宋" w:eastAsia="仿宋"/>
              </w:rPr>
            </w:pPr>
            <w:r>
              <w:rPr>
                <w:rFonts w:hint="eastAsia" w:ascii="仿宋" w:hAnsi="仿宋" w:eastAsia="仿宋"/>
              </w:rPr>
              <w:t>阶段任务</w:t>
            </w:r>
          </w:p>
        </w:tc>
        <w:tc>
          <w:tcPr>
            <w:tcW w:w="1761" w:type="pct"/>
            <w:vAlign w:val="center"/>
          </w:tcPr>
          <w:p>
            <w:pPr>
              <w:rPr>
                <w:rFonts w:ascii="仿宋" w:hAnsi="仿宋" w:eastAsia="仿宋"/>
              </w:rPr>
            </w:pPr>
            <w:r>
              <w:rPr>
                <w:rFonts w:hint="eastAsia" w:ascii="仿宋" w:hAnsi="仿宋" w:eastAsia="仿宋"/>
              </w:rPr>
              <w:t>交付成果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ascii="仿宋" w:hAnsi="仿宋" w:eastAsia="仿宋"/>
              </w:rPr>
              <w:t>1</w:t>
            </w:r>
          </w:p>
        </w:tc>
        <w:tc>
          <w:tcPr>
            <w:tcW w:w="1514" w:type="pct"/>
            <w:vAlign w:val="center"/>
          </w:tcPr>
          <w:p>
            <w:pPr>
              <w:rPr>
                <w:rFonts w:ascii="仿宋" w:hAnsi="仿宋" w:eastAsia="仿宋"/>
              </w:rPr>
            </w:pPr>
            <w:r>
              <w:rPr>
                <w:rFonts w:ascii="仿宋" w:hAnsi="仿宋" w:eastAsia="仿宋"/>
              </w:rPr>
              <w:t>2020年</w:t>
            </w:r>
            <w:r>
              <w:rPr>
                <w:rFonts w:hint="eastAsia" w:ascii="仿宋" w:hAnsi="仿宋" w:eastAsia="仿宋"/>
              </w:rPr>
              <w:t>12月</w:t>
            </w:r>
          </w:p>
        </w:tc>
        <w:tc>
          <w:tcPr>
            <w:tcW w:w="1288" w:type="pct"/>
            <w:vAlign w:val="center"/>
          </w:tcPr>
          <w:p>
            <w:pPr>
              <w:rPr>
                <w:rFonts w:ascii="仿宋" w:hAnsi="仿宋" w:eastAsia="仿宋"/>
              </w:rPr>
            </w:pPr>
            <w:r>
              <w:rPr>
                <w:rFonts w:hint="eastAsia" w:ascii="仿宋" w:hAnsi="仿宋" w:eastAsia="仿宋"/>
              </w:rPr>
              <w:t>完成方案编制</w:t>
            </w:r>
          </w:p>
        </w:tc>
        <w:tc>
          <w:tcPr>
            <w:tcW w:w="1761" w:type="pct"/>
            <w:vAlign w:val="center"/>
          </w:tcPr>
          <w:p>
            <w:pPr>
              <w:rPr>
                <w:rFonts w:ascii="仿宋" w:hAnsi="仿宋" w:eastAsia="仿宋"/>
              </w:rPr>
            </w:pPr>
            <w:r>
              <w:rPr>
                <w:rFonts w:hint="eastAsia" w:ascii="仿宋" w:hAnsi="仿宋" w:eastAsia="仿宋"/>
              </w:rPr>
              <w:t>设计方案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ascii="仿宋" w:hAnsi="仿宋" w:eastAsia="仿宋"/>
              </w:rPr>
              <w:t>2</w:t>
            </w:r>
          </w:p>
        </w:tc>
        <w:tc>
          <w:tcPr>
            <w:tcW w:w="1514" w:type="pct"/>
            <w:vAlign w:val="center"/>
          </w:tcPr>
          <w:p>
            <w:pPr>
              <w:rPr>
                <w:rFonts w:ascii="仿宋" w:hAnsi="仿宋" w:eastAsia="仿宋"/>
              </w:rPr>
            </w:pPr>
            <w:r>
              <w:rPr>
                <w:rFonts w:hint="eastAsia" w:ascii="仿宋" w:hAnsi="仿宋" w:eastAsia="仿宋"/>
              </w:rPr>
              <w:t>2020年</w:t>
            </w:r>
            <w:r>
              <w:rPr>
                <w:rFonts w:ascii="仿宋" w:hAnsi="仿宋" w:eastAsia="仿宋"/>
              </w:rPr>
              <w:t>12</w:t>
            </w:r>
            <w:r>
              <w:rPr>
                <w:rFonts w:hint="eastAsia" w:ascii="仿宋" w:hAnsi="仿宋" w:eastAsia="仿宋"/>
              </w:rPr>
              <w:t>月</w:t>
            </w:r>
          </w:p>
        </w:tc>
        <w:tc>
          <w:tcPr>
            <w:tcW w:w="1288" w:type="pct"/>
            <w:vAlign w:val="center"/>
          </w:tcPr>
          <w:p>
            <w:pPr>
              <w:rPr>
                <w:rFonts w:ascii="仿宋" w:hAnsi="仿宋" w:eastAsia="仿宋"/>
              </w:rPr>
            </w:pPr>
            <w:r>
              <w:rPr>
                <w:rFonts w:hint="eastAsia" w:ascii="仿宋" w:hAnsi="仿宋" w:eastAsia="仿宋"/>
              </w:rPr>
              <w:t>完成系统建设和集成</w:t>
            </w:r>
          </w:p>
        </w:tc>
        <w:tc>
          <w:tcPr>
            <w:tcW w:w="1761" w:type="pct"/>
            <w:vAlign w:val="center"/>
          </w:tcPr>
          <w:p>
            <w:pPr>
              <w:rPr>
                <w:rFonts w:ascii="仿宋" w:hAnsi="仿宋" w:eastAsia="仿宋"/>
              </w:rPr>
            </w:pPr>
            <w:r>
              <w:rPr>
                <w:rFonts w:hint="eastAsia" w:ascii="仿宋" w:hAnsi="仿宋" w:eastAsia="仿宋"/>
              </w:rPr>
              <w:t>系统建设各阶段成果、过程记录文档、变更纪要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hint="eastAsia" w:ascii="仿宋" w:hAnsi="仿宋" w:eastAsia="仿宋"/>
              </w:rPr>
              <w:t>3</w:t>
            </w:r>
          </w:p>
        </w:tc>
        <w:tc>
          <w:tcPr>
            <w:tcW w:w="1514" w:type="pct"/>
            <w:vAlign w:val="center"/>
          </w:tcPr>
          <w:p>
            <w:pPr>
              <w:rPr>
                <w:rFonts w:ascii="仿宋" w:hAnsi="仿宋" w:eastAsia="仿宋"/>
              </w:rPr>
            </w:pPr>
            <w:r>
              <w:rPr>
                <w:rFonts w:hint="eastAsia" w:ascii="仿宋" w:hAnsi="仿宋" w:eastAsia="仿宋"/>
              </w:rPr>
              <w:t>2021年</w:t>
            </w:r>
            <w:r>
              <w:rPr>
                <w:rFonts w:ascii="仿宋" w:hAnsi="仿宋" w:eastAsia="仿宋"/>
              </w:rPr>
              <w:t>1</w:t>
            </w:r>
            <w:r>
              <w:rPr>
                <w:rFonts w:hint="eastAsia" w:ascii="仿宋" w:hAnsi="仿宋" w:eastAsia="仿宋"/>
              </w:rPr>
              <w:t>月-</w:t>
            </w:r>
            <w:r>
              <w:rPr>
                <w:rFonts w:ascii="仿宋" w:hAnsi="仿宋" w:eastAsia="仿宋"/>
              </w:rPr>
              <w:t>2</w:t>
            </w:r>
            <w:r>
              <w:rPr>
                <w:rFonts w:hint="eastAsia" w:ascii="仿宋" w:hAnsi="仿宋" w:eastAsia="仿宋"/>
              </w:rPr>
              <w:t>月</w:t>
            </w:r>
          </w:p>
        </w:tc>
        <w:tc>
          <w:tcPr>
            <w:tcW w:w="1288" w:type="pct"/>
            <w:vAlign w:val="center"/>
          </w:tcPr>
          <w:p>
            <w:pPr>
              <w:rPr>
                <w:rFonts w:ascii="仿宋" w:hAnsi="仿宋" w:eastAsia="仿宋"/>
              </w:rPr>
            </w:pPr>
            <w:r>
              <w:rPr>
                <w:rFonts w:hint="eastAsia" w:ascii="仿宋" w:hAnsi="仿宋" w:eastAsia="仿宋"/>
              </w:rPr>
              <w:t>完成集成测试</w:t>
            </w:r>
          </w:p>
        </w:tc>
        <w:tc>
          <w:tcPr>
            <w:tcW w:w="1761" w:type="pct"/>
            <w:vAlign w:val="center"/>
          </w:tcPr>
          <w:p>
            <w:pPr>
              <w:rPr>
                <w:rFonts w:ascii="仿宋" w:hAnsi="仿宋" w:eastAsia="仿宋"/>
              </w:rPr>
            </w:pPr>
            <w:r>
              <w:rPr>
                <w:rFonts w:hint="eastAsia" w:ascii="仿宋" w:hAnsi="仿宋" w:eastAsia="仿宋"/>
              </w:rPr>
              <w:t>集成测试报告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hint="eastAsia" w:ascii="仿宋" w:hAnsi="仿宋" w:eastAsia="仿宋"/>
              </w:rPr>
              <w:t>4</w:t>
            </w:r>
          </w:p>
        </w:tc>
        <w:tc>
          <w:tcPr>
            <w:tcW w:w="1514" w:type="pct"/>
            <w:vAlign w:val="center"/>
          </w:tcPr>
          <w:p>
            <w:pPr>
              <w:rPr>
                <w:rFonts w:ascii="仿宋" w:hAnsi="仿宋" w:eastAsia="仿宋"/>
              </w:rPr>
            </w:pPr>
            <w:r>
              <w:rPr>
                <w:rFonts w:hint="eastAsia" w:ascii="仿宋" w:hAnsi="仿宋" w:eastAsia="仿宋"/>
              </w:rPr>
              <w:t>2021年</w:t>
            </w:r>
            <w:r>
              <w:rPr>
                <w:rFonts w:ascii="仿宋" w:hAnsi="仿宋" w:eastAsia="仿宋"/>
              </w:rPr>
              <w:t>2</w:t>
            </w:r>
            <w:r>
              <w:rPr>
                <w:rFonts w:hint="eastAsia" w:ascii="仿宋" w:hAnsi="仿宋" w:eastAsia="仿宋"/>
              </w:rPr>
              <w:t>月-</w:t>
            </w:r>
            <w:r>
              <w:rPr>
                <w:rFonts w:ascii="仿宋" w:hAnsi="仿宋" w:eastAsia="仿宋"/>
              </w:rPr>
              <w:t>3</w:t>
            </w:r>
            <w:r>
              <w:rPr>
                <w:rFonts w:hint="eastAsia" w:ascii="仿宋" w:hAnsi="仿宋" w:eastAsia="仿宋"/>
              </w:rPr>
              <w:t>月</w:t>
            </w:r>
          </w:p>
        </w:tc>
        <w:tc>
          <w:tcPr>
            <w:tcW w:w="3049" w:type="pct"/>
            <w:gridSpan w:val="2"/>
            <w:vAlign w:val="center"/>
          </w:tcPr>
          <w:p>
            <w:pPr>
              <w:rPr>
                <w:rFonts w:ascii="仿宋" w:hAnsi="仿宋" w:eastAsia="仿宋"/>
              </w:rPr>
            </w:pPr>
            <w:r>
              <w:rPr>
                <w:rFonts w:hint="eastAsia" w:ascii="仿宋" w:hAnsi="仿宋" w:eastAsia="仿宋"/>
              </w:rPr>
              <w:t>组织</w:t>
            </w:r>
            <w:r>
              <w:rPr>
                <w:rFonts w:ascii="仿宋" w:hAnsi="仿宋" w:eastAsia="仿宋"/>
              </w:rPr>
              <w:t>项目</w:t>
            </w:r>
            <w:r>
              <w:rPr>
                <w:rFonts w:hint="eastAsia" w:ascii="仿宋" w:hAnsi="仿宋" w:eastAsia="仿宋"/>
              </w:rPr>
              <w:t>初验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hint="eastAsia" w:ascii="仿宋" w:hAnsi="仿宋" w:eastAsia="仿宋"/>
              </w:rPr>
              <w:t>5</w:t>
            </w:r>
          </w:p>
        </w:tc>
        <w:tc>
          <w:tcPr>
            <w:tcW w:w="1514" w:type="pct"/>
            <w:vAlign w:val="center"/>
          </w:tcPr>
          <w:p>
            <w:pPr>
              <w:rPr>
                <w:rFonts w:ascii="仿宋" w:hAnsi="仿宋" w:eastAsia="仿宋"/>
              </w:rPr>
            </w:pPr>
            <w:r>
              <w:rPr>
                <w:rFonts w:ascii="仿宋" w:hAnsi="仿宋" w:eastAsia="仿宋"/>
              </w:rPr>
              <w:t>2021</w:t>
            </w:r>
            <w:r>
              <w:rPr>
                <w:rFonts w:hint="eastAsia" w:ascii="仿宋" w:hAnsi="仿宋" w:eastAsia="仿宋"/>
              </w:rPr>
              <w:t>年</w:t>
            </w:r>
            <w:r>
              <w:rPr>
                <w:rFonts w:ascii="仿宋" w:hAnsi="仿宋" w:eastAsia="仿宋"/>
              </w:rPr>
              <w:t>3</w:t>
            </w:r>
            <w:r>
              <w:rPr>
                <w:rFonts w:hint="eastAsia" w:ascii="仿宋" w:hAnsi="仿宋" w:eastAsia="仿宋"/>
              </w:rPr>
              <w:t>月</w:t>
            </w:r>
            <w:r>
              <w:rPr>
                <w:rFonts w:ascii="仿宋" w:hAnsi="仿宋" w:eastAsia="仿宋"/>
              </w:rPr>
              <w:t>-8</w:t>
            </w:r>
            <w:r>
              <w:rPr>
                <w:rFonts w:hint="eastAsia" w:ascii="仿宋" w:hAnsi="仿宋" w:eastAsia="仿宋"/>
              </w:rPr>
              <w:t>月</w:t>
            </w:r>
          </w:p>
        </w:tc>
        <w:tc>
          <w:tcPr>
            <w:tcW w:w="1288" w:type="pct"/>
            <w:vAlign w:val="center"/>
          </w:tcPr>
          <w:p>
            <w:pPr>
              <w:rPr>
                <w:rFonts w:ascii="仿宋" w:hAnsi="仿宋" w:eastAsia="仿宋"/>
              </w:rPr>
            </w:pPr>
            <w:r>
              <w:rPr>
                <w:rFonts w:hint="eastAsia" w:ascii="仿宋" w:hAnsi="仿宋" w:eastAsia="仿宋"/>
              </w:rPr>
              <w:t>完成测试赛</w:t>
            </w:r>
          </w:p>
        </w:tc>
        <w:tc>
          <w:tcPr>
            <w:tcW w:w="1761" w:type="pct"/>
            <w:vAlign w:val="center"/>
          </w:tcPr>
          <w:p>
            <w:pPr>
              <w:rPr>
                <w:rFonts w:ascii="仿宋" w:hAnsi="仿宋" w:eastAsia="仿宋"/>
              </w:rPr>
            </w:pPr>
            <w:r>
              <w:rPr>
                <w:rFonts w:ascii="仿宋" w:hAnsi="仿宋" w:eastAsia="仿宋"/>
              </w:rPr>
              <w:t>测试赛服务</w:t>
            </w:r>
            <w:r>
              <w:rPr>
                <w:rFonts w:hint="eastAsia" w:ascii="仿宋" w:hAnsi="仿宋" w:eastAsia="仿宋"/>
              </w:rPr>
              <w:t>总结</w:t>
            </w:r>
            <w:r>
              <w:rPr>
                <w:rFonts w:ascii="仿宋" w:hAnsi="仿宋" w:eastAsia="仿宋"/>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hint="eastAsia" w:ascii="仿宋" w:hAnsi="仿宋" w:eastAsia="仿宋"/>
              </w:rPr>
              <w:t>6</w:t>
            </w:r>
          </w:p>
        </w:tc>
        <w:tc>
          <w:tcPr>
            <w:tcW w:w="1514" w:type="pct"/>
            <w:vAlign w:val="center"/>
          </w:tcPr>
          <w:p>
            <w:pPr>
              <w:rPr>
                <w:rFonts w:ascii="仿宋" w:hAnsi="仿宋" w:eastAsia="仿宋"/>
              </w:rPr>
            </w:pPr>
            <w:r>
              <w:rPr>
                <w:rFonts w:ascii="仿宋" w:hAnsi="仿宋" w:eastAsia="仿宋"/>
              </w:rPr>
              <w:t>2021</w:t>
            </w:r>
            <w:r>
              <w:rPr>
                <w:rFonts w:hint="eastAsia" w:ascii="仿宋" w:hAnsi="仿宋" w:eastAsia="仿宋"/>
              </w:rPr>
              <w:t>年</w:t>
            </w:r>
            <w:r>
              <w:rPr>
                <w:rFonts w:ascii="仿宋" w:hAnsi="仿宋" w:eastAsia="仿宋"/>
              </w:rPr>
              <w:t>7</w:t>
            </w:r>
            <w:r>
              <w:rPr>
                <w:rFonts w:hint="eastAsia" w:ascii="仿宋" w:hAnsi="仿宋" w:eastAsia="仿宋"/>
              </w:rPr>
              <w:t>月</w:t>
            </w:r>
            <w:r>
              <w:rPr>
                <w:rFonts w:ascii="仿宋" w:hAnsi="仿宋" w:eastAsia="仿宋"/>
              </w:rPr>
              <w:t>-8</w:t>
            </w:r>
            <w:r>
              <w:rPr>
                <w:rFonts w:hint="eastAsia" w:ascii="仿宋" w:hAnsi="仿宋" w:eastAsia="仿宋"/>
              </w:rPr>
              <w:t>月</w:t>
            </w:r>
          </w:p>
        </w:tc>
        <w:tc>
          <w:tcPr>
            <w:tcW w:w="1288" w:type="pct"/>
            <w:vAlign w:val="center"/>
          </w:tcPr>
          <w:p>
            <w:pPr>
              <w:rPr>
                <w:rFonts w:ascii="仿宋" w:hAnsi="仿宋" w:eastAsia="仿宋"/>
              </w:rPr>
            </w:pPr>
            <w:r>
              <w:rPr>
                <w:rFonts w:hint="eastAsia" w:ascii="仿宋" w:hAnsi="仿宋" w:eastAsia="仿宋"/>
              </w:rPr>
              <w:t>完成联调联试</w:t>
            </w:r>
          </w:p>
        </w:tc>
        <w:tc>
          <w:tcPr>
            <w:tcW w:w="1761" w:type="pct"/>
            <w:vAlign w:val="center"/>
          </w:tcPr>
          <w:p>
            <w:pPr>
              <w:rPr>
                <w:rFonts w:ascii="仿宋" w:hAnsi="仿宋" w:eastAsia="仿宋"/>
              </w:rPr>
            </w:pPr>
            <w:r>
              <w:rPr>
                <w:rFonts w:hint="eastAsia" w:ascii="仿宋" w:hAnsi="仿宋" w:eastAsia="仿宋"/>
              </w:rPr>
              <w:t>联调联试总结报告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hint="eastAsia" w:ascii="仿宋" w:hAnsi="仿宋" w:eastAsia="仿宋"/>
              </w:rPr>
              <w:t>7</w:t>
            </w:r>
          </w:p>
        </w:tc>
        <w:tc>
          <w:tcPr>
            <w:tcW w:w="1514" w:type="pct"/>
            <w:vAlign w:val="center"/>
          </w:tcPr>
          <w:p>
            <w:pPr>
              <w:rPr>
                <w:rFonts w:ascii="仿宋" w:hAnsi="仿宋" w:eastAsia="仿宋"/>
              </w:rPr>
            </w:pPr>
            <w:r>
              <w:rPr>
                <w:rFonts w:hint="eastAsia" w:ascii="仿宋" w:hAnsi="仿宋" w:eastAsia="仿宋"/>
              </w:rPr>
              <w:t>2021年</w:t>
            </w:r>
            <w:r>
              <w:rPr>
                <w:rFonts w:ascii="仿宋" w:hAnsi="仿宋" w:eastAsia="仿宋"/>
              </w:rPr>
              <w:t>9</w:t>
            </w:r>
            <w:r>
              <w:rPr>
                <w:rFonts w:hint="eastAsia" w:ascii="仿宋" w:hAnsi="仿宋" w:eastAsia="仿宋"/>
              </w:rPr>
              <w:t>月-</w:t>
            </w:r>
            <w:r>
              <w:rPr>
                <w:rFonts w:ascii="仿宋" w:hAnsi="仿宋" w:eastAsia="仿宋"/>
              </w:rPr>
              <w:t>10</w:t>
            </w:r>
            <w:r>
              <w:rPr>
                <w:rFonts w:hint="eastAsia" w:ascii="仿宋" w:hAnsi="仿宋" w:eastAsia="仿宋"/>
              </w:rPr>
              <w:t>月</w:t>
            </w:r>
          </w:p>
        </w:tc>
        <w:tc>
          <w:tcPr>
            <w:tcW w:w="1288" w:type="pct"/>
            <w:vAlign w:val="center"/>
          </w:tcPr>
          <w:p>
            <w:pPr>
              <w:rPr>
                <w:rFonts w:ascii="仿宋" w:hAnsi="仿宋" w:eastAsia="仿宋"/>
              </w:rPr>
            </w:pPr>
            <w:r>
              <w:rPr>
                <w:rFonts w:hint="eastAsia" w:ascii="仿宋" w:hAnsi="仿宋" w:eastAsia="仿宋"/>
              </w:rPr>
              <w:t>完成正式比赛</w:t>
            </w:r>
          </w:p>
        </w:tc>
        <w:tc>
          <w:tcPr>
            <w:tcW w:w="1761" w:type="pct"/>
            <w:vAlign w:val="center"/>
          </w:tcPr>
          <w:p>
            <w:pPr>
              <w:rPr>
                <w:rFonts w:ascii="仿宋" w:hAnsi="仿宋" w:eastAsia="仿宋"/>
              </w:rPr>
            </w:pPr>
            <w:r>
              <w:rPr>
                <w:rFonts w:hint="eastAsia" w:ascii="仿宋" w:hAnsi="仿宋" w:eastAsia="仿宋"/>
              </w:rPr>
              <w:t>正式比赛</w:t>
            </w:r>
            <w:r>
              <w:rPr>
                <w:rFonts w:ascii="仿宋" w:hAnsi="仿宋" w:eastAsia="仿宋"/>
              </w:rPr>
              <w:t>服务</w:t>
            </w:r>
            <w:r>
              <w:rPr>
                <w:rFonts w:hint="eastAsia" w:ascii="仿宋" w:hAnsi="仿宋" w:eastAsia="仿宋"/>
              </w:rPr>
              <w:t>总结</w:t>
            </w:r>
            <w:r>
              <w:rPr>
                <w:rFonts w:ascii="仿宋" w:hAnsi="仿宋" w:eastAsia="仿宋"/>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hint="eastAsia" w:ascii="仿宋" w:hAnsi="仿宋" w:eastAsia="仿宋"/>
              </w:rPr>
              <w:t>8</w:t>
            </w:r>
          </w:p>
        </w:tc>
        <w:tc>
          <w:tcPr>
            <w:tcW w:w="1514" w:type="pct"/>
            <w:vAlign w:val="center"/>
          </w:tcPr>
          <w:p>
            <w:pPr>
              <w:rPr>
                <w:rFonts w:ascii="仿宋" w:hAnsi="仿宋" w:eastAsia="仿宋"/>
              </w:rPr>
            </w:pPr>
            <w:r>
              <w:rPr>
                <w:rFonts w:hint="eastAsia" w:ascii="仿宋" w:hAnsi="仿宋" w:eastAsia="仿宋"/>
              </w:rPr>
              <w:t>2021年</w:t>
            </w:r>
            <w:r>
              <w:rPr>
                <w:rFonts w:ascii="仿宋" w:hAnsi="仿宋" w:eastAsia="仿宋"/>
              </w:rPr>
              <w:t>10</w:t>
            </w:r>
            <w:r>
              <w:rPr>
                <w:rFonts w:hint="eastAsia" w:ascii="仿宋" w:hAnsi="仿宋" w:eastAsia="仿宋"/>
              </w:rPr>
              <w:t>月</w:t>
            </w:r>
          </w:p>
        </w:tc>
        <w:tc>
          <w:tcPr>
            <w:tcW w:w="3049" w:type="pct"/>
            <w:gridSpan w:val="2"/>
            <w:vAlign w:val="center"/>
          </w:tcPr>
          <w:p>
            <w:pPr>
              <w:rPr>
                <w:rFonts w:ascii="仿宋" w:hAnsi="仿宋" w:eastAsia="仿宋"/>
              </w:rPr>
            </w:pPr>
            <w:r>
              <w:rPr>
                <w:rFonts w:hint="eastAsia" w:ascii="仿宋" w:hAnsi="仿宋" w:eastAsia="仿宋"/>
              </w:rPr>
              <w:t>组织</w:t>
            </w:r>
            <w:r>
              <w:rPr>
                <w:rFonts w:ascii="仿宋" w:hAnsi="仿宋" w:eastAsia="仿宋"/>
              </w:rPr>
              <w:t>项目</w:t>
            </w:r>
            <w:r>
              <w:rPr>
                <w:rFonts w:hint="eastAsia" w:ascii="仿宋" w:hAnsi="仿宋" w:eastAsia="仿宋"/>
              </w:rPr>
              <w:t>终验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hint="eastAsia" w:ascii="仿宋" w:hAnsi="仿宋" w:eastAsia="仿宋"/>
              </w:rPr>
              <w:t>9</w:t>
            </w:r>
          </w:p>
        </w:tc>
        <w:tc>
          <w:tcPr>
            <w:tcW w:w="1514" w:type="pct"/>
            <w:vAlign w:val="center"/>
          </w:tcPr>
          <w:p>
            <w:pPr>
              <w:rPr>
                <w:rFonts w:ascii="仿宋" w:hAnsi="仿宋" w:eastAsia="仿宋"/>
              </w:rPr>
            </w:pPr>
            <w:r>
              <w:rPr>
                <w:rFonts w:hint="eastAsia" w:ascii="仿宋" w:hAnsi="仿宋" w:eastAsia="仿宋"/>
              </w:rPr>
              <w:t>2021年</w:t>
            </w:r>
            <w:r>
              <w:rPr>
                <w:rFonts w:ascii="仿宋" w:hAnsi="仿宋" w:eastAsia="仿宋"/>
              </w:rPr>
              <w:t>10</w:t>
            </w:r>
            <w:r>
              <w:rPr>
                <w:rFonts w:hint="eastAsia" w:ascii="仿宋" w:hAnsi="仿宋" w:eastAsia="仿宋"/>
              </w:rPr>
              <w:t>月至审计结束</w:t>
            </w:r>
          </w:p>
        </w:tc>
        <w:tc>
          <w:tcPr>
            <w:tcW w:w="1288" w:type="pct"/>
            <w:vAlign w:val="center"/>
          </w:tcPr>
          <w:p>
            <w:pPr>
              <w:rPr>
                <w:rFonts w:ascii="仿宋" w:hAnsi="仿宋" w:eastAsia="仿宋"/>
              </w:rPr>
            </w:pPr>
            <w:r>
              <w:rPr>
                <w:rFonts w:hint="eastAsia" w:ascii="仿宋" w:hAnsi="仿宋" w:eastAsia="仿宋"/>
              </w:rPr>
              <w:t>完成赛事</w:t>
            </w:r>
            <w:r>
              <w:rPr>
                <w:rFonts w:ascii="仿宋" w:hAnsi="仿宋" w:eastAsia="仿宋"/>
              </w:rPr>
              <w:t>收尾工作</w:t>
            </w:r>
          </w:p>
        </w:tc>
        <w:tc>
          <w:tcPr>
            <w:tcW w:w="1761" w:type="pct"/>
            <w:vAlign w:val="center"/>
          </w:tcPr>
          <w:p>
            <w:pPr>
              <w:rPr>
                <w:rFonts w:ascii="仿宋" w:hAnsi="仿宋" w:eastAsia="仿宋"/>
              </w:rPr>
            </w:pPr>
            <w:r>
              <w:rPr>
                <w:rFonts w:hint="eastAsia" w:ascii="仿宋" w:hAnsi="仿宋" w:eastAsia="仿宋"/>
              </w:rPr>
              <w:t>移交相关资料</w:t>
            </w:r>
          </w:p>
        </w:tc>
      </w:tr>
    </w:tbl>
    <w:p>
      <w:pPr>
        <w:spacing w:line="276" w:lineRule="auto"/>
        <w:rPr>
          <w:rFonts w:ascii="仿宋" w:hAnsi="仿宋" w:eastAsia="仿宋"/>
          <w:sz w:val="24"/>
          <w:szCs w:val="24"/>
        </w:rPr>
      </w:pPr>
      <w:r>
        <w:rPr>
          <w:rFonts w:hint="eastAsia" w:ascii="仿宋" w:hAnsi="仿宋" w:eastAsia="仿宋"/>
          <w:sz w:val="24"/>
          <w:szCs w:val="24"/>
        </w:rPr>
        <w:t>服务提供商必须</w:t>
      </w:r>
      <w:r>
        <w:rPr>
          <w:rFonts w:ascii="仿宋" w:hAnsi="仿宋" w:eastAsia="仿宋"/>
          <w:sz w:val="24"/>
          <w:szCs w:val="24"/>
        </w:rPr>
        <w:t>严格按照工期要求</w:t>
      </w:r>
      <w:r>
        <w:rPr>
          <w:rFonts w:hint="eastAsia" w:ascii="仿宋" w:hAnsi="仿宋" w:eastAsia="仿宋"/>
          <w:sz w:val="24"/>
          <w:szCs w:val="24"/>
        </w:rPr>
        <w:t>组织实施</w:t>
      </w:r>
      <w:r>
        <w:rPr>
          <w:rFonts w:ascii="仿宋" w:hAnsi="仿宋" w:eastAsia="仿宋"/>
          <w:sz w:val="24"/>
          <w:szCs w:val="24"/>
        </w:rPr>
        <w:t>，</w:t>
      </w:r>
      <w:r>
        <w:rPr>
          <w:rFonts w:hint="eastAsia" w:ascii="仿宋" w:hAnsi="仿宋" w:eastAsia="仿宋"/>
          <w:sz w:val="24"/>
          <w:szCs w:val="24"/>
        </w:rPr>
        <w:t>确保</w:t>
      </w:r>
      <w:r>
        <w:rPr>
          <w:rFonts w:ascii="仿宋" w:hAnsi="仿宋" w:eastAsia="仿宋"/>
          <w:sz w:val="24"/>
          <w:szCs w:val="24"/>
        </w:rPr>
        <w:t>在规定的时间节点前完成。</w:t>
      </w:r>
      <w:r>
        <w:rPr>
          <w:rFonts w:hint="eastAsia" w:ascii="仿宋" w:hAnsi="仿宋" w:eastAsia="仿宋"/>
          <w:sz w:val="24"/>
          <w:szCs w:val="24"/>
        </w:rPr>
        <w:t>必要时</w:t>
      </w:r>
      <w:r>
        <w:rPr>
          <w:rFonts w:ascii="仿宋" w:hAnsi="仿宋" w:eastAsia="仿宋"/>
          <w:sz w:val="24"/>
          <w:szCs w:val="24"/>
        </w:rPr>
        <w:t>，</w:t>
      </w:r>
      <w:r>
        <w:rPr>
          <w:rFonts w:hint="eastAsia" w:ascii="仿宋" w:hAnsi="仿宋" w:eastAsia="仿宋"/>
          <w:sz w:val="24"/>
          <w:szCs w:val="24"/>
        </w:rPr>
        <w:t>服务提供商应根据服务需求方要求对工期进行调整。</w:t>
      </w:r>
    </w:p>
    <w:p>
      <w:pPr>
        <w:pStyle w:val="2"/>
        <w:keepNext/>
        <w:keepLines/>
        <w:autoSpaceDE/>
        <w:autoSpaceDN/>
        <w:adjustRightInd/>
        <w:spacing w:before="340" w:after="330" w:line="276" w:lineRule="auto"/>
        <w:jc w:val="both"/>
        <w:rPr>
          <w:rFonts w:ascii="仿宋" w:hAnsi="仿宋" w:eastAsia="仿宋"/>
          <w:sz w:val="24"/>
          <w:szCs w:val="24"/>
        </w:rPr>
      </w:pPr>
      <w:bookmarkStart w:id="100" w:name="_Toc54270377"/>
      <w:r>
        <w:rPr>
          <w:rFonts w:hint="eastAsia" w:ascii="仿宋" w:hAnsi="仿宋" w:eastAsia="仿宋"/>
          <w:sz w:val="24"/>
          <w:szCs w:val="24"/>
        </w:rPr>
        <w:t>结算方式</w:t>
      </w:r>
      <w:bookmarkEnd w:id="100"/>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1、结算单位：</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采购人结算，在付款前，必须开具等额发票给采购人。</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2、付款方式：</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（1）合同签署生效后，在15个工作日内支付合同总价的40%。支付依据：项目合同。</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（2）正式比赛顺利完成后，在15个工作日内支付合同总价的50%。支付依据：服务总结报告、验收证明。</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（3）赛事收尾终验通过后，在15个工作日内支付合同总价的10%。支付依据：资料移交报告、验收证明。</w:t>
      </w:r>
    </w:p>
    <w:p>
      <w:pPr>
        <w:pStyle w:val="2"/>
        <w:keepNext/>
        <w:keepLines/>
        <w:autoSpaceDE/>
        <w:autoSpaceDN/>
        <w:adjustRightInd/>
        <w:spacing w:before="340" w:after="330" w:line="276" w:lineRule="auto"/>
        <w:jc w:val="both"/>
        <w:rPr>
          <w:rFonts w:ascii="仿宋" w:hAnsi="仿宋" w:eastAsia="仿宋"/>
          <w:sz w:val="24"/>
          <w:szCs w:val="24"/>
        </w:rPr>
      </w:pPr>
      <w:bookmarkStart w:id="101" w:name="_Toc54270378"/>
      <w:r>
        <w:rPr>
          <w:rFonts w:hint="eastAsia" w:ascii="仿宋" w:hAnsi="仿宋" w:eastAsia="仿宋"/>
          <w:sz w:val="24"/>
          <w:szCs w:val="24"/>
        </w:rPr>
        <w:t>知识产权</w:t>
      </w:r>
      <w:bookmarkEnd w:id="101"/>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服务提供商提供的系统</w:t>
      </w:r>
      <w:r>
        <w:rPr>
          <w:rFonts w:ascii="仿宋" w:hAnsi="仿宋" w:eastAsia="仿宋"/>
          <w:sz w:val="24"/>
          <w:szCs w:val="24"/>
        </w:rPr>
        <w:t>和</w:t>
      </w:r>
      <w:r>
        <w:rPr>
          <w:rFonts w:hint="eastAsia" w:ascii="仿宋" w:hAnsi="仿宋" w:eastAsia="仿宋"/>
          <w:sz w:val="24"/>
          <w:szCs w:val="24"/>
        </w:rPr>
        <w:t>服务必须具有合法手续及相关文件。如涉及知识产权则必须是自己拥有或合法使用的。因知识产权纠纷造成的损失由服务提供商负责。</w:t>
      </w:r>
    </w:p>
    <w:p>
      <w:pPr>
        <w:pStyle w:val="157"/>
        <w:spacing w:line="276" w:lineRule="auto"/>
        <w:ind w:left="840" w:firstLine="480"/>
        <w:rPr>
          <w:rFonts w:ascii="仿宋" w:hAnsi="仿宋" w:eastAsia="仿宋"/>
          <w:sz w:val="24"/>
          <w:szCs w:val="24"/>
        </w:rPr>
      </w:pPr>
      <w:r>
        <w:rPr>
          <w:rFonts w:hint="eastAsia" w:ascii="仿宋" w:hAnsi="仿宋" w:eastAsia="仿宋"/>
          <w:sz w:val="24"/>
          <w:szCs w:val="24"/>
        </w:rPr>
        <w:t>在服务期内产生的数据产权归属服务需求方所有。</w:t>
      </w:r>
    </w:p>
    <w:p>
      <w:pPr>
        <w:pStyle w:val="2"/>
        <w:keepNext/>
        <w:keepLines/>
        <w:autoSpaceDE/>
        <w:autoSpaceDN/>
        <w:adjustRightInd/>
        <w:spacing w:before="340" w:after="330" w:line="276" w:lineRule="auto"/>
        <w:jc w:val="both"/>
        <w:rPr>
          <w:rFonts w:ascii="仿宋" w:hAnsi="仿宋" w:eastAsia="仿宋"/>
          <w:sz w:val="24"/>
          <w:szCs w:val="24"/>
        </w:rPr>
      </w:pPr>
      <w:bookmarkStart w:id="102" w:name="_Toc54270379"/>
      <w:r>
        <w:rPr>
          <w:rFonts w:hint="eastAsia" w:ascii="仿宋" w:hAnsi="仿宋" w:eastAsia="仿宋"/>
          <w:sz w:val="24"/>
          <w:szCs w:val="24"/>
        </w:rPr>
        <w:t>赛后软硬件系统及设备权益要求</w:t>
      </w:r>
      <w:bookmarkEnd w:id="102"/>
    </w:p>
    <w:p>
      <w:pPr>
        <w:spacing w:line="276" w:lineRule="auto"/>
        <w:ind w:firstLine="480" w:firstLineChars="200"/>
        <w:rPr>
          <w:rFonts w:ascii="仿宋" w:hAnsi="仿宋" w:eastAsia="仿宋"/>
          <w:sz w:val="24"/>
          <w:szCs w:val="24"/>
          <w:highlight w:val="lightGray"/>
        </w:rPr>
      </w:pPr>
      <w:r>
        <w:rPr>
          <w:rFonts w:hint="eastAsia" w:ascii="仿宋" w:hAnsi="仿宋" w:eastAsia="仿宋"/>
          <w:sz w:val="24"/>
          <w:szCs w:val="24"/>
        </w:rPr>
        <w:t>在十四运会及残特奥会赛事结束后半年内，服务需求方或陕西省政府相关部门有权选择本项目采购的服务中所包含的部分软硬件系统及设备进行</w:t>
      </w:r>
      <w:bookmarkStart w:id="103" w:name="_Hlk47429677"/>
      <w:r>
        <w:rPr>
          <w:rFonts w:hint="eastAsia" w:ascii="仿宋" w:hAnsi="仿宋" w:eastAsia="仿宋"/>
          <w:sz w:val="24"/>
          <w:szCs w:val="24"/>
        </w:rPr>
        <w:t>采购</w:t>
      </w:r>
      <w:bookmarkEnd w:id="103"/>
      <w:r>
        <w:rPr>
          <w:rFonts w:hint="eastAsia" w:ascii="仿宋" w:hAnsi="仿宋" w:eastAsia="仿宋"/>
          <w:sz w:val="24"/>
          <w:szCs w:val="24"/>
        </w:rPr>
        <w:t>。所选软硬件系统及设备的采购价格以服务提供商分项报价单中该软硬件系统及设备价格的40%计。</w:t>
      </w:r>
    </w:p>
    <w:p>
      <w:pPr>
        <w:widowControl/>
        <w:jc w:val="left"/>
        <w:rPr>
          <w:rFonts w:ascii="仿宋" w:hAnsi="仿宋" w:eastAsia="仿宋"/>
          <w:b/>
          <w:color w:val="FF0000"/>
          <w:sz w:val="32"/>
        </w:rPr>
      </w:pPr>
      <w:r>
        <w:rPr>
          <w:rFonts w:ascii="仿宋" w:hAnsi="仿宋" w:eastAsia="仿宋"/>
          <w:b/>
          <w:color w:val="FF0000"/>
          <w:sz w:val="32"/>
        </w:rPr>
        <w:br w:type="page"/>
      </w:r>
    </w:p>
    <w:p>
      <w:pPr>
        <w:jc w:val="left"/>
        <w:rPr>
          <w:rFonts w:ascii="仿宋" w:hAnsi="仿宋" w:eastAsia="仿宋"/>
          <w:b/>
          <w:color w:val="FF0000"/>
          <w:sz w:val="32"/>
        </w:rPr>
      </w:pPr>
      <w:r>
        <w:rPr>
          <w:rFonts w:hint="eastAsia" w:ascii="仿宋" w:hAnsi="仿宋" w:eastAsia="仿宋"/>
          <w:b/>
          <w:color w:val="FF0000"/>
          <w:sz w:val="32"/>
        </w:rPr>
        <w:t>三、</w:t>
      </w:r>
      <w:r>
        <w:rPr>
          <w:rFonts w:ascii="仿宋" w:hAnsi="仿宋" w:eastAsia="仿宋"/>
          <w:b/>
          <w:color w:val="FF0000"/>
          <w:sz w:val="32"/>
        </w:rPr>
        <w:t>标项</w:t>
      </w:r>
      <w:r>
        <w:rPr>
          <w:rFonts w:hint="eastAsia" w:ascii="仿宋" w:hAnsi="仿宋" w:eastAsia="仿宋"/>
          <w:b/>
          <w:color w:val="FF0000"/>
          <w:sz w:val="32"/>
        </w:rPr>
        <w:t>3需求文档</w:t>
      </w:r>
    </w:p>
    <w:p>
      <w:pPr>
        <w:pStyle w:val="2"/>
        <w:keepNext/>
        <w:keepLines/>
        <w:numPr>
          <w:ilvl w:val="0"/>
          <w:numId w:val="42"/>
        </w:numPr>
        <w:autoSpaceDE/>
        <w:autoSpaceDN/>
        <w:adjustRightInd/>
        <w:spacing w:before="340" w:after="330" w:line="578" w:lineRule="auto"/>
        <w:jc w:val="both"/>
        <w:rPr>
          <w:rFonts w:ascii="仿宋" w:hAnsi="仿宋" w:eastAsia="仿宋"/>
          <w:sz w:val="24"/>
          <w:szCs w:val="24"/>
        </w:rPr>
      </w:pPr>
      <w:bookmarkStart w:id="104" w:name="_Toc54807091"/>
      <w:r>
        <w:rPr>
          <w:rFonts w:hint="eastAsia" w:ascii="仿宋" w:hAnsi="仿宋" w:eastAsia="仿宋"/>
          <w:sz w:val="24"/>
          <w:szCs w:val="24"/>
        </w:rPr>
        <w:t>采购背景</w:t>
      </w:r>
      <w:bookmarkEnd w:id="104"/>
    </w:p>
    <w:p>
      <w:pPr>
        <w:pStyle w:val="24"/>
        <w:spacing w:line="360" w:lineRule="auto"/>
        <w:ind w:left="420"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中华人民共和国全国运动会（简称“全运会”），是由国家体育总局主办的国内最高级别的大型综合性运动会。全运会每四年举办一次，前九届由北京、上海、广州三地轮流举办，此后四届由江苏、山东、辽宁、天津相继举办。2015年12月29日，国务院批复同意陕西省承办2021年第十四届全国运动会（以下简称“十四运会”）。十四运会是首届由中西部省份承办的全运会，是国家在陕西举办的一次重大标志性活动，也是建党一百周年、全面建成小康社会的重要历史节点，具有十分重要的历史意义。根据国家体育总局办公厅印发的《中华人民共和国第十四届运动会竞赛规程总则》要求，十四运会共设置34个比赛大项，387个小项。竞赛及非竞赛场馆共计53个，分布在陕西省13个市（区）。参赛运动员、教练员预计将达到2万人以上，工作人员、志愿者30万人以上，重大活动及各项赛事观众人数将达20万人次。</w:t>
      </w:r>
    </w:p>
    <w:p>
      <w:pPr>
        <w:pStyle w:val="24"/>
        <w:spacing w:line="360" w:lineRule="auto"/>
        <w:ind w:left="420"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中华人民共和国第十一届残疾人运动会暨第八届特殊奥林匹克运动会（简称“残特奥会”）是由中国残疾人联合会、国家体育总局主办，国内规格最高、规模最大、竞技水平最高、辐射带动作用最强的综合性残疾人运动会,每四年举办一次。2018年5月，国务院批复同意陕西省承办2021年残特奥会，这是国内首次同城同期举办的全运会和残特奥会，也是党中央赋予陕西省无比光荣的政治任务。根据中国残疾人联合会、国家体育总局印发的《中华人民共和国第十一届残疾人运动会暨第八届特殊奥林匹克运动会竞赛规程总则》要求，本届残特奥会共设28个比赛大项，比赛将在西安、杨凌、宝鸡、铜川、渭南等地举行。残特奥会原则上使用与全运会相同的比赛场馆，部分项目使用新场馆。</w:t>
      </w:r>
    </w:p>
    <w:p>
      <w:pPr>
        <w:pStyle w:val="24"/>
        <w:spacing w:line="360" w:lineRule="auto"/>
        <w:ind w:left="420"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按照十四运会和残特奥会陕西省筹委会关于信息化建设“同步规划、同步实施、同步推进”的要求，确保十四运会建设成果最大程度延续服务于残特奥会，为同城同期举办两个运动会做好信息化保障，为实现“办一届精彩圆满的体育盛会”的目标，提供强有力的信息化保障。</w:t>
      </w:r>
    </w:p>
    <w:p>
      <w:pPr>
        <w:pStyle w:val="24"/>
        <w:spacing w:line="360" w:lineRule="auto"/>
        <w:ind w:left="420"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 xml:space="preserve"> “竞赛信息系统服务”项目完成十四运会和残特奥会的部分竞赛信息系统工程服务工作，配合赛事业务系统和数据总集共同确保十四运会和残特奥会各业务系统持续、安全、稳定运行。</w:t>
      </w:r>
    </w:p>
    <w:p>
      <w:pPr>
        <w:pStyle w:val="24"/>
        <w:spacing w:line="360" w:lineRule="auto"/>
        <w:ind w:left="420" w:firstLine="480" w:firstLineChars="200"/>
        <w:rPr>
          <w:rFonts w:ascii="仿宋" w:hAnsi="仿宋" w:eastAsia="仿宋"/>
          <w:color w:val="000000"/>
          <w:kern w:val="0"/>
          <w:sz w:val="24"/>
          <w:lang w:bidi="en-US"/>
        </w:rPr>
      </w:pPr>
      <w:r>
        <w:rPr>
          <w:rFonts w:hint="eastAsia" w:ascii="仿宋" w:hAnsi="仿宋" w:eastAsia="仿宋"/>
          <w:color w:val="000000"/>
          <w:kern w:val="0"/>
          <w:sz w:val="24"/>
          <w:lang w:bidi="en-US"/>
        </w:rPr>
        <w:t>本</w:t>
      </w:r>
      <w:r>
        <w:rPr>
          <w:rFonts w:hint="eastAsia" w:ascii="仿宋" w:hAnsi="仿宋" w:eastAsia="仿宋"/>
          <w:color w:val="000000"/>
          <w:kern w:val="0"/>
          <w:sz w:val="24"/>
          <w:lang w:val="en-US" w:eastAsia="zh-CN" w:bidi="en-US"/>
        </w:rPr>
        <w:t>标项</w:t>
      </w:r>
      <w:r>
        <w:rPr>
          <w:rFonts w:hint="eastAsia" w:ascii="仿宋" w:hAnsi="仿宋" w:eastAsia="仿宋"/>
          <w:color w:val="000000"/>
          <w:kern w:val="0"/>
          <w:sz w:val="24"/>
          <w:lang w:bidi="en-US"/>
        </w:rPr>
        <w:t>以购买服务方式采购，合同履行期限从合同生效之日起至赛事收尾验收审计结束。</w:t>
      </w:r>
    </w:p>
    <w:p>
      <w:pPr>
        <w:pStyle w:val="2"/>
        <w:keepNext/>
        <w:keepLines/>
        <w:autoSpaceDE/>
        <w:autoSpaceDN/>
        <w:adjustRightInd/>
        <w:spacing w:before="340" w:after="330" w:line="578" w:lineRule="auto"/>
        <w:jc w:val="both"/>
        <w:rPr>
          <w:rFonts w:ascii="仿宋" w:hAnsi="仿宋" w:eastAsia="仿宋"/>
          <w:sz w:val="24"/>
          <w:szCs w:val="24"/>
        </w:rPr>
      </w:pPr>
      <w:bookmarkStart w:id="105" w:name="_Toc54807092"/>
      <w:r>
        <w:rPr>
          <w:rFonts w:hint="eastAsia" w:ascii="仿宋" w:hAnsi="仿宋" w:eastAsia="仿宋"/>
          <w:sz w:val="24"/>
          <w:szCs w:val="24"/>
        </w:rPr>
        <w:t>服务内容</w:t>
      </w:r>
      <w:bookmarkEnd w:id="105"/>
    </w:p>
    <w:p>
      <w:pPr>
        <w:ind w:firstLine="480" w:firstLineChars="200"/>
        <w:rPr>
          <w:rFonts w:ascii="仿宋" w:hAnsi="仿宋" w:eastAsia="仿宋"/>
          <w:sz w:val="24"/>
          <w:szCs w:val="24"/>
        </w:rPr>
      </w:pPr>
      <w:r>
        <w:rPr>
          <w:rFonts w:hint="eastAsia" w:ascii="仿宋" w:hAnsi="仿宋" w:eastAsia="仿宋"/>
          <w:color w:val="000000"/>
          <w:sz w:val="24"/>
          <w:szCs w:val="24"/>
        </w:rPr>
        <w:t>本节仅规定了本项目</w:t>
      </w:r>
      <w:r>
        <w:rPr>
          <w:rFonts w:ascii="仿宋" w:hAnsi="仿宋" w:eastAsia="仿宋"/>
          <w:color w:val="000000"/>
          <w:sz w:val="24"/>
          <w:szCs w:val="24"/>
        </w:rPr>
        <w:t>最基本的服务内容</w:t>
      </w:r>
      <w:r>
        <w:rPr>
          <w:rFonts w:hint="eastAsia" w:ascii="仿宋" w:hAnsi="仿宋" w:eastAsia="仿宋"/>
          <w:color w:val="000000"/>
          <w:sz w:val="24"/>
          <w:szCs w:val="24"/>
        </w:rPr>
        <w:t>，并未规定所有的服务内容和适用的标准。投标人应根据自身</w:t>
      </w:r>
      <w:r>
        <w:rPr>
          <w:rFonts w:ascii="仿宋" w:hAnsi="仿宋" w:eastAsia="仿宋"/>
          <w:color w:val="000000"/>
          <w:sz w:val="24"/>
          <w:szCs w:val="24"/>
        </w:rPr>
        <w:t>的经验和能力，</w:t>
      </w:r>
      <w:r>
        <w:rPr>
          <w:rFonts w:hint="eastAsia" w:ascii="仿宋" w:hAnsi="仿宋" w:eastAsia="仿宋"/>
          <w:color w:val="000000"/>
          <w:sz w:val="24"/>
          <w:szCs w:val="24"/>
        </w:rPr>
        <w:t>在</w:t>
      </w:r>
      <w:r>
        <w:rPr>
          <w:rFonts w:ascii="仿宋" w:hAnsi="仿宋" w:eastAsia="仿宋"/>
          <w:color w:val="000000"/>
          <w:sz w:val="24"/>
          <w:szCs w:val="24"/>
        </w:rPr>
        <w:t>充分</w:t>
      </w:r>
      <w:r>
        <w:rPr>
          <w:rFonts w:hint="eastAsia" w:ascii="仿宋" w:hAnsi="仿宋" w:eastAsia="仿宋"/>
          <w:color w:val="000000"/>
          <w:sz w:val="24"/>
          <w:szCs w:val="24"/>
        </w:rPr>
        <w:t>理解十四运会和残特奥会所有</w:t>
      </w:r>
      <w:r>
        <w:rPr>
          <w:rFonts w:ascii="仿宋" w:hAnsi="仿宋" w:eastAsia="仿宋"/>
          <w:color w:val="000000"/>
          <w:sz w:val="24"/>
          <w:szCs w:val="24"/>
        </w:rPr>
        <w:t>参与者需求</w:t>
      </w:r>
      <w:r>
        <w:rPr>
          <w:rFonts w:hint="eastAsia" w:ascii="仿宋" w:hAnsi="仿宋" w:eastAsia="仿宋"/>
          <w:color w:val="000000"/>
          <w:sz w:val="24"/>
          <w:szCs w:val="24"/>
        </w:rPr>
        <w:t>的</w:t>
      </w:r>
      <w:r>
        <w:rPr>
          <w:rFonts w:ascii="仿宋" w:hAnsi="仿宋" w:eastAsia="仿宋"/>
          <w:color w:val="000000"/>
          <w:sz w:val="24"/>
          <w:szCs w:val="24"/>
        </w:rPr>
        <w:t>基础上，</w:t>
      </w:r>
      <w:r>
        <w:rPr>
          <w:rFonts w:hint="eastAsia" w:ascii="仿宋" w:hAnsi="仿宋" w:eastAsia="仿宋"/>
          <w:color w:val="000000"/>
          <w:sz w:val="24"/>
          <w:szCs w:val="24"/>
        </w:rPr>
        <w:t>提供全面</w:t>
      </w:r>
      <w:r>
        <w:rPr>
          <w:rFonts w:ascii="仿宋" w:hAnsi="仿宋" w:eastAsia="仿宋"/>
          <w:color w:val="000000"/>
          <w:sz w:val="24"/>
          <w:szCs w:val="24"/>
        </w:rPr>
        <w:t>、</w:t>
      </w:r>
      <w:r>
        <w:rPr>
          <w:rFonts w:hint="eastAsia" w:ascii="仿宋" w:hAnsi="仿宋" w:eastAsia="仿宋"/>
          <w:color w:val="000000"/>
          <w:sz w:val="24"/>
          <w:szCs w:val="24"/>
        </w:rPr>
        <w:t>便捷</w:t>
      </w:r>
      <w:r>
        <w:rPr>
          <w:rFonts w:ascii="仿宋" w:hAnsi="仿宋" w:eastAsia="仿宋"/>
          <w:color w:val="000000"/>
          <w:sz w:val="24"/>
          <w:szCs w:val="24"/>
        </w:rPr>
        <w:t>、安全</w:t>
      </w:r>
      <w:r>
        <w:rPr>
          <w:rFonts w:hint="eastAsia" w:ascii="仿宋" w:hAnsi="仿宋" w:eastAsia="仿宋"/>
          <w:color w:val="000000"/>
          <w:sz w:val="24"/>
          <w:szCs w:val="24"/>
        </w:rPr>
        <w:t>、</w:t>
      </w:r>
      <w:r>
        <w:rPr>
          <w:rFonts w:ascii="仿宋" w:hAnsi="仿宋" w:eastAsia="仿宋"/>
          <w:color w:val="000000"/>
          <w:sz w:val="24"/>
          <w:szCs w:val="24"/>
        </w:rPr>
        <w:t>可靠的服务</w:t>
      </w:r>
      <w:r>
        <w:rPr>
          <w:rFonts w:hint="eastAsia" w:ascii="仿宋" w:hAnsi="仿宋" w:eastAsia="仿宋"/>
          <w:color w:val="000000"/>
          <w:sz w:val="24"/>
          <w:szCs w:val="24"/>
        </w:rPr>
        <w:t>。</w:t>
      </w:r>
    </w:p>
    <w:p>
      <w:pPr>
        <w:pStyle w:val="3"/>
        <w:rPr>
          <w:rFonts w:ascii="仿宋" w:hAnsi="仿宋" w:eastAsia="仿宋"/>
          <w:sz w:val="24"/>
          <w:szCs w:val="24"/>
        </w:rPr>
      </w:pPr>
      <w:bookmarkStart w:id="106" w:name="_Toc54807093"/>
      <w:r>
        <w:rPr>
          <w:rFonts w:hint="eastAsia" w:ascii="仿宋" w:hAnsi="仿宋" w:eastAsia="仿宋"/>
          <w:kern w:val="0"/>
          <w:sz w:val="24"/>
          <w:szCs w:val="24"/>
        </w:rPr>
        <w:t>竞赛报名系统服务</w:t>
      </w:r>
      <w:bookmarkEnd w:id="106"/>
    </w:p>
    <w:p>
      <w:pPr>
        <w:pStyle w:val="157"/>
        <w:spacing w:line="480" w:lineRule="exact"/>
        <w:ind w:left="840" w:firstLine="480"/>
        <w:rPr>
          <w:rFonts w:ascii="仿宋" w:hAnsi="仿宋" w:eastAsia="仿宋"/>
          <w:sz w:val="24"/>
          <w:szCs w:val="24"/>
        </w:rPr>
      </w:pPr>
      <w:r>
        <w:rPr>
          <w:rFonts w:hint="eastAsia" w:ascii="仿宋" w:hAnsi="仿宋" w:eastAsia="仿宋"/>
          <w:sz w:val="24"/>
          <w:szCs w:val="24"/>
        </w:rPr>
        <w:t>竞赛报名系统是服务于十四运会竞赛报名的系统，通过竞赛报名系统实现竞赛报名信息采集的自动化、流程化、标准化，降低管理复杂程度，提高工作效率，使运动会报名工作更加有效、快捷。竞赛报名系统功能包括竞赛报名子系统、权限控制子系统、报表统计子系统、全国运动员注册数据导入接口、数据导出接口等。</w:t>
      </w:r>
    </w:p>
    <w:p>
      <w:pPr>
        <w:pStyle w:val="157"/>
        <w:spacing w:line="480" w:lineRule="exact"/>
        <w:ind w:left="840" w:firstLine="480"/>
        <w:rPr>
          <w:rFonts w:ascii="仿宋" w:hAnsi="仿宋" w:eastAsia="仿宋"/>
          <w:sz w:val="24"/>
          <w:szCs w:val="24"/>
        </w:rPr>
      </w:pPr>
      <w:r>
        <w:rPr>
          <w:rFonts w:hint="eastAsia" w:ascii="仿宋" w:hAnsi="仿宋" w:eastAsia="仿宋"/>
          <w:sz w:val="24"/>
          <w:szCs w:val="24"/>
        </w:rPr>
        <w:t>系统功能包括但不限于</w:t>
      </w:r>
      <w:r>
        <w:rPr>
          <w:rFonts w:hint="eastAsia" w:ascii="仿宋" w:hAnsi="仿宋" w:eastAsia="仿宋"/>
          <w:color w:val="000000"/>
          <w:sz w:val="24"/>
          <w:szCs w:val="24"/>
        </w:rPr>
        <w:t>：</w:t>
      </w:r>
    </w:p>
    <w:p>
      <w:pPr>
        <w:pStyle w:val="157"/>
        <w:numPr>
          <w:ilvl w:val="0"/>
          <w:numId w:val="43"/>
        </w:numPr>
        <w:spacing w:line="480" w:lineRule="exact"/>
        <w:ind w:left="840" w:firstLine="480"/>
        <w:contextualSpacing/>
        <w:jc w:val="left"/>
        <w:rPr>
          <w:rFonts w:ascii="仿宋" w:hAnsi="仿宋" w:eastAsia="仿宋"/>
          <w:sz w:val="24"/>
          <w:szCs w:val="24"/>
        </w:rPr>
      </w:pPr>
      <w:r>
        <w:rPr>
          <w:rFonts w:hint="eastAsia" w:ascii="仿宋" w:hAnsi="仿宋" w:eastAsia="仿宋"/>
          <w:sz w:val="24"/>
          <w:szCs w:val="24"/>
        </w:rPr>
        <w:t>竞赛报名子系统</w:t>
      </w:r>
    </w:p>
    <w:p>
      <w:pPr>
        <w:pStyle w:val="157"/>
        <w:spacing w:line="480" w:lineRule="exact"/>
        <w:ind w:left="840" w:firstLine="480"/>
        <w:rPr>
          <w:rFonts w:ascii="仿宋" w:hAnsi="仿宋" w:eastAsia="仿宋"/>
          <w:sz w:val="24"/>
          <w:szCs w:val="24"/>
        </w:rPr>
      </w:pPr>
      <w:r>
        <w:rPr>
          <w:rFonts w:hint="eastAsia" w:ascii="仿宋" w:hAnsi="仿宋" w:eastAsia="仿宋"/>
          <w:sz w:val="24"/>
          <w:szCs w:val="24"/>
        </w:rPr>
        <w:t>竞赛报名子系统是满足各省代表团（队）报名填写、导入和管理，满足代表团（队）注册人员信息查询、项目填报、报项信息管理，能够对所有代表团（队）提交的数据进行再一次审核，包括运动员报名报项模块、运动队报名模块、团（队）报名模块、报名报项提交审批模块、报名报项数据查询模块等。</w:t>
      </w:r>
    </w:p>
    <w:p>
      <w:pPr>
        <w:pStyle w:val="157"/>
        <w:numPr>
          <w:ilvl w:val="0"/>
          <w:numId w:val="43"/>
        </w:numPr>
        <w:spacing w:line="480" w:lineRule="exact"/>
        <w:ind w:left="840" w:firstLine="480"/>
        <w:contextualSpacing/>
        <w:jc w:val="left"/>
        <w:rPr>
          <w:rFonts w:ascii="仿宋" w:hAnsi="仿宋" w:eastAsia="仿宋"/>
          <w:sz w:val="24"/>
          <w:szCs w:val="24"/>
        </w:rPr>
      </w:pPr>
      <w:r>
        <w:rPr>
          <w:rFonts w:hint="eastAsia" w:ascii="仿宋" w:hAnsi="仿宋" w:eastAsia="仿宋"/>
          <w:sz w:val="24"/>
          <w:szCs w:val="24"/>
        </w:rPr>
        <w:t>权限控制子系统</w:t>
      </w:r>
    </w:p>
    <w:p>
      <w:pPr>
        <w:pStyle w:val="157"/>
        <w:spacing w:line="480" w:lineRule="exact"/>
        <w:ind w:left="840" w:firstLine="480"/>
        <w:rPr>
          <w:rFonts w:ascii="仿宋" w:hAnsi="仿宋" w:eastAsia="仿宋"/>
          <w:sz w:val="24"/>
          <w:szCs w:val="24"/>
        </w:rPr>
      </w:pPr>
      <w:r>
        <w:rPr>
          <w:rFonts w:hint="eastAsia" w:ascii="仿宋" w:hAnsi="仿宋" w:eastAsia="仿宋"/>
          <w:sz w:val="24"/>
          <w:szCs w:val="24"/>
        </w:rPr>
        <w:t>权限控制子系统应与“统一用户管理系统”集成，实现统一的用户、角色、权限管理。如对各省代表团（队）竞赛报名相关用户角色权限的分配以及审批权限控制等。</w:t>
      </w:r>
    </w:p>
    <w:p>
      <w:pPr>
        <w:pStyle w:val="157"/>
        <w:numPr>
          <w:ilvl w:val="0"/>
          <w:numId w:val="43"/>
        </w:numPr>
        <w:spacing w:line="480" w:lineRule="exact"/>
        <w:ind w:left="840" w:firstLine="480"/>
        <w:contextualSpacing/>
        <w:jc w:val="left"/>
        <w:rPr>
          <w:rFonts w:ascii="仿宋" w:hAnsi="仿宋" w:eastAsia="仿宋"/>
          <w:sz w:val="24"/>
          <w:szCs w:val="24"/>
        </w:rPr>
      </w:pPr>
      <w:r>
        <w:rPr>
          <w:rFonts w:hint="eastAsia" w:ascii="仿宋" w:hAnsi="仿宋" w:eastAsia="仿宋"/>
          <w:sz w:val="24"/>
          <w:szCs w:val="24"/>
        </w:rPr>
        <w:t>报表统计子系统</w:t>
      </w:r>
    </w:p>
    <w:p>
      <w:pPr>
        <w:pStyle w:val="157"/>
        <w:spacing w:line="480" w:lineRule="exact"/>
        <w:ind w:left="840" w:firstLine="480"/>
        <w:rPr>
          <w:rFonts w:ascii="仿宋" w:hAnsi="仿宋" w:eastAsia="仿宋"/>
          <w:sz w:val="24"/>
          <w:szCs w:val="24"/>
        </w:rPr>
      </w:pPr>
      <w:r>
        <w:rPr>
          <w:rFonts w:hint="eastAsia" w:ascii="仿宋" w:hAnsi="仿宋" w:eastAsia="仿宋"/>
          <w:sz w:val="24"/>
          <w:szCs w:val="24"/>
        </w:rPr>
        <w:t>报表统计子系统是将报名数据按类型、报名状态、填报项目等分类以图表进行展示，包括数据统计、报表导出及打印等。</w:t>
      </w:r>
    </w:p>
    <w:p>
      <w:pPr>
        <w:pStyle w:val="157"/>
        <w:numPr>
          <w:ilvl w:val="0"/>
          <w:numId w:val="43"/>
        </w:numPr>
        <w:spacing w:line="480" w:lineRule="exact"/>
        <w:ind w:left="840" w:firstLine="480"/>
        <w:contextualSpacing/>
        <w:jc w:val="left"/>
        <w:rPr>
          <w:rFonts w:ascii="仿宋" w:hAnsi="仿宋" w:eastAsia="仿宋"/>
          <w:sz w:val="24"/>
          <w:szCs w:val="24"/>
        </w:rPr>
      </w:pPr>
      <w:r>
        <w:rPr>
          <w:rFonts w:hint="eastAsia" w:ascii="仿宋" w:hAnsi="仿宋" w:eastAsia="仿宋"/>
          <w:sz w:val="24"/>
          <w:szCs w:val="24"/>
        </w:rPr>
        <w:t>全国运动员注册数据导入接口</w:t>
      </w:r>
    </w:p>
    <w:p>
      <w:pPr>
        <w:pStyle w:val="157"/>
        <w:spacing w:line="480" w:lineRule="exact"/>
        <w:ind w:left="840" w:firstLine="480"/>
        <w:rPr>
          <w:rFonts w:ascii="仿宋" w:hAnsi="仿宋" w:eastAsia="仿宋"/>
          <w:sz w:val="24"/>
          <w:szCs w:val="24"/>
        </w:rPr>
      </w:pPr>
      <w:r>
        <w:rPr>
          <w:rFonts w:hint="eastAsia" w:ascii="仿宋" w:hAnsi="仿宋" w:eastAsia="仿宋"/>
          <w:sz w:val="24"/>
          <w:szCs w:val="24"/>
        </w:rPr>
        <w:t>注册数据需要与国家体育总局的运动员注册数据库进行数据导入和对比，以确保数据的准确性和有效性，包括后台数据库导入接口、数据录入修改模块、基础数据查询模块等。</w:t>
      </w:r>
    </w:p>
    <w:p>
      <w:pPr>
        <w:pStyle w:val="157"/>
        <w:numPr>
          <w:ilvl w:val="0"/>
          <w:numId w:val="43"/>
        </w:numPr>
        <w:spacing w:line="480" w:lineRule="exact"/>
        <w:ind w:left="840" w:firstLine="480"/>
        <w:contextualSpacing/>
        <w:jc w:val="left"/>
        <w:rPr>
          <w:rFonts w:ascii="仿宋" w:hAnsi="仿宋" w:eastAsia="仿宋"/>
          <w:sz w:val="24"/>
          <w:szCs w:val="24"/>
        </w:rPr>
      </w:pPr>
      <w:r>
        <w:rPr>
          <w:rFonts w:hint="eastAsia" w:ascii="仿宋" w:hAnsi="仿宋" w:eastAsia="仿宋"/>
          <w:sz w:val="24"/>
          <w:szCs w:val="24"/>
        </w:rPr>
        <w:t>数据接口</w:t>
      </w:r>
    </w:p>
    <w:p>
      <w:pPr>
        <w:pStyle w:val="157"/>
        <w:spacing w:line="480" w:lineRule="exact"/>
        <w:ind w:left="840" w:firstLine="480"/>
        <w:rPr>
          <w:rFonts w:ascii="仿宋" w:hAnsi="仿宋" w:eastAsia="仿宋"/>
          <w:sz w:val="24"/>
          <w:szCs w:val="24"/>
        </w:rPr>
      </w:pPr>
      <w:r>
        <w:rPr>
          <w:rFonts w:hint="eastAsia" w:ascii="仿宋" w:hAnsi="仿宋" w:eastAsia="仿宋"/>
          <w:sz w:val="24"/>
          <w:szCs w:val="24"/>
        </w:rPr>
        <w:t>竞赛报名系统应提供对外的接口服务，包括报名报项数据导出接口、制证数据导出接口、中央成绩系统接口、场馆成绩系统接口等。</w:t>
      </w:r>
    </w:p>
    <w:p>
      <w:pPr>
        <w:pStyle w:val="3"/>
        <w:rPr>
          <w:rFonts w:ascii="仿宋" w:hAnsi="仿宋" w:eastAsia="仿宋"/>
          <w:sz w:val="24"/>
          <w:szCs w:val="24"/>
        </w:rPr>
      </w:pPr>
      <w:bookmarkStart w:id="107" w:name="_Toc54807094"/>
      <w:r>
        <w:rPr>
          <w:rFonts w:hint="eastAsia" w:ascii="仿宋" w:hAnsi="仿宋" w:eastAsia="仿宋"/>
          <w:sz w:val="24"/>
          <w:szCs w:val="24"/>
        </w:rPr>
        <w:t>中央成绩及交换系统服务</w:t>
      </w:r>
      <w:bookmarkEnd w:id="107"/>
    </w:p>
    <w:p>
      <w:pPr>
        <w:spacing w:line="480" w:lineRule="exact"/>
        <w:ind w:firstLine="480" w:firstLineChars="200"/>
        <w:rPr>
          <w:rFonts w:ascii="仿宋" w:hAnsi="仿宋" w:eastAsia="仿宋"/>
          <w:sz w:val="24"/>
          <w:szCs w:val="24"/>
        </w:rPr>
      </w:pPr>
      <w:r>
        <w:rPr>
          <w:rFonts w:hint="eastAsia" w:ascii="仿宋" w:hAnsi="仿宋" w:eastAsia="仿宋"/>
          <w:sz w:val="24"/>
          <w:szCs w:val="24"/>
        </w:rPr>
        <w:t>中央成绩及交换系统是竞赛信息化的综合业务系统，是竞赛信息化工程的核心。中央成绩及交换系统部署在主数据中心，负责收集汇总各场馆、各项目的比赛信息并进行处理和管理。中央成绩及交换系统功能包括公共代码与数据通讯协议、核心管理子系统、数据通信平台子系统、综合成绩处理子系统、中央数据资源库、历史数据资源库、赛事数据交换系统。</w:t>
      </w:r>
    </w:p>
    <w:p>
      <w:pPr>
        <w:spacing w:line="48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系统功能包括但不限于：</w:t>
      </w:r>
    </w:p>
    <w:p>
      <w:pPr>
        <w:pStyle w:val="157"/>
        <w:numPr>
          <w:ilvl w:val="0"/>
          <w:numId w:val="44"/>
        </w:numPr>
        <w:spacing w:line="480" w:lineRule="exact"/>
        <w:ind w:left="840" w:firstLine="480"/>
        <w:contextualSpacing/>
        <w:jc w:val="left"/>
        <w:rPr>
          <w:rFonts w:ascii="仿宋" w:hAnsi="仿宋" w:eastAsia="仿宋"/>
          <w:sz w:val="24"/>
          <w:szCs w:val="24"/>
        </w:rPr>
      </w:pPr>
      <w:r>
        <w:rPr>
          <w:rFonts w:hint="eastAsia" w:ascii="仿宋" w:hAnsi="仿宋" w:eastAsia="仿宋"/>
          <w:sz w:val="24"/>
          <w:szCs w:val="24"/>
        </w:rPr>
        <w:t>公共代码与数据通讯协议</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公共代码与数据通讯协议负责整个竞赛信息系统的协议规范和通讯管理，主要功能包括公共代码、数据通讯协议等。</w:t>
      </w:r>
    </w:p>
    <w:p>
      <w:pPr>
        <w:pStyle w:val="157"/>
        <w:numPr>
          <w:ilvl w:val="0"/>
          <w:numId w:val="44"/>
        </w:numPr>
        <w:spacing w:line="480" w:lineRule="exact"/>
        <w:ind w:left="840" w:firstLine="480"/>
        <w:contextualSpacing/>
        <w:jc w:val="left"/>
        <w:rPr>
          <w:rFonts w:ascii="仿宋" w:hAnsi="仿宋" w:eastAsia="仿宋"/>
          <w:sz w:val="24"/>
          <w:szCs w:val="24"/>
        </w:rPr>
      </w:pPr>
      <w:r>
        <w:rPr>
          <w:rFonts w:hint="eastAsia" w:ascii="仿宋" w:hAnsi="仿宋" w:eastAsia="仿宋"/>
          <w:sz w:val="24"/>
          <w:szCs w:val="24"/>
        </w:rPr>
        <w:t>核心管理子系统</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核心管理子系统负责整个竞赛信息系统的配置管理、权限管理等核心管理职能，主要功能包括应用安全管理模块、公共代码管理模块、运动会配置管理模块等。</w:t>
      </w:r>
    </w:p>
    <w:p>
      <w:pPr>
        <w:pStyle w:val="157"/>
        <w:numPr>
          <w:ilvl w:val="0"/>
          <w:numId w:val="44"/>
        </w:numPr>
        <w:spacing w:line="480" w:lineRule="exact"/>
        <w:ind w:left="840" w:firstLine="480"/>
        <w:contextualSpacing/>
        <w:jc w:val="left"/>
        <w:rPr>
          <w:rFonts w:ascii="仿宋" w:hAnsi="仿宋" w:eastAsia="仿宋"/>
          <w:sz w:val="24"/>
          <w:szCs w:val="24"/>
        </w:rPr>
      </w:pPr>
      <w:r>
        <w:rPr>
          <w:rFonts w:hint="eastAsia" w:ascii="仿宋" w:hAnsi="仿宋" w:eastAsia="仿宋"/>
          <w:sz w:val="24"/>
          <w:szCs w:val="24"/>
        </w:rPr>
        <w:t>数据通信平台子系统</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数据通信平台子系统是为整个竞赛信息系统提供整体性、实时性数据交换</w:t>
      </w:r>
      <w:r>
        <w:rPr>
          <w:rFonts w:ascii="仿宋" w:hAnsi="仿宋" w:eastAsia="仿宋"/>
          <w:sz w:val="24"/>
          <w:szCs w:val="24"/>
        </w:rPr>
        <w:t>服务，</w:t>
      </w:r>
      <w:r>
        <w:rPr>
          <w:rFonts w:hint="eastAsia" w:ascii="仿宋" w:hAnsi="仿宋" w:eastAsia="仿宋"/>
          <w:sz w:val="24"/>
          <w:szCs w:val="24"/>
        </w:rPr>
        <w:t>确保所有数据的实时交换和分发的自动化数据交换平台，主要包括场馆成绩系统数据上传模块、综合成绩数据发布模块、数据校验模块、数据接口等。</w:t>
      </w:r>
    </w:p>
    <w:p>
      <w:pPr>
        <w:pStyle w:val="157"/>
        <w:numPr>
          <w:ilvl w:val="0"/>
          <w:numId w:val="44"/>
        </w:numPr>
        <w:spacing w:line="480" w:lineRule="exact"/>
        <w:ind w:left="840" w:firstLine="480"/>
        <w:contextualSpacing/>
        <w:jc w:val="left"/>
        <w:rPr>
          <w:rFonts w:ascii="仿宋" w:hAnsi="仿宋" w:eastAsia="仿宋"/>
          <w:sz w:val="24"/>
          <w:szCs w:val="24"/>
        </w:rPr>
      </w:pPr>
      <w:r>
        <w:rPr>
          <w:rFonts w:hint="eastAsia" w:ascii="仿宋" w:hAnsi="仿宋" w:eastAsia="仿宋"/>
          <w:sz w:val="24"/>
          <w:szCs w:val="24"/>
        </w:rPr>
        <w:t>综合成绩处理子系统</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综合成绩处理子系统负责整个中央成绩系统的竞赛数据收集、处理和管理，主要包括竞赛计划管理模块、综合成绩处理模块、赛事信息统计模块、比赛监控模块等。</w:t>
      </w:r>
    </w:p>
    <w:p>
      <w:pPr>
        <w:pStyle w:val="157"/>
        <w:numPr>
          <w:ilvl w:val="0"/>
          <w:numId w:val="44"/>
        </w:numPr>
        <w:spacing w:line="480" w:lineRule="exact"/>
        <w:ind w:left="840" w:firstLine="480"/>
        <w:contextualSpacing/>
        <w:jc w:val="left"/>
        <w:rPr>
          <w:rFonts w:ascii="仿宋" w:hAnsi="仿宋" w:eastAsia="仿宋"/>
          <w:sz w:val="24"/>
          <w:szCs w:val="24"/>
        </w:rPr>
      </w:pPr>
      <w:r>
        <w:rPr>
          <w:rFonts w:hint="eastAsia" w:ascii="仿宋" w:hAnsi="仿宋" w:eastAsia="仿宋"/>
          <w:sz w:val="24"/>
          <w:szCs w:val="24"/>
        </w:rPr>
        <w:t>中央数据资源库</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中央数据资源库负责提供与运动会有关的所有数据资料的存储、管理，主要功能包括中央数据库模块、基于XML本地化数据管理模块、报表集成管理模块等。</w:t>
      </w:r>
    </w:p>
    <w:p>
      <w:pPr>
        <w:pStyle w:val="157"/>
        <w:numPr>
          <w:ilvl w:val="0"/>
          <w:numId w:val="44"/>
        </w:numPr>
        <w:spacing w:line="480" w:lineRule="exact"/>
        <w:ind w:left="840" w:firstLine="480"/>
        <w:contextualSpacing/>
        <w:jc w:val="left"/>
        <w:rPr>
          <w:rFonts w:ascii="仿宋" w:hAnsi="仿宋" w:eastAsia="仿宋"/>
          <w:sz w:val="24"/>
          <w:szCs w:val="24"/>
        </w:rPr>
      </w:pPr>
      <w:r>
        <w:rPr>
          <w:rFonts w:hint="eastAsia" w:ascii="仿宋" w:hAnsi="仿宋" w:eastAsia="仿宋"/>
          <w:sz w:val="24"/>
          <w:szCs w:val="24"/>
        </w:rPr>
        <w:t>历史数据资源库</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历史数据资源库主要负责收集往届全运会的相关赛事资料，以便为十四运会提供纵向横向各类对比，主要功能包括全运会历史数据库模块、历史数据分析管理模块等。</w:t>
      </w:r>
    </w:p>
    <w:p>
      <w:pPr>
        <w:pStyle w:val="157"/>
        <w:numPr>
          <w:ilvl w:val="0"/>
          <w:numId w:val="44"/>
        </w:numPr>
        <w:spacing w:line="480" w:lineRule="exact"/>
        <w:ind w:left="840" w:firstLine="480"/>
        <w:contextualSpacing/>
        <w:jc w:val="left"/>
        <w:rPr>
          <w:rFonts w:ascii="仿宋" w:hAnsi="仿宋" w:eastAsia="仿宋"/>
          <w:sz w:val="24"/>
          <w:szCs w:val="24"/>
        </w:rPr>
      </w:pPr>
      <w:r>
        <w:rPr>
          <w:rFonts w:hint="eastAsia" w:ascii="仿宋" w:hAnsi="仿宋" w:eastAsia="仿宋"/>
          <w:sz w:val="24"/>
          <w:szCs w:val="24"/>
        </w:rPr>
        <w:t>赛事数据交换子系统</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赛事数据交换子系统主要提供注册、竞赛、事件、赛事、综合显示及内部接口标准化处理，竞赛类数据交换等，主要功能包括注册管理系统接口、竞赛信息系统接口、事件管理系统接口、赛事通讯系统接口、综合显示系统接口、接口消息监控、内部接口、接口信息管理等。</w:t>
      </w:r>
    </w:p>
    <w:p>
      <w:pPr>
        <w:pStyle w:val="157"/>
        <w:numPr>
          <w:ilvl w:val="0"/>
          <w:numId w:val="44"/>
        </w:numPr>
        <w:spacing w:line="480" w:lineRule="exact"/>
        <w:ind w:left="840" w:firstLine="482"/>
        <w:contextualSpacing/>
        <w:jc w:val="left"/>
        <w:rPr>
          <w:rFonts w:ascii="仿宋" w:hAnsi="仿宋" w:eastAsia="仿宋"/>
          <w:b/>
          <w:bCs/>
          <w:sz w:val="24"/>
          <w:szCs w:val="24"/>
        </w:rPr>
      </w:pPr>
      <w:r>
        <w:rPr>
          <w:rFonts w:hint="eastAsia" w:ascii="仿宋" w:hAnsi="仿宋" w:eastAsia="仿宋"/>
          <w:b/>
          <w:bCs/>
          <w:sz w:val="24"/>
          <w:szCs w:val="24"/>
        </w:rPr>
        <w:t>残特奥会新增服务内容</w:t>
      </w:r>
    </w:p>
    <w:p>
      <w:pPr>
        <w:pStyle w:val="157"/>
        <w:spacing w:line="480" w:lineRule="exact"/>
        <w:ind w:left="840" w:firstLine="480"/>
        <w:rPr>
          <w:rFonts w:ascii="仿宋" w:hAnsi="仿宋" w:eastAsia="仿宋"/>
          <w:sz w:val="24"/>
          <w:szCs w:val="24"/>
        </w:rPr>
      </w:pPr>
      <w:r>
        <w:rPr>
          <w:rFonts w:hint="eastAsia" w:ascii="仿宋" w:hAnsi="仿宋" w:eastAsia="仿宋"/>
          <w:sz w:val="24"/>
          <w:szCs w:val="24"/>
        </w:rPr>
        <w:t>残特奥会中央成绩及交换系统需根据其规则规程和业务流程，对中残联信息编码重新定制，并重新配置对接协议等，须根据残特奥会需求定制开发，并提供运行保障服务。</w:t>
      </w:r>
    </w:p>
    <w:p>
      <w:pPr>
        <w:pStyle w:val="3"/>
        <w:rPr>
          <w:rFonts w:ascii="仿宋" w:hAnsi="仿宋" w:eastAsia="仿宋"/>
          <w:sz w:val="24"/>
          <w:szCs w:val="24"/>
        </w:rPr>
      </w:pPr>
      <w:bookmarkStart w:id="108" w:name="_Toc54807095"/>
      <w:r>
        <w:rPr>
          <w:rFonts w:hint="eastAsia" w:ascii="仿宋" w:hAnsi="仿宋" w:eastAsia="仿宋"/>
          <w:sz w:val="24"/>
          <w:szCs w:val="24"/>
        </w:rPr>
        <w:t>信息发布系统服务</w:t>
      </w:r>
      <w:bookmarkEnd w:id="108"/>
    </w:p>
    <w:p>
      <w:pPr>
        <w:spacing w:line="480" w:lineRule="exact"/>
        <w:ind w:firstLine="480" w:firstLineChars="200"/>
        <w:rPr>
          <w:rFonts w:ascii="仿宋" w:hAnsi="仿宋" w:eastAsia="仿宋"/>
          <w:sz w:val="24"/>
          <w:szCs w:val="24"/>
        </w:rPr>
      </w:pPr>
      <w:r>
        <w:rPr>
          <w:rFonts w:hint="eastAsia" w:ascii="仿宋" w:hAnsi="仿宋" w:eastAsia="仿宋"/>
          <w:sz w:val="24"/>
          <w:szCs w:val="24"/>
        </w:rPr>
        <w:t>信息发布系统是面向全运会参赛人员、赛事管理人员、嘉宾人员、工作人员、媒体人员、公众等提供信息发布渠道的系统。信息发布系统通过互联网、手机、纸质等多种方式，面向赛事和社会公众发布综合性运动会的各类信息，并负责对运动会的指定数据接收方发送赛事信息。信息发布系统包括内网成绩核查子系统、竞赛动态信息发布子系统、竞赛信息移动查询子系统、第三方信息发布接口等。</w:t>
      </w:r>
    </w:p>
    <w:p>
      <w:pPr>
        <w:spacing w:line="48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系统包括但不限于：</w:t>
      </w:r>
    </w:p>
    <w:p>
      <w:pPr>
        <w:pStyle w:val="157"/>
        <w:numPr>
          <w:ilvl w:val="0"/>
          <w:numId w:val="45"/>
        </w:numPr>
        <w:spacing w:line="480" w:lineRule="exact"/>
        <w:ind w:left="840" w:firstLine="480"/>
        <w:contextualSpacing/>
        <w:rPr>
          <w:rFonts w:ascii="仿宋" w:hAnsi="仿宋" w:eastAsia="仿宋"/>
          <w:sz w:val="24"/>
          <w:szCs w:val="24"/>
        </w:rPr>
      </w:pPr>
      <w:r>
        <w:rPr>
          <w:rFonts w:hint="eastAsia" w:ascii="仿宋" w:hAnsi="仿宋" w:eastAsia="仿宋"/>
          <w:sz w:val="24"/>
          <w:szCs w:val="24"/>
        </w:rPr>
        <w:t>内网成绩核查子系统</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内网成绩核查子系统负责整个竞赛信息系统内部的成绩查询、校对等实时服务，主要功能包括竞赛总日程、每日赛程及单项赛程内部核查模块，运动员基础信息及报名报项内部核查模块，动态赛程内部核查模块，动态竞赛信息内部核查模块，纪录统计及内部核查模块，名次统计及内部核查模块，竞赛信息查询模块等。</w:t>
      </w:r>
    </w:p>
    <w:p>
      <w:pPr>
        <w:pStyle w:val="157"/>
        <w:numPr>
          <w:ilvl w:val="0"/>
          <w:numId w:val="45"/>
        </w:numPr>
        <w:spacing w:line="480" w:lineRule="exact"/>
        <w:ind w:left="840" w:firstLine="480"/>
        <w:contextualSpacing/>
        <w:rPr>
          <w:rFonts w:ascii="仿宋" w:hAnsi="仿宋" w:eastAsia="仿宋"/>
          <w:sz w:val="24"/>
          <w:szCs w:val="24"/>
        </w:rPr>
      </w:pPr>
      <w:r>
        <w:rPr>
          <w:rFonts w:hint="eastAsia" w:ascii="仿宋" w:hAnsi="仿宋" w:eastAsia="仿宋"/>
          <w:sz w:val="24"/>
          <w:szCs w:val="24"/>
        </w:rPr>
        <w:t>竞赛动态信息发布子系统</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竞赛动态信息发布子系统负责竞赛数据的动态发布，采用推送方式将竞赛数据通过赛事数据交换系统推送至大数据平台。</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推送信息包括竞赛总日程、每日赛程、单项赛程、运动员基础信息及报名报项、详细赛程动态、竞赛成绩动态、纪录统计、名次统计、竞赛信息、秩序册及成绩册、基础信息等。</w:t>
      </w:r>
    </w:p>
    <w:p>
      <w:pPr>
        <w:pStyle w:val="157"/>
        <w:numPr>
          <w:ilvl w:val="0"/>
          <w:numId w:val="45"/>
        </w:numPr>
        <w:spacing w:line="480" w:lineRule="exact"/>
        <w:ind w:left="840" w:firstLine="480"/>
        <w:contextualSpacing/>
        <w:rPr>
          <w:rFonts w:ascii="仿宋" w:hAnsi="仿宋" w:eastAsia="仿宋"/>
          <w:sz w:val="24"/>
          <w:szCs w:val="24"/>
        </w:rPr>
      </w:pPr>
      <w:r>
        <w:rPr>
          <w:rFonts w:hint="eastAsia" w:ascii="仿宋" w:hAnsi="仿宋" w:eastAsia="仿宋"/>
          <w:sz w:val="24"/>
          <w:szCs w:val="24"/>
        </w:rPr>
        <w:t>信息发布接口</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提供竞赛信息发布的接口，主要包括接口协议规范、数据级发布接口、文件级发布接口等。</w:t>
      </w:r>
    </w:p>
    <w:p>
      <w:pPr>
        <w:pStyle w:val="157"/>
        <w:numPr>
          <w:ilvl w:val="0"/>
          <w:numId w:val="45"/>
        </w:numPr>
        <w:spacing w:line="480" w:lineRule="exact"/>
        <w:ind w:left="840" w:firstLine="480"/>
        <w:contextualSpacing/>
        <w:rPr>
          <w:rFonts w:ascii="仿宋" w:hAnsi="仿宋" w:eastAsia="仿宋"/>
          <w:sz w:val="24"/>
          <w:szCs w:val="24"/>
        </w:rPr>
      </w:pPr>
      <w:r>
        <w:rPr>
          <w:rFonts w:hint="eastAsia" w:ascii="仿宋" w:hAnsi="仿宋" w:eastAsia="仿宋"/>
          <w:sz w:val="24"/>
          <w:szCs w:val="24"/>
        </w:rPr>
        <w:t>残特奥会部分复用服务内容</w:t>
      </w:r>
    </w:p>
    <w:p>
      <w:pPr>
        <w:ind w:firstLine="480" w:firstLineChars="200"/>
        <w:rPr>
          <w:rFonts w:ascii="仿宋" w:hAnsi="仿宋" w:eastAsia="仿宋"/>
          <w:sz w:val="24"/>
          <w:szCs w:val="24"/>
        </w:rPr>
      </w:pPr>
      <w:r>
        <w:rPr>
          <w:rFonts w:hint="eastAsia" w:ascii="仿宋" w:hAnsi="仿宋" w:eastAsia="仿宋"/>
          <w:sz w:val="24"/>
          <w:szCs w:val="24"/>
        </w:rPr>
        <w:t>残特奥会信息发布系统复用十四运会部分服务，具体服务功能要求与十四运会相同，但因残特奥会信息发布结果数据结构和十四运会不同，须对信息发布系统进行改造，以满足残特奥会信息发布需求。</w:t>
      </w:r>
    </w:p>
    <w:p>
      <w:pPr>
        <w:pStyle w:val="2"/>
        <w:keepNext/>
        <w:keepLines/>
        <w:autoSpaceDE/>
        <w:autoSpaceDN/>
        <w:adjustRightInd/>
        <w:spacing w:before="340" w:after="330" w:line="578" w:lineRule="auto"/>
        <w:jc w:val="both"/>
        <w:rPr>
          <w:rFonts w:ascii="仿宋" w:hAnsi="仿宋" w:eastAsia="仿宋"/>
          <w:sz w:val="24"/>
          <w:szCs w:val="24"/>
        </w:rPr>
      </w:pPr>
      <w:bookmarkStart w:id="109" w:name="_Toc54807096"/>
      <w:r>
        <w:rPr>
          <w:rFonts w:hint="eastAsia" w:ascii="仿宋" w:hAnsi="仿宋" w:eastAsia="仿宋"/>
          <w:sz w:val="24"/>
          <w:szCs w:val="24"/>
        </w:rPr>
        <w:t>服务要求</w:t>
      </w:r>
      <w:bookmarkEnd w:id="109"/>
    </w:p>
    <w:p>
      <w:pPr>
        <w:pStyle w:val="157"/>
        <w:ind w:left="840" w:firstLine="480"/>
        <w:rPr>
          <w:rFonts w:ascii="仿宋" w:hAnsi="仿宋" w:eastAsia="仿宋"/>
          <w:sz w:val="24"/>
          <w:szCs w:val="24"/>
        </w:rPr>
      </w:pPr>
      <w:r>
        <w:rPr>
          <w:rFonts w:hint="eastAsia" w:ascii="仿宋" w:hAnsi="仿宋" w:eastAsia="仿宋"/>
          <w:sz w:val="24"/>
          <w:szCs w:val="24"/>
        </w:rPr>
        <w:t>本节仅规定了本项目最低限度的服务要求，并未规定所有的服务要求和适用的标准。服务提供商应根据自身</w:t>
      </w:r>
      <w:r>
        <w:rPr>
          <w:rFonts w:ascii="仿宋" w:hAnsi="仿宋" w:eastAsia="仿宋"/>
          <w:sz w:val="24"/>
          <w:szCs w:val="24"/>
        </w:rPr>
        <w:t>的经验和能力，</w:t>
      </w:r>
      <w:r>
        <w:rPr>
          <w:rFonts w:hint="eastAsia" w:ascii="仿宋" w:hAnsi="仿宋" w:eastAsia="仿宋"/>
          <w:sz w:val="24"/>
          <w:szCs w:val="24"/>
        </w:rPr>
        <w:t>在</w:t>
      </w:r>
      <w:r>
        <w:rPr>
          <w:rFonts w:ascii="仿宋" w:hAnsi="仿宋" w:eastAsia="仿宋"/>
          <w:sz w:val="24"/>
          <w:szCs w:val="24"/>
        </w:rPr>
        <w:t>充分</w:t>
      </w:r>
      <w:r>
        <w:rPr>
          <w:rFonts w:hint="eastAsia" w:ascii="仿宋" w:hAnsi="仿宋" w:eastAsia="仿宋"/>
          <w:sz w:val="24"/>
          <w:szCs w:val="24"/>
        </w:rPr>
        <w:t>理解所有</w:t>
      </w:r>
      <w:r>
        <w:rPr>
          <w:rFonts w:ascii="仿宋" w:hAnsi="仿宋" w:eastAsia="仿宋"/>
          <w:sz w:val="24"/>
          <w:szCs w:val="24"/>
        </w:rPr>
        <w:t>参与者需求</w:t>
      </w:r>
      <w:r>
        <w:rPr>
          <w:rFonts w:hint="eastAsia" w:ascii="仿宋" w:hAnsi="仿宋" w:eastAsia="仿宋"/>
          <w:sz w:val="24"/>
          <w:szCs w:val="24"/>
        </w:rPr>
        <w:t>的</w:t>
      </w:r>
      <w:r>
        <w:rPr>
          <w:rFonts w:ascii="仿宋" w:hAnsi="仿宋" w:eastAsia="仿宋"/>
          <w:sz w:val="24"/>
          <w:szCs w:val="24"/>
        </w:rPr>
        <w:t>基础上</w:t>
      </w:r>
      <w:r>
        <w:rPr>
          <w:rFonts w:ascii="仿宋" w:hAnsi="仿宋" w:eastAsia="仿宋"/>
          <w:color w:val="000000"/>
          <w:sz w:val="24"/>
          <w:szCs w:val="24"/>
        </w:rPr>
        <w:t>，以参与者良好体验为出发点，</w:t>
      </w:r>
      <w:r>
        <w:rPr>
          <w:rFonts w:hint="eastAsia" w:ascii="仿宋" w:hAnsi="仿宋" w:eastAsia="仿宋"/>
          <w:sz w:val="24"/>
          <w:szCs w:val="24"/>
        </w:rPr>
        <w:t>提供全面</w:t>
      </w:r>
      <w:r>
        <w:rPr>
          <w:rFonts w:ascii="仿宋" w:hAnsi="仿宋" w:eastAsia="仿宋"/>
          <w:sz w:val="24"/>
          <w:szCs w:val="24"/>
        </w:rPr>
        <w:t>、</w:t>
      </w:r>
      <w:r>
        <w:rPr>
          <w:rFonts w:hint="eastAsia" w:ascii="仿宋" w:hAnsi="仿宋" w:eastAsia="仿宋"/>
          <w:sz w:val="24"/>
          <w:szCs w:val="24"/>
        </w:rPr>
        <w:t>便捷</w:t>
      </w:r>
      <w:r>
        <w:rPr>
          <w:rFonts w:ascii="仿宋" w:hAnsi="仿宋" w:eastAsia="仿宋"/>
          <w:sz w:val="24"/>
          <w:szCs w:val="24"/>
        </w:rPr>
        <w:t>、安全</w:t>
      </w:r>
      <w:r>
        <w:rPr>
          <w:rFonts w:hint="eastAsia" w:ascii="仿宋" w:hAnsi="仿宋" w:eastAsia="仿宋"/>
          <w:sz w:val="24"/>
          <w:szCs w:val="24"/>
        </w:rPr>
        <w:t>、</w:t>
      </w:r>
      <w:r>
        <w:rPr>
          <w:rFonts w:ascii="仿宋" w:hAnsi="仿宋" w:eastAsia="仿宋"/>
          <w:sz w:val="24"/>
          <w:szCs w:val="24"/>
        </w:rPr>
        <w:t>可靠的服务</w:t>
      </w:r>
      <w:r>
        <w:rPr>
          <w:rFonts w:hint="eastAsia" w:ascii="仿宋" w:hAnsi="仿宋" w:eastAsia="仿宋"/>
          <w:sz w:val="24"/>
          <w:szCs w:val="24"/>
        </w:rPr>
        <w:t>。</w:t>
      </w:r>
    </w:p>
    <w:p>
      <w:pPr>
        <w:pStyle w:val="3"/>
        <w:rPr>
          <w:rFonts w:ascii="仿宋" w:hAnsi="仿宋" w:eastAsia="仿宋"/>
          <w:sz w:val="24"/>
          <w:szCs w:val="24"/>
        </w:rPr>
      </w:pPr>
      <w:bookmarkStart w:id="110" w:name="_Toc54807097"/>
      <w:r>
        <w:rPr>
          <w:rFonts w:ascii="仿宋" w:hAnsi="仿宋" w:eastAsia="仿宋"/>
          <w:sz w:val="24"/>
          <w:szCs w:val="24"/>
        </w:rPr>
        <w:t>总体要求</w:t>
      </w:r>
      <w:bookmarkEnd w:id="110"/>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服务提供商须服从组委会、国家体育总局体育信息中心领导，保证十四运会和残特奥会信息化工作安全、高效、顺利的进行。</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服务提供商应配合工程监理完成相关工作，处理工程实施过程中的出现的问题。</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提供商应提供满足所列要求的高质量的系统及服务，采用先进、成熟、适用、安全，并业已通过使用证明是成功和可靠的信息技术和产品，所选用主要软硬件原则上要求具有相关应用案例，在任何环节均不得采用具有风险、未经严格检测、不成熟、过度冗余或具有安全隐患的信息技术和产品。</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服务提供商所提供的系统及服务必须遵循国际、国内的行业标准，符合国家体育总局体育信息中心的技术要求，切合十四运会和残特奥会赛事与赛事管理需求并满足国家有关安全、环保等强制性标准。</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除了在主数据中心、应用容灾与数据备份中心部署业务系统外，服务提供商还须在服务需求方指定的数据中心部署一套与主数据中心完全一致的业务系统作为备份，确保数据资源与主数据中心内容同步，并保证业务系统可正常运行。备份业务系统部署所需的网络、存储和计算等资源由服务需求方指定的数据中心提供。</w:t>
      </w:r>
    </w:p>
    <w:p>
      <w:pPr>
        <w:pStyle w:val="3"/>
        <w:rPr>
          <w:rFonts w:ascii="仿宋" w:hAnsi="仿宋" w:eastAsia="仿宋"/>
          <w:sz w:val="24"/>
          <w:szCs w:val="24"/>
        </w:rPr>
      </w:pPr>
      <w:r>
        <w:rPr>
          <w:rFonts w:ascii="仿宋" w:hAnsi="仿宋" w:eastAsia="仿宋"/>
          <w:sz w:val="24"/>
          <w:szCs w:val="24"/>
        </w:rPr>
        <w:tab/>
      </w:r>
      <w:bookmarkStart w:id="111" w:name="_Toc54807098"/>
      <w:r>
        <w:rPr>
          <w:rFonts w:ascii="仿宋" w:hAnsi="仿宋" w:eastAsia="仿宋"/>
          <w:sz w:val="24"/>
          <w:szCs w:val="24"/>
        </w:rPr>
        <w:t>建设阶段要求</w:t>
      </w:r>
      <w:bookmarkEnd w:id="111"/>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建设阶段分为方案编制和系统建设两</w:t>
      </w:r>
      <w:r>
        <w:rPr>
          <w:rFonts w:ascii="仿宋" w:hAnsi="仿宋" w:eastAsia="仿宋"/>
          <w:color w:val="000000"/>
          <w:sz w:val="24"/>
          <w:szCs w:val="24"/>
        </w:rPr>
        <w:t>个子阶段。服务提供商应根据各子阶段的服务目标和内容，合理调配人员、系统、设备等资源，提供优质服务，确保各子阶段的服务目标顺利实现。</w:t>
      </w:r>
    </w:p>
    <w:p>
      <w:pPr>
        <w:pStyle w:val="4"/>
        <w:rPr>
          <w:rFonts w:ascii="仿宋" w:hAnsi="仿宋" w:eastAsia="仿宋"/>
          <w:sz w:val="24"/>
          <w:szCs w:val="24"/>
        </w:rPr>
      </w:pPr>
      <w:bookmarkStart w:id="112" w:name="_Toc54807099"/>
      <w:r>
        <w:rPr>
          <w:rFonts w:ascii="仿宋" w:hAnsi="仿宋" w:eastAsia="仿宋"/>
          <w:sz w:val="24"/>
          <w:szCs w:val="24"/>
        </w:rPr>
        <w:t>方案编制</w:t>
      </w:r>
      <w:bookmarkEnd w:id="112"/>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服务提供商与服务需求方充分沟通，应根据以往经验，结合十四运会和残特奥会信息化服务的背景与需求，进行需求分析，提出满足要求的设计方案，</w:t>
      </w:r>
      <w:r>
        <w:rPr>
          <w:rFonts w:ascii="仿宋" w:hAnsi="仿宋" w:eastAsia="仿宋"/>
          <w:color w:val="000000"/>
          <w:sz w:val="24"/>
          <w:szCs w:val="24"/>
        </w:rPr>
        <w:t>并提交服务需求方确认，在服务需求方</w:t>
      </w:r>
      <w:r>
        <w:rPr>
          <w:rFonts w:hint="eastAsia" w:ascii="仿宋" w:hAnsi="仿宋" w:eastAsia="仿宋"/>
          <w:color w:val="000000"/>
          <w:sz w:val="24"/>
          <w:szCs w:val="24"/>
        </w:rPr>
        <w:t>审核</w:t>
      </w:r>
      <w:r>
        <w:rPr>
          <w:rFonts w:ascii="仿宋" w:hAnsi="仿宋" w:eastAsia="仿宋"/>
          <w:color w:val="000000"/>
          <w:sz w:val="24"/>
          <w:szCs w:val="24"/>
        </w:rPr>
        <w:t>通过后才能按照方案进行实施。</w:t>
      </w:r>
    </w:p>
    <w:p>
      <w:pPr>
        <w:pStyle w:val="4"/>
        <w:rPr>
          <w:rFonts w:ascii="仿宋" w:hAnsi="仿宋" w:eastAsia="仿宋"/>
          <w:sz w:val="24"/>
          <w:szCs w:val="24"/>
        </w:rPr>
      </w:pPr>
      <w:bookmarkStart w:id="113" w:name="_Toc54807100"/>
      <w:r>
        <w:rPr>
          <w:rFonts w:ascii="仿宋" w:hAnsi="仿宋" w:eastAsia="仿宋"/>
          <w:sz w:val="24"/>
          <w:szCs w:val="24"/>
        </w:rPr>
        <w:t>系统建设</w:t>
      </w:r>
      <w:bookmarkEnd w:id="113"/>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按照国家体育总局体育信息中心总体实施方案组织各系统开发与建设，及时通报开发与建设进度。及时响应服务需求方的变更要求，提出变更措施。</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服务提供商在此阶段，须按以下要求完成工作（但不限于）：</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1）应提供完整的软件开发过程文档，包括但不限于系统分析说明书、系统设计说明书、测试方案等。</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2）</w:t>
      </w:r>
      <w:r>
        <w:rPr>
          <w:rFonts w:hint="eastAsia" w:ascii="仿宋" w:hAnsi="仿宋" w:eastAsia="仿宋"/>
          <w:color w:val="000000"/>
          <w:sz w:val="24"/>
          <w:szCs w:val="24"/>
        </w:rPr>
        <w:t>应</w:t>
      </w:r>
      <w:r>
        <w:rPr>
          <w:rFonts w:ascii="仿宋" w:hAnsi="仿宋" w:eastAsia="仿宋"/>
          <w:color w:val="000000"/>
          <w:sz w:val="24"/>
          <w:szCs w:val="24"/>
        </w:rPr>
        <w:t>及时通报开发与建设进度，及时协调解决项目建设过程中出现的各种问题，及时响应服务需求方的变更要求，协调有关各方，提出变更措施并监督实施。</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3）在设计方案的基础上，根据项目的特点和信息化项目的规律，结合各个工程的实施要求，合理分配项目工作任务。</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4）梳理各系统之间的关系和集成接口，确保项目的整体实施效果。</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5）细化各系统的设计方案，对各系统的实施过程进行管控。</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6）根据各系统的实施进度和风险，对实施过程中的问题进行协调解决。</w:t>
      </w:r>
    </w:p>
    <w:p>
      <w:pPr>
        <w:pStyle w:val="3"/>
        <w:rPr>
          <w:rFonts w:ascii="仿宋" w:hAnsi="仿宋" w:eastAsia="仿宋"/>
          <w:sz w:val="24"/>
          <w:szCs w:val="24"/>
        </w:rPr>
      </w:pPr>
      <w:bookmarkStart w:id="114" w:name="_Toc54807101"/>
      <w:r>
        <w:rPr>
          <w:rFonts w:ascii="仿宋" w:hAnsi="仿宋" w:eastAsia="仿宋"/>
          <w:sz w:val="24"/>
          <w:szCs w:val="24"/>
        </w:rPr>
        <w:t>测试阶段要求</w:t>
      </w:r>
      <w:bookmarkEnd w:id="114"/>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测试阶段分为集成测试、测试赛、联调联试</w:t>
      </w:r>
      <w:r>
        <w:rPr>
          <w:rFonts w:ascii="仿宋" w:hAnsi="仿宋" w:eastAsia="仿宋"/>
          <w:color w:val="000000"/>
          <w:sz w:val="24"/>
          <w:szCs w:val="24"/>
        </w:rPr>
        <w:t>3个子阶段。服务提供商应根据各子阶段的服务目标和内容，合理调配人员、系统、设备等资源，提供优质服务，确保各子阶段的服务目标顺利实现。</w:t>
      </w:r>
    </w:p>
    <w:p>
      <w:pPr>
        <w:pStyle w:val="4"/>
        <w:rPr>
          <w:rFonts w:ascii="仿宋" w:hAnsi="仿宋" w:eastAsia="仿宋"/>
          <w:sz w:val="24"/>
          <w:szCs w:val="24"/>
        </w:rPr>
      </w:pPr>
      <w:bookmarkStart w:id="115" w:name="_Toc54807102"/>
      <w:r>
        <w:rPr>
          <w:rFonts w:ascii="仿宋" w:hAnsi="仿宋" w:eastAsia="仿宋"/>
          <w:sz w:val="24"/>
          <w:szCs w:val="24"/>
        </w:rPr>
        <w:t>集成测试</w:t>
      </w:r>
      <w:bookmarkEnd w:id="115"/>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根据国家体育总局体育信息中心《总体测试方案》要求，组织各项目和各场馆实施集成测试，及时通报测试进度，协调解决集成测试过程中出现的各种问题，提出整改措施并监督实施。</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派遣人员驻场工作，完成各系统测试包括整个系统端到端功能性测试、各系统之间的接口测试、性能、压力、安全等非功能性测试，提交测试报告。</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另外还须进行模拟测试、一致性测试和现场测试等内容，出具新技术及集成测试实验室的测试报告，以确保系统的功能和性能能够满足十四运会和残特奥会比赛的要求。</w:t>
      </w:r>
    </w:p>
    <w:p>
      <w:pPr>
        <w:pStyle w:val="4"/>
        <w:rPr>
          <w:rFonts w:ascii="仿宋" w:hAnsi="仿宋" w:eastAsia="仿宋"/>
          <w:sz w:val="24"/>
          <w:szCs w:val="24"/>
        </w:rPr>
      </w:pPr>
      <w:bookmarkStart w:id="116" w:name="_Toc54807103"/>
      <w:r>
        <w:rPr>
          <w:rFonts w:ascii="仿宋" w:hAnsi="仿宋" w:eastAsia="仿宋"/>
          <w:sz w:val="24"/>
          <w:szCs w:val="24"/>
        </w:rPr>
        <w:t>测试赛</w:t>
      </w:r>
      <w:bookmarkEnd w:id="116"/>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按照组委会、国家体育总局体育信息中心要求组织实施测试赛赛事运行、维护、保障服务，发现并解决在测试赛中出现的技术问题。</w:t>
      </w:r>
    </w:p>
    <w:p>
      <w:pPr>
        <w:pStyle w:val="4"/>
        <w:rPr>
          <w:rFonts w:ascii="仿宋" w:hAnsi="仿宋" w:eastAsia="仿宋"/>
          <w:sz w:val="24"/>
          <w:szCs w:val="24"/>
        </w:rPr>
      </w:pPr>
      <w:bookmarkStart w:id="117" w:name="_Toc54807104"/>
      <w:r>
        <w:rPr>
          <w:rFonts w:ascii="仿宋" w:hAnsi="仿宋" w:eastAsia="仿宋"/>
          <w:sz w:val="24"/>
          <w:szCs w:val="24"/>
        </w:rPr>
        <w:t>联调联试</w:t>
      </w:r>
      <w:bookmarkEnd w:id="117"/>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派遣人员驻场与其他项目相关系统和服务进行联调联试，测试所有系统的功能、服务水平及运行流程是否能够满足赛时的要求。及时解决联调联试过程中发现的技术问题。</w:t>
      </w:r>
    </w:p>
    <w:p>
      <w:pPr>
        <w:pStyle w:val="3"/>
        <w:rPr>
          <w:rFonts w:ascii="仿宋" w:hAnsi="仿宋" w:eastAsia="仿宋"/>
          <w:sz w:val="24"/>
          <w:szCs w:val="24"/>
        </w:rPr>
      </w:pPr>
      <w:bookmarkStart w:id="118" w:name="_Toc54807105"/>
      <w:r>
        <w:rPr>
          <w:rFonts w:ascii="仿宋" w:hAnsi="仿宋" w:eastAsia="仿宋"/>
          <w:sz w:val="24"/>
          <w:szCs w:val="24"/>
        </w:rPr>
        <w:t>运行服务阶段要求</w:t>
      </w:r>
      <w:bookmarkEnd w:id="118"/>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运行服务阶段分为正式比赛和赛事收尾两</w:t>
      </w:r>
      <w:r>
        <w:rPr>
          <w:rFonts w:ascii="仿宋" w:hAnsi="仿宋" w:eastAsia="仿宋"/>
          <w:color w:val="000000"/>
          <w:sz w:val="24"/>
          <w:szCs w:val="24"/>
        </w:rPr>
        <w:t>个子阶段。正式比赛子阶段包括开闭幕式以及所有正式比赛项目。服务提供商应根据各个子阶段的服务目标和内容，合理调配人员、系统、设备等资源，提供优质服务，确保各个子阶段的服务目标顺利实现。</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服务提供商须按照组委会、国家体育总局体育信息中心和国家标准《信息技术服务</w:t>
      </w:r>
      <w:r>
        <w:rPr>
          <w:rFonts w:ascii="仿宋" w:hAnsi="仿宋" w:eastAsia="仿宋"/>
          <w:color w:val="000000"/>
          <w:sz w:val="24"/>
          <w:szCs w:val="24"/>
        </w:rPr>
        <w:t xml:space="preserve"> 运行维护》（GB∕T 28827）的要求提供相应的运维服务。</w:t>
      </w:r>
    </w:p>
    <w:p>
      <w:pPr>
        <w:pStyle w:val="4"/>
        <w:rPr>
          <w:rFonts w:ascii="仿宋" w:hAnsi="仿宋" w:eastAsia="仿宋"/>
          <w:sz w:val="24"/>
          <w:szCs w:val="24"/>
        </w:rPr>
      </w:pPr>
      <w:bookmarkStart w:id="119" w:name="_Toc54807106"/>
      <w:r>
        <w:rPr>
          <w:rFonts w:ascii="仿宋" w:hAnsi="仿宋" w:eastAsia="仿宋"/>
          <w:sz w:val="24"/>
          <w:szCs w:val="24"/>
        </w:rPr>
        <w:t>正式比赛</w:t>
      </w:r>
      <w:bookmarkEnd w:id="119"/>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按照服务内容的服务水平定义提供正式比赛及重大活动的系统运行、维护和保障服务。</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负责协助组织十四运会和残特奥会信息化项目在正式比赛阶段运行，负责协助解决在正式比赛运行阶段出现的技术问题。</w:t>
      </w:r>
    </w:p>
    <w:p>
      <w:pPr>
        <w:pStyle w:val="4"/>
        <w:rPr>
          <w:rFonts w:ascii="仿宋" w:hAnsi="仿宋" w:eastAsia="仿宋"/>
          <w:sz w:val="24"/>
          <w:szCs w:val="24"/>
        </w:rPr>
      </w:pPr>
      <w:bookmarkStart w:id="120" w:name="_Toc54807107"/>
      <w:r>
        <w:rPr>
          <w:rFonts w:ascii="仿宋" w:hAnsi="仿宋" w:eastAsia="仿宋"/>
          <w:sz w:val="24"/>
          <w:szCs w:val="24"/>
        </w:rPr>
        <w:t>赛事收尾</w:t>
      </w:r>
      <w:bookmarkEnd w:id="120"/>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正式比赛结束后对系统及服务的相关工作进行收尾工作，包括但不限于服务关闭、资料汇总归档、配合审计等。</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1）各类服务的关闭和设备的拆除应组织有序、登记在册；移交的资产应提供详实的说明文档，移交过程要有交接清单，并经双方签字盖章确认。</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2）服务提供商提供的信息化建设项目归档资料应全面且装订成册，方便查询。</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3）服务提供商在审计部门审计过程中应提供7×24小时服务，提供的资料应详实可信，确保审计工作顺利完成。</w:t>
      </w:r>
    </w:p>
    <w:p>
      <w:pPr>
        <w:pStyle w:val="2"/>
        <w:keepNext/>
        <w:keepLines/>
        <w:autoSpaceDE/>
        <w:autoSpaceDN/>
        <w:adjustRightInd/>
        <w:spacing w:before="340" w:after="330" w:line="578" w:lineRule="auto"/>
        <w:jc w:val="both"/>
        <w:rPr>
          <w:rFonts w:ascii="仿宋" w:hAnsi="仿宋" w:eastAsia="仿宋"/>
          <w:sz w:val="24"/>
          <w:szCs w:val="24"/>
        </w:rPr>
      </w:pPr>
      <w:bookmarkStart w:id="121" w:name="_Toc54807108"/>
      <w:r>
        <w:rPr>
          <w:rFonts w:hint="eastAsia" w:ascii="仿宋" w:hAnsi="仿宋" w:eastAsia="仿宋"/>
          <w:sz w:val="24"/>
          <w:szCs w:val="24"/>
        </w:rPr>
        <w:t>服务保障要求</w:t>
      </w:r>
      <w:bookmarkEnd w:id="121"/>
    </w:p>
    <w:p>
      <w:pPr>
        <w:pStyle w:val="3"/>
        <w:rPr>
          <w:rFonts w:ascii="仿宋" w:hAnsi="仿宋" w:eastAsia="仿宋"/>
          <w:sz w:val="24"/>
          <w:szCs w:val="24"/>
        </w:rPr>
      </w:pPr>
      <w:bookmarkStart w:id="122" w:name="_Toc54807109"/>
      <w:r>
        <w:rPr>
          <w:rFonts w:ascii="仿宋" w:hAnsi="仿宋" w:eastAsia="仿宋"/>
          <w:sz w:val="24"/>
          <w:szCs w:val="24"/>
        </w:rPr>
        <w:t>服务时间及服务方式要求</w:t>
      </w:r>
      <w:bookmarkEnd w:id="122"/>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服务时间：提供</w:t>
      </w:r>
      <w:r>
        <w:rPr>
          <w:rFonts w:ascii="仿宋" w:hAnsi="仿宋" w:eastAsia="仿宋"/>
          <w:color w:val="000000"/>
          <w:sz w:val="24"/>
          <w:szCs w:val="24"/>
        </w:rPr>
        <w:t>7*24小时不间断服务。</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服务方式：驻场服务</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服务提供商须为本项目组建稳定的、专业的、独立的服务团队，须在竞赛所在地设立专门的服务机构，专门负责本项目需求确认、系统部署、联调联试、赛前准备、赛时运行保障等工作。</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服务提供商须根据服务内容，提供满足服务需求，足以保证服务运行的服务人员，在系统集成、系统测试、联调联试、赛事运行以及重大活动期间提供相应的服务。</w:t>
      </w:r>
    </w:p>
    <w:p>
      <w:pPr>
        <w:pStyle w:val="3"/>
        <w:rPr>
          <w:rFonts w:ascii="仿宋" w:hAnsi="仿宋" w:eastAsia="仿宋"/>
          <w:sz w:val="24"/>
          <w:szCs w:val="24"/>
        </w:rPr>
      </w:pPr>
      <w:bookmarkStart w:id="123" w:name="_Toc54807110"/>
      <w:r>
        <w:rPr>
          <w:rFonts w:ascii="仿宋" w:hAnsi="仿宋" w:eastAsia="仿宋"/>
          <w:sz w:val="24"/>
          <w:szCs w:val="24"/>
        </w:rPr>
        <w:t>例行操作要求</w:t>
      </w:r>
      <w:bookmarkEnd w:id="123"/>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巡检要求：服务提供商应根据不同的服务内容，提出关键巡检指标，制定巡检计划。</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备份要求：服务提供商应根据不同的服务内容，提出备份策略，制定备份计划，保证在服务期间，如果发生问题，不影响服务的正常交付。</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服务结束后应提交巡检报告。</w:t>
      </w:r>
    </w:p>
    <w:p>
      <w:pPr>
        <w:pStyle w:val="3"/>
        <w:rPr>
          <w:rFonts w:ascii="仿宋" w:hAnsi="仿宋" w:eastAsia="仿宋"/>
          <w:sz w:val="24"/>
          <w:szCs w:val="24"/>
        </w:rPr>
      </w:pPr>
      <w:bookmarkStart w:id="124" w:name="_Toc54807111"/>
      <w:r>
        <w:rPr>
          <w:rFonts w:ascii="仿宋" w:hAnsi="仿宋" w:eastAsia="仿宋"/>
          <w:sz w:val="24"/>
          <w:szCs w:val="24"/>
        </w:rPr>
        <w:t>响应支持要求</w:t>
      </w:r>
      <w:bookmarkEnd w:id="124"/>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服务提供商应建立故障响应的机制，根据不同的服务内容，定义故障等级，按照故障等级进行响应。如涉及到核心功能的变更，必须提前三天向服务需求方提交变更申请，经审批后准予变更。</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服务结束后应提交故障总结报告。</w:t>
      </w:r>
    </w:p>
    <w:p>
      <w:pPr>
        <w:pStyle w:val="3"/>
        <w:rPr>
          <w:rFonts w:ascii="仿宋" w:hAnsi="仿宋" w:eastAsia="仿宋"/>
          <w:sz w:val="24"/>
          <w:szCs w:val="24"/>
        </w:rPr>
      </w:pPr>
      <w:bookmarkStart w:id="125" w:name="_Toc54807112"/>
      <w:r>
        <w:rPr>
          <w:rFonts w:ascii="仿宋" w:hAnsi="仿宋" w:eastAsia="仿宋"/>
          <w:sz w:val="24"/>
          <w:szCs w:val="24"/>
        </w:rPr>
        <w:t>应急响应要求</w:t>
      </w:r>
      <w:bookmarkEnd w:id="125"/>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服务提供商应根据不同的服务内容，制定相应的应急预案。应急预案应包括启动时机、应急组织、应急人员联络方式及详尽的应急方法和处理措施。</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服务期间如果发生应急事件，服务结束后应提交应急响应报告。</w:t>
      </w:r>
    </w:p>
    <w:p>
      <w:pPr>
        <w:pStyle w:val="3"/>
        <w:rPr>
          <w:rFonts w:ascii="仿宋" w:hAnsi="仿宋" w:eastAsia="仿宋"/>
          <w:sz w:val="24"/>
          <w:szCs w:val="24"/>
        </w:rPr>
      </w:pPr>
      <w:bookmarkStart w:id="126" w:name="_Toc54807113"/>
      <w:r>
        <w:rPr>
          <w:rFonts w:ascii="仿宋" w:hAnsi="仿宋" w:eastAsia="仿宋"/>
          <w:sz w:val="24"/>
          <w:szCs w:val="24"/>
        </w:rPr>
        <w:t>可用性要求</w:t>
      </w:r>
      <w:bookmarkEnd w:id="126"/>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在正式比赛期间，确保服务的可用性达到各系统可用性设计指标。</w:t>
      </w:r>
    </w:p>
    <w:p>
      <w:pPr>
        <w:pStyle w:val="2"/>
        <w:keepNext/>
        <w:keepLines/>
        <w:autoSpaceDE/>
        <w:autoSpaceDN/>
        <w:adjustRightInd/>
        <w:spacing w:before="340" w:after="330" w:line="578" w:lineRule="auto"/>
        <w:jc w:val="both"/>
        <w:rPr>
          <w:rFonts w:ascii="仿宋" w:hAnsi="仿宋" w:eastAsia="仿宋"/>
          <w:sz w:val="24"/>
          <w:szCs w:val="24"/>
        </w:rPr>
      </w:pPr>
      <w:bookmarkStart w:id="127" w:name="_Toc54807114"/>
      <w:r>
        <w:rPr>
          <w:rFonts w:hint="eastAsia" w:ascii="仿宋" w:hAnsi="仿宋" w:eastAsia="仿宋"/>
          <w:sz w:val="24"/>
          <w:szCs w:val="24"/>
        </w:rPr>
        <w:t>培训要求</w:t>
      </w:r>
      <w:bookmarkEnd w:id="127"/>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服务提供商应从全局角度出发，提供完整的培训方案，制定培训计划。</w:t>
      </w:r>
    </w:p>
    <w:p>
      <w:pPr>
        <w:pStyle w:val="3"/>
        <w:rPr>
          <w:rFonts w:ascii="仿宋" w:hAnsi="仿宋" w:eastAsia="仿宋"/>
          <w:sz w:val="24"/>
          <w:szCs w:val="24"/>
        </w:rPr>
      </w:pPr>
      <w:bookmarkStart w:id="128" w:name="_Toc54807115"/>
      <w:r>
        <w:rPr>
          <w:rFonts w:ascii="仿宋" w:hAnsi="仿宋" w:eastAsia="仿宋"/>
          <w:sz w:val="24"/>
          <w:szCs w:val="24"/>
        </w:rPr>
        <w:t>培训目标</w:t>
      </w:r>
      <w:bookmarkEnd w:id="128"/>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使相关人员熟悉十四运会和残特奥会的基本知识和业务流程，熟悉各系统及设施设备的操作要求和方法，保障系统安全可靠、高效的运行。</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使相关人员熟悉基本流程、服务规范，熟练操作各系统及设施设备的各项功能。</w:t>
      </w:r>
    </w:p>
    <w:p>
      <w:pPr>
        <w:pStyle w:val="3"/>
        <w:rPr>
          <w:rFonts w:ascii="仿宋" w:hAnsi="仿宋" w:eastAsia="仿宋"/>
          <w:sz w:val="24"/>
          <w:szCs w:val="24"/>
        </w:rPr>
      </w:pPr>
      <w:bookmarkStart w:id="129" w:name="_Toc54807116"/>
      <w:r>
        <w:rPr>
          <w:rFonts w:ascii="仿宋" w:hAnsi="仿宋" w:eastAsia="仿宋"/>
          <w:sz w:val="24"/>
          <w:szCs w:val="24"/>
        </w:rPr>
        <w:t>培训对象</w:t>
      </w:r>
      <w:bookmarkEnd w:id="129"/>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组委会工作人员、技术支持人员和志愿者等。</w:t>
      </w:r>
    </w:p>
    <w:p>
      <w:pPr>
        <w:pStyle w:val="3"/>
        <w:rPr>
          <w:rFonts w:ascii="仿宋" w:hAnsi="仿宋" w:eastAsia="仿宋"/>
          <w:sz w:val="24"/>
          <w:szCs w:val="24"/>
        </w:rPr>
      </w:pPr>
      <w:bookmarkStart w:id="130" w:name="_Toc54807117"/>
      <w:r>
        <w:rPr>
          <w:rFonts w:ascii="仿宋" w:hAnsi="仿宋" w:eastAsia="仿宋"/>
          <w:sz w:val="24"/>
          <w:szCs w:val="24"/>
        </w:rPr>
        <w:t>培训内容</w:t>
      </w:r>
      <w:bookmarkEnd w:id="130"/>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服务提供商应按照服务范围提供相应的培训，服务提供商须在培训计划中详细列明相应的培训教材、课程内容、师资和时间安排。</w:t>
      </w:r>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服务提供商应根据以往经验，结合十四运会和残特奥会信息化服务的要求，编制详尽培训方案。</w:t>
      </w:r>
    </w:p>
    <w:p>
      <w:pPr>
        <w:pStyle w:val="3"/>
        <w:rPr>
          <w:rFonts w:ascii="仿宋" w:hAnsi="仿宋" w:eastAsia="仿宋"/>
          <w:sz w:val="24"/>
          <w:szCs w:val="24"/>
        </w:rPr>
      </w:pPr>
      <w:bookmarkStart w:id="131" w:name="_Toc54807118"/>
      <w:r>
        <w:rPr>
          <w:rFonts w:ascii="仿宋" w:hAnsi="仿宋" w:eastAsia="仿宋"/>
          <w:sz w:val="24"/>
          <w:szCs w:val="24"/>
        </w:rPr>
        <w:t>培训费用</w:t>
      </w:r>
      <w:bookmarkEnd w:id="131"/>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所有培训费用（含培训教材费、场地费等）及各项支出可包含在各子系统报价中，无须单列。</w:t>
      </w:r>
    </w:p>
    <w:p>
      <w:pPr>
        <w:pStyle w:val="2"/>
        <w:keepNext/>
        <w:keepLines/>
        <w:autoSpaceDE/>
        <w:autoSpaceDN/>
        <w:adjustRightInd/>
        <w:spacing w:before="340" w:after="330" w:line="578" w:lineRule="auto"/>
        <w:jc w:val="both"/>
        <w:rPr>
          <w:rFonts w:ascii="仿宋" w:hAnsi="仿宋" w:eastAsia="仿宋"/>
          <w:sz w:val="24"/>
          <w:szCs w:val="24"/>
        </w:rPr>
      </w:pPr>
      <w:bookmarkStart w:id="132" w:name="_Toc54807119"/>
      <w:r>
        <w:rPr>
          <w:rFonts w:hint="eastAsia" w:ascii="仿宋" w:hAnsi="仿宋" w:eastAsia="仿宋"/>
          <w:sz w:val="24"/>
          <w:szCs w:val="24"/>
        </w:rPr>
        <w:t>验收要求</w:t>
      </w:r>
      <w:bookmarkEnd w:id="132"/>
    </w:p>
    <w:p>
      <w:pPr>
        <w:pStyle w:val="3"/>
        <w:rPr>
          <w:rFonts w:ascii="仿宋" w:hAnsi="仿宋" w:eastAsia="仿宋"/>
          <w:sz w:val="24"/>
          <w:szCs w:val="24"/>
        </w:rPr>
      </w:pPr>
      <w:bookmarkStart w:id="133" w:name="_Toc54807120"/>
      <w:r>
        <w:rPr>
          <w:rFonts w:ascii="仿宋" w:hAnsi="仿宋" w:eastAsia="仿宋"/>
          <w:sz w:val="24"/>
          <w:szCs w:val="24"/>
        </w:rPr>
        <w:t>初验</w:t>
      </w:r>
      <w:bookmarkEnd w:id="133"/>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服务提供商应在系统建设完成且集成测试通过后，提交初验申请。验收时应提交投标文件、项目合同、设计方案、各阶段成果、过程记录文档、变更纪要、集成测试报告等。</w:t>
      </w:r>
    </w:p>
    <w:p>
      <w:pPr>
        <w:pStyle w:val="3"/>
        <w:rPr>
          <w:rFonts w:ascii="仿宋" w:hAnsi="仿宋" w:eastAsia="仿宋"/>
          <w:sz w:val="24"/>
          <w:szCs w:val="24"/>
        </w:rPr>
      </w:pPr>
      <w:bookmarkStart w:id="134" w:name="_Toc54807121"/>
      <w:r>
        <w:rPr>
          <w:rFonts w:ascii="仿宋" w:hAnsi="仿宋" w:eastAsia="仿宋"/>
          <w:sz w:val="24"/>
          <w:szCs w:val="24"/>
        </w:rPr>
        <w:t>终验</w:t>
      </w:r>
      <w:bookmarkEnd w:id="134"/>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服务提供商应在联调联试通过，且按照组委会、国家体育总局体育信息中心要求完成测试赛、开闭幕式和正式比赛运行保障服务，完成信息化建设项目总体收尾工作后，提交终验申请。验收时应提交联调联试总结报告、测试赛和正式比赛阶段的服务总结报告、数据移交报告等。</w:t>
      </w:r>
    </w:p>
    <w:p>
      <w:pPr>
        <w:pStyle w:val="2"/>
        <w:keepNext/>
        <w:keepLines/>
        <w:autoSpaceDE/>
        <w:autoSpaceDN/>
        <w:adjustRightInd/>
        <w:spacing w:before="340" w:after="330" w:line="578" w:lineRule="auto"/>
        <w:jc w:val="both"/>
        <w:rPr>
          <w:rFonts w:ascii="仿宋" w:hAnsi="仿宋" w:eastAsia="仿宋"/>
          <w:sz w:val="24"/>
          <w:szCs w:val="24"/>
        </w:rPr>
      </w:pPr>
      <w:bookmarkStart w:id="135" w:name="_Toc54807122"/>
      <w:r>
        <w:rPr>
          <w:rFonts w:hint="eastAsia" w:ascii="仿宋" w:hAnsi="仿宋" w:eastAsia="仿宋"/>
          <w:sz w:val="24"/>
          <w:szCs w:val="24"/>
        </w:rPr>
        <w:t>工期要求</w:t>
      </w:r>
      <w:bookmarkEnd w:id="135"/>
    </w:p>
    <w:p>
      <w:pPr>
        <w:pStyle w:val="157"/>
        <w:ind w:left="840" w:firstLine="480"/>
        <w:rPr>
          <w:rFonts w:ascii="仿宋" w:hAnsi="仿宋" w:eastAsia="仿宋"/>
          <w:color w:val="000000"/>
          <w:sz w:val="24"/>
          <w:szCs w:val="24"/>
        </w:rPr>
      </w:pPr>
      <w:r>
        <w:rPr>
          <w:rFonts w:hint="eastAsia" w:ascii="仿宋" w:hAnsi="仿宋" w:eastAsia="仿宋"/>
          <w:color w:val="000000"/>
          <w:sz w:val="24"/>
          <w:szCs w:val="24"/>
        </w:rPr>
        <w:t>项目工期要求如下：</w:t>
      </w:r>
    </w:p>
    <w:tbl>
      <w:tblPr>
        <w:tblStyle w:val="5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2"/>
        <w:gridCol w:w="2743"/>
        <w:gridCol w:w="2334"/>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37" w:type="pct"/>
            <w:vAlign w:val="center"/>
          </w:tcPr>
          <w:p>
            <w:pPr>
              <w:rPr>
                <w:rFonts w:ascii="仿宋" w:hAnsi="仿宋" w:eastAsia="仿宋"/>
              </w:rPr>
            </w:pPr>
            <w:r>
              <w:rPr>
                <w:rFonts w:hint="eastAsia" w:ascii="仿宋" w:hAnsi="仿宋" w:eastAsia="仿宋"/>
              </w:rPr>
              <w:t>序号</w:t>
            </w:r>
          </w:p>
        </w:tc>
        <w:tc>
          <w:tcPr>
            <w:tcW w:w="1514" w:type="pct"/>
            <w:vAlign w:val="center"/>
          </w:tcPr>
          <w:p>
            <w:pPr>
              <w:rPr>
                <w:rFonts w:ascii="仿宋" w:hAnsi="仿宋" w:eastAsia="仿宋"/>
              </w:rPr>
            </w:pPr>
            <w:r>
              <w:rPr>
                <w:rFonts w:hint="eastAsia" w:ascii="仿宋" w:hAnsi="仿宋" w:eastAsia="仿宋"/>
              </w:rPr>
              <w:t>时间要求</w:t>
            </w:r>
          </w:p>
        </w:tc>
        <w:tc>
          <w:tcPr>
            <w:tcW w:w="1288" w:type="pct"/>
            <w:vAlign w:val="center"/>
          </w:tcPr>
          <w:p>
            <w:pPr>
              <w:rPr>
                <w:rFonts w:ascii="仿宋" w:hAnsi="仿宋" w:eastAsia="仿宋"/>
              </w:rPr>
            </w:pPr>
            <w:r>
              <w:rPr>
                <w:rFonts w:hint="eastAsia" w:ascii="仿宋" w:hAnsi="仿宋" w:eastAsia="仿宋"/>
              </w:rPr>
              <w:t>阶段任务</w:t>
            </w:r>
          </w:p>
        </w:tc>
        <w:tc>
          <w:tcPr>
            <w:tcW w:w="1761" w:type="pct"/>
            <w:vAlign w:val="center"/>
          </w:tcPr>
          <w:p>
            <w:pPr>
              <w:rPr>
                <w:rFonts w:ascii="仿宋" w:hAnsi="仿宋" w:eastAsia="仿宋"/>
              </w:rPr>
            </w:pPr>
            <w:r>
              <w:rPr>
                <w:rFonts w:hint="eastAsia" w:ascii="仿宋" w:hAnsi="仿宋" w:eastAsia="仿宋"/>
              </w:rPr>
              <w:t>交付成果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ascii="仿宋" w:hAnsi="仿宋" w:eastAsia="仿宋"/>
              </w:rPr>
              <w:t>1</w:t>
            </w:r>
          </w:p>
        </w:tc>
        <w:tc>
          <w:tcPr>
            <w:tcW w:w="1514" w:type="pct"/>
            <w:vAlign w:val="center"/>
          </w:tcPr>
          <w:p>
            <w:pPr>
              <w:rPr>
                <w:rFonts w:ascii="仿宋" w:hAnsi="仿宋" w:eastAsia="仿宋"/>
              </w:rPr>
            </w:pPr>
            <w:r>
              <w:rPr>
                <w:rFonts w:ascii="仿宋" w:hAnsi="仿宋" w:eastAsia="仿宋"/>
              </w:rPr>
              <w:t>2020年1</w:t>
            </w:r>
            <w:r>
              <w:rPr>
                <w:rFonts w:hint="eastAsia" w:ascii="仿宋" w:hAnsi="仿宋" w:eastAsia="仿宋"/>
              </w:rPr>
              <w:t>2月</w:t>
            </w:r>
          </w:p>
        </w:tc>
        <w:tc>
          <w:tcPr>
            <w:tcW w:w="1288" w:type="pct"/>
            <w:vAlign w:val="center"/>
          </w:tcPr>
          <w:p>
            <w:pPr>
              <w:rPr>
                <w:rFonts w:ascii="仿宋" w:hAnsi="仿宋" w:eastAsia="仿宋"/>
              </w:rPr>
            </w:pPr>
            <w:r>
              <w:rPr>
                <w:rFonts w:hint="eastAsia" w:ascii="仿宋" w:hAnsi="仿宋" w:eastAsia="仿宋"/>
              </w:rPr>
              <w:t>完成方案编制</w:t>
            </w:r>
          </w:p>
        </w:tc>
        <w:tc>
          <w:tcPr>
            <w:tcW w:w="1761" w:type="pct"/>
            <w:vAlign w:val="center"/>
          </w:tcPr>
          <w:p>
            <w:pPr>
              <w:rPr>
                <w:rFonts w:ascii="仿宋" w:hAnsi="仿宋" w:eastAsia="仿宋"/>
              </w:rPr>
            </w:pPr>
            <w:r>
              <w:rPr>
                <w:rFonts w:hint="eastAsia" w:ascii="仿宋" w:hAnsi="仿宋" w:eastAsia="仿宋"/>
              </w:rPr>
              <w:t>设计方案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ascii="仿宋" w:hAnsi="仿宋" w:eastAsia="仿宋"/>
              </w:rPr>
              <w:t>2</w:t>
            </w:r>
          </w:p>
        </w:tc>
        <w:tc>
          <w:tcPr>
            <w:tcW w:w="1514" w:type="pct"/>
            <w:vAlign w:val="center"/>
          </w:tcPr>
          <w:p>
            <w:pPr>
              <w:rPr>
                <w:rFonts w:ascii="仿宋" w:hAnsi="仿宋" w:eastAsia="仿宋"/>
              </w:rPr>
            </w:pPr>
            <w:r>
              <w:rPr>
                <w:rFonts w:hint="eastAsia" w:ascii="仿宋" w:hAnsi="仿宋" w:eastAsia="仿宋"/>
              </w:rPr>
              <w:t>2020年</w:t>
            </w:r>
            <w:r>
              <w:rPr>
                <w:rFonts w:ascii="仿宋" w:hAnsi="仿宋" w:eastAsia="仿宋"/>
              </w:rPr>
              <w:t>12</w:t>
            </w:r>
            <w:r>
              <w:rPr>
                <w:rFonts w:hint="eastAsia" w:ascii="仿宋" w:hAnsi="仿宋" w:eastAsia="仿宋"/>
              </w:rPr>
              <w:t>月</w:t>
            </w:r>
          </w:p>
        </w:tc>
        <w:tc>
          <w:tcPr>
            <w:tcW w:w="1288" w:type="pct"/>
            <w:vAlign w:val="center"/>
          </w:tcPr>
          <w:p>
            <w:pPr>
              <w:rPr>
                <w:rFonts w:ascii="仿宋" w:hAnsi="仿宋" w:eastAsia="仿宋"/>
              </w:rPr>
            </w:pPr>
            <w:r>
              <w:rPr>
                <w:rFonts w:hint="eastAsia" w:ascii="仿宋" w:hAnsi="仿宋" w:eastAsia="仿宋"/>
              </w:rPr>
              <w:t>完成系统建设和集成</w:t>
            </w:r>
          </w:p>
        </w:tc>
        <w:tc>
          <w:tcPr>
            <w:tcW w:w="1761" w:type="pct"/>
            <w:vAlign w:val="center"/>
          </w:tcPr>
          <w:p>
            <w:pPr>
              <w:rPr>
                <w:rFonts w:ascii="仿宋" w:hAnsi="仿宋" w:eastAsia="仿宋"/>
              </w:rPr>
            </w:pPr>
            <w:r>
              <w:rPr>
                <w:rFonts w:hint="eastAsia" w:ascii="仿宋" w:hAnsi="仿宋" w:eastAsia="仿宋"/>
              </w:rPr>
              <w:t>系统建设各阶段成果、过程记录文档、变更纪要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hint="eastAsia" w:ascii="仿宋" w:hAnsi="仿宋" w:eastAsia="仿宋"/>
              </w:rPr>
              <w:t>3</w:t>
            </w:r>
          </w:p>
        </w:tc>
        <w:tc>
          <w:tcPr>
            <w:tcW w:w="1514" w:type="pct"/>
            <w:vAlign w:val="center"/>
          </w:tcPr>
          <w:p>
            <w:pPr>
              <w:rPr>
                <w:rFonts w:ascii="仿宋" w:hAnsi="仿宋" w:eastAsia="仿宋"/>
              </w:rPr>
            </w:pPr>
            <w:r>
              <w:rPr>
                <w:rFonts w:hint="eastAsia" w:ascii="仿宋" w:hAnsi="仿宋" w:eastAsia="仿宋"/>
              </w:rPr>
              <w:t>2021年</w:t>
            </w:r>
            <w:r>
              <w:rPr>
                <w:rFonts w:ascii="仿宋" w:hAnsi="仿宋" w:eastAsia="仿宋"/>
              </w:rPr>
              <w:t>1</w:t>
            </w:r>
            <w:r>
              <w:rPr>
                <w:rFonts w:hint="eastAsia" w:ascii="仿宋" w:hAnsi="仿宋" w:eastAsia="仿宋"/>
              </w:rPr>
              <w:t>月-</w:t>
            </w:r>
            <w:r>
              <w:rPr>
                <w:rFonts w:ascii="仿宋" w:hAnsi="仿宋" w:eastAsia="仿宋"/>
              </w:rPr>
              <w:t>2</w:t>
            </w:r>
            <w:r>
              <w:rPr>
                <w:rFonts w:hint="eastAsia" w:ascii="仿宋" w:hAnsi="仿宋" w:eastAsia="仿宋"/>
              </w:rPr>
              <w:t>月</w:t>
            </w:r>
          </w:p>
        </w:tc>
        <w:tc>
          <w:tcPr>
            <w:tcW w:w="1288" w:type="pct"/>
            <w:vAlign w:val="center"/>
          </w:tcPr>
          <w:p>
            <w:pPr>
              <w:rPr>
                <w:rFonts w:ascii="仿宋" w:hAnsi="仿宋" w:eastAsia="仿宋"/>
              </w:rPr>
            </w:pPr>
            <w:r>
              <w:rPr>
                <w:rFonts w:hint="eastAsia" w:ascii="仿宋" w:hAnsi="仿宋" w:eastAsia="仿宋"/>
              </w:rPr>
              <w:t>完成集成测试</w:t>
            </w:r>
          </w:p>
        </w:tc>
        <w:tc>
          <w:tcPr>
            <w:tcW w:w="1761" w:type="pct"/>
            <w:vAlign w:val="center"/>
          </w:tcPr>
          <w:p>
            <w:pPr>
              <w:rPr>
                <w:rFonts w:ascii="仿宋" w:hAnsi="仿宋" w:eastAsia="仿宋"/>
              </w:rPr>
            </w:pPr>
            <w:r>
              <w:rPr>
                <w:rFonts w:hint="eastAsia" w:ascii="仿宋" w:hAnsi="仿宋" w:eastAsia="仿宋"/>
              </w:rPr>
              <w:t>集成测试报告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hint="eastAsia" w:ascii="仿宋" w:hAnsi="仿宋" w:eastAsia="仿宋"/>
              </w:rPr>
              <w:t>4</w:t>
            </w:r>
          </w:p>
        </w:tc>
        <w:tc>
          <w:tcPr>
            <w:tcW w:w="1514" w:type="pct"/>
            <w:vAlign w:val="center"/>
          </w:tcPr>
          <w:p>
            <w:pPr>
              <w:rPr>
                <w:rFonts w:ascii="仿宋" w:hAnsi="仿宋" w:eastAsia="仿宋"/>
              </w:rPr>
            </w:pPr>
            <w:r>
              <w:rPr>
                <w:rFonts w:hint="eastAsia" w:ascii="仿宋" w:hAnsi="仿宋" w:eastAsia="仿宋"/>
              </w:rPr>
              <w:t>2021年</w:t>
            </w:r>
            <w:r>
              <w:rPr>
                <w:rFonts w:ascii="仿宋" w:hAnsi="仿宋" w:eastAsia="仿宋"/>
              </w:rPr>
              <w:t>2</w:t>
            </w:r>
            <w:r>
              <w:rPr>
                <w:rFonts w:hint="eastAsia" w:ascii="仿宋" w:hAnsi="仿宋" w:eastAsia="仿宋"/>
              </w:rPr>
              <w:t>月-</w:t>
            </w:r>
            <w:r>
              <w:rPr>
                <w:rFonts w:ascii="仿宋" w:hAnsi="仿宋" w:eastAsia="仿宋"/>
              </w:rPr>
              <w:t>3</w:t>
            </w:r>
            <w:r>
              <w:rPr>
                <w:rFonts w:hint="eastAsia" w:ascii="仿宋" w:hAnsi="仿宋" w:eastAsia="仿宋"/>
              </w:rPr>
              <w:t>月</w:t>
            </w:r>
          </w:p>
        </w:tc>
        <w:tc>
          <w:tcPr>
            <w:tcW w:w="3049" w:type="pct"/>
            <w:gridSpan w:val="2"/>
            <w:vAlign w:val="center"/>
          </w:tcPr>
          <w:p>
            <w:pPr>
              <w:rPr>
                <w:rFonts w:ascii="仿宋" w:hAnsi="仿宋" w:eastAsia="仿宋"/>
              </w:rPr>
            </w:pPr>
            <w:r>
              <w:rPr>
                <w:rFonts w:hint="eastAsia" w:ascii="仿宋" w:hAnsi="仿宋" w:eastAsia="仿宋"/>
              </w:rPr>
              <w:t>组织</w:t>
            </w:r>
            <w:r>
              <w:rPr>
                <w:rFonts w:ascii="仿宋" w:hAnsi="仿宋" w:eastAsia="仿宋"/>
              </w:rPr>
              <w:t>项目</w:t>
            </w:r>
            <w:r>
              <w:rPr>
                <w:rFonts w:hint="eastAsia" w:ascii="仿宋" w:hAnsi="仿宋" w:eastAsia="仿宋"/>
              </w:rPr>
              <w:t>初验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hint="eastAsia" w:ascii="仿宋" w:hAnsi="仿宋" w:eastAsia="仿宋"/>
              </w:rPr>
              <w:t>5</w:t>
            </w:r>
          </w:p>
        </w:tc>
        <w:tc>
          <w:tcPr>
            <w:tcW w:w="1514" w:type="pct"/>
            <w:vAlign w:val="center"/>
          </w:tcPr>
          <w:p>
            <w:pPr>
              <w:rPr>
                <w:rFonts w:ascii="仿宋" w:hAnsi="仿宋" w:eastAsia="仿宋"/>
              </w:rPr>
            </w:pPr>
            <w:r>
              <w:rPr>
                <w:rFonts w:ascii="仿宋" w:hAnsi="仿宋" w:eastAsia="仿宋"/>
              </w:rPr>
              <w:t>2021</w:t>
            </w:r>
            <w:r>
              <w:rPr>
                <w:rFonts w:hint="eastAsia" w:ascii="仿宋" w:hAnsi="仿宋" w:eastAsia="仿宋"/>
              </w:rPr>
              <w:t>年</w:t>
            </w:r>
            <w:r>
              <w:rPr>
                <w:rFonts w:ascii="仿宋" w:hAnsi="仿宋" w:eastAsia="仿宋"/>
              </w:rPr>
              <w:t>3</w:t>
            </w:r>
            <w:r>
              <w:rPr>
                <w:rFonts w:hint="eastAsia" w:ascii="仿宋" w:hAnsi="仿宋" w:eastAsia="仿宋"/>
              </w:rPr>
              <w:t>月</w:t>
            </w:r>
            <w:r>
              <w:rPr>
                <w:rFonts w:ascii="仿宋" w:hAnsi="仿宋" w:eastAsia="仿宋"/>
              </w:rPr>
              <w:t>-8</w:t>
            </w:r>
            <w:r>
              <w:rPr>
                <w:rFonts w:hint="eastAsia" w:ascii="仿宋" w:hAnsi="仿宋" w:eastAsia="仿宋"/>
              </w:rPr>
              <w:t>月</w:t>
            </w:r>
          </w:p>
        </w:tc>
        <w:tc>
          <w:tcPr>
            <w:tcW w:w="1288" w:type="pct"/>
            <w:vAlign w:val="center"/>
          </w:tcPr>
          <w:p>
            <w:pPr>
              <w:rPr>
                <w:rFonts w:ascii="仿宋" w:hAnsi="仿宋" w:eastAsia="仿宋"/>
              </w:rPr>
            </w:pPr>
            <w:r>
              <w:rPr>
                <w:rFonts w:hint="eastAsia" w:ascii="仿宋" w:hAnsi="仿宋" w:eastAsia="仿宋"/>
              </w:rPr>
              <w:t>完成测试赛</w:t>
            </w:r>
          </w:p>
        </w:tc>
        <w:tc>
          <w:tcPr>
            <w:tcW w:w="1761" w:type="pct"/>
            <w:vAlign w:val="center"/>
          </w:tcPr>
          <w:p>
            <w:pPr>
              <w:rPr>
                <w:rFonts w:ascii="仿宋" w:hAnsi="仿宋" w:eastAsia="仿宋"/>
              </w:rPr>
            </w:pPr>
            <w:r>
              <w:rPr>
                <w:rFonts w:ascii="仿宋" w:hAnsi="仿宋" w:eastAsia="仿宋"/>
              </w:rPr>
              <w:t>测试赛服务</w:t>
            </w:r>
            <w:r>
              <w:rPr>
                <w:rFonts w:hint="eastAsia" w:ascii="仿宋" w:hAnsi="仿宋" w:eastAsia="仿宋"/>
              </w:rPr>
              <w:t>总结</w:t>
            </w:r>
            <w:r>
              <w:rPr>
                <w:rFonts w:ascii="仿宋" w:hAnsi="仿宋" w:eastAsia="仿宋"/>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hint="eastAsia" w:ascii="仿宋" w:hAnsi="仿宋" w:eastAsia="仿宋"/>
              </w:rPr>
              <w:t>6</w:t>
            </w:r>
          </w:p>
        </w:tc>
        <w:tc>
          <w:tcPr>
            <w:tcW w:w="1514" w:type="pct"/>
            <w:vAlign w:val="center"/>
          </w:tcPr>
          <w:p>
            <w:pPr>
              <w:rPr>
                <w:rFonts w:ascii="仿宋" w:hAnsi="仿宋" w:eastAsia="仿宋"/>
              </w:rPr>
            </w:pPr>
            <w:r>
              <w:rPr>
                <w:rFonts w:ascii="仿宋" w:hAnsi="仿宋" w:eastAsia="仿宋"/>
              </w:rPr>
              <w:t>2021</w:t>
            </w:r>
            <w:r>
              <w:rPr>
                <w:rFonts w:hint="eastAsia" w:ascii="仿宋" w:hAnsi="仿宋" w:eastAsia="仿宋"/>
              </w:rPr>
              <w:t>年</w:t>
            </w:r>
            <w:r>
              <w:rPr>
                <w:rFonts w:ascii="仿宋" w:hAnsi="仿宋" w:eastAsia="仿宋"/>
              </w:rPr>
              <w:t>7</w:t>
            </w:r>
            <w:r>
              <w:rPr>
                <w:rFonts w:hint="eastAsia" w:ascii="仿宋" w:hAnsi="仿宋" w:eastAsia="仿宋"/>
              </w:rPr>
              <w:t>月</w:t>
            </w:r>
            <w:r>
              <w:rPr>
                <w:rFonts w:ascii="仿宋" w:hAnsi="仿宋" w:eastAsia="仿宋"/>
              </w:rPr>
              <w:t>-8</w:t>
            </w:r>
            <w:r>
              <w:rPr>
                <w:rFonts w:hint="eastAsia" w:ascii="仿宋" w:hAnsi="仿宋" w:eastAsia="仿宋"/>
              </w:rPr>
              <w:t>月</w:t>
            </w:r>
          </w:p>
        </w:tc>
        <w:tc>
          <w:tcPr>
            <w:tcW w:w="1288" w:type="pct"/>
            <w:vAlign w:val="center"/>
          </w:tcPr>
          <w:p>
            <w:pPr>
              <w:rPr>
                <w:rFonts w:ascii="仿宋" w:hAnsi="仿宋" w:eastAsia="仿宋"/>
              </w:rPr>
            </w:pPr>
            <w:r>
              <w:rPr>
                <w:rFonts w:hint="eastAsia" w:ascii="仿宋" w:hAnsi="仿宋" w:eastAsia="仿宋"/>
              </w:rPr>
              <w:t>完成联调联试</w:t>
            </w:r>
          </w:p>
        </w:tc>
        <w:tc>
          <w:tcPr>
            <w:tcW w:w="1761" w:type="pct"/>
            <w:vAlign w:val="center"/>
          </w:tcPr>
          <w:p>
            <w:pPr>
              <w:rPr>
                <w:rFonts w:ascii="仿宋" w:hAnsi="仿宋" w:eastAsia="仿宋"/>
              </w:rPr>
            </w:pPr>
            <w:r>
              <w:rPr>
                <w:rFonts w:hint="eastAsia" w:ascii="仿宋" w:hAnsi="仿宋" w:eastAsia="仿宋"/>
              </w:rPr>
              <w:t>联调联试总结报告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hint="eastAsia" w:ascii="仿宋" w:hAnsi="仿宋" w:eastAsia="仿宋"/>
              </w:rPr>
              <w:t>7</w:t>
            </w:r>
          </w:p>
        </w:tc>
        <w:tc>
          <w:tcPr>
            <w:tcW w:w="1514" w:type="pct"/>
            <w:vAlign w:val="center"/>
          </w:tcPr>
          <w:p>
            <w:pPr>
              <w:rPr>
                <w:rFonts w:ascii="仿宋" w:hAnsi="仿宋" w:eastAsia="仿宋"/>
              </w:rPr>
            </w:pPr>
            <w:r>
              <w:rPr>
                <w:rFonts w:hint="eastAsia" w:ascii="仿宋" w:hAnsi="仿宋" w:eastAsia="仿宋"/>
              </w:rPr>
              <w:t>2021年</w:t>
            </w:r>
            <w:r>
              <w:rPr>
                <w:rFonts w:ascii="仿宋" w:hAnsi="仿宋" w:eastAsia="仿宋"/>
              </w:rPr>
              <w:t>9</w:t>
            </w:r>
            <w:r>
              <w:rPr>
                <w:rFonts w:hint="eastAsia" w:ascii="仿宋" w:hAnsi="仿宋" w:eastAsia="仿宋"/>
              </w:rPr>
              <w:t>月-</w:t>
            </w:r>
            <w:r>
              <w:rPr>
                <w:rFonts w:ascii="仿宋" w:hAnsi="仿宋" w:eastAsia="仿宋"/>
              </w:rPr>
              <w:t>10</w:t>
            </w:r>
            <w:r>
              <w:rPr>
                <w:rFonts w:hint="eastAsia" w:ascii="仿宋" w:hAnsi="仿宋" w:eastAsia="仿宋"/>
              </w:rPr>
              <w:t>月</w:t>
            </w:r>
          </w:p>
        </w:tc>
        <w:tc>
          <w:tcPr>
            <w:tcW w:w="1288" w:type="pct"/>
            <w:vAlign w:val="center"/>
          </w:tcPr>
          <w:p>
            <w:pPr>
              <w:rPr>
                <w:rFonts w:ascii="仿宋" w:hAnsi="仿宋" w:eastAsia="仿宋"/>
              </w:rPr>
            </w:pPr>
            <w:r>
              <w:rPr>
                <w:rFonts w:hint="eastAsia" w:ascii="仿宋" w:hAnsi="仿宋" w:eastAsia="仿宋"/>
              </w:rPr>
              <w:t>完成正式比赛</w:t>
            </w:r>
          </w:p>
        </w:tc>
        <w:tc>
          <w:tcPr>
            <w:tcW w:w="1761" w:type="pct"/>
            <w:vAlign w:val="center"/>
          </w:tcPr>
          <w:p>
            <w:pPr>
              <w:rPr>
                <w:rFonts w:ascii="仿宋" w:hAnsi="仿宋" w:eastAsia="仿宋"/>
              </w:rPr>
            </w:pPr>
            <w:r>
              <w:rPr>
                <w:rFonts w:hint="eastAsia" w:ascii="仿宋" w:hAnsi="仿宋" w:eastAsia="仿宋"/>
              </w:rPr>
              <w:t>正式比赛</w:t>
            </w:r>
            <w:r>
              <w:rPr>
                <w:rFonts w:ascii="仿宋" w:hAnsi="仿宋" w:eastAsia="仿宋"/>
              </w:rPr>
              <w:t>服务</w:t>
            </w:r>
            <w:r>
              <w:rPr>
                <w:rFonts w:hint="eastAsia" w:ascii="仿宋" w:hAnsi="仿宋" w:eastAsia="仿宋"/>
              </w:rPr>
              <w:t>总结</w:t>
            </w:r>
            <w:r>
              <w:rPr>
                <w:rFonts w:ascii="仿宋" w:hAnsi="仿宋" w:eastAsia="仿宋"/>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hint="eastAsia" w:ascii="仿宋" w:hAnsi="仿宋" w:eastAsia="仿宋"/>
              </w:rPr>
              <w:t>8</w:t>
            </w:r>
          </w:p>
        </w:tc>
        <w:tc>
          <w:tcPr>
            <w:tcW w:w="1514" w:type="pct"/>
            <w:vAlign w:val="center"/>
          </w:tcPr>
          <w:p>
            <w:pPr>
              <w:rPr>
                <w:rFonts w:ascii="仿宋" w:hAnsi="仿宋" w:eastAsia="仿宋"/>
              </w:rPr>
            </w:pPr>
            <w:r>
              <w:rPr>
                <w:rFonts w:hint="eastAsia" w:ascii="仿宋" w:hAnsi="仿宋" w:eastAsia="仿宋"/>
              </w:rPr>
              <w:t>2021年</w:t>
            </w:r>
            <w:r>
              <w:rPr>
                <w:rFonts w:ascii="仿宋" w:hAnsi="仿宋" w:eastAsia="仿宋"/>
              </w:rPr>
              <w:t>10</w:t>
            </w:r>
            <w:r>
              <w:rPr>
                <w:rFonts w:hint="eastAsia" w:ascii="仿宋" w:hAnsi="仿宋" w:eastAsia="仿宋"/>
              </w:rPr>
              <w:t>月</w:t>
            </w:r>
          </w:p>
        </w:tc>
        <w:tc>
          <w:tcPr>
            <w:tcW w:w="3049" w:type="pct"/>
            <w:gridSpan w:val="2"/>
            <w:vAlign w:val="center"/>
          </w:tcPr>
          <w:p>
            <w:pPr>
              <w:rPr>
                <w:rFonts w:ascii="仿宋" w:hAnsi="仿宋" w:eastAsia="仿宋"/>
              </w:rPr>
            </w:pPr>
            <w:r>
              <w:rPr>
                <w:rFonts w:hint="eastAsia" w:ascii="仿宋" w:hAnsi="仿宋" w:eastAsia="仿宋"/>
              </w:rPr>
              <w:t>组织</w:t>
            </w:r>
            <w:r>
              <w:rPr>
                <w:rFonts w:ascii="仿宋" w:hAnsi="仿宋" w:eastAsia="仿宋"/>
              </w:rPr>
              <w:t>项目</w:t>
            </w:r>
            <w:r>
              <w:rPr>
                <w:rFonts w:hint="eastAsia" w:ascii="仿宋" w:hAnsi="仿宋" w:eastAsia="仿宋"/>
              </w:rPr>
              <w:t>终验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pct"/>
            <w:vAlign w:val="center"/>
          </w:tcPr>
          <w:p>
            <w:pPr>
              <w:rPr>
                <w:rFonts w:ascii="仿宋" w:hAnsi="仿宋" w:eastAsia="仿宋"/>
              </w:rPr>
            </w:pPr>
            <w:r>
              <w:rPr>
                <w:rFonts w:hint="eastAsia" w:ascii="仿宋" w:hAnsi="仿宋" w:eastAsia="仿宋"/>
              </w:rPr>
              <w:t>9</w:t>
            </w:r>
          </w:p>
        </w:tc>
        <w:tc>
          <w:tcPr>
            <w:tcW w:w="1514" w:type="pct"/>
            <w:vAlign w:val="center"/>
          </w:tcPr>
          <w:p>
            <w:pPr>
              <w:rPr>
                <w:rFonts w:ascii="仿宋" w:hAnsi="仿宋" w:eastAsia="仿宋"/>
              </w:rPr>
            </w:pPr>
            <w:r>
              <w:rPr>
                <w:rFonts w:hint="eastAsia" w:ascii="仿宋" w:hAnsi="仿宋" w:eastAsia="仿宋"/>
              </w:rPr>
              <w:t>2021年</w:t>
            </w:r>
            <w:r>
              <w:rPr>
                <w:rFonts w:ascii="仿宋" w:hAnsi="仿宋" w:eastAsia="仿宋"/>
              </w:rPr>
              <w:t>10</w:t>
            </w:r>
            <w:r>
              <w:rPr>
                <w:rFonts w:hint="eastAsia" w:ascii="仿宋" w:hAnsi="仿宋" w:eastAsia="仿宋"/>
              </w:rPr>
              <w:t>月至审计结束</w:t>
            </w:r>
          </w:p>
        </w:tc>
        <w:tc>
          <w:tcPr>
            <w:tcW w:w="1288" w:type="pct"/>
            <w:vAlign w:val="center"/>
          </w:tcPr>
          <w:p>
            <w:pPr>
              <w:rPr>
                <w:rFonts w:ascii="仿宋" w:hAnsi="仿宋" w:eastAsia="仿宋"/>
              </w:rPr>
            </w:pPr>
            <w:r>
              <w:rPr>
                <w:rFonts w:hint="eastAsia" w:ascii="仿宋" w:hAnsi="仿宋" w:eastAsia="仿宋"/>
              </w:rPr>
              <w:t>完成赛事</w:t>
            </w:r>
            <w:r>
              <w:rPr>
                <w:rFonts w:ascii="仿宋" w:hAnsi="仿宋" w:eastAsia="仿宋"/>
              </w:rPr>
              <w:t>收尾工作</w:t>
            </w:r>
          </w:p>
        </w:tc>
        <w:tc>
          <w:tcPr>
            <w:tcW w:w="1761" w:type="pct"/>
            <w:vAlign w:val="center"/>
          </w:tcPr>
          <w:p>
            <w:pPr>
              <w:rPr>
                <w:rFonts w:ascii="仿宋" w:hAnsi="仿宋" w:eastAsia="仿宋"/>
              </w:rPr>
            </w:pPr>
            <w:r>
              <w:rPr>
                <w:rFonts w:hint="eastAsia" w:ascii="仿宋" w:hAnsi="仿宋" w:eastAsia="仿宋"/>
              </w:rPr>
              <w:t>移交相关资料</w:t>
            </w:r>
          </w:p>
        </w:tc>
      </w:tr>
    </w:tbl>
    <w:p>
      <w:pPr>
        <w:pStyle w:val="157"/>
        <w:ind w:left="840" w:firstLine="480"/>
        <w:rPr>
          <w:rFonts w:ascii="仿宋" w:hAnsi="仿宋" w:eastAsia="仿宋"/>
          <w:sz w:val="24"/>
          <w:szCs w:val="24"/>
        </w:rPr>
      </w:pPr>
      <w:r>
        <w:rPr>
          <w:rFonts w:hint="eastAsia" w:ascii="仿宋" w:hAnsi="仿宋" w:eastAsia="仿宋"/>
          <w:sz w:val="24"/>
          <w:szCs w:val="24"/>
        </w:rPr>
        <w:t>服务提供商必须</w:t>
      </w:r>
      <w:r>
        <w:rPr>
          <w:rFonts w:ascii="仿宋" w:hAnsi="仿宋" w:eastAsia="仿宋"/>
          <w:sz w:val="24"/>
          <w:szCs w:val="24"/>
        </w:rPr>
        <w:t>严格按照工期要求</w:t>
      </w:r>
      <w:r>
        <w:rPr>
          <w:rFonts w:hint="eastAsia" w:ascii="仿宋" w:hAnsi="仿宋" w:eastAsia="仿宋"/>
          <w:sz w:val="24"/>
          <w:szCs w:val="24"/>
        </w:rPr>
        <w:t>组织实施</w:t>
      </w:r>
      <w:r>
        <w:rPr>
          <w:rFonts w:ascii="仿宋" w:hAnsi="仿宋" w:eastAsia="仿宋"/>
          <w:sz w:val="24"/>
          <w:szCs w:val="24"/>
        </w:rPr>
        <w:t>，</w:t>
      </w:r>
      <w:r>
        <w:rPr>
          <w:rFonts w:hint="eastAsia" w:ascii="仿宋" w:hAnsi="仿宋" w:eastAsia="仿宋"/>
          <w:sz w:val="24"/>
          <w:szCs w:val="24"/>
        </w:rPr>
        <w:t>确保</w:t>
      </w:r>
      <w:r>
        <w:rPr>
          <w:rFonts w:ascii="仿宋" w:hAnsi="仿宋" w:eastAsia="仿宋"/>
          <w:sz w:val="24"/>
          <w:szCs w:val="24"/>
        </w:rPr>
        <w:t>在规定的时间节点前完成。</w:t>
      </w:r>
      <w:r>
        <w:rPr>
          <w:rFonts w:hint="eastAsia" w:ascii="仿宋" w:hAnsi="仿宋" w:eastAsia="仿宋"/>
          <w:sz w:val="24"/>
          <w:szCs w:val="24"/>
        </w:rPr>
        <w:t>必要时</w:t>
      </w:r>
      <w:r>
        <w:rPr>
          <w:rFonts w:ascii="仿宋" w:hAnsi="仿宋" w:eastAsia="仿宋"/>
          <w:sz w:val="24"/>
          <w:szCs w:val="24"/>
        </w:rPr>
        <w:t>，</w:t>
      </w:r>
      <w:r>
        <w:rPr>
          <w:rFonts w:hint="eastAsia" w:ascii="仿宋" w:hAnsi="仿宋" w:eastAsia="仿宋"/>
          <w:sz w:val="24"/>
          <w:szCs w:val="24"/>
        </w:rPr>
        <w:t>服务提供商应根据服务需求方要求对工期进行调整。</w:t>
      </w:r>
    </w:p>
    <w:p>
      <w:pPr>
        <w:pStyle w:val="2"/>
        <w:keepNext/>
        <w:keepLines/>
        <w:autoSpaceDE/>
        <w:autoSpaceDN/>
        <w:adjustRightInd/>
        <w:spacing w:before="340" w:after="330" w:line="578" w:lineRule="auto"/>
        <w:jc w:val="both"/>
        <w:rPr>
          <w:rFonts w:ascii="仿宋" w:hAnsi="仿宋" w:eastAsia="仿宋"/>
          <w:sz w:val="24"/>
          <w:szCs w:val="24"/>
        </w:rPr>
      </w:pPr>
      <w:bookmarkStart w:id="136" w:name="_Toc54807123"/>
      <w:r>
        <w:rPr>
          <w:rFonts w:hint="eastAsia" w:ascii="仿宋" w:hAnsi="仿宋" w:eastAsia="仿宋"/>
          <w:sz w:val="24"/>
          <w:szCs w:val="24"/>
        </w:rPr>
        <w:t>结算方式</w:t>
      </w:r>
      <w:bookmarkEnd w:id="136"/>
    </w:p>
    <w:p>
      <w:pPr>
        <w:pStyle w:val="157"/>
        <w:ind w:left="840" w:firstLine="480"/>
        <w:rPr>
          <w:rFonts w:ascii="仿宋" w:hAnsi="仿宋" w:eastAsia="仿宋"/>
          <w:sz w:val="24"/>
          <w:szCs w:val="24"/>
        </w:rPr>
      </w:pPr>
      <w:r>
        <w:rPr>
          <w:rFonts w:hint="eastAsia" w:ascii="仿宋" w:hAnsi="仿宋" w:eastAsia="仿宋"/>
          <w:sz w:val="24"/>
          <w:szCs w:val="24"/>
        </w:rPr>
        <w:t>1、结算单位：</w:t>
      </w:r>
    </w:p>
    <w:p>
      <w:pPr>
        <w:pStyle w:val="157"/>
        <w:ind w:left="840" w:firstLine="480"/>
        <w:rPr>
          <w:rFonts w:ascii="仿宋" w:hAnsi="仿宋" w:eastAsia="仿宋"/>
          <w:sz w:val="24"/>
          <w:szCs w:val="24"/>
        </w:rPr>
      </w:pPr>
      <w:r>
        <w:rPr>
          <w:rFonts w:hint="eastAsia" w:ascii="仿宋" w:hAnsi="仿宋" w:eastAsia="仿宋"/>
          <w:sz w:val="24"/>
          <w:szCs w:val="24"/>
        </w:rPr>
        <w:t>采购人结算，在付款前，必须开具等额发票给采购人。</w:t>
      </w:r>
    </w:p>
    <w:p>
      <w:pPr>
        <w:pStyle w:val="157"/>
        <w:ind w:left="840" w:firstLine="480"/>
        <w:rPr>
          <w:rFonts w:ascii="仿宋" w:hAnsi="仿宋" w:eastAsia="仿宋"/>
          <w:sz w:val="24"/>
          <w:szCs w:val="24"/>
        </w:rPr>
      </w:pPr>
      <w:r>
        <w:rPr>
          <w:rFonts w:hint="eastAsia" w:ascii="仿宋" w:hAnsi="仿宋" w:eastAsia="仿宋"/>
          <w:sz w:val="24"/>
          <w:szCs w:val="24"/>
        </w:rPr>
        <w:t>2、付款方式：</w:t>
      </w:r>
    </w:p>
    <w:p>
      <w:pPr>
        <w:pStyle w:val="157"/>
        <w:ind w:left="840" w:firstLine="480"/>
        <w:rPr>
          <w:rFonts w:ascii="仿宋" w:hAnsi="仿宋" w:eastAsia="仿宋"/>
          <w:sz w:val="24"/>
          <w:szCs w:val="24"/>
        </w:rPr>
      </w:pPr>
      <w:r>
        <w:rPr>
          <w:rFonts w:hint="eastAsia" w:ascii="仿宋" w:hAnsi="仿宋" w:eastAsia="仿宋"/>
          <w:sz w:val="24"/>
          <w:szCs w:val="24"/>
        </w:rPr>
        <w:t>（1）合同签署生效后，在15个工作日内支付合同总价的40%。支付依据：项目合同。</w:t>
      </w:r>
    </w:p>
    <w:p>
      <w:pPr>
        <w:pStyle w:val="157"/>
        <w:ind w:left="840" w:firstLine="480"/>
        <w:rPr>
          <w:rFonts w:ascii="仿宋" w:hAnsi="仿宋" w:eastAsia="仿宋"/>
          <w:sz w:val="24"/>
          <w:szCs w:val="24"/>
        </w:rPr>
      </w:pPr>
      <w:r>
        <w:rPr>
          <w:rFonts w:hint="eastAsia" w:ascii="仿宋" w:hAnsi="仿宋" w:eastAsia="仿宋"/>
          <w:sz w:val="24"/>
          <w:szCs w:val="24"/>
        </w:rPr>
        <w:t>（2）正式比赛顺利完成后，在15个工作日内支付合同总价的50%。支付依据：服务总结报告、验收证明。</w:t>
      </w:r>
    </w:p>
    <w:p>
      <w:pPr>
        <w:pStyle w:val="157"/>
        <w:ind w:left="840" w:firstLine="480"/>
        <w:rPr>
          <w:rFonts w:ascii="仿宋" w:hAnsi="仿宋" w:eastAsia="仿宋"/>
          <w:sz w:val="24"/>
          <w:szCs w:val="24"/>
        </w:rPr>
      </w:pPr>
      <w:r>
        <w:rPr>
          <w:rFonts w:hint="eastAsia" w:ascii="仿宋" w:hAnsi="仿宋" w:eastAsia="仿宋"/>
          <w:sz w:val="24"/>
          <w:szCs w:val="24"/>
        </w:rPr>
        <w:t>（3）赛事收尾终验通过后，在15个工作日内支付合同总价的10%。支付依据：资料移交报告、验收证明。</w:t>
      </w:r>
    </w:p>
    <w:p>
      <w:pPr>
        <w:pStyle w:val="2"/>
        <w:keepNext/>
        <w:keepLines/>
        <w:autoSpaceDE/>
        <w:autoSpaceDN/>
        <w:adjustRightInd/>
        <w:spacing w:before="340" w:after="330" w:line="578" w:lineRule="auto"/>
        <w:jc w:val="both"/>
        <w:rPr>
          <w:rFonts w:ascii="仿宋" w:hAnsi="仿宋" w:eastAsia="仿宋"/>
          <w:sz w:val="24"/>
          <w:szCs w:val="24"/>
        </w:rPr>
      </w:pPr>
      <w:bookmarkStart w:id="137" w:name="_Toc54807124"/>
      <w:r>
        <w:rPr>
          <w:rFonts w:hint="eastAsia" w:ascii="仿宋" w:hAnsi="仿宋" w:eastAsia="仿宋"/>
          <w:sz w:val="24"/>
          <w:szCs w:val="24"/>
        </w:rPr>
        <w:t>知识产权</w:t>
      </w:r>
      <w:bookmarkEnd w:id="137"/>
    </w:p>
    <w:p>
      <w:pPr>
        <w:pStyle w:val="157"/>
        <w:ind w:left="840" w:firstLine="480"/>
        <w:rPr>
          <w:rFonts w:ascii="仿宋" w:hAnsi="仿宋" w:eastAsia="仿宋"/>
          <w:sz w:val="24"/>
          <w:szCs w:val="24"/>
        </w:rPr>
      </w:pPr>
      <w:r>
        <w:rPr>
          <w:rFonts w:hint="eastAsia" w:ascii="仿宋" w:hAnsi="仿宋" w:eastAsia="仿宋"/>
          <w:sz w:val="24"/>
          <w:szCs w:val="24"/>
        </w:rPr>
        <w:t>服务提供商提供的系统</w:t>
      </w:r>
      <w:r>
        <w:rPr>
          <w:rFonts w:ascii="仿宋" w:hAnsi="仿宋" w:eastAsia="仿宋"/>
          <w:sz w:val="24"/>
          <w:szCs w:val="24"/>
        </w:rPr>
        <w:t>和</w:t>
      </w:r>
      <w:r>
        <w:rPr>
          <w:rFonts w:hint="eastAsia" w:ascii="仿宋" w:hAnsi="仿宋" w:eastAsia="仿宋"/>
          <w:sz w:val="24"/>
          <w:szCs w:val="24"/>
        </w:rPr>
        <w:t>服务必须具有合法手续及相关文件。如涉及知识产权则必须是自己拥有或合法使用的。因知识产权纠纷造成的损失由服务提供商负责。</w:t>
      </w:r>
    </w:p>
    <w:p>
      <w:pPr>
        <w:pStyle w:val="157"/>
        <w:ind w:left="840" w:firstLine="480"/>
        <w:rPr>
          <w:rFonts w:ascii="仿宋" w:hAnsi="仿宋" w:eastAsia="仿宋"/>
          <w:sz w:val="24"/>
          <w:szCs w:val="24"/>
        </w:rPr>
      </w:pPr>
      <w:r>
        <w:rPr>
          <w:rFonts w:hint="eastAsia" w:ascii="仿宋" w:hAnsi="仿宋" w:eastAsia="仿宋"/>
          <w:sz w:val="24"/>
          <w:szCs w:val="24"/>
        </w:rPr>
        <w:t>在服务期内产生的数据产权归属服务需求方所有。</w:t>
      </w:r>
    </w:p>
    <w:p>
      <w:pPr>
        <w:pStyle w:val="2"/>
        <w:keepNext/>
        <w:keepLines/>
        <w:autoSpaceDE/>
        <w:autoSpaceDN/>
        <w:adjustRightInd/>
        <w:spacing w:before="340" w:after="330" w:line="578" w:lineRule="auto"/>
        <w:jc w:val="both"/>
        <w:rPr>
          <w:rFonts w:ascii="仿宋" w:hAnsi="仿宋" w:eastAsia="仿宋"/>
          <w:sz w:val="24"/>
          <w:szCs w:val="24"/>
        </w:rPr>
      </w:pPr>
      <w:bookmarkStart w:id="138" w:name="_Toc54807125"/>
      <w:r>
        <w:rPr>
          <w:rFonts w:hint="eastAsia" w:ascii="仿宋" w:hAnsi="仿宋" w:eastAsia="仿宋"/>
          <w:sz w:val="24"/>
          <w:szCs w:val="24"/>
        </w:rPr>
        <w:t>赛后软硬件系统及设备权益要求</w:t>
      </w:r>
      <w:bookmarkEnd w:id="138"/>
    </w:p>
    <w:p>
      <w:pPr>
        <w:ind w:firstLine="480" w:firstLineChars="200"/>
        <w:rPr>
          <w:rFonts w:ascii="仿宋" w:hAnsi="仿宋" w:eastAsia="仿宋"/>
          <w:sz w:val="24"/>
          <w:szCs w:val="24"/>
        </w:rPr>
      </w:pPr>
      <w:r>
        <w:rPr>
          <w:rFonts w:hint="eastAsia" w:ascii="仿宋" w:hAnsi="仿宋" w:eastAsia="仿宋"/>
          <w:sz w:val="24"/>
          <w:szCs w:val="24"/>
        </w:rPr>
        <w:t>在十四运会及残特奥会赛事结束后半年内，服务需求方或陕西省政府相关部门有权选择本项目采购的服务中所包含的部分软硬件系统及设备进行采购。所选软硬件系统及设备的采购价格以服务提供商分项报价单中该软硬件系统及设备价格的40%计。</w:t>
      </w:r>
    </w:p>
    <w:p>
      <w:pPr>
        <w:ind w:firstLine="420" w:firstLineChars="200"/>
        <w:rPr>
          <w:highlight w:val="lightGray"/>
        </w:rPr>
      </w:pPr>
    </w:p>
    <w:p>
      <w:pPr>
        <w:jc w:val="left"/>
        <w:rPr>
          <w:rFonts w:ascii="仿宋" w:hAnsi="仿宋" w:eastAsia="仿宋"/>
          <w:b/>
          <w:color w:val="FF0000"/>
          <w:sz w:val="32"/>
        </w:rPr>
      </w:pPr>
    </w:p>
    <w:p>
      <w:pPr>
        <w:spacing w:line="360" w:lineRule="auto"/>
        <w:ind w:firstLine="480" w:firstLineChars="200"/>
        <w:rPr>
          <w:rFonts w:ascii="仿宋" w:hAnsi="仿宋" w:eastAsia="仿宋"/>
          <w:sz w:val="24"/>
          <w:szCs w:val="24"/>
        </w:rPr>
      </w:pPr>
    </w:p>
    <w:p>
      <w:pPr>
        <w:pStyle w:val="54"/>
        <w:jc w:val="left"/>
        <w:rPr>
          <w:rFonts w:ascii="宋体" w:hAnsi="宋体"/>
          <w:color w:val="000000" w:themeColor="text1"/>
          <w14:textFill>
            <w14:solidFill>
              <w14:schemeClr w14:val="tx1"/>
            </w14:solidFill>
          </w14:textFill>
        </w:rPr>
      </w:pPr>
      <w:r>
        <w:rPr>
          <w:rFonts w:hint="eastAsia" w:hAnsi="宋体"/>
          <w:b w:val="0"/>
          <w:color w:val="000000" w:themeColor="text1"/>
          <w:sz w:val="36"/>
          <w:szCs w:val="36"/>
          <w14:textFill>
            <w14:solidFill>
              <w14:schemeClr w14:val="tx1"/>
            </w14:solidFill>
          </w14:textFill>
        </w:rPr>
        <w:t xml:space="preserve">        </w:t>
      </w:r>
      <w:bookmarkStart w:id="139" w:name="_Toc51935131"/>
      <w:r>
        <w:rPr>
          <w:rFonts w:hAnsi="宋体"/>
          <w:color w:val="000000" w:themeColor="text1"/>
          <w:sz w:val="36"/>
          <w:szCs w:val="36"/>
          <w14:textFill>
            <w14:solidFill>
              <w14:schemeClr w14:val="tx1"/>
            </w14:solidFill>
          </w14:textFill>
        </w:rPr>
        <w:t xml:space="preserve"> </w:t>
      </w:r>
      <w:bookmarkStart w:id="140" w:name="_Toc51935132"/>
      <w:r>
        <w:rPr>
          <w:rFonts w:hint="eastAsia" w:hAnsi="宋体"/>
          <w:color w:val="000000" w:themeColor="text1"/>
          <w:sz w:val="36"/>
          <w:szCs w:val="36"/>
          <w14:textFill>
            <w14:solidFill>
              <w14:schemeClr w14:val="tx1"/>
            </w14:solidFill>
          </w14:textFill>
        </w:rPr>
        <w:t xml:space="preserve">    </w:t>
      </w:r>
      <w:r>
        <w:rPr>
          <w:rFonts w:hint="eastAsia" w:ascii="仿宋" w:hAnsi="仿宋" w:eastAsia="仿宋"/>
          <w:color w:val="000000" w:themeColor="text1"/>
          <w:sz w:val="36"/>
          <w:szCs w:val="36"/>
          <w14:textFill>
            <w14:solidFill>
              <w14:schemeClr w14:val="tx1"/>
            </w14:solidFill>
          </w14:textFill>
        </w:rPr>
        <w:t xml:space="preserve">第五章  </w:t>
      </w:r>
      <w:r>
        <w:rPr>
          <w:rFonts w:hint="eastAsia" w:ascii="宋体" w:hAnsi="宋体"/>
          <w:color w:val="000000" w:themeColor="text1"/>
          <w14:textFill>
            <w14:solidFill>
              <w14:schemeClr w14:val="tx1"/>
            </w14:solidFill>
          </w14:textFill>
        </w:rPr>
        <w:t>采购合同</w:t>
      </w:r>
      <w:bookmarkEnd w:id="139"/>
      <w:bookmarkEnd w:id="140"/>
    </w:p>
    <w:p>
      <w:pPr>
        <w:spacing w:line="360" w:lineRule="auto"/>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合同编号：</w:t>
      </w:r>
    </w:p>
    <w:p>
      <w:pPr>
        <w:spacing w:line="440" w:lineRule="exact"/>
        <w:rPr>
          <w:rFonts w:ascii="宋体" w:hAnsi="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采购单位</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中标单位</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 xml:space="preserve">为了保证本合同项目的顺利进行，根据《中华人民共和国政府采购法》、《中华人民共和国合同法》等相关法律、法规的规定及甲方关于“     </w:t>
      </w:r>
      <w:r>
        <w:rPr>
          <w:rFonts w:hint="eastAsia" w:ascii="宋体" w:hAnsi="宋体" w:cs="宋体"/>
          <w:bCs/>
          <w:color w:val="000000" w:themeColor="text1"/>
          <w:u w:val="single"/>
          <w14:textFill>
            <w14:solidFill>
              <w14:schemeClr w14:val="tx1"/>
            </w14:solidFill>
          </w14:textFill>
        </w:rPr>
        <w:t>”</w:t>
      </w:r>
      <w:r>
        <w:rPr>
          <w:rFonts w:hint="eastAsia" w:ascii="宋体" w:hAnsi="宋体" w:cs="宋体"/>
          <w:bCs/>
          <w:color w:val="000000" w:themeColor="text1"/>
          <w14:textFill>
            <w14:solidFill>
              <w14:schemeClr w14:val="tx1"/>
            </w14:solidFill>
          </w14:textFill>
        </w:rPr>
        <w:t>项目的招标结果和招标文件</w:t>
      </w:r>
      <w:r>
        <w:rPr>
          <w:rFonts w:ascii="宋体" w:hAnsi="宋体" w:cs="宋体"/>
          <w:bCs/>
          <w:color w:val="000000" w:themeColor="text1"/>
          <w14:textFill>
            <w14:solidFill>
              <w14:schemeClr w14:val="tx1"/>
            </w14:solidFill>
          </w14:textFill>
        </w:rPr>
        <w:t>(</w:t>
      </w:r>
      <w:r>
        <w:rPr>
          <w:rFonts w:hint="eastAsia" w:ascii="宋体" w:hAnsi="宋体" w:cs="宋体"/>
          <w:bCs/>
          <w:color w:val="000000" w:themeColor="text1"/>
          <w:u w:val="single"/>
          <w14:textFill>
            <w14:solidFill>
              <w14:schemeClr w14:val="tx1"/>
            </w14:solidFill>
          </w14:textFill>
        </w:rPr>
        <w:t>招标编号：ZB2020-38</w:t>
      </w:r>
      <w:r>
        <w:rPr>
          <w:rFonts w:ascii="宋体" w:hAns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的要求，经甲乙双方协商一致，签订本合同，共同遵守。</w:t>
      </w:r>
    </w:p>
    <w:p>
      <w:pPr>
        <w:tabs>
          <w:tab w:val="left" w:pos="900"/>
        </w:tabs>
        <w:spacing w:line="440" w:lineRule="exact"/>
        <w:ind w:firstLine="474" w:firstLineChars="225"/>
        <w:rPr>
          <w:rFonts w:ascii="宋体" w:hAnsi="宋体" w:cs="宋体"/>
          <w:b/>
          <w:color w:val="000000" w:themeColor="text1"/>
          <w14:textFill>
            <w14:solidFill>
              <w14:schemeClr w14:val="tx1"/>
            </w14:solidFill>
          </w14:textFill>
        </w:rPr>
      </w:pPr>
      <w:bookmarkStart w:id="141" w:name="_Toc16824"/>
      <w:bookmarkStart w:id="142" w:name="_Toc24810"/>
      <w:r>
        <w:rPr>
          <w:rFonts w:ascii="宋体" w:hAnsi="宋体" w:cs="宋体"/>
          <w:b/>
          <w:color w:val="000000" w:themeColor="text1"/>
          <w14:textFill>
            <w14:solidFill>
              <w14:schemeClr w14:val="tx1"/>
            </w14:solidFill>
          </w14:textFill>
        </w:rPr>
        <w:t>1.</w:t>
      </w:r>
      <w:r>
        <w:rPr>
          <w:rFonts w:hint="eastAsia" w:ascii="宋体" w:hAnsi="宋体" w:cs="宋体"/>
          <w:b/>
          <w:color w:val="000000" w:themeColor="text1"/>
          <w14:textFill>
            <w14:solidFill>
              <w14:schemeClr w14:val="tx1"/>
            </w14:solidFill>
          </w14:textFill>
        </w:rPr>
        <w:t>定义</w:t>
      </w:r>
      <w:bookmarkEnd w:id="141"/>
      <w:bookmarkEnd w:id="142"/>
    </w:p>
    <w:p>
      <w:pPr>
        <w:tabs>
          <w:tab w:val="left" w:pos="900"/>
        </w:tabs>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本合同中的下列术语应解释为：</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 </w:t>
      </w:r>
      <w:r>
        <w:rPr>
          <w:rFonts w:hint="eastAsia" w:ascii="宋体" w:hAnsi="宋体" w:cs="宋体"/>
          <w:color w:val="000000" w:themeColor="text1"/>
          <w14:textFill>
            <w14:solidFill>
              <w14:schemeClr w14:val="tx1"/>
            </w14:solidFill>
          </w14:textFill>
        </w:rPr>
        <w:t>“合同”系指本合同，包括本合同附带的所有附件、附录和构成合同的其它文件，除非另有特别说明或限定。</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 </w:t>
      </w:r>
      <w:r>
        <w:rPr>
          <w:rFonts w:hint="eastAsia" w:ascii="宋体" w:hAnsi="宋体" w:cs="宋体"/>
          <w:color w:val="000000" w:themeColor="text1"/>
          <w14:textFill>
            <w14:solidFill>
              <w14:schemeClr w14:val="tx1"/>
            </w14:solidFill>
          </w14:textFill>
        </w:rPr>
        <w:t>“合同款”系指根据本合同约定，甲方需就乙方提供的服务内容向乙方支付的款项。</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1.3 </w:t>
      </w:r>
      <w:r>
        <w:rPr>
          <w:rFonts w:hint="eastAsia" w:ascii="宋体" w:hAnsi="宋体" w:cs="宋体"/>
          <w:color w:val="000000" w:themeColor="text1"/>
          <w14:textFill>
            <w14:solidFill>
              <w14:schemeClr w14:val="tx1"/>
            </w14:solidFill>
          </w14:textFill>
        </w:rPr>
        <w:t>“人员”系指作为雇员由乙方雇佣并被分配执行本合同服务内容的人员。</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1.4 </w:t>
      </w:r>
      <w:r>
        <w:rPr>
          <w:rFonts w:hint="eastAsia" w:ascii="宋体" w:hAnsi="宋体" w:cs="宋体"/>
          <w:color w:val="000000" w:themeColor="text1"/>
          <w14:textFill>
            <w14:solidFill>
              <w14:schemeClr w14:val="tx1"/>
            </w14:solidFill>
          </w14:textFill>
        </w:rPr>
        <w:t>“服务”系指由乙方根据本合同服务内容要求所实施的工作。</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1.5 </w:t>
      </w:r>
      <w:r>
        <w:rPr>
          <w:rFonts w:hint="eastAsia" w:ascii="宋体" w:hAnsi="宋体" w:cs="宋体"/>
          <w:color w:val="000000" w:themeColor="text1"/>
          <w14:textFill>
            <w14:solidFill>
              <w14:schemeClr w14:val="tx1"/>
            </w14:solidFill>
          </w14:textFill>
        </w:rPr>
        <w:t>“甲方”系指与供应单位签署服务合同的单位（含最终用户），即买方。</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1.6 </w:t>
      </w:r>
      <w:r>
        <w:rPr>
          <w:rFonts w:hint="eastAsia" w:ascii="宋体" w:hAnsi="宋体" w:cs="宋体"/>
          <w:color w:val="000000" w:themeColor="text1"/>
          <w14:textFill>
            <w14:solidFill>
              <w14:schemeClr w14:val="tx1"/>
            </w14:solidFill>
          </w14:textFill>
        </w:rPr>
        <w:t>“乙方”系指根据合同约定提供服务的供应单位，即卖方。</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1.7 </w:t>
      </w:r>
      <w:r>
        <w:rPr>
          <w:rFonts w:hint="eastAsia" w:ascii="宋体" w:hAnsi="宋体" w:cs="宋体"/>
          <w:color w:val="000000" w:themeColor="text1"/>
          <w14:textFill>
            <w14:solidFill>
              <w14:schemeClr w14:val="tx1"/>
            </w14:solidFill>
          </w14:textFill>
        </w:rPr>
        <w:t>“现场”系指合同约定服务内容实施地点。</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1.8 </w:t>
      </w:r>
      <w:r>
        <w:rPr>
          <w:rFonts w:hint="eastAsia" w:ascii="宋体" w:hAnsi="宋体" w:cs="宋体"/>
          <w:color w:val="000000" w:themeColor="text1"/>
          <w14:textFill>
            <w14:solidFill>
              <w14:schemeClr w14:val="tx1"/>
            </w14:solidFill>
          </w14:textFill>
        </w:rPr>
        <w:t>“必要的支持”系为保证乙方执行合同项下的服务所必须，甲方免费提供的数据、服务、设备以及便利。</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1.9</w:t>
      </w:r>
      <w:r>
        <w:rPr>
          <w:rFonts w:hint="eastAsia" w:ascii="宋体" w:hAnsi="宋体" w:cs="宋体"/>
          <w:color w:val="000000" w:themeColor="text1"/>
          <w14:textFill>
            <w14:solidFill>
              <w14:schemeClr w14:val="tx1"/>
            </w14:solidFill>
          </w14:textFill>
        </w:rPr>
        <w:t>“项目”系指“”项目。</w:t>
      </w:r>
    </w:p>
    <w:p>
      <w:pPr>
        <w:tabs>
          <w:tab w:val="left" w:pos="851"/>
        </w:tabs>
        <w:spacing w:line="440" w:lineRule="exact"/>
        <w:ind w:firstLine="422" w:firstLineChars="200"/>
        <w:rPr>
          <w:rFonts w:ascii="宋体" w:hAnsi="宋体" w:cs="宋体"/>
          <w:b/>
          <w:color w:val="000000" w:themeColor="text1"/>
          <w14:textFill>
            <w14:solidFill>
              <w14:schemeClr w14:val="tx1"/>
            </w14:solidFill>
          </w14:textFill>
        </w:rPr>
      </w:pPr>
      <w:bookmarkStart w:id="143" w:name="_Toc2368"/>
      <w:bookmarkStart w:id="144" w:name="_Toc32760"/>
      <w:r>
        <w:rPr>
          <w:rFonts w:hint="eastAsia" w:ascii="宋体" w:hAnsi="宋体" w:cs="宋体"/>
          <w:b/>
          <w:color w:val="000000" w:themeColor="text1"/>
          <w:kern w:val="0"/>
          <w14:textFill>
            <w14:solidFill>
              <w14:schemeClr w14:val="tx1"/>
            </w14:solidFill>
          </w14:textFill>
        </w:rPr>
        <w:t>2.</w:t>
      </w:r>
      <w:r>
        <w:rPr>
          <w:rFonts w:hint="eastAsia" w:ascii="宋体" w:hAnsi="宋体" w:cs="宋体"/>
          <w:b/>
          <w:color w:val="000000" w:themeColor="text1"/>
          <w14:textFill>
            <w14:solidFill>
              <w14:schemeClr w14:val="tx1"/>
            </w14:solidFill>
          </w14:textFill>
        </w:rPr>
        <w:t>项目概况：</w:t>
      </w:r>
    </w:p>
    <w:p>
      <w:pPr>
        <w:tabs>
          <w:tab w:val="left" w:pos="851"/>
        </w:tabs>
        <w:spacing w:line="440" w:lineRule="exact"/>
        <w:ind w:firstLine="422" w:firstLineChars="200"/>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3.服务内容：</w:t>
      </w:r>
    </w:p>
    <w:p>
      <w:pPr>
        <w:tabs>
          <w:tab w:val="left" w:pos="851"/>
        </w:tabs>
        <w:spacing w:line="440" w:lineRule="exact"/>
        <w:ind w:firstLine="42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4. 项目服务要求，详见本合同附件。</w:t>
      </w:r>
    </w:p>
    <w:bookmarkEnd w:id="143"/>
    <w:bookmarkEnd w:id="144"/>
    <w:p>
      <w:pPr>
        <w:tabs>
          <w:tab w:val="left" w:pos="5865"/>
        </w:tabs>
        <w:spacing w:line="440" w:lineRule="exact"/>
        <w:ind w:firstLine="422" w:firstLineChars="200"/>
        <w:rPr>
          <w:rFonts w:ascii="宋体" w:hAnsi="宋体" w:cs="宋体"/>
          <w:b/>
          <w:color w:val="000000" w:themeColor="text1"/>
          <w14:textFill>
            <w14:solidFill>
              <w14:schemeClr w14:val="tx1"/>
            </w14:solidFill>
          </w14:textFill>
        </w:rPr>
      </w:pPr>
      <w:bookmarkStart w:id="145" w:name="_Toc2258"/>
      <w:bookmarkStart w:id="146" w:name="_Toc14579"/>
      <w:r>
        <w:rPr>
          <w:rFonts w:ascii="宋体" w:hAnsi="宋体" w:cs="宋体"/>
          <w:b/>
          <w:color w:val="000000" w:themeColor="text1"/>
          <w14:textFill>
            <w14:solidFill>
              <w14:schemeClr w14:val="tx1"/>
            </w14:solidFill>
          </w14:textFill>
        </w:rPr>
        <w:t xml:space="preserve">5. </w:t>
      </w:r>
      <w:r>
        <w:rPr>
          <w:rFonts w:hint="eastAsia" w:ascii="宋体" w:hAnsi="宋体" w:cs="宋体"/>
          <w:b/>
          <w:color w:val="000000" w:themeColor="text1"/>
          <w14:textFill>
            <w14:solidFill>
              <w14:schemeClr w14:val="tx1"/>
            </w14:solidFill>
          </w14:textFill>
        </w:rPr>
        <w:t>双方权利和义务</w:t>
      </w:r>
      <w:bookmarkEnd w:id="145"/>
      <w:bookmarkEnd w:id="146"/>
      <w:r>
        <w:rPr>
          <w:rFonts w:ascii="宋体" w:hAnsi="宋体" w:cs="宋体"/>
          <w:b/>
          <w:color w:val="000000" w:themeColor="text1"/>
          <w14:textFill>
            <w14:solidFill>
              <w14:schemeClr w14:val="tx1"/>
            </w14:solidFill>
          </w14:textFill>
        </w:rPr>
        <w:tab/>
      </w:r>
    </w:p>
    <w:p>
      <w:pPr>
        <w:tabs>
          <w:tab w:val="left" w:pos="5865"/>
        </w:tabs>
        <w:spacing w:line="440" w:lineRule="exact"/>
        <w:ind w:firstLine="420" w:firstLineChars="200"/>
        <w:rPr>
          <w:rFonts w:ascii="宋体" w:hAnsi="宋体" w:cs="宋体"/>
          <w:b/>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w:t>
      </w:r>
      <w:r>
        <w:rPr>
          <w:rFonts w:hint="eastAsia" w:ascii="宋体" w:hAnsi="宋体" w:cs="宋体"/>
          <w:b/>
          <w:color w:val="000000" w:themeColor="text1"/>
          <w14:textFill>
            <w14:solidFill>
              <w14:schemeClr w14:val="tx1"/>
            </w14:solidFill>
          </w14:textFill>
        </w:rPr>
        <w:t>甲方权利与义务：</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5.1.1 </w:t>
      </w:r>
      <w:r>
        <w:rPr>
          <w:rFonts w:hint="eastAsia" w:ascii="宋体" w:hAnsi="宋体" w:cs="宋体"/>
          <w:color w:val="000000" w:themeColor="text1"/>
          <w14:textFill>
            <w14:solidFill>
              <w14:schemeClr w14:val="tx1"/>
            </w14:solidFill>
          </w14:textFill>
        </w:rPr>
        <w:t>甲方有权利对项目活动的相关细节进行监督及了解，决定项目的实施方案。</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5.1.2 </w:t>
      </w:r>
      <w:r>
        <w:rPr>
          <w:rFonts w:hint="eastAsia" w:ascii="宋体" w:hAnsi="宋体" w:cs="宋体"/>
          <w:color w:val="000000" w:themeColor="text1"/>
          <w14:textFill>
            <w14:solidFill>
              <w14:schemeClr w14:val="tx1"/>
            </w14:solidFill>
          </w14:textFill>
        </w:rPr>
        <w:t>甲方有权利根据临时情况向乙方提出活动修改意见，经双方协商后实施。</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5.1.3</w:t>
      </w:r>
      <w:r>
        <w:rPr>
          <w:rFonts w:hint="eastAsia" w:ascii="宋体" w:hAnsi="宋体" w:cs="宋体"/>
          <w:color w:val="000000" w:themeColor="text1"/>
          <w14:textFill>
            <w14:solidFill>
              <w14:schemeClr w14:val="tx1"/>
            </w14:solidFill>
          </w14:textFill>
        </w:rPr>
        <w:t>甲方非因不可抗力因素如需延期开展项目活动，应提前</w:t>
      </w:r>
      <w:r>
        <w:rPr>
          <w:rFonts w:ascii="宋体" w:hAnsi="宋体" w:cs="宋体"/>
          <w:color w:val="000000" w:themeColor="text1"/>
          <w:u w:val="single"/>
          <w14:textFill>
            <w14:solidFill>
              <w14:schemeClr w14:val="tx1"/>
            </w14:solidFill>
          </w14:textFill>
        </w:rPr>
        <w:t xml:space="preserve"> 30</w:t>
      </w:r>
      <w:r>
        <w:rPr>
          <w:rFonts w:hint="eastAsia" w:ascii="宋体" w:hAnsi="宋体" w:cs="宋体"/>
          <w:color w:val="000000" w:themeColor="text1"/>
          <w14:textFill>
            <w14:solidFill>
              <w14:schemeClr w14:val="tx1"/>
            </w14:solidFill>
          </w14:textFill>
        </w:rPr>
        <w:t>日告知乙方，双方协商修改活动安排。</w:t>
      </w:r>
    </w:p>
    <w:p>
      <w:pPr>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5.1.4</w:t>
      </w:r>
      <w:r>
        <w:rPr>
          <w:rFonts w:hint="eastAsia" w:ascii="宋体" w:hAnsi="宋体" w:cs="宋体"/>
          <w:color w:val="000000" w:themeColor="text1"/>
          <w14:textFill>
            <w14:solidFill>
              <w14:schemeClr w14:val="tx1"/>
            </w14:solidFill>
          </w14:textFill>
        </w:rPr>
        <w:t>甲方应按照合同约定，积极配合乙方开展工作。</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5.1.5</w:t>
      </w:r>
      <w:r>
        <w:rPr>
          <w:rFonts w:hint="eastAsia" w:ascii="宋体" w:hAnsi="宋体" w:cs="宋体"/>
          <w:color w:val="000000" w:themeColor="text1"/>
          <w14:textFill>
            <w14:solidFill>
              <w14:schemeClr w14:val="tx1"/>
            </w14:solidFill>
          </w14:textFill>
        </w:rPr>
        <w:t>甲方应按合同约定履行付款的义务。</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5.1.6</w:t>
      </w:r>
      <w:r>
        <w:rPr>
          <w:rFonts w:hint="eastAsia" w:ascii="宋体" w:hAnsi="宋体" w:cs="宋体"/>
          <w:color w:val="000000" w:themeColor="text1"/>
          <w14:textFill>
            <w14:solidFill>
              <w14:schemeClr w14:val="tx1"/>
            </w14:solidFill>
          </w14:textFill>
        </w:rPr>
        <w:t>甲方应按合同约定履行其他的相应义务。</w:t>
      </w:r>
    </w:p>
    <w:p>
      <w:pPr>
        <w:spacing w:line="440" w:lineRule="exact"/>
        <w:ind w:firstLine="422" w:firstLineChars="200"/>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 xml:space="preserve">5.2 </w:t>
      </w:r>
      <w:r>
        <w:rPr>
          <w:rFonts w:hint="eastAsia" w:ascii="宋体" w:hAnsi="宋体" w:cs="宋体"/>
          <w:b/>
          <w:color w:val="000000" w:themeColor="text1"/>
          <w14:textFill>
            <w14:solidFill>
              <w14:schemeClr w14:val="tx1"/>
            </w14:solidFill>
          </w14:textFill>
        </w:rPr>
        <w:t>乙方权利与义务：</w:t>
      </w:r>
    </w:p>
    <w:p>
      <w:pPr>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5.2.1</w:t>
      </w:r>
      <w:r>
        <w:rPr>
          <w:rFonts w:hint="eastAsia" w:ascii="宋体" w:hAnsi="宋体" w:cs="宋体"/>
          <w:color w:val="000000" w:themeColor="text1"/>
          <w14:textFill>
            <w14:solidFill>
              <w14:schemeClr w14:val="tx1"/>
            </w14:solidFill>
          </w14:textFill>
        </w:rPr>
        <w:t>乙方负责全部项目的相关策划、组织、实施、调度，确保证项目活动的顺利进行。</w:t>
      </w:r>
    </w:p>
    <w:p>
      <w:pPr>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5.2.2</w:t>
      </w:r>
      <w:r>
        <w:rPr>
          <w:rFonts w:hint="eastAsia" w:ascii="宋体" w:hAnsi="宋体" w:cs="宋体"/>
          <w:color w:val="000000" w:themeColor="text1"/>
          <w14:textFill>
            <w14:solidFill>
              <w14:schemeClr w14:val="tx1"/>
            </w14:solidFill>
          </w14:textFill>
        </w:rPr>
        <w:t>乙方应具备符合提供服务的专业资格，并保证选派的工作人员具备相关的专业能力及较高的素质。</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5.2.</w:t>
      </w:r>
      <w:r>
        <w:rPr>
          <w:rFonts w:hint="eastAsia" w:ascii="宋体" w:hAnsi="宋体" w:cs="宋体"/>
          <w:color w:val="000000" w:themeColor="text1"/>
          <w14:textFill>
            <w14:solidFill>
              <w14:schemeClr w14:val="tx1"/>
            </w14:solidFill>
          </w14:textFill>
        </w:rPr>
        <w:t>3 乙方应按合同约定履行其他的相应义务。</w:t>
      </w:r>
    </w:p>
    <w:p>
      <w:pPr>
        <w:snapToGrid w:val="0"/>
        <w:spacing w:line="440" w:lineRule="exact"/>
        <w:rPr>
          <w:rFonts w:ascii="宋体" w:hAnsi="宋体" w:cs="宋体"/>
          <w:color w:val="000000" w:themeColor="text1"/>
          <w14:textFill>
            <w14:solidFill>
              <w14:schemeClr w14:val="tx1"/>
            </w14:solidFill>
          </w14:textFill>
        </w:rPr>
      </w:pPr>
      <w:bookmarkStart w:id="147" w:name="_Toc23580"/>
      <w:bookmarkStart w:id="148" w:name="_Toc27234"/>
      <w:r>
        <w:rPr>
          <w:rFonts w:ascii="宋体" w:hAnsi="宋体" w:cs="宋体"/>
          <w:b/>
          <w:bCs/>
          <w:color w:val="000000" w:themeColor="text1"/>
          <w14:textFill>
            <w14:solidFill>
              <w14:schemeClr w14:val="tx1"/>
            </w14:solidFill>
          </w14:textFill>
        </w:rPr>
        <w:t>6.</w:t>
      </w:r>
      <w:r>
        <w:rPr>
          <w:rFonts w:hint="eastAsia" w:ascii="宋体" w:hAnsi="宋体" w:cs="宋体"/>
          <w:b/>
          <w:bCs/>
          <w:color w:val="000000" w:themeColor="text1"/>
          <w14:textFill>
            <w14:solidFill>
              <w14:schemeClr w14:val="tx1"/>
            </w14:solidFill>
          </w14:textFill>
        </w:rPr>
        <w:t>服务费及资金付款进度</w:t>
      </w:r>
      <w:bookmarkEnd w:id="147"/>
      <w:bookmarkEnd w:id="148"/>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6.1 </w:t>
      </w:r>
      <w:r>
        <w:rPr>
          <w:rFonts w:hint="eastAsia" w:ascii="宋体" w:hAnsi="宋体" w:cs="宋体"/>
          <w:color w:val="000000" w:themeColor="text1"/>
          <w14:textFill>
            <w14:solidFill>
              <w14:schemeClr w14:val="tx1"/>
            </w14:solidFill>
          </w14:textFill>
        </w:rPr>
        <w:t>本次项目的费用为人民币     万元，包括但不限于执行该项目所产生的赛事信息服务费用、人员费用、差旅费等所有费用。</w:t>
      </w:r>
    </w:p>
    <w:p>
      <w:pPr>
        <w:pStyle w:val="157"/>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6.2合同签署生效后，在15个工作日内支付合同总价的40%。支付依据：项目合同。</w:t>
      </w:r>
    </w:p>
    <w:p>
      <w:pPr>
        <w:pStyle w:val="157"/>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6.3正式比赛顺利完成后，在15个工作日内支付合同总价的50%。支付依据：服务总结报告、验收证明。</w:t>
      </w:r>
    </w:p>
    <w:p>
      <w:pPr>
        <w:pStyle w:val="157"/>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6.4赛事收尾终验通过后，在15个工作日内支付</w:t>
      </w:r>
      <w:r>
        <w:rPr>
          <w:rFonts w:hint="eastAsia" w:ascii="宋体" w:hAnsi="宋体" w:cs="宋体"/>
          <w:color w:val="000000" w:themeColor="text1"/>
          <w14:textFill>
            <w14:solidFill>
              <w14:schemeClr w14:val="tx1"/>
            </w14:solidFill>
          </w14:textFill>
        </w:rPr>
        <w:t>合同总价的</w:t>
      </w:r>
      <w:r>
        <w:rPr>
          <w:rFonts w:ascii="宋体" w:hAnsi="宋体" w:cs="宋体"/>
          <w:color w:val="000000" w:themeColor="text1"/>
          <w14:textFill>
            <w14:solidFill>
              <w14:schemeClr w14:val="tx1"/>
            </w14:solidFill>
          </w14:textFill>
        </w:rPr>
        <w:t>10%。支付依据：资料移交报告、验收证明。</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6.</w:t>
      </w:r>
      <w:r>
        <w:rPr>
          <w:rFonts w:hint="eastAsia" w:ascii="宋体" w:hAnsi="宋体" w:cs="宋体"/>
          <w:color w:val="000000" w:themeColor="text1"/>
          <w14:textFill>
            <w14:solidFill>
              <w14:schemeClr w14:val="tx1"/>
            </w14:solidFill>
          </w14:textFill>
        </w:rPr>
        <w:t>5银行信息：甲方应将本合同项下所有费用付至乙方以下银行账户。</w:t>
      </w:r>
    </w:p>
    <w:p>
      <w:pPr>
        <w:snapToGrid w:val="0"/>
        <w:spacing w:line="440" w:lineRule="exact"/>
        <w:ind w:left="420" w:left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账户名称：XXX</w:t>
      </w:r>
      <w:r>
        <w:rPr>
          <w:rFonts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账号：XXX</w:t>
      </w:r>
    </w:p>
    <w:p>
      <w:pPr>
        <w:snapToGrid w:val="0"/>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开户行： XXX</w:t>
      </w:r>
    </w:p>
    <w:p>
      <w:pPr>
        <w:snapToGrid w:val="0"/>
        <w:spacing w:line="440" w:lineRule="exact"/>
        <w:rPr>
          <w:rFonts w:ascii="宋体" w:hAnsi="宋体" w:cs="宋体"/>
          <w:color w:val="000000" w:themeColor="text1"/>
          <w14:textFill>
            <w14:solidFill>
              <w14:schemeClr w14:val="tx1"/>
            </w14:solidFill>
          </w14:textFill>
        </w:rPr>
      </w:pPr>
      <w:bookmarkStart w:id="149" w:name="_Toc23438"/>
      <w:bookmarkStart w:id="150" w:name="_Toc4212"/>
      <w:r>
        <w:rPr>
          <w:rFonts w:ascii="宋体" w:hAnsi="宋体" w:cs="宋体"/>
          <w:b/>
          <w:bCs/>
          <w:color w:val="000000" w:themeColor="text1"/>
          <w14:textFill>
            <w14:solidFill>
              <w14:schemeClr w14:val="tx1"/>
            </w14:solidFill>
          </w14:textFill>
        </w:rPr>
        <w:t>7.</w:t>
      </w:r>
      <w:r>
        <w:rPr>
          <w:rFonts w:hint="eastAsia" w:ascii="宋体" w:hAnsi="宋体" w:cs="宋体"/>
          <w:b/>
          <w:bCs/>
          <w:color w:val="000000" w:themeColor="text1"/>
          <w14:textFill>
            <w14:solidFill>
              <w14:schemeClr w14:val="tx1"/>
            </w14:solidFill>
          </w14:textFill>
        </w:rPr>
        <w:t>合同终止和违约责任</w:t>
      </w:r>
      <w:bookmarkEnd w:id="149"/>
      <w:bookmarkEnd w:id="150"/>
    </w:p>
    <w:p>
      <w:pPr>
        <w:snapToGrid w:val="0"/>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在下述条件下，本合同书可提前终止：</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7.1 </w:t>
      </w:r>
      <w:r>
        <w:rPr>
          <w:rFonts w:hint="eastAsia" w:ascii="宋体" w:hAnsi="宋体" w:cs="宋体"/>
          <w:color w:val="000000" w:themeColor="text1"/>
          <w14:textFill>
            <w14:solidFill>
              <w14:schemeClr w14:val="tx1"/>
            </w14:solidFill>
          </w14:textFill>
        </w:rPr>
        <w:t>如果一方破产，或正在进行清算程序，或其财产的实质性部分被没收或扣押，则另一方可经书面通知该方而立即终止本合同，并有权要求其赔偿由此造成的损失；</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7.2 </w:t>
      </w:r>
      <w:r>
        <w:rPr>
          <w:rFonts w:hint="eastAsia" w:ascii="宋体" w:hAnsi="宋体" w:cs="宋体"/>
          <w:color w:val="000000" w:themeColor="text1"/>
          <w14:textFill>
            <w14:solidFill>
              <w14:schemeClr w14:val="tx1"/>
            </w14:solidFill>
          </w14:textFill>
        </w:rPr>
        <w:t>如果一方的所有权、组织结构、控制与管理发生重大变化，而导致其不能履行本合同的，则另一方可经书面通知该方而立即终止本合同，并有权要求其赔偿由此造成的损失；</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7.3 </w:t>
      </w:r>
      <w:r>
        <w:rPr>
          <w:rFonts w:hint="eastAsia" w:ascii="宋体" w:hAnsi="宋体" w:cs="宋体"/>
          <w:color w:val="000000" w:themeColor="text1"/>
          <w14:textFill>
            <w14:solidFill>
              <w14:schemeClr w14:val="tx1"/>
            </w14:solidFill>
          </w14:textFill>
        </w:rPr>
        <w:t>除本合同另有约定外，如果一方违反本合同书任何约定并在收到另一方向其发出的书面通知后十五天内仍不纠正违约行为，则另一方可经书面通知该方而立即终止本合同，并有权要求其赔偿由此造成的损失。</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7.4 </w:t>
      </w:r>
      <w:r>
        <w:rPr>
          <w:rFonts w:hint="eastAsia" w:ascii="宋体" w:hAnsi="宋体" w:cs="宋体"/>
          <w:color w:val="000000" w:themeColor="text1"/>
          <w14:textFill>
            <w14:solidFill>
              <w14:schemeClr w14:val="tx1"/>
            </w14:solidFill>
          </w14:textFill>
        </w:rPr>
        <w:t>如果本合同一方不按照合同约定履行义务，则应按照下述规定承担违约责任：</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7.4.1 </w:t>
      </w:r>
      <w:r>
        <w:rPr>
          <w:rFonts w:hint="eastAsia" w:ascii="宋体" w:hAnsi="宋体" w:cs="宋体"/>
          <w:color w:val="000000" w:themeColor="text1"/>
          <w14:textFill>
            <w14:solidFill>
              <w14:schemeClr w14:val="tx1"/>
            </w14:solidFill>
          </w14:textFill>
        </w:rPr>
        <w:t>如果乙方未能履行合同或履行合同不符合约定，甲方应就此向乙方发出书面通知，指出乙方没有适当履行的合同条款，并要求纠正。如果乙方确属违约，并且乙方在收到甲方书面通知之日起十日内仍不纠正违约行为或已无法纠正，甲方有权要求乙方承担金额最高不超过服务费总额</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％的违约金。</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7.4.2 </w:t>
      </w:r>
      <w:r>
        <w:rPr>
          <w:rFonts w:hint="eastAsia" w:ascii="宋体" w:hAnsi="宋体" w:cs="宋体"/>
          <w:color w:val="000000" w:themeColor="text1"/>
          <w14:textFill>
            <w14:solidFill>
              <w14:schemeClr w14:val="tx1"/>
            </w14:solidFill>
          </w14:textFill>
        </w:rPr>
        <w:t>甲方应当根据本合同约定按时向乙方付款，无正当理由迟延付款的，每迟延支付一日，应支付迟延付款金额</w:t>
      </w:r>
      <w:r>
        <w:rPr>
          <w:rFonts w:ascii="宋体" w:hAnsi="宋体" w:cs="宋体"/>
          <w:color w:val="000000" w:themeColor="text1"/>
          <w14:textFill>
            <w14:solidFill>
              <w14:schemeClr w14:val="tx1"/>
            </w14:solidFill>
          </w14:textFill>
        </w:rPr>
        <w:t>0.1</w:t>
      </w:r>
      <w:r>
        <w:rPr>
          <w:rFonts w:hint="eastAsia" w:ascii="宋体" w:hAnsi="宋体" w:cs="宋体"/>
          <w:color w:val="000000" w:themeColor="text1"/>
          <w14:textFill>
            <w14:solidFill>
              <w14:schemeClr w14:val="tx1"/>
            </w14:solidFill>
          </w14:textFill>
        </w:rPr>
        <w:t>‰的违约金。</w:t>
      </w:r>
    </w:p>
    <w:p>
      <w:pPr>
        <w:snapToGrid w:val="0"/>
        <w:spacing w:line="440" w:lineRule="exact"/>
        <w:rPr>
          <w:rFonts w:ascii="宋体" w:hAnsi="宋体" w:cs="宋体"/>
          <w:b/>
          <w:bCs/>
          <w:color w:val="000000" w:themeColor="text1"/>
          <w14:textFill>
            <w14:solidFill>
              <w14:schemeClr w14:val="tx1"/>
            </w14:solidFill>
          </w14:textFill>
        </w:rPr>
      </w:pPr>
      <w:bookmarkStart w:id="151" w:name="_Toc29778"/>
      <w:bookmarkStart w:id="152" w:name="_Toc27960"/>
      <w:r>
        <w:rPr>
          <w:rFonts w:ascii="宋体" w:hAnsi="宋体" w:cs="宋体"/>
          <w:b/>
          <w:bCs/>
          <w:color w:val="000000" w:themeColor="text1"/>
          <w14:textFill>
            <w14:solidFill>
              <w14:schemeClr w14:val="tx1"/>
            </w14:solidFill>
          </w14:textFill>
        </w:rPr>
        <w:t>8.</w:t>
      </w:r>
      <w:r>
        <w:rPr>
          <w:rFonts w:hint="eastAsia" w:ascii="宋体" w:hAnsi="宋体" w:cs="宋体"/>
          <w:b/>
          <w:bCs/>
          <w:color w:val="000000" w:themeColor="text1"/>
          <w14:textFill>
            <w14:solidFill>
              <w14:schemeClr w14:val="tx1"/>
            </w14:solidFill>
          </w14:textFill>
        </w:rPr>
        <w:t>不可抗力</w:t>
      </w:r>
      <w:bookmarkEnd w:id="151"/>
      <w:bookmarkEnd w:id="152"/>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8.1 </w:t>
      </w:r>
      <w:r>
        <w:rPr>
          <w:rFonts w:hint="eastAsia" w:ascii="宋体" w:hAnsi="宋体" w:cs="宋体"/>
          <w:color w:val="000000" w:themeColor="text1"/>
          <w14:textFill>
            <w14:solidFill>
              <w14:schemeClr w14:val="tx1"/>
            </w14:solidFill>
          </w14:textFill>
        </w:rPr>
        <w:t>“不可抗力”是指本合同签订后不可预见并且其发生和后果是双方无法避免和克服的事件，该等事件在合同签署后发生，并造成一方不能履行其在合同书项下的全部或部分义务。该等事件包括地震、台风、洪水、火灾、战争、瘟疫、流行病（包括非典型肺炎或类似流行传染病）、动乱、罢工以及法律规定为“不可抗力”的其他事件。</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8.2 </w:t>
      </w:r>
      <w:r>
        <w:rPr>
          <w:rFonts w:hint="eastAsia" w:ascii="宋体" w:hAnsi="宋体" w:cs="宋体"/>
          <w:color w:val="000000" w:themeColor="text1"/>
          <w14:textFill>
            <w14:solidFill>
              <w14:schemeClr w14:val="tx1"/>
            </w14:solidFill>
          </w14:textFill>
        </w:rPr>
        <w:t>如一项不可抗力事件发生并因此影响任何一方履行其在本合同项下的义务，则该项义务的履行在不可抗力事件导致的延迟期内可暂时中止，且该等不履行不视为对合同的违反。受到不可抗力事件影响的一方应当立即以书面形式将该不可抗力事件的发生通知另一方，并在此后十五日内提供该不可抗力事件发生和持续时间的充分证据。</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8.3 </w:t>
      </w:r>
      <w:r>
        <w:rPr>
          <w:rFonts w:hint="eastAsia" w:ascii="宋体" w:hAnsi="宋体" w:cs="宋体"/>
          <w:color w:val="000000" w:themeColor="text1"/>
          <w14:textFill>
            <w14:solidFill>
              <w14:schemeClr w14:val="tx1"/>
            </w14:solidFill>
          </w14:textFill>
        </w:rPr>
        <w:t>发生不可抗力事件后，双方应相互协商以寻求公平的解决方法并应尽力将不可抗力所造成的影响减至最低。如果不可抗力的发生严重阻碍了合同的履行，且自不可抗力发生之日起三十日内双方仍无法找到公平的解决方法，则任何一方可提前终止本合同书。在此情况下，乙方应当退还甲方已经支付的款项（扣除乙方为本项目所已经实际支付的必要成本）。</w:t>
      </w:r>
    </w:p>
    <w:p>
      <w:pPr>
        <w:autoSpaceDE w:val="0"/>
        <w:autoSpaceDN w:val="0"/>
        <w:adjustRightInd w:val="0"/>
        <w:spacing w:line="440" w:lineRule="exact"/>
        <w:ind w:firstLine="413" w:firstLineChars="196"/>
        <w:rPr>
          <w:rFonts w:ascii="宋体" w:hAnsi="宋体"/>
          <w:b/>
          <w:bCs/>
          <w:color w:val="000000" w:themeColor="text1"/>
          <w:kern w:val="0"/>
          <w14:textFill>
            <w14:solidFill>
              <w14:schemeClr w14:val="tx1"/>
            </w14:solidFill>
          </w14:textFill>
        </w:rPr>
      </w:pPr>
      <w:bookmarkStart w:id="153" w:name="_Toc7221"/>
      <w:bookmarkStart w:id="154" w:name="_Toc12058"/>
      <w:r>
        <w:rPr>
          <w:rFonts w:ascii="宋体" w:hAnsi="宋体" w:cs="宋体"/>
          <w:b/>
          <w:bCs/>
          <w:color w:val="000000" w:themeColor="text1"/>
          <w:kern w:val="0"/>
          <w:lang w:val="zh-CN"/>
          <w14:textFill>
            <w14:solidFill>
              <w14:schemeClr w14:val="tx1"/>
            </w14:solidFill>
          </w14:textFill>
        </w:rPr>
        <w:t>9.</w:t>
      </w:r>
      <w:r>
        <w:rPr>
          <w:rFonts w:hint="eastAsia" w:ascii="宋体" w:hAnsi="宋体" w:cs="宋体"/>
          <w:b/>
          <w:bCs/>
          <w:color w:val="000000" w:themeColor="text1"/>
          <w:kern w:val="0"/>
          <w:lang w:val="zh-CN"/>
          <w14:textFill>
            <w14:solidFill>
              <w14:schemeClr w14:val="tx1"/>
            </w14:solidFill>
          </w14:textFill>
        </w:rPr>
        <w:t>知识产权、保密</w:t>
      </w:r>
      <w:bookmarkEnd w:id="153"/>
      <w:bookmarkEnd w:id="154"/>
    </w:p>
    <w:p>
      <w:pPr>
        <w:autoSpaceDE w:val="0"/>
        <w:autoSpaceDN w:val="0"/>
        <w:adjustRightInd w:val="0"/>
        <w:spacing w:line="440" w:lineRule="exact"/>
        <w:ind w:firstLine="56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9.1</w:t>
      </w:r>
      <w:r>
        <w:rPr>
          <w:rFonts w:hint="eastAsia" w:ascii="宋体" w:hAnsi="宋体" w:cs="宋体"/>
          <w:color w:val="000000" w:themeColor="text1"/>
          <w:kern w:val="0"/>
          <w:lang w:val="zh-CN"/>
          <w14:textFill>
            <w14:solidFill>
              <w14:schemeClr w14:val="tx1"/>
            </w14:solidFill>
          </w14:textFill>
        </w:rPr>
        <w:t>合同双方保证，一方向另一方提供的文件、资料不会侵犯任何第三方的知识产权或其他合法权益，若因此给另一方造成损失的，由提供方依法承担相应法律责任。</w:t>
      </w:r>
    </w:p>
    <w:p>
      <w:pPr>
        <w:autoSpaceDE w:val="0"/>
        <w:autoSpaceDN w:val="0"/>
        <w:adjustRightInd w:val="0"/>
        <w:spacing w:line="440" w:lineRule="exact"/>
        <w:ind w:firstLine="56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 xml:space="preserve">9.2 </w:t>
      </w:r>
      <w:r>
        <w:rPr>
          <w:rFonts w:hint="eastAsia" w:ascii="宋体" w:hAnsi="宋体" w:cs="宋体"/>
          <w:color w:val="000000" w:themeColor="text1"/>
          <w:kern w:val="0"/>
          <w:lang w:val="zh-CN"/>
          <w14:textFill>
            <w14:solidFill>
              <w14:schemeClr w14:val="tx1"/>
            </w14:solidFill>
          </w14:textFill>
        </w:rPr>
        <w:t>甲方享有本合同项下</w:t>
      </w:r>
      <w:r>
        <w:rPr>
          <w:rFonts w:hint="eastAsia" w:ascii="宋体" w:hAnsi="宋体"/>
          <w:b/>
          <w:color w:val="000000" w:themeColor="text1"/>
          <w14:textFill>
            <w14:solidFill>
              <w14:schemeClr w14:val="tx1"/>
            </w14:solidFill>
          </w14:textFill>
        </w:rPr>
        <w:t>所涉及到的技术成果、开发平台、关键技术、秘密信息、技术资料、文件</w:t>
      </w:r>
      <w:r>
        <w:rPr>
          <w:rFonts w:hint="eastAsia" w:ascii="宋体" w:hAnsi="宋体" w:cs="宋体"/>
          <w:color w:val="000000" w:themeColor="text1"/>
          <w:kern w:val="0"/>
          <w:lang w:val="zh-CN"/>
          <w14:textFill>
            <w14:solidFill>
              <w14:schemeClr w14:val="tx1"/>
            </w14:solidFill>
          </w14:textFill>
        </w:rPr>
        <w:t>等内容的完整的知识产权，未经甲方书面确认，乙方不得转让、许可或以其他方式提供给任何第三方使用；否则，甲方有权解除合同并依法追究乙方违约责任。</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9.3</w:t>
      </w:r>
      <w:r>
        <w:rPr>
          <w:rFonts w:hint="eastAsia" w:ascii="宋体" w:hAnsi="宋体" w:cs="宋体"/>
          <w:color w:val="000000" w:themeColor="text1"/>
          <w:kern w:val="0"/>
          <w:lang w:val="zh-CN"/>
          <w14:textFill>
            <w14:solidFill>
              <w14:schemeClr w14:val="tx1"/>
            </w14:solidFill>
          </w14:textFill>
        </w:rPr>
        <w:t>本合同涉及的文件、资料内容属于甲方商业秘密，除为履行本合同所必须外，未经甲方授权乙方无权向第三方公开。</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9.4</w:t>
      </w:r>
      <w:r>
        <w:rPr>
          <w:rFonts w:hint="eastAsia" w:ascii="宋体" w:hAnsi="宋体" w:cs="宋体"/>
          <w:color w:val="000000" w:themeColor="text1"/>
          <w:kern w:val="0"/>
          <w:lang w:val="zh-CN"/>
          <w14:textFill>
            <w14:solidFill>
              <w14:schemeClr w14:val="tx1"/>
            </w14:solidFill>
          </w14:textFill>
        </w:rPr>
        <w:t>合同双方对因签署和履行本合同而获得的本合同各项条款、有关本合同的谈判、合同一方提供给对方的涉及提供方专属的或保密的信息和数据等属于商业秘密，仅在下列情况下，合同双方才可披露商业秘密条款信息：</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9.4.1</w:t>
      </w:r>
      <w:r>
        <w:rPr>
          <w:rFonts w:hint="eastAsia" w:ascii="宋体" w:hAnsi="宋体" w:cs="宋体"/>
          <w:color w:val="000000" w:themeColor="text1"/>
          <w:kern w:val="0"/>
          <w:lang w:val="zh-CN"/>
          <w14:textFill>
            <w14:solidFill>
              <w14:schemeClr w14:val="tx1"/>
            </w14:solidFill>
          </w14:textFill>
        </w:rPr>
        <w:t>依法律法规的规定；</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 xml:space="preserve">9.4.2 </w:t>
      </w:r>
      <w:r>
        <w:rPr>
          <w:rFonts w:hint="eastAsia" w:ascii="宋体" w:hAnsi="宋体" w:cs="宋体"/>
          <w:color w:val="000000" w:themeColor="text1"/>
          <w:kern w:val="0"/>
          <w:lang w:val="zh-CN"/>
          <w14:textFill>
            <w14:solidFill>
              <w14:schemeClr w14:val="tx1"/>
            </w14:solidFill>
          </w14:textFill>
        </w:rPr>
        <w:t>依任何有管辖权的政府机关、监管机构或自律组织的要求；</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9.4.3</w:t>
      </w:r>
      <w:r>
        <w:rPr>
          <w:rFonts w:hint="eastAsia" w:ascii="宋体" w:hAnsi="宋体" w:cs="宋体"/>
          <w:color w:val="000000" w:themeColor="text1"/>
          <w:kern w:val="0"/>
          <w:lang w:val="zh-CN"/>
          <w14:textFill>
            <w14:solidFill>
              <w14:schemeClr w14:val="tx1"/>
            </w14:solidFill>
          </w14:textFill>
        </w:rPr>
        <w:t>在收到对方披露的保密信息之时或之前已从对该保密信息无保密义务的第三方合法知悉该信息；</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 xml:space="preserve">9.4.4 </w:t>
      </w:r>
      <w:r>
        <w:rPr>
          <w:rFonts w:hint="eastAsia" w:ascii="宋体" w:hAnsi="宋体" w:cs="宋体"/>
          <w:color w:val="000000" w:themeColor="text1"/>
          <w:kern w:val="0"/>
          <w:lang w:val="zh-CN"/>
          <w14:textFill>
            <w14:solidFill>
              <w14:schemeClr w14:val="tx1"/>
            </w14:solidFill>
          </w14:textFill>
        </w:rPr>
        <w:t>非因乙方过错，而使信息已经公开；</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9.4.5</w:t>
      </w:r>
      <w:r>
        <w:rPr>
          <w:rFonts w:hint="eastAsia" w:ascii="宋体" w:hAnsi="宋体" w:cs="宋体"/>
          <w:color w:val="000000" w:themeColor="text1"/>
          <w:kern w:val="0"/>
          <w:lang w:val="zh-CN"/>
          <w14:textFill>
            <w14:solidFill>
              <w14:schemeClr w14:val="tx1"/>
            </w14:solidFill>
          </w14:textFill>
        </w:rPr>
        <w:t>合同双方事先达成书面认可；</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9.5</w:t>
      </w:r>
      <w:r>
        <w:rPr>
          <w:rFonts w:hint="eastAsia" w:ascii="宋体" w:hAnsi="宋体" w:cs="宋体"/>
          <w:color w:val="000000" w:themeColor="text1"/>
          <w:kern w:val="0"/>
          <w:lang w:val="zh-CN"/>
          <w14:textFill>
            <w14:solidFill>
              <w14:schemeClr w14:val="tx1"/>
            </w14:solidFill>
          </w14:textFill>
        </w:rPr>
        <w:t>本条款的使用不因本合同的终止而失效；自其中某项秘密信息依法被公开披露、丧失保密性之日起，本合同约定的保密义务对该信息不再适用。</w:t>
      </w:r>
    </w:p>
    <w:p>
      <w:pPr>
        <w:snapToGrid w:val="0"/>
        <w:spacing w:line="440" w:lineRule="exact"/>
        <w:ind w:firstLine="474" w:firstLineChars="225"/>
        <w:rPr>
          <w:rFonts w:ascii="宋体" w:hAnsi="宋体" w:cs="宋体"/>
          <w:color w:val="000000" w:themeColor="text1"/>
          <w14:textFill>
            <w14:solidFill>
              <w14:schemeClr w14:val="tx1"/>
            </w14:solidFill>
          </w14:textFill>
        </w:rPr>
      </w:pPr>
      <w:bookmarkStart w:id="155" w:name="_Toc26449"/>
      <w:bookmarkStart w:id="156" w:name="_Toc20922"/>
      <w:r>
        <w:rPr>
          <w:rFonts w:ascii="宋体" w:hAnsi="宋体" w:cs="宋体"/>
          <w:b/>
          <w:bCs/>
          <w:color w:val="000000" w:themeColor="text1"/>
          <w14:textFill>
            <w14:solidFill>
              <w14:schemeClr w14:val="tx1"/>
            </w14:solidFill>
          </w14:textFill>
        </w:rPr>
        <w:t>10.</w:t>
      </w:r>
      <w:r>
        <w:rPr>
          <w:rFonts w:hint="eastAsia" w:ascii="宋体" w:hAnsi="宋体" w:cs="宋体"/>
          <w:b/>
          <w:bCs/>
          <w:color w:val="000000" w:themeColor="text1"/>
          <w14:textFill>
            <w14:solidFill>
              <w14:schemeClr w14:val="tx1"/>
            </w14:solidFill>
          </w14:textFill>
        </w:rPr>
        <w:t>争议解决</w:t>
      </w:r>
      <w:bookmarkEnd w:id="155"/>
      <w:bookmarkEnd w:id="156"/>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10.1 </w:t>
      </w:r>
      <w:r>
        <w:rPr>
          <w:rFonts w:hint="eastAsia" w:ascii="宋体" w:hAnsi="宋体" w:cs="宋体"/>
          <w:color w:val="000000" w:themeColor="text1"/>
          <w14:textFill>
            <w14:solidFill>
              <w14:schemeClr w14:val="tx1"/>
            </w14:solidFill>
          </w14:textFill>
        </w:rPr>
        <w:t>如果甲乙双方就本合同的履行发生任何争议，双方应首先通过友好协商解决该等争议。如果在协商开始的</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日内双方无法解决争议，则提交给位于北京市的中国国际经济贸易仲裁委员会，依据委员会实施的仲裁规则进行仲裁。该仲裁裁决是终局性的并对三方具有约束力。</w:t>
      </w:r>
    </w:p>
    <w:p>
      <w:pPr>
        <w:snapToGrid w:val="0"/>
        <w:spacing w:line="440" w:lineRule="exact"/>
        <w:ind w:firstLine="474" w:firstLineChars="225"/>
        <w:rPr>
          <w:rFonts w:ascii="宋体" w:hAnsi="宋体" w:cs="宋体"/>
          <w:color w:val="000000" w:themeColor="text1"/>
          <w14:textFill>
            <w14:solidFill>
              <w14:schemeClr w14:val="tx1"/>
            </w14:solidFill>
          </w14:textFill>
        </w:rPr>
      </w:pPr>
      <w:bookmarkStart w:id="157" w:name="_Toc17905"/>
      <w:bookmarkStart w:id="158" w:name="_Toc2658"/>
      <w:r>
        <w:rPr>
          <w:rFonts w:ascii="宋体" w:hAnsi="宋体" w:cs="宋体"/>
          <w:b/>
          <w:color w:val="000000" w:themeColor="text1"/>
          <w:kern w:val="0"/>
          <w14:textFill>
            <w14:solidFill>
              <w14:schemeClr w14:val="tx1"/>
            </w14:solidFill>
          </w14:textFill>
        </w:rPr>
        <w:t>11.</w:t>
      </w:r>
      <w:r>
        <w:rPr>
          <w:rFonts w:hint="eastAsia" w:ascii="宋体" w:hAnsi="宋体" w:cs="宋体"/>
          <w:b/>
          <w:color w:val="000000" w:themeColor="text1"/>
          <w:kern w:val="0"/>
          <w14:textFill>
            <w14:solidFill>
              <w14:schemeClr w14:val="tx1"/>
            </w14:solidFill>
          </w14:textFill>
        </w:rPr>
        <w:t>通知</w:t>
      </w:r>
      <w:bookmarkEnd w:id="157"/>
      <w:bookmarkEnd w:id="158"/>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11.1</w:t>
      </w:r>
      <w:r>
        <w:rPr>
          <w:rFonts w:hint="eastAsia" w:ascii="宋体" w:hAnsi="宋体" w:cs="宋体"/>
          <w:color w:val="000000" w:themeColor="text1"/>
          <w14:textFill>
            <w14:solidFill>
              <w14:schemeClr w14:val="tx1"/>
            </w14:solidFill>
          </w14:textFill>
        </w:rPr>
        <w:t>本合同任何一方给另一方的通知都应以书面或电传、电报、传真的形式发送，而另一方应以书面形式确认并发送到对方明确的地址。</w:t>
      </w:r>
    </w:p>
    <w:p>
      <w:pPr>
        <w:snapToGrid w:val="0"/>
        <w:spacing w:line="440" w:lineRule="exact"/>
        <w:ind w:firstLine="474" w:firstLineChars="225"/>
        <w:rPr>
          <w:rFonts w:ascii="宋体" w:hAnsi="宋体" w:cs="宋体"/>
          <w:color w:val="000000" w:themeColor="text1"/>
          <w14:textFill>
            <w14:solidFill>
              <w14:schemeClr w14:val="tx1"/>
            </w14:solidFill>
          </w14:textFill>
        </w:rPr>
      </w:pPr>
      <w:bookmarkStart w:id="159" w:name="_Toc20904"/>
      <w:bookmarkStart w:id="160" w:name="_Toc29310"/>
      <w:r>
        <w:rPr>
          <w:rFonts w:ascii="宋体" w:hAnsi="宋体" w:cs="宋体"/>
          <w:b/>
          <w:color w:val="000000" w:themeColor="text1"/>
          <w:kern w:val="0"/>
          <w14:textFill>
            <w14:solidFill>
              <w14:schemeClr w14:val="tx1"/>
            </w14:solidFill>
          </w14:textFill>
        </w:rPr>
        <w:t>12.</w:t>
      </w:r>
      <w:r>
        <w:rPr>
          <w:rFonts w:hint="eastAsia" w:ascii="宋体" w:hAnsi="宋体" w:cs="宋体"/>
          <w:b/>
          <w:color w:val="000000" w:themeColor="text1"/>
          <w:kern w:val="0"/>
          <w14:textFill>
            <w14:solidFill>
              <w14:schemeClr w14:val="tx1"/>
            </w14:solidFill>
          </w14:textFill>
        </w:rPr>
        <w:t>合同生效及其它</w:t>
      </w:r>
      <w:bookmarkEnd w:id="159"/>
      <w:bookmarkEnd w:id="160"/>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12.1 </w:t>
      </w:r>
      <w:r>
        <w:rPr>
          <w:rFonts w:hint="eastAsia" w:ascii="宋体" w:hAnsi="宋体" w:cs="宋体"/>
          <w:color w:val="000000" w:themeColor="text1"/>
          <w14:textFill>
            <w14:solidFill>
              <w14:schemeClr w14:val="tx1"/>
            </w14:solidFill>
          </w14:textFill>
        </w:rPr>
        <w:t>三方本着善意和合作的目的，同意就本项目组织中发生的不可预见的变化进行友好协商，并签署书面确认，以修正并取代本合同的约定。如没有签署书面确认，双方以本合同为准。</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12.2</w:t>
      </w:r>
      <w:r>
        <w:rPr>
          <w:rFonts w:hint="eastAsia" w:ascii="宋体" w:hAnsi="宋体" w:cs="宋体"/>
          <w:color w:val="000000" w:themeColor="text1"/>
          <w14:textFill>
            <w14:solidFill>
              <w14:schemeClr w14:val="tx1"/>
            </w14:solidFill>
          </w14:textFill>
        </w:rPr>
        <w:t>本合同一式七份，甲方持五份、乙方持二份，经双方签字盖章后即发生法律效力，且均具有同等法律效力。</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附件：1、服务方案</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2、费用明细单</w:t>
      </w:r>
    </w:p>
    <w:p>
      <w:p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甲方（采购单位）：</w:t>
      </w:r>
    </w:p>
    <w:p>
      <w:pPr>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（公章）</w:t>
      </w:r>
      <w:r>
        <w:rPr>
          <w:rFonts w:ascii="宋体" w:hAnsi="宋体" w:cs="宋体"/>
          <w:color w:val="000000" w:themeColor="text1"/>
          <w14:textFill>
            <w14:solidFill>
              <w14:schemeClr w14:val="tx1"/>
            </w14:solidFill>
          </w14:textFill>
        </w:rPr>
        <w:tab/>
      </w:r>
    </w:p>
    <w:p>
      <w:pPr>
        <w:spacing w:line="440" w:lineRule="exact"/>
        <w:ind w:firstLine="472" w:firstLineChars="225"/>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法定代表或授权代表：　　　　　　</w:t>
      </w:r>
      <w:r>
        <w:rPr>
          <w:rFonts w:ascii="宋体" w:hAnsi="宋体" w:cs="宋体"/>
          <w:color w:val="000000" w:themeColor="text1"/>
          <w14:textFill>
            <w14:solidFill>
              <w14:schemeClr w14:val="tx1"/>
            </w14:solidFill>
          </w14:textFill>
        </w:rPr>
        <w:tab/>
      </w:r>
    </w:p>
    <w:p>
      <w:pPr>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签订时间：  年 月 日</w:t>
      </w:r>
    </w:p>
    <w:p>
      <w:p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乙方（中标单位）：</w:t>
      </w:r>
    </w:p>
    <w:p>
      <w:pPr>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（公章）</w:t>
      </w:r>
    </w:p>
    <w:p>
      <w:pPr>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法定代表或授权代表：</w:t>
      </w:r>
    </w:p>
    <w:p>
      <w:pPr>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签订时间：   年 月 日 </w:t>
      </w:r>
    </w:p>
    <w:p>
      <w:pPr>
        <w:pStyle w:val="31"/>
        <w:spacing w:before="120" w:after="120" w:line="360" w:lineRule="auto"/>
        <w:jc w:val="center"/>
        <w:outlineLvl w:val="0"/>
        <w:rPr>
          <w:rFonts w:ascii="仿宋" w:hAnsi="仿宋" w:eastAsia="仿宋"/>
          <w:b/>
          <w:color w:val="000000" w:themeColor="text1"/>
          <w:sz w:val="36"/>
          <w:szCs w:val="36"/>
          <w14:textFill>
            <w14:solidFill>
              <w14:schemeClr w14:val="tx1"/>
            </w14:solidFill>
          </w14:textFill>
        </w:rPr>
      </w:pPr>
      <w:r>
        <w:rPr>
          <w:rFonts w:ascii="仿宋_GB2312" w:eastAsia="仿宋_GB2312"/>
          <w:snapToGrid w:val="0"/>
          <w:color w:val="000000" w:themeColor="text1"/>
          <w:kern w:val="0"/>
          <w:sz w:val="30"/>
          <w:szCs w:val="30"/>
          <w14:textFill>
            <w14:solidFill>
              <w14:schemeClr w14:val="tx1"/>
            </w14:solidFill>
          </w14:textFill>
        </w:rPr>
        <w:br w:type="page"/>
      </w:r>
      <w:bookmarkStart w:id="161" w:name="_Toc51935133"/>
      <w:r>
        <w:rPr>
          <w:rFonts w:hint="eastAsia" w:ascii="仿宋" w:hAnsi="仿宋" w:eastAsia="仿宋"/>
          <w:b/>
          <w:color w:val="000000" w:themeColor="text1"/>
          <w:sz w:val="36"/>
          <w:szCs w:val="36"/>
          <w14:textFill>
            <w14:solidFill>
              <w14:schemeClr w14:val="tx1"/>
            </w14:solidFill>
          </w14:textFill>
        </w:rPr>
        <w:t>第六章</w:t>
      </w:r>
      <w:r>
        <w:rPr>
          <w:rFonts w:ascii="仿宋" w:hAnsi="仿宋" w:eastAsia="仿宋"/>
          <w:b/>
          <w:color w:val="000000" w:themeColor="text1"/>
          <w:sz w:val="36"/>
          <w:szCs w:val="36"/>
          <w14:textFill>
            <w14:solidFill>
              <w14:schemeClr w14:val="tx1"/>
            </w14:solidFill>
          </w14:textFill>
        </w:rPr>
        <w:t xml:space="preserve">  </w:t>
      </w:r>
      <w:r>
        <w:rPr>
          <w:rFonts w:hint="eastAsia" w:ascii="仿宋" w:hAnsi="仿宋" w:eastAsia="仿宋"/>
          <w:b/>
          <w:color w:val="000000" w:themeColor="text1"/>
          <w:sz w:val="36"/>
          <w:szCs w:val="36"/>
          <w14:textFill>
            <w14:solidFill>
              <w14:schemeClr w14:val="tx1"/>
            </w14:solidFill>
          </w14:textFill>
        </w:rPr>
        <w:t>投标文件格式附件</w:t>
      </w:r>
      <w:bookmarkEnd w:id="161"/>
    </w:p>
    <w:p>
      <w:pPr>
        <w:pStyle w:val="31"/>
        <w:spacing w:before="120" w:after="120" w:line="360" w:lineRule="auto"/>
        <w:jc w:val="center"/>
        <w:rPr>
          <w:rFonts w:ascii="仿宋" w:hAnsi="仿宋" w:eastAsia="仿宋"/>
          <w:b/>
          <w:color w:val="000000" w:themeColor="text1"/>
          <w:sz w:val="36"/>
          <w:szCs w:val="36"/>
          <w14:textFill>
            <w14:solidFill>
              <w14:schemeClr w14:val="tx1"/>
            </w14:solidFill>
          </w14:textFill>
        </w:rPr>
      </w:pPr>
    </w:p>
    <w:p>
      <w:pPr>
        <w:pStyle w:val="7"/>
        <w:numPr>
          <w:ilvl w:val="5"/>
          <w:numId w:val="0"/>
        </w:numPr>
        <w:jc w:val="center"/>
        <w:rPr>
          <w:rFonts w:ascii="仿宋" w:hAnsi="仿宋" w:eastAsia="仿宋"/>
          <w:color w:val="000000" w:themeColor="text1"/>
          <w:sz w:val="30"/>
          <w14:textFill>
            <w14:solidFill>
              <w14:schemeClr w14:val="tx1"/>
            </w14:solidFill>
          </w14:textFill>
        </w:rPr>
      </w:pPr>
      <w:bookmarkStart w:id="162" w:name="_Toc32581647"/>
      <w:bookmarkStart w:id="163" w:name="_Toc125713437"/>
      <w:r>
        <w:rPr>
          <w:rFonts w:hint="eastAsia" w:ascii="仿宋" w:hAnsi="仿宋" w:eastAsia="仿宋"/>
          <w:color w:val="000000" w:themeColor="text1"/>
          <w14:textFill>
            <w14:solidFill>
              <w14:schemeClr w14:val="tx1"/>
            </w14:solidFill>
          </w14:textFill>
        </w:rPr>
        <w:t>投标人提交文件须知</w:t>
      </w:r>
      <w:bookmarkEnd w:id="162"/>
      <w:bookmarkEnd w:id="163"/>
    </w:p>
    <w:p>
      <w:pPr>
        <w:spacing w:line="360" w:lineRule="auto"/>
        <w:ind w:left="210" w:hanging="210" w:hangingChars="10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pPr>
        <w:spacing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2.所附表格中要求回答的全部问题和信息都必须正面回答。</w:t>
      </w:r>
    </w:p>
    <w:p>
      <w:pPr>
        <w:spacing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本资格声明的签字人应保证全部声明和问题的回答是真实的和准确的。</w:t>
      </w:r>
    </w:p>
    <w:p>
      <w:pPr>
        <w:spacing w:line="360" w:lineRule="auto"/>
        <w:ind w:left="210" w:hanging="210" w:hangingChars="10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4.评标委员会将应用投标人提交的资料并根据自己的判断，决定投标人履行合同的合格性及能力。</w:t>
      </w:r>
    </w:p>
    <w:p>
      <w:pPr>
        <w:adjustRightInd w:val="0"/>
        <w:snapToGrid w:val="0"/>
        <w:spacing w:before="120" w:after="120"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5.投标人提交的材料将被保密保存，但不退还。</w:t>
      </w:r>
    </w:p>
    <w:p>
      <w:pPr>
        <w:adjustRightInd w:val="0"/>
        <w:snapToGrid w:val="0"/>
        <w:spacing w:before="120" w:after="120" w:line="360" w:lineRule="auto"/>
        <w:rPr>
          <w:rFonts w:ascii="仿宋" w:hAnsi="仿宋" w:eastAsia="仿宋"/>
          <w:b/>
          <w:color w:val="000000" w:themeColor="text1"/>
          <w:sz w:val="36"/>
          <w:szCs w:val="36"/>
          <w14:textFill>
            <w14:solidFill>
              <w14:schemeClr w14:val="tx1"/>
            </w14:solidFill>
          </w14:textFill>
        </w:rPr>
      </w:pPr>
      <w:r>
        <w:rPr>
          <w:rFonts w:ascii="仿宋" w:hAnsi="仿宋" w:eastAsia="仿宋"/>
          <w:color w:val="000000" w:themeColor="text1"/>
          <w14:textFill>
            <w14:solidFill>
              <w14:schemeClr w14:val="tx1"/>
            </w14:solidFill>
          </w14:textFill>
        </w:rPr>
        <w:t>6.</w:t>
      </w:r>
      <w:r>
        <w:rPr>
          <w:rFonts w:hint="eastAsia" w:ascii="仿宋" w:hAnsi="仿宋" w:eastAsia="仿宋"/>
          <w:color w:val="000000" w:themeColor="text1"/>
          <w14:textFill>
            <w14:solidFill>
              <w14:schemeClr w14:val="tx1"/>
            </w14:solidFill>
          </w14:textFill>
        </w:rPr>
        <w:t>全部文件应按投标人须知中规定的语言和份数提交。</w:t>
      </w: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snapToGrid w:val="0"/>
        <w:spacing w:before="120" w:beforeLines="50" w:line="460" w:lineRule="exact"/>
        <w:ind w:firstLine="588"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28"/>
          <w:szCs w:val="28"/>
          <w14:textFill>
            <w14:solidFill>
              <w14:schemeClr w14:val="tx1"/>
            </w14:solidFill>
          </w14:textFill>
        </w:rPr>
        <w:t xml:space="preserve"> </w:t>
      </w:r>
    </w:p>
    <w:p>
      <w:pPr>
        <w:ind w:right="-110"/>
        <w:rPr>
          <w:rFonts w:ascii="仿宋" w:hAnsi="仿宋" w:eastAsia="仿宋"/>
          <w:color w:val="000000" w:themeColor="text1"/>
          <w:spacing w:val="40"/>
          <w:sz w:val="52"/>
          <w:szCs w:val="52"/>
          <w14:textFill>
            <w14:solidFill>
              <w14:schemeClr w14:val="tx1"/>
            </w14:solidFill>
          </w14:textFill>
        </w:rPr>
      </w:pP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ascii="仿宋" w:hAnsi="仿宋" w:eastAsia="仿宋"/>
          <w:color w:val="000000" w:themeColor="text1"/>
          <w:sz w:val="36"/>
          <w:szCs w:val="36"/>
          <w14:textFill>
            <w14:solidFill>
              <w14:schemeClr w14:val="tx1"/>
            </w14:solidFill>
          </w14:textFill>
        </w:rPr>
        <w:t>ZB2020-3</w:t>
      </w:r>
      <w:r>
        <w:rPr>
          <w:rFonts w:hint="eastAsia" w:ascii="仿宋" w:hAnsi="仿宋" w:eastAsia="仿宋"/>
          <w:color w:val="000000" w:themeColor="text1"/>
          <w:sz w:val="36"/>
          <w:szCs w:val="36"/>
          <w14:textFill>
            <w14:solidFill>
              <w14:schemeClr w14:val="tx1"/>
            </w14:solidFill>
          </w14:textFill>
        </w:rPr>
        <w:t>8</w:t>
      </w:r>
      <w:r>
        <w:rPr>
          <w:rFonts w:hint="eastAsia" w:ascii="仿宋" w:hAnsi="仿宋" w:eastAsia="仿宋"/>
          <w:sz w:val="36"/>
          <w:szCs w:val="36"/>
        </w:rPr>
        <w:t>（标项  ）</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开标一览表</w:t>
      </w:r>
    </w:p>
    <w:p>
      <w:pPr>
        <w:snapToGrid w:val="0"/>
        <w:spacing w:before="120"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p>
    <w:tbl>
      <w:tblPr>
        <w:tblStyle w:val="58"/>
        <w:tblpPr w:leftFromText="180" w:rightFromText="180" w:vertAnchor="text" w:horzAnchor="margin" w:tblpXSpec="center" w:tblpY="2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trPr>
        <w:tc>
          <w:tcPr>
            <w:tcW w:w="4361" w:type="dxa"/>
          </w:tcPr>
          <w:p>
            <w:pPr>
              <w:spacing w:before="12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服务投标总价（已优惠或折扣后）</w:t>
            </w:r>
          </w:p>
        </w:tc>
        <w:tc>
          <w:tcPr>
            <w:tcW w:w="4102" w:type="dxa"/>
            <w:vAlign w:val="center"/>
          </w:tcPr>
          <w:p>
            <w:pPr>
              <w:spacing w:before="120"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提供服务时间完全响应采购人要求的时间,（填写“是”或“否”）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4361" w:type="dxa"/>
          </w:tcPr>
          <w:p>
            <w:pPr>
              <w:jc w:val="center"/>
              <w:rPr>
                <w:color w:val="000000" w:themeColor="text1"/>
                <w:szCs w:val="21"/>
                <w14:textFill>
                  <w14:solidFill>
                    <w14:schemeClr w14:val="tx1"/>
                  </w14:solidFill>
                </w14:textFill>
              </w:rPr>
            </w:pPr>
          </w:p>
        </w:tc>
        <w:tc>
          <w:tcPr>
            <w:tcW w:w="4102" w:type="dxa"/>
          </w:tcPr>
          <w:p>
            <w:pPr>
              <w:jc w:val="center"/>
              <w:rPr>
                <w:color w:val="000000" w:themeColor="text1"/>
                <w:szCs w:val="21"/>
                <w14:textFill>
                  <w14:solidFill>
                    <w14:schemeClr w14:val="tx1"/>
                  </w14:solidFill>
                </w14:textFill>
              </w:rPr>
            </w:pPr>
          </w:p>
        </w:tc>
      </w:tr>
    </w:tbl>
    <w:p>
      <w:pPr>
        <w:spacing w:before="120" w:beforeLine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说明：开标一览表中的“服务投标总价”应是本项目投标服务的全部费用的报价，包括但不限于以下费用：</w:t>
      </w:r>
      <w:r>
        <w:rPr>
          <w:rFonts w:hint="eastAsia"/>
          <w:color w:val="000000" w:themeColor="text1"/>
          <w14:textFill>
            <w14:solidFill>
              <w14:schemeClr w14:val="tx1"/>
            </w14:solidFill>
          </w14:textFill>
        </w:rPr>
        <w:t>人工费用、系统服务费、设备使用费用、食宿费、交通费、劳务费、税金</w:t>
      </w:r>
      <w:r>
        <w:rPr>
          <w:rFonts w:hint="eastAsia" w:ascii="宋体" w:hAnsi="宋体"/>
          <w:color w:val="000000" w:themeColor="text1"/>
          <w:szCs w:val="21"/>
          <w14:textFill>
            <w14:solidFill>
              <w14:schemeClr w14:val="tx1"/>
            </w14:solidFill>
          </w14:textFill>
        </w:rPr>
        <w:t>及其他所有相关费用的总和。</w:t>
      </w:r>
    </w:p>
    <w:p>
      <w:pPr>
        <w:spacing w:before="120" w:beforeLines="50"/>
        <w:rPr>
          <w:color w:val="000000" w:themeColor="text1"/>
          <w:szCs w:val="21"/>
          <w14:textFill>
            <w14:solidFill>
              <w14:schemeClr w14:val="tx1"/>
            </w14:solidFill>
          </w14:textFill>
        </w:rPr>
      </w:pPr>
    </w:p>
    <w:p>
      <w:pPr>
        <w:spacing w:before="120" w:beforeLines="50"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投标总价大写金额：</w:t>
      </w:r>
      <w:r>
        <w:rPr>
          <w:color w:val="000000" w:themeColor="text1"/>
          <w:szCs w:val="21"/>
          <w:u w:val="single"/>
          <w14:textFill>
            <w14:solidFill>
              <w14:schemeClr w14:val="tx1"/>
            </w14:solidFill>
          </w14:textFill>
        </w:rPr>
        <w:t xml:space="preserve">                                        </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特别说明事项：</w:t>
      </w:r>
      <w:r>
        <w:rPr>
          <w:color w:val="000000" w:themeColor="text1"/>
          <w:szCs w:val="21"/>
          <w:u w:val="single"/>
          <w14:textFill>
            <w14:solidFill>
              <w14:schemeClr w14:val="tx1"/>
            </w14:solidFill>
          </w14:textFill>
        </w:rPr>
        <w:t xml:space="preserve">                                            </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投标人全称（公章）：</w:t>
      </w:r>
      <w:r>
        <w:rPr>
          <w:color w:val="000000" w:themeColor="text1"/>
          <w:szCs w:val="21"/>
          <w:u w:val="single"/>
          <w14:textFill>
            <w14:solidFill>
              <w14:schemeClr w14:val="tx1"/>
            </w14:solidFill>
          </w14:textFill>
        </w:rPr>
        <w:t xml:space="preserve">                                       </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法定代表人或授权的投标人代表签字：</w:t>
      </w:r>
      <w:r>
        <w:rPr>
          <w:color w:val="000000" w:themeColor="text1"/>
          <w:szCs w:val="21"/>
          <w:u w:val="single"/>
          <w14:textFill>
            <w14:solidFill>
              <w14:schemeClr w14:val="tx1"/>
            </w14:solidFill>
          </w14:textFill>
        </w:rPr>
        <w:t xml:space="preserve">                        </w:t>
      </w:r>
      <w:r>
        <w:rPr>
          <w:color w:val="000000" w:themeColor="text1"/>
          <w14:textFill>
            <w14:solidFill>
              <w14:schemeClr w14:val="tx1"/>
            </w14:solidFill>
          </w14:textFill>
        </w:rPr>
        <w:t xml:space="preserve">                              </w:t>
      </w:r>
    </w:p>
    <w:p>
      <w:pPr>
        <w:pStyle w:val="31"/>
        <w:adjustRightInd w:val="0"/>
        <w:snapToGrid w:val="0"/>
        <w:spacing w:before="120" w:after="120" w:line="460" w:lineRule="exact"/>
        <w:ind w:left="1" w:firstLine="511" w:firstLineChars="213"/>
        <w:jc w:val="center"/>
        <w:rPr>
          <w:rFonts w:hAnsi="宋体" w:eastAsia="仿宋_GB2312"/>
          <w:b/>
          <w:color w:val="000000" w:themeColor="text1"/>
          <w:sz w:val="36"/>
          <w:szCs w:val="36"/>
          <w14:textFill>
            <w14:solidFill>
              <w14:schemeClr w14:val="tx1"/>
            </w14:solidFill>
          </w14:textFill>
        </w:rPr>
      </w:pPr>
      <w:r>
        <w:rPr>
          <w:color w:val="000000" w:themeColor="text1"/>
          <w14:textFill>
            <w14:solidFill>
              <w14:schemeClr w14:val="tx1"/>
            </w14:solidFill>
          </w14:textFill>
        </w:rPr>
        <w:t>日期：</w:t>
      </w:r>
      <w:r>
        <w:rPr>
          <w:color w:val="000000" w:themeColor="text1"/>
          <w:szCs w:val="21"/>
          <w:u w:val="single"/>
          <w14:textFill>
            <w14:solidFill>
              <w14:schemeClr w14:val="tx1"/>
            </w14:solidFill>
          </w14:textFill>
        </w:rPr>
        <w:t xml:space="preserve">                                      </w:t>
      </w:r>
      <w:r>
        <w:rPr>
          <w:color w:val="000000" w:themeColor="text1"/>
          <w14:textFill>
            <w14:solidFill>
              <w14:schemeClr w14:val="tx1"/>
            </w14:solidFill>
          </w14:textFill>
        </w:rPr>
        <w:t xml:space="preserve">   </w:t>
      </w: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snapToGrid w:val="0"/>
        <w:spacing w:before="120" w:beforeLines="50" w:after="50"/>
        <w:rPr>
          <w:rFonts w:ascii="仿宋" w:hAnsi="仿宋" w:eastAsia="仿宋"/>
          <w:color w:val="000000" w:themeColor="text1"/>
          <w:sz w:val="30"/>
          <w:szCs w:val="30"/>
          <w14:textFill>
            <w14:solidFill>
              <w14:schemeClr w14:val="tx1"/>
            </w14:solidFill>
          </w14:textFill>
        </w:rPr>
      </w:pPr>
    </w:p>
    <w:p>
      <w:pPr>
        <w:snapToGrid w:val="0"/>
        <w:spacing w:before="120" w:beforeLines="50" w:after="50"/>
        <w:rPr>
          <w:rFonts w:hint="eastAsia" w:ascii="仿宋" w:hAnsi="仿宋" w:eastAsia="仿宋"/>
          <w:color w:val="000000" w:themeColor="text1"/>
          <w:sz w:val="30"/>
          <w:szCs w:val="30"/>
          <w14:textFill>
            <w14:solidFill>
              <w14:schemeClr w14:val="tx1"/>
            </w14:solidFill>
          </w14:textFill>
        </w:r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附件2</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bCs/>
          <w:color w:val="000000" w:themeColor="text1"/>
          <w:sz w:val="30"/>
          <w:szCs w:val="30"/>
          <w14:textFill>
            <w14:solidFill>
              <w14:schemeClr w14:val="tx1"/>
            </w14:solidFill>
          </w14:textFill>
        </w:rPr>
        <w:t>正本或副本</w:t>
      </w:r>
    </w:p>
    <w:p>
      <w:pPr>
        <w:snapToGrid w:val="0"/>
        <w:spacing w:before="120" w:beforeLines="50" w:after="50"/>
        <w:jc w:val="right"/>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仿宋" w:hAnsi="仿宋" w:eastAsia="仿宋"/>
          <w:sz w:val="36"/>
          <w:szCs w:val="36"/>
        </w:rPr>
      </w:pPr>
      <w:r>
        <w:rPr>
          <w:rFonts w:hint="eastAsia" w:ascii="仿宋" w:hAnsi="仿宋" w:eastAsia="仿宋"/>
          <w:color w:val="000000" w:themeColor="text1"/>
          <w:sz w:val="36"/>
          <w:szCs w:val="36"/>
          <w14:textFill>
            <w14:solidFill>
              <w14:schemeClr w14:val="tx1"/>
            </w14:solidFill>
          </w14:textFill>
        </w:rPr>
        <w:t>项目编号：</w:t>
      </w:r>
      <w:r>
        <w:rPr>
          <w:rFonts w:ascii="仿宋" w:hAnsi="仿宋" w:eastAsia="仿宋"/>
          <w:color w:val="000000" w:themeColor="text1"/>
          <w:sz w:val="36"/>
          <w:szCs w:val="36"/>
          <w14:textFill>
            <w14:solidFill>
              <w14:schemeClr w14:val="tx1"/>
            </w14:solidFill>
          </w14:textFill>
        </w:rPr>
        <w:t>ZB2020-38</w:t>
      </w:r>
      <w:r>
        <w:rPr>
          <w:rFonts w:hint="eastAsia" w:ascii="仿宋" w:hAnsi="仿宋" w:eastAsia="仿宋"/>
          <w:sz w:val="36"/>
          <w:szCs w:val="36"/>
        </w:rPr>
        <w:t>（标项  ）</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质</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rPr>
          <w:rFonts w:ascii="仿宋" w:hAnsi="仿宋" w:eastAsia="仿宋"/>
          <w:color w:val="000000" w:themeColor="text1"/>
          <w:sz w:val="36"/>
          <w:szCs w:val="36"/>
          <w14:textFill>
            <w14:solidFill>
              <w14:schemeClr w14:val="tx1"/>
            </w14:solidFill>
          </w14:textFill>
        </w:rPr>
      </w:pP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投标人全称：</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（加盖单位公章）</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法定代表人印刷体姓名：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授权投标代表印刷体姓名：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投标人地址：   </w:t>
      </w:r>
      <w:r>
        <w:rPr>
          <w:rFonts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邮编：</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联系电话：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开标时间：  </w:t>
      </w:r>
      <w:r>
        <w:rPr>
          <w:rFonts w:hint="eastAsia" w:ascii="宋体" w:hAnsi="宋体"/>
          <w:color w:val="000000" w:themeColor="text1"/>
          <w:sz w:val="28"/>
          <w:u w:val="single"/>
          <w14:textFill>
            <w14:solidFill>
              <w14:schemeClr w14:val="tx1"/>
            </w14:solidFill>
          </w14:textFill>
        </w:rPr>
        <w:t xml:space="preserve">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ascii="仿宋" w:hAnsi="仿宋" w:eastAsia="仿宋"/>
          <w:b/>
          <w:color w:val="000000" w:themeColor="text1"/>
          <w:sz w:val="36"/>
          <w:szCs w:val="36"/>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1、</w:t>
      </w:r>
      <w:r>
        <w:rPr>
          <w:rFonts w:hint="eastAsia" w:ascii="仿宋" w:hAnsi="仿宋" w:eastAsia="仿宋"/>
          <w:b/>
          <w:bCs/>
          <w:color w:val="000000" w:themeColor="text1"/>
          <w:sz w:val="36"/>
          <w:szCs w:val="36"/>
          <w14:textFill>
            <w14:solidFill>
              <w14:schemeClr w14:val="tx1"/>
            </w14:solidFill>
          </w14:textFill>
        </w:rPr>
        <w:t>资质文件目录</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（1）投标声明书 (格式见附件，含重大违法记录声明)；</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（2）法定代表人证明书或授权委托书(格式见附件)；</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（4）提供有效的依法缴纳税收证明（至投标文件递交截止日一年内连续三个月的完税凭证或税务部门出具的证明）；</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（5）提供有效的依法缴纳社会保障资金证明（至投标文件递交截止日一年内连续三个月的缴纳凭证或人社部门出具的证明）；</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6）投标人基本开户银行出具的资信证明，或参与本采购项目两年内经审计的财务报告复印件，须包括“四表一注”：资产负债表、利润表、现金流量表、所有者权益变动表及其附注，或财政部门认可的专业担保机构出具的针对本项目的投标担保函； </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（7）联合投标协议书（若需要）;</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（8）联合投标授权委托书（若需要）;</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（9）提供采购公告中符合</w:t>
      </w:r>
      <w:r>
        <w:rPr>
          <w:rFonts w:hint="eastAsia" w:ascii="仿宋" w:hAnsi="仿宋" w:eastAsia="仿宋"/>
          <w:bCs/>
          <w:color w:val="000000" w:themeColor="text1"/>
          <w:sz w:val="30"/>
          <w:szCs w:val="30"/>
          <w14:textFill>
            <w14:solidFill>
              <w14:schemeClr w14:val="tx1"/>
            </w14:solidFill>
          </w14:textFill>
        </w:rPr>
        <w:t>投标人特定条件要求的有效的</w:t>
      </w:r>
      <w:r>
        <w:rPr>
          <w:rFonts w:hint="eastAsia" w:ascii="仿宋" w:hAnsi="仿宋" w:eastAsia="仿宋"/>
          <w:color w:val="000000" w:themeColor="text1"/>
          <w:sz w:val="30"/>
          <w:szCs w:val="30"/>
          <w14:textFill>
            <w14:solidFill>
              <w14:schemeClr w14:val="tx1"/>
            </w14:solidFill>
          </w14:textFill>
        </w:rPr>
        <w:t>其他资质复印件并加盖公司公章及需要说明的资料。</w:t>
      </w:r>
    </w:p>
    <w:p>
      <w:pPr>
        <w:pStyle w:val="34"/>
        <w:snapToGrid w:val="0"/>
        <w:spacing w:line="460" w:lineRule="exact"/>
        <w:ind w:left="5250" w:firstLine="600" w:firstLineChars="200"/>
        <w:rPr>
          <w:rFonts w:ascii="仿宋" w:hAnsi="仿宋" w:eastAsia="仿宋"/>
          <w:color w:val="000000" w:themeColor="text1"/>
          <w:sz w:val="30"/>
          <w:szCs w:val="30"/>
          <w14:textFill>
            <w14:solidFill>
              <w14:schemeClr w14:val="tx1"/>
            </w14:solidFill>
          </w14:textFill>
        </w:rPr>
      </w:pP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声 明 书</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致国家体育总局体育器材装备中心：</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系中华人民共和国合法企业，经营地址</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的法定代表人，我方愿意参加贵方组织的</w:t>
      </w:r>
      <w:r>
        <w:rPr>
          <w:rFonts w:hint="eastAsia" w:ascii="仿宋" w:hAnsi="仿宋" w:eastAsia="仿宋"/>
          <w:color w:val="000000" w:themeColor="text1"/>
          <w:sz w:val="30"/>
          <w:szCs w:val="30"/>
          <w:u w:val="single"/>
          <w14:textFill>
            <w14:solidFill>
              <w14:schemeClr w14:val="tx1"/>
            </w14:solidFill>
          </w14:textFill>
        </w:rPr>
        <w:t>（招标项目名称）（编号为</w:t>
      </w:r>
      <w:r>
        <w:rPr>
          <w:rFonts w:ascii="仿宋" w:hAnsi="仿宋" w:eastAsia="仿宋"/>
          <w:color w:val="000000" w:themeColor="text1"/>
          <w:sz w:val="30"/>
          <w:szCs w:val="30"/>
          <w:u w:val="single"/>
          <w14:textFill>
            <w14:solidFill>
              <w14:schemeClr w14:val="tx1"/>
            </w14:solidFill>
          </w14:textFill>
        </w:rPr>
        <w:t>ZB2020-38</w:t>
      </w:r>
      <w:r>
        <w:rPr>
          <w:rFonts w:hint="eastAsia" w:ascii="仿宋" w:hAnsi="仿宋" w:eastAsia="仿宋"/>
          <w:color w:val="000000" w:themeColor="text1"/>
          <w:sz w:val="30"/>
          <w:szCs w:val="30"/>
          <w:u w:val="single"/>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1、我方已详细审查全部招标文件，同意招标文件的各项要求。</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5、投标文件自开标日起有效期为90天。</w:t>
      </w:r>
    </w:p>
    <w:p>
      <w:pPr>
        <w:snapToGrid w:val="0"/>
        <w:spacing w:line="460" w:lineRule="exact"/>
        <w:ind w:firstLine="590" w:firstLineChars="196"/>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6、我方参与本项目前3年内的经营活动中没有重大违法记录；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 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line="460" w:lineRule="exact"/>
        <w:ind w:firstLine="200"/>
        <w:rPr>
          <w:rFonts w:ascii="仿宋" w:hAnsi="仿宋" w:eastAsia="仿宋"/>
          <w:color w:val="000000" w:themeColor="text1"/>
          <w:sz w:val="30"/>
          <w:szCs w:val="30"/>
          <w:u w:val="single"/>
          <w14:textFill>
            <w14:solidFill>
              <w14:schemeClr w14:val="tx1"/>
            </w14:solidFill>
          </w14:textFill>
        </w:rPr>
      </w:pPr>
    </w:p>
    <w:p>
      <w:pPr>
        <w:snapToGrid w:val="0"/>
        <w:spacing w:before="120" w:beforeLines="50" w:after="50" w:line="460" w:lineRule="exact"/>
        <w:ind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p>
    <w:p>
      <w:pPr>
        <w:snapToGrid w:val="0"/>
        <w:spacing w:before="120" w:beforeLines="50" w:after="50" w:line="460" w:lineRule="exact"/>
        <w:ind w:right="600" w:firstLine="2700" w:firstLineChars="900"/>
        <w:rPr>
          <w:rFonts w:ascii="仿宋" w:hAnsi="仿宋" w:eastAsia="仿宋"/>
          <w:color w:val="000000" w:themeColor="text1"/>
          <w:sz w:val="30"/>
          <w:szCs w:val="30"/>
          <w14:textFill>
            <w14:solidFill>
              <w14:schemeClr w14:val="tx1"/>
            </w14:solidFill>
          </w14:textFill>
        </w:rPr>
      </w:pPr>
    </w:p>
    <w:p>
      <w:pPr>
        <w:snapToGrid w:val="0"/>
        <w:spacing w:before="50" w:after="5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附件4：法定代表人证明书</w:t>
      </w:r>
    </w:p>
    <w:p>
      <w:pPr>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国家体育总局体育器材装备中心：</w:t>
      </w:r>
    </w:p>
    <w:p>
      <w:pPr>
        <w:spacing w:line="500" w:lineRule="exact"/>
        <w:ind w:firstLine="3315" w:firstLineChars="1105"/>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236855</wp:posOffset>
                </wp:positionV>
                <wp:extent cx="1028700" cy="0"/>
                <wp:effectExtent l="0" t="0" r="0" b="0"/>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27pt;margin-top:18.65pt;height:0pt;width:81pt;z-index:251660288;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utQ9PbsBAABTAwAADgAAAGRycy9lMm9Eb2MueG1srVNLjhMx&#10;EN0jcQfLe9KdoIGhlc4sMho2A0Sa4QAV291tYbss20l3zsI1WLHhOHMNys6HAXaIXlhdrqrneu/Z&#10;y5vJGrZXIWp0LZ/Pas6UEyi161v++fHu1TVnMYGTYNCplh9U5Derly+Wo2/UAgc0UgVGIC42o2/5&#10;kJJvqiqKQVmIM/TKUbLDYCFRGPpKBhgJ3ZpqUddvqhGD9AGFipF2b49Jvir4XadE+tR1USVmWk6z&#10;pbKGsm7zWq2W0PQB/KDFaQz4hyksaEeHXqBuIQHbBf0XlNUiYMQuzQTaCrtOC1U4EJt5/QebhwG8&#10;KlxInOgvMsX/Bys+7jeBaUnecebAkkVPX789ff/BXmdtRh8bKlm7TcjsxOQe/D2KL5E5XA/gelVm&#10;fDx4apznjuq3lhxETydsxw8oqQZ2CYtQUxdshiQJ2FT8OFz8UFNigjbn9eL6bU22iXOugubc6ENM&#10;7xValn9abrTLUkED+/uY8iDQnEvytsM7bUyx2zg2tvzd1eKqNEQ0WuZkLouh365NYHvIF6Z8hRVl&#10;npcF3Dl5PMS4E+nM86jYFuVhE85ikHNlmtMty1fjeVy6f72F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UOGPO1QAAAAgBAAAPAAAAAAAAAAEAIAAAACIAAABkcnMvZG93bnJldi54bWxQSwECFAAU&#10;AAAACACHTuJAutQ9PbsBAABTAwAADgAAAAAAAAABACAAAAAkAQAAZHJzL2Uyb0RvYy54bWxQSwUG&#10;AAAAAAYABgBZAQAAUQUAAAAA&#10;">
                <v:fill on="f" focussize="0,0"/>
                <v:stroke color="#000000" joinstyle="round"/>
                <v:imagedata o:title=""/>
                <o:lock v:ext="edit" aspectratio="f"/>
              </v:line>
            </w:pict>
          </mc:Fallback>
        </mc:AlternateContent>
      </w:r>
      <w:r>
        <w:rPr>
          <w:rFonts w:ascii="仿宋" w:hAnsi="仿宋" w:eastAsia="仿宋"/>
          <w:color w:val="000000" w:themeColor="text1"/>
          <w:sz w:val="30"/>
          <w:szCs w:val="30"/>
          <w14:textFill>
            <w14:solidFill>
              <w14:schemeClr w14:val="tx1"/>
            </w14:solidFill>
          </w14:textFill>
        </w:rPr>
        <w:t>（姓名、性别、年龄）在我</w:t>
      </w:r>
      <w:r>
        <w:rPr>
          <w:rFonts w:hint="eastAsia" w:ascii="仿宋" w:hAnsi="仿宋" w:eastAsia="仿宋"/>
          <w:color w:val="000000" w:themeColor="text1"/>
          <w:sz w:val="30"/>
          <w:szCs w:val="30"/>
          <w14:textFill>
            <w14:solidFill>
              <w14:schemeClr w14:val="tx1"/>
            </w14:solidFill>
          </w14:textFill>
        </w:rPr>
        <w:t>单位</w:t>
      </w:r>
      <w:r>
        <w:rPr>
          <w:rFonts w:ascii="仿宋" w:hAnsi="仿宋" w:eastAsia="仿宋"/>
          <w:color w:val="000000" w:themeColor="text1"/>
          <w:sz w:val="30"/>
          <w:szCs w:val="30"/>
          <w14:textFill>
            <w14:solidFill>
              <w14:schemeClr w14:val="tx1"/>
            </w14:solidFill>
          </w14:textFill>
        </w:rPr>
        <w:t>任</w:t>
      </w:r>
      <w:r>
        <w:rPr>
          <w:rFonts w:ascii="仿宋" w:hAnsi="仿宋" w:eastAsia="仿宋"/>
          <w:color w:val="000000" w:themeColor="text1"/>
          <w:sz w:val="30"/>
          <w:szCs w:val="30"/>
          <w:u w:val="single"/>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（职务</w:t>
      </w:r>
      <w:r>
        <w:rPr>
          <w:rFonts w:hint="eastAsia" w:ascii="仿宋" w:hAnsi="仿宋" w:eastAsia="仿宋"/>
          <w:color w:val="000000" w:themeColor="text1"/>
          <w:sz w:val="30"/>
          <w:szCs w:val="30"/>
          <w14:textFill>
            <w14:solidFill>
              <w14:schemeClr w14:val="tx1"/>
            </w14:solidFill>
          </w14:textFill>
        </w:rPr>
        <w:t>名称）职务</w:t>
      </w:r>
      <w:r>
        <w:rPr>
          <w:rFonts w:ascii="仿宋" w:hAnsi="仿宋" w:eastAsia="仿宋"/>
          <w:color w:val="000000" w:themeColor="text1"/>
          <w:sz w:val="30"/>
          <w:szCs w:val="30"/>
          <w14:textFill>
            <w14:solidFill>
              <w14:schemeClr w14:val="tx1"/>
            </w14:solidFill>
          </w14:textFill>
        </w:rPr>
        <w:t>，是我单位的法定代表人。</w:t>
      </w:r>
      <w:r>
        <w:rPr>
          <w:rFonts w:ascii="仿宋" w:hAnsi="仿宋" w:eastAsia="仿宋"/>
          <w:color w:val="000000" w:themeColor="text1"/>
          <w:sz w:val="30"/>
          <w:szCs w:val="30"/>
          <w14:textFill>
            <w14:solidFill>
              <w14:schemeClr w14:val="tx1"/>
            </w14:solidFill>
          </w14:textFill>
        </w:rPr>
        <w:br w:type="textWrapping"/>
      </w:r>
      <w:r>
        <w:rPr>
          <w:rFonts w:ascii="仿宋" w:hAnsi="仿宋" w:eastAsia="仿宋"/>
          <w:color w:val="000000" w:themeColor="text1"/>
          <w:sz w:val="30"/>
          <w:szCs w:val="30"/>
          <w14:textFill>
            <w14:solidFill>
              <w14:schemeClr w14:val="tx1"/>
            </w14:solidFill>
          </w14:textFill>
        </w:rPr>
        <w:t>　　特此证明。</w:t>
      </w:r>
    </w:p>
    <w:p>
      <w:pPr>
        <w:spacing w:line="500" w:lineRule="exact"/>
        <w:ind w:firstLine="900" w:firstLineChars="300"/>
        <w:rPr>
          <w:rFonts w:ascii="仿宋" w:hAnsi="仿宋" w:eastAsia="仿宋"/>
          <w:color w:val="000000" w:themeColor="text1"/>
          <w:sz w:val="30"/>
          <w:szCs w:val="30"/>
          <w14:textFill>
            <w14:solidFill>
              <w14:schemeClr w14:val="tx1"/>
            </w14:solidFill>
          </w14:textFill>
        </w:rPr>
      </w:pPr>
    </w:p>
    <w:p>
      <w:pPr>
        <w:spacing w:line="50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法定代表人住址：</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法定代表人身份证号：</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身份证复印件附后）</w:t>
      </w:r>
    </w:p>
    <w:p>
      <w:pPr>
        <w:spacing w:line="50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法定代表人电话：</w:t>
      </w:r>
      <w:r>
        <w:rPr>
          <w:rFonts w:ascii="仿宋" w:hAnsi="仿宋" w:eastAsia="仿宋"/>
          <w:color w:val="000000" w:themeColor="text1"/>
          <w:sz w:val="30"/>
          <w:szCs w:val="30"/>
          <w:u w:val="single"/>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br w:type="textWrapping"/>
      </w:r>
      <w:r>
        <w:rPr>
          <w:rFonts w:hint="eastAsia" w:ascii="仿宋" w:hAnsi="仿宋" w:eastAsia="仿宋"/>
          <w:color w:val="000000" w:themeColor="text1"/>
          <w:sz w:val="30"/>
          <w:szCs w:val="30"/>
          <w14:textFill>
            <w14:solidFill>
              <w14:schemeClr w14:val="tx1"/>
            </w14:solidFill>
          </w14:textFill>
        </w:rPr>
        <w:t>投标人全称（公章）：</w:t>
      </w:r>
      <w:r>
        <w:rPr>
          <w:rFonts w:ascii="仿宋" w:hAnsi="仿宋" w:eastAsia="仿宋"/>
          <w:color w:val="000000" w:themeColor="text1"/>
          <w:sz w:val="30"/>
          <w:szCs w:val="30"/>
          <w:u w:val="single"/>
          <w14:textFill>
            <w14:solidFill>
              <w14:schemeClr w14:val="tx1"/>
            </w14:solidFill>
          </w14:textFill>
        </w:rPr>
        <w:t xml:space="preserve">                                       </w:t>
      </w:r>
    </w:p>
    <w:p>
      <w:pPr>
        <w:spacing w:line="50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w:t>
      </w:r>
      <w:r>
        <w:rPr>
          <w:rFonts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p>
      <w:pPr>
        <w:snapToGrid w:val="0"/>
        <w:spacing w:before="120" w:beforeLines="50" w:after="50" w:line="460" w:lineRule="exact"/>
        <w:rPr>
          <w:rFonts w:ascii="仿宋" w:hAnsi="仿宋" w:eastAsia="仿宋"/>
          <w:color w:val="000000" w:themeColor="text1"/>
          <w:sz w:val="24"/>
          <w:szCs w:val="24"/>
          <w14:textFill>
            <w14:solidFill>
              <w14:schemeClr w14:val="tx1"/>
            </w14:solidFill>
          </w14:textFill>
        </w:rPr>
      </w:pP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法定代表人授权委托书</w:t>
      </w:r>
    </w:p>
    <w:p>
      <w:pPr>
        <w:snapToGrid w:val="0"/>
        <w:spacing w:before="120" w:beforeLines="50" w:after="50"/>
        <w:jc w:val="center"/>
        <w:rPr>
          <w:rFonts w:ascii="仿宋" w:hAnsi="仿宋" w:eastAsia="仿宋"/>
          <w:b/>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国家体育总局体育器材装备中心：</w:t>
      </w:r>
    </w:p>
    <w:p>
      <w:pPr>
        <w:snapToGrid w:val="0"/>
        <w:spacing w:before="120" w:beforeLines="50" w:after="50" w:line="460" w:lineRule="exact"/>
        <w:ind w:firstLine="900" w:firstLineChars="3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（姓名）系</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（投标人名称）的法定代表人，现授权委托本单位在职职工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（姓名）为授权代表，以我方的名义参加项目编号：</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项目名称</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授权代表无转委托权，特此委托。</w:t>
      </w:r>
    </w:p>
    <w:p>
      <w:pPr>
        <w:spacing w:line="50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法定代表人印刷体姓名：</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签字：</w:t>
      </w:r>
      <w:r>
        <w:rPr>
          <w:rFonts w:hint="eastAsia" w:ascii="宋体" w:hAnsi="宋体"/>
          <w:color w:val="000000" w:themeColor="text1"/>
          <w:u w:val="single"/>
          <w14:textFill>
            <w14:solidFill>
              <w14:schemeClr w14:val="tx1"/>
            </w14:solidFill>
          </w14:textFill>
        </w:rPr>
        <w:t xml:space="preserve">           </w:t>
      </w:r>
    </w:p>
    <w:p>
      <w:pPr>
        <w:spacing w:line="50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投标人代表印刷体姓名：</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签字：</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职务：</w:t>
      </w:r>
      <w:r>
        <w:rPr>
          <w:rFonts w:hint="eastAsia" w:ascii="宋体" w:hAnsi="宋体"/>
          <w:color w:val="000000" w:themeColor="text1"/>
          <w:u w:val="single"/>
          <w14:textFill>
            <w14:solidFill>
              <w14:schemeClr w14:val="tx1"/>
            </w14:solidFill>
          </w14:textFill>
        </w:rPr>
        <w:t xml:space="preserve">           </w:t>
      </w:r>
    </w:p>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投标人代表身份证号：</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（身份证复印件附后）</w:t>
      </w:r>
    </w:p>
    <w:p>
      <w:pPr>
        <w:spacing w:line="50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投标人全称（公章）：</w:t>
      </w:r>
      <w:r>
        <w:rPr>
          <w:rFonts w:hint="eastAsia" w:ascii="宋体" w:hAnsi="宋体"/>
          <w:color w:val="000000" w:themeColor="text1"/>
          <w:u w:val="single"/>
          <w14:textFill>
            <w14:solidFill>
              <w14:schemeClr w14:val="tx1"/>
            </w14:solidFill>
          </w14:textFill>
        </w:rPr>
        <w:t xml:space="preserve">                                       </w:t>
      </w:r>
    </w:p>
    <w:p>
      <w:pPr>
        <w:widowControl/>
        <w:jc w:val="left"/>
        <w:rPr>
          <w:rFonts w:ascii="仿宋" w:hAnsi="仿宋" w:eastAsia="仿宋"/>
          <w:color w:val="000000" w:themeColor="text1"/>
          <w:sz w:val="30"/>
          <w:szCs w:val="30"/>
          <w:u w:val="single"/>
          <w14:textFill>
            <w14:solidFill>
              <w14:schemeClr w14:val="tx1"/>
            </w14:solidFill>
          </w14:textFill>
        </w:rPr>
        <w:sectPr>
          <w:pgSz w:w="11906" w:h="16838"/>
          <w:pgMar w:top="1558" w:right="1531" w:bottom="468" w:left="1531" w:header="851" w:footer="851" w:gutter="0"/>
          <w:pgNumType w:chapStyle="1" w:chapSep="colon"/>
          <w:cols w:space="720" w:num="1"/>
          <w:docGrid w:linePitch="286" w:charSpace="0"/>
        </w:sectPr>
      </w:pPr>
    </w:p>
    <w:p>
      <w:pPr>
        <w:tabs>
          <w:tab w:val="left" w:pos="606"/>
        </w:tabs>
        <w:rPr>
          <w:rFonts w:ascii="仿宋" w:hAnsi="仿宋" w:eastAsia="仿宋"/>
          <w:color w:val="000000" w:themeColor="text1"/>
          <w:spacing w:val="2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附件5：</w:t>
      </w:r>
    </w:p>
    <w:p>
      <w:pPr>
        <w:pStyle w:val="17"/>
        <w:overflowPunct w:val="0"/>
        <w:spacing w:line="360" w:lineRule="auto"/>
        <w:ind w:firstLine="0"/>
        <w:jc w:val="center"/>
        <w:rPr>
          <w:rFonts w:ascii="仿宋" w:hAnsi="仿宋" w:eastAsia="仿宋"/>
          <w:b/>
          <w:color w:val="000000" w:themeColor="text1"/>
          <w:spacing w:val="40"/>
          <w:kern w:val="0"/>
          <w:sz w:val="30"/>
          <w:szCs w:val="30"/>
          <w14:textFill>
            <w14:solidFill>
              <w14:schemeClr w14:val="tx1"/>
            </w14:solidFill>
          </w14:textFill>
        </w:rPr>
      </w:pPr>
      <w:r>
        <w:rPr>
          <w:rFonts w:hint="eastAsia" w:ascii="仿宋" w:hAnsi="仿宋" w:eastAsia="仿宋"/>
          <w:b/>
          <w:color w:val="000000" w:themeColor="text1"/>
          <w:spacing w:val="40"/>
          <w:kern w:val="0"/>
          <w:sz w:val="30"/>
          <w:szCs w:val="30"/>
          <w14:textFill>
            <w14:solidFill>
              <w14:schemeClr w14:val="tx1"/>
            </w14:solidFill>
          </w14:textFill>
        </w:rPr>
        <w:t>联合投标协议书</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（如果有的话，可按甲、乙、丙、丁…序列增加）</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各方经协商，就响应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组织实施的编号为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号的招标活动联合进行投标之事宜，达成如下协议：</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一、各方一致决定，以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为主办人进行投标，并按照招标文件的规定分别提交资格文件。</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四、本次联合投标中，甲方承担的工作和义务为:</w:t>
      </w:r>
    </w:p>
    <w:p>
      <w:pPr>
        <w:pStyle w:val="17"/>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乙方承担的工作和义务为：</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五、有关本次联合投标的其他事宜：</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七、本协议签约各方各持一份，并作为投标文件的一部分。</w:t>
      </w:r>
    </w:p>
    <w:tbl>
      <w:tblPr>
        <w:tblStyle w:val="58"/>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甲方单位：       （公章）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     （签章）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  年  月   日</w:t>
            </w:r>
          </w:p>
        </w:tc>
        <w:tc>
          <w:tcPr>
            <w:tcW w:w="4264" w:type="dxa"/>
          </w:tcPr>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乙方单位：       （公章）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     （签章）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  年  月   日</w:t>
            </w:r>
          </w:p>
        </w:tc>
      </w:tr>
    </w:tbl>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附件6：</w:t>
      </w:r>
    </w:p>
    <w:p>
      <w:pPr>
        <w:pStyle w:val="17"/>
        <w:overflowPunct w:val="0"/>
        <w:spacing w:line="460" w:lineRule="exact"/>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联合投标授权委托书</w:t>
      </w:r>
    </w:p>
    <w:p>
      <w:pPr>
        <w:pStyle w:val="17"/>
        <w:overflowPunct w:val="0"/>
        <w:spacing w:line="460" w:lineRule="exact"/>
        <w:rPr>
          <w:rFonts w:ascii="仿宋" w:hAnsi="仿宋" w:eastAsia="仿宋"/>
          <w:color w:val="000000" w:themeColor="text1"/>
          <w:sz w:val="30"/>
          <w:szCs w:val="30"/>
          <w14:textFill>
            <w14:solidFill>
              <w14:schemeClr w14:val="tx1"/>
            </w14:solidFill>
          </w14:textFill>
        </w:rPr>
      </w:pPr>
    </w:p>
    <w:p>
      <w:pPr>
        <w:pStyle w:val="17"/>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本授权委托书声明：根据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与</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签订的《联合投标协议书》的内容，主办人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现授权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特此委托。</w:t>
      </w:r>
    </w:p>
    <w:p>
      <w:pPr>
        <w:pStyle w:val="17"/>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pStyle w:val="17"/>
        <w:overflowPunct w:val="0"/>
        <w:spacing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授权人（签名）：</w:t>
      </w:r>
    </w:p>
    <w:p>
      <w:pPr>
        <w:pStyle w:val="17"/>
        <w:overflowPunct w:val="0"/>
        <w:spacing w:line="460" w:lineRule="exact"/>
        <w:ind w:firstLine="600" w:firstLineChars="20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left="420" w:leftChars="200"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    年  月  日</w:t>
      </w:r>
    </w:p>
    <w:p>
      <w:pPr>
        <w:pStyle w:val="17"/>
        <w:overflowPunct w:val="0"/>
        <w:spacing w:line="460" w:lineRule="exact"/>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p>
    <w:p>
      <w:pPr>
        <w:pStyle w:val="17"/>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    年  月  日</w:t>
      </w: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tbl>
      <w:tblPr>
        <w:tblStyle w:val="58"/>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联合体甲方单位：   （公章）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     （签章）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  年  月   日</w:t>
            </w:r>
          </w:p>
        </w:tc>
        <w:tc>
          <w:tcPr>
            <w:tcW w:w="4264" w:type="dxa"/>
          </w:tcPr>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联合体乙方单位：   （公章）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     （签章）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  年  月   日</w:t>
            </w:r>
          </w:p>
        </w:tc>
      </w:tr>
    </w:tbl>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附件7</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正本或副本</w:t>
      </w: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ascii="仿宋" w:hAnsi="仿宋" w:eastAsia="仿宋"/>
          <w:color w:val="000000" w:themeColor="text1"/>
          <w:sz w:val="36"/>
          <w:szCs w:val="36"/>
          <w14:textFill>
            <w14:solidFill>
              <w14:schemeClr w14:val="tx1"/>
            </w14:solidFill>
          </w14:textFill>
        </w:rPr>
        <w:t>ZB2020-38</w:t>
      </w:r>
      <w:r>
        <w:rPr>
          <w:rFonts w:hint="eastAsia" w:ascii="仿宋" w:hAnsi="仿宋" w:eastAsia="仿宋"/>
          <w:color w:val="000000" w:themeColor="text1"/>
          <w:sz w:val="36"/>
          <w:szCs w:val="36"/>
          <w14:textFill>
            <w14:solidFill>
              <w14:schemeClr w14:val="tx1"/>
            </w14:solidFill>
          </w14:textFill>
        </w:rPr>
        <w:t>（标项 ）</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投标人全称：</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（加盖单位公章）</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法定代表人印刷体姓名：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授权投标代表印刷体姓名：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投标人地址：   </w:t>
      </w:r>
      <w:r>
        <w:rPr>
          <w:rFonts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邮编：</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联系电话：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开标时间：  </w:t>
      </w:r>
      <w:r>
        <w:rPr>
          <w:rFonts w:hint="eastAsia" w:ascii="宋体" w:hAnsi="宋体"/>
          <w:color w:val="000000" w:themeColor="text1"/>
          <w:sz w:val="28"/>
          <w:u w:val="single"/>
          <w14:textFill>
            <w14:solidFill>
              <w14:schemeClr w14:val="tx1"/>
            </w14:solidFill>
          </w14:textFill>
        </w:rPr>
        <w:t xml:space="preserve">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（1）评分对应表（格式见附件，主要用于评委对应评分内容）</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（2）投标项目明细清单（含货物、服务等）；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（3）技术响应表（格式见附件）；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（4）项目总体解决方案（可包含且不限于对项目总体要求的理解、项目总体架构及技术解决方案等</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须包含对应标项需求的各类方案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（5）项目实施计划（可包含且不限于保证工期的施工组织方案及人力资源安排、项目组人员清单等，须包含对应标项需求的预案和计划）；</w:t>
      </w:r>
      <w:bookmarkStart w:id="164" w:name="_GoBack"/>
      <w:bookmarkEnd w:id="164"/>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（6）列入政府采购节能环保清单的证明资料（若有）；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（7）商务响应表（格式见附件）；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 售后服务计划（可包含且不限于对用户故障的响应、处理、定期巡检、备品备件、常用耗材提供、驻点人员情况等）；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（9）技术培训计划（若有）；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（10）投标人履约能力（可包含且不限于技术力量情况、投标人各项能力证书）；</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（11）案例的业绩证明（投标人业绩情况一览表、合同复印件等）；</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（12）投标方认为需要的其他文件资料。</w:t>
      </w: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附件8：</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附件9：</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p>
    <w:p>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p>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themeColor="text1"/>
          <w:sz w:val="30"/>
          <w:szCs w:val="30"/>
          <w14:textFill>
            <w14:solidFill>
              <w14:schemeClr w14:val="tx1"/>
            </w14:solidFill>
          </w14:textFill>
        </w:rPr>
      </w:pPr>
    </w:p>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pPr>
        <w:snapToGrid w:val="0"/>
        <w:spacing w:before="50" w:after="120" w:afterLines="50"/>
        <w:jc w:val="center"/>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w:t>
      </w:r>
      <w:r>
        <w:rPr>
          <w:rFonts w:hint="eastAsia" w:ascii="仿宋" w:hAnsi="仿宋" w:eastAsia="仿宋"/>
          <w:color w:val="000000" w:themeColor="text1"/>
          <w:spacing w:val="20"/>
          <w:sz w:val="30"/>
          <w:szCs w:val="30"/>
          <w:u w:val="single"/>
          <w14:textFill>
            <w14:solidFill>
              <w14:schemeClr w14:val="tx1"/>
            </w14:solidFill>
          </w14:textFill>
        </w:rPr>
        <w:t xml:space="preserve">        </w:t>
      </w:r>
      <w:r>
        <w:rPr>
          <w:rFonts w:hint="eastAsia" w:ascii="仿宋" w:hAnsi="仿宋" w:eastAsia="仿宋"/>
          <w:color w:val="000000" w:themeColor="text1"/>
          <w:spacing w:val="20"/>
          <w:sz w:val="30"/>
          <w:szCs w:val="30"/>
          <w14:textFill>
            <w14:solidFill>
              <w14:schemeClr w14:val="tx1"/>
            </w14:solidFill>
          </w14:textFill>
        </w:rPr>
        <w:t xml:space="preserve">          日 期：</w:t>
      </w:r>
      <w:r>
        <w:rPr>
          <w:rFonts w:hint="eastAsia" w:ascii="仿宋" w:hAnsi="仿宋" w:eastAsia="仿宋"/>
          <w:color w:val="000000" w:themeColor="text1"/>
          <w:spacing w:val="20"/>
          <w:sz w:val="30"/>
          <w:szCs w:val="30"/>
          <w:u w:val="single"/>
          <w14:textFill>
            <w14:solidFill>
              <w14:schemeClr w14:val="tx1"/>
            </w14:solidFill>
          </w14:textFill>
        </w:rPr>
        <w:t xml:space="preserve">       </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pPr>
        <w:snapToGrid w:val="0"/>
        <w:spacing w:before="120" w:beforeLines="50" w:after="50"/>
        <w:jc w:val="center"/>
        <w:rPr>
          <w:rFonts w:ascii="仿宋" w:hAnsi="仿宋" w:eastAsia="仿宋"/>
          <w:b/>
          <w:color w:val="000000" w:themeColor="text1"/>
          <w:sz w:val="30"/>
          <w:szCs w:val="30"/>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5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pPr>
              <w:snapToGrid w:val="0"/>
              <w:spacing w:before="120" w:beforeLines="50" w:after="50" w:line="460" w:lineRule="exact"/>
              <w:jc w:val="center"/>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50" w:line="460" w:lineRule="exact"/>
              <w:ind w:left="52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bl>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w:t>
      </w:r>
      <w:r>
        <w:rPr>
          <w:rFonts w:hint="eastAsia" w:ascii="仿宋" w:hAnsi="仿宋" w:eastAsia="仿宋"/>
          <w:color w:val="000000" w:themeColor="text1"/>
          <w:spacing w:val="20"/>
          <w:sz w:val="30"/>
          <w:szCs w:val="30"/>
          <w:u w:val="single"/>
          <w14:textFill>
            <w14:solidFill>
              <w14:schemeClr w14:val="tx1"/>
            </w14:solidFill>
          </w14:textFill>
        </w:rPr>
        <w:t xml:space="preserve">              </w:t>
      </w:r>
      <w:r>
        <w:rPr>
          <w:rFonts w:hint="eastAsia" w:ascii="仿宋" w:hAnsi="仿宋" w:eastAsia="仿宋"/>
          <w:color w:val="000000" w:themeColor="text1"/>
          <w:spacing w:val="20"/>
          <w:sz w:val="30"/>
          <w:szCs w:val="30"/>
          <w14:textFill>
            <w14:solidFill>
              <w14:schemeClr w14:val="tx1"/>
            </w14:solidFill>
          </w14:textFill>
        </w:rPr>
        <w:t xml:space="preserve"> 日  期：</w:t>
      </w:r>
      <w:r>
        <w:rPr>
          <w:rFonts w:hint="eastAsia" w:ascii="仿宋" w:hAnsi="仿宋" w:eastAsia="仿宋"/>
          <w:color w:val="000000" w:themeColor="text1"/>
          <w:spacing w:val="20"/>
          <w:sz w:val="30"/>
          <w:szCs w:val="30"/>
          <w:u w:val="single"/>
          <w14:textFill>
            <w14:solidFill>
              <w14:schemeClr w14:val="tx1"/>
            </w14:solidFill>
          </w14:textFill>
        </w:rPr>
        <w:t xml:space="preserve">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widowControl/>
        <w:jc w:val="left"/>
        <w:rPr>
          <w:rFonts w:ascii="仿宋" w:hAnsi="仿宋" w:eastAsia="仿宋"/>
          <w:color w:val="000000" w:themeColor="text1"/>
          <w:sz w:val="30"/>
          <w:szCs w:val="30"/>
          <w14:textFill>
            <w14:solidFill>
              <w14:schemeClr w14:val="tx1"/>
            </w14:solidFill>
          </w14:textFill>
        </w:rPr>
        <w:sectPr>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628" w:type="dxa"/>
            <w:vMerge w:val="restart"/>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2160" w:type="dxa"/>
            <w:gridSpan w:val="2"/>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628" w:type="dxa"/>
            <w:vMerge w:val="continue"/>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3420" w:type="dxa"/>
            <w:vMerge w:val="continue"/>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vAlign w:val="center"/>
          </w:tcPr>
          <w:p>
            <w:pPr>
              <w:widowControl/>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16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16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16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16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900" w:type="dxa"/>
        </w:trPr>
        <w:tc>
          <w:tcPr>
            <w:tcW w:w="2628" w:type="dxa"/>
          </w:tcPr>
          <w:p>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r>
    </w:tbl>
    <w:p>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r>
        <w:rPr>
          <w:rFonts w:hint="eastAsia" w:ascii="仿宋" w:hAnsi="仿宋" w:eastAsia="仿宋"/>
          <w:color w:val="000000" w:themeColor="text1"/>
          <w:sz w:val="30"/>
          <w:szCs w:val="30"/>
          <w:u w:val="single"/>
          <w14:textFill>
            <w14:solidFill>
              <w14:schemeClr w14:val="tx1"/>
            </w14:solidFill>
          </w14:textFill>
        </w:rPr>
        <w:t xml:space="preserve">            </w:t>
      </w:r>
    </w:p>
    <w:p>
      <w:pPr>
        <w:widowControl/>
        <w:jc w:val="left"/>
        <w:rPr>
          <w:rFonts w:ascii="仿宋" w:hAnsi="仿宋" w:eastAsia="仿宋"/>
          <w:color w:val="000000" w:themeColor="text1"/>
          <w:sz w:val="30"/>
          <w:szCs w:val="30"/>
          <w14:textFill>
            <w14:solidFill>
              <w14:schemeClr w14:val="tx1"/>
            </w14:solidFill>
          </w14:textFill>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附件14</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正本或副本</w:t>
      </w: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 （标项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投标人全称：</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（加盖单位公章）</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法定代表人印刷体姓名：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授权投标代表印刷体姓名：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投标人地址：   </w:t>
      </w:r>
      <w:r>
        <w:rPr>
          <w:rFonts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邮编：</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联系电话：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开标时间：  </w:t>
      </w:r>
      <w:r>
        <w:rPr>
          <w:rFonts w:hint="eastAsia" w:ascii="宋体" w:hAnsi="宋体"/>
          <w:color w:val="000000" w:themeColor="text1"/>
          <w:sz w:val="28"/>
          <w:u w:val="single"/>
          <w14:textFill>
            <w14:solidFill>
              <w14:schemeClr w14:val="tx1"/>
            </w14:solidFill>
          </w14:textFill>
        </w:rPr>
        <w:t xml:space="preserve">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4"/>
        <w:snapToGrid w:val="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pPr>
        <w:rPr>
          <w:rFonts w:ascii="仿宋" w:hAnsi="仿宋" w:eastAsia="仿宋"/>
          <w:color w:val="000000" w:themeColor="text1"/>
          <w14:textFill>
            <w14:solidFill>
              <w14:schemeClr w14:val="tx1"/>
            </w14:solidFill>
          </w14:textFill>
        </w:rPr>
      </w:pPr>
    </w:p>
    <w:p>
      <w:pPr>
        <w:pStyle w:val="34"/>
        <w:snapToGrid w:val="0"/>
        <w:spacing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（1）投标报价明细表（见附件15）；</w:t>
      </w:r>
    </w:p>
    <w:p>
      <w:pPr>
        <w:pStyle w:val="34"/>
        <w:snapToGrid w:val="0"/>
        <w:spacing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pPr>
        <w:pStyle w:val="34"/>
        <w:snapToGrid w:val="0"/>
        <w:spacing w:line="460" w:lineRule="exact"/>
        <w:ind w:left="0" w:leftChars="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（3）小微企业声明函（见附件16）；</w:t>
      </w:r>
    </w:p>
    <w:p>
      <w:pPr>
        <w:pStyle w:val="50"/>
        <w:widowControl w:val="0"/>
        <w:spacing w:after="120" w:line="460" w:lineRule="exact"/>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（4）残疾人福利企业声明函（见附件17）。</w:t>
      </w:r>
    </w:p>
    <w:p>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附件15：</w:t>
      </w:r>
    </w:p>
    <w:p>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投 标 报 价 明 细 表</w:t>
      </w:r>
    </w:p>
    <w:p>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b/>
          <w:color w:val="000000" w:themeColor="text1"/>
          <w:sz w:val="28"/>
          <w:szCs w:val="28"/>
          <w:u w:val="single"/>
          <w14:textFill>
            <w14:solidFill>
              <w14:schemeClr w14:val="tx1"/>
            </w14:solidFill>
          </w14:textFill>
        </w:rPr>
        <w:t xml:space="preserve">                          </w:t>
      </w:r>
    </w:p>
    <w:p>
      <w:pPr>
        <w:snapToGrid w:val="0"/>
        <w:rPr>
          <w:rFonts w:ascii="仿宋" w:hAnsi="仿宋" w:eastAsia="仿宋"/>
          <w:b/>
          <w:color w:val="000000" w:themeColor="text1"/>
          <w:sz w:val="24"/>
          <w:szCs w:val="24"/>
          <w:u w:val="single"/>
          <w14:textFill>
            <w14:solidFill>
              <w14:schemeClr w14:val="tx1"/>
            </w14:solidFill>
          </w14:textFill>
        </w:rPr>
      </w:pPr>
    </w:p>
    <w:tbl>
      <w:tblPr>
        <w:tblStyle w:val="58"/>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7"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1"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8"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4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269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028"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5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9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是否小微企业</w:t>
            </w:r>
          </w:p>
        </w:tc>
        <w:tc>
          <w:tcPr>
            <w:tcW w:w="141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5"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3"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9067" w:type="dxa"/>
            <w:gridSpan w:val="4"/>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2871"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5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9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是否小微企业</w:t>
            </w:r>
          </w:p>
        </w:tc>
        <w:tc>
          <w:tcPr>
            <w:tcW w:w="141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小微企业价格合计金额大写：                            小写： ￥</w:t>
            </w:r>
            <w:r>
              <w:rPr>
                <w:rFonts w:hint="eastAsia" w:ascii="仿宋" w:hAnsi="仿宋" w:eastAsia="仿宋"/>
                <w:b/>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r>
              <w:rPr>
                <w:rFonts w:hint="eastAsia" w:ascii="仿宋" w:hAnsi="仿宋" w:eastAsia="仿宋"/>
                <w:b/>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05"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w:t>
            </w:r>
          </w:p>
          <w:p>
            <w:pPr>
              <w:snapToGrid w:val="0"/>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14:textFill>
                  <w14:solidFill>
                    <w14:schemeClr w14:val="tx1"/>
                  </w14:solidFill>
                </w14:textFill>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tc>
      </w:tr>
    </w:tbl>
    <w:p>
      <w:pPr>
        <w:snapToGrid w:val="0"/>
        <w:spacing w:line="400" w:lineRule="exact"/>
        <w:jc w:val="left"/>
        <w:rPr>
          <w:rFonts w:ascii="仿宋" w:hAnsi="仿宋" w:eastAsia="仿宋"/>
          <w:color w:val="000000" w:themeColor="text1"/>
          <w:sz w:val="24"/>
          <w:szCs w:val="24"/>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授权代表签名：                              日期： </w:t>
      </w:r>
    </w:p>
    <w:p>
      <w:pPr>
        <w:snapToGrid w:val="0"/>
        <w:spacing w:line="360" w:lineRule="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附件16：</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小微企业声明函</w:t>
      </w:r>
    </w:p>
    <w:p>
      <w:pPr>
        <w:snapToGrid w:val="0"/>
        <w:spacing w:line="360" w:lineRule="auto"/>
        <w:rPr>
          <w:rFonts w:ascii="仿宋" w:hAnsi="仿宋" w:eastAsia="仿宋"/>
          <w:color w:val="000000" w:themeColor="text1"/>
          <w:sz w:val="28"/>
          <w:szCs w:val="28"/>
          <w14:textFill>
            <w14:solidFill>
              <w14:schemeClr w14:val="tx1"/>
            </w14:solidFill>
          </w14:textFill>
        </w:rPr>
      </w:pP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本公司郑重声明，根据《政府采购促进中小企业发展暂行办法》（财库〔2011〕181号）的规定，本公司为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（请填写：小型、微型）企业。即，本公司同时满足以下条件：</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（请填写：小型、微型）企业。</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2.本公司参加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单位的</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项目采购活动提供本企业制造的货物，由本企业承担工程、提供服务，或者提供其他</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（请填写：小型、微型）企业制造的货物。本条所称货物不包括使用大型企业注册商标的货物。</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本公司对上述声明的真实性负责。如有虚假，将依法承担相应责任。</w:t>
      </w:r>
    </w:p>
    <w:p>
      <w:pPr>
        <w:snapToGrid w:val="0"/>
        <w:spacing w:line="360"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企业名称（盖章）： </w:t>
      </w:r>
    </w:p>
    <w:p>
      <w:pPr>
        <w:snapToGrid w:val="0"/>
        <w:spacing w:line="360"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snapToGrid w:val="0"/>
        <w:spacing w:line="312" w:lineRule="auto"/>
        <w:ind w:firstLine="753" w:firstLineChars="25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备注说明：</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小微企业声明函》中，须同时满足以上两个条件。如投标人提供非本企业制造的货物，须提供制造商“国家企业信用信息公示系统——小微企业名录”页面查询结果（查询时间为投标前一周内，并加盖投标人公章）；</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rPr>
          <w:rFonts w:ascii="仿宋" w:hAnsi="仿宋" w:eastAsia="仿宋"/>
          <w:color w:val="000000" w:themeColor="text1"/>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pPr>
        <w:rPr>
          <w:rFonts w:ascii="仿宋" w:hAnsi="仿宋" w:eastAsia="仿宋"/>
          <w:color w:val="000000" w:themeColor="text1"/>
          <w14:textFill>
            <w14:solidFill>
              <w14:schemeClr w14:val="tx1"/>
            </w14:solidFill>
          </w14:textFill>
        </w:rPr>
      </w:pP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p>
    <w:p>
      <w:pPr>
        <w:spacing w:line="588" w:lineRule="exact"/>
        <w:rPr>
          <w:rFonts w:ascii="仿宋_GB2312" w:eastAsia="仿宋_GB2312"/>
          <w:b/>
          <w:color w:val="000000" w:themeColor="text1"/>
          <w:spacing w:val="6"/>
          <w:sz w:val="30"/>
          <w:szCs w:val="30"/>
          <w14:textFill>
            <w14:solidFill>
              <w14:schemeClr w14:val="tx1"/>
            </w14:solidFill>
          </w14:textFill>
        </w:rPr>
      </w:pP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本单位对上述声明的真实性负责。如有虚假，将依法承担相应责任。</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pPr>
        <w:snapToGrid w:val="0"/>
        <w:spacing w:line="360" w:lineRule="auto"/>
        <w:ind w:firstLine="624" w:firstLineChars="200"/>
        <w:jc w:val="right"/>
        <w:rPr>
          <w:rFonts w:ascii="仿宋" w:hAnsi="仿宋" w:eastAsia="仿宋"/>
          <w:color w:val="000000" w:themeColor="text1"/>
          <w:sz w:val="28"/>
          <w:szCs w:val="28"/>
          <w14:textFill>
            <w14:solidFill>
              <w14:schemeClr w14:val="tx1"/>
            </w14:solidFill>
          </w14:textFill>
        </w:rPr>
      </w:pPr>
      <w:r>
        <w:rPr>
          <w:rFonts w:hint="eastAsia" w:ascii="仿宋_GB2312" w:eastAsia="仿宋_GB2312"/>
          <w:color w:val="000000" w:themeColor="text1"/>
          <w:spacing w:val="6"/>
          <w:sz w:val="30"/>
          <w:szCs w:val="30"/>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单位名称（盖章）：</w:t>
      </w:r>
    </w:p>
    <w:p>
      <w:pPr>
        <w:snapToGrid w:val="0"/>
        <w:spacing w:line="360" w:lineRule="auto"/>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br w:type="page"/>
      </w:r>
      <w:r>
        <w:rPr>
          <w:rFonts w:hint="eastAsia" w:ascii="仿宋" w:hAnsi="仿宋" w:eastAsia="仿宋"/>
          <w:b/>
          <w:color w:val="000000" w:themeColor="text1"/>
          <w:sz w:val="28"/>
          <w:szCs w:val="28"/>
          <w14:textFill>
            <w14:solidFill>
              <w14:schemeClr w14:val="tx1"/>
            </w14:solidFill>
          </w14:textFill>
        </w:rPr>
        <w:t>（以下附件在递交投标文件时单独提供即可，无需密封进投标文件）</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附件18：</w:t>
      </w:r>
    </w:p>
    <w:p>
      <w:pPr>
        <w:rPr>
          <w:rFonts w:ascii="仿宋" w:hAnsi="仿宋" w:eastAsia="仿宋"/>
          <w:color w:val="000000" w:themeColor="text1"/>
          <w14:textFill>
            <w14:solidFill>
              <w14:schemeClr w14:val="tx1"/>
            </w14:solidFill>
          </w14:textFill>
        </w:rPr>
      </w:pP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投标文件接收回执</w:t>
      </w:r>
    </w:p>
    <w:p>
      <w:pPr>
        <w:spacing w:line="588" w:lineRule="exact"/>
        <w:rPr>
          <w:rFonts w:ascii="仿宋_GB2312" w:eastAsia="仿宋_GB2312"/>
          <w:b/>
          <w:color w:val="000000" w:themeColor="text1"/>
          <w:spacing w:val="6"/>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_</w:t>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（投标人全称）</w:t>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_</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你单位递交的以下项目投标文件，经查验，投标文件的包装、密封情况符合招标文件要求，已于</w:t>
      </w:r>
      <w:r>
        <w:rPr>
          <w:rFonts w:hint="eastAsia" w:ascii="仿宋" w:hAnsi="仿宋" w:eastAsia="仿宋"/>
          <w:color w:val="000000" w:themeColor="text1"/>
          <w:sz w:val="28"/>
          <w:szCs w:val="28"/>
          <w:u w:val="single"/>
          <w14:textFill>
            <w14:solidFill>
              <w14:schemeClr w14:val="tx1"/>
            </w14:solidFill>
          </w14:textFill>
        </w:rPr>
        <w:t xml:space="preserve">    年   月   日   时 分</w:t>
      </w:r>
      <w:r>
        <w:rPr>
          <w:rFonts w:hint="eastAsia" w:ascii="仿宋" w:hAnsi="仿宋" w:eastAsia="仿宋"/>
          <w:color w:val="000000" w:themeColor="text1"/>
          <w:sz w:val="28"/>
          <w:szCs w:val="28"/>
          <w14:textFill>
            <w14:solidFill>
              <w14:schemeClr w14:val="tx1"/>
            </w14:solidFill>
          </w14:textFill>
        </w:rPr>
        <w:t>由我中心工作人员接受。</w:t>
      </w:r>
    </w:p>
    <w:tbl>
      <w:tblPr>
        <w:tblStyle w:val="58"/>
        <w:tblW w:w="84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360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标 项</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p>
        </w:tc>
        <w:tc>
          <w:tcPr>
            <w:tcW w:w="68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tc>
      </w:tr>
    </w:tbl>
    <w:p>
      <w:pPr>
        <w:snapToGrid w:val="0"/>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请仔细阅读以下内容：</w:t>
      </w:r>
    </w:p>
    <w:p>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1、本回执中除接收时间、接收人签名以外均为必填，如因信息填写错误、疏漏等造成投标文件接收出现任何问题，责任由投标单位自负。</w:t>
      </w:r>
    </w:p>
    <w:p>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2、标项填写方式：如该项目只有一个标项填“1”，多个标项请填写投标的完整标项号。</w:t>
      </w:r>
    </w:p>
    <w:p>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3、本回执投标单位按要求填写打印后，由授权代表携带至投标现场，与投标文件一并交至招标方现场工作人员。如投标人递交投标文件时未提供回执，视同不需要回执。</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pPr>
        <w:snapToGrid w:val="0"/>
        <w:spacing w:line="360" w:lineRule="auto"/>
        <w:ind w:firstLine="624" w:firstLineChars="200"/>
        <w:jc w:val="right"/>
        <w:rPr>
          <w:rFonts w:ascii="仿宋" w:hAnsi="仿宋" w:eastAsia="仿宋"/>
          <w:color w:val="000000" w:themeColor="text1"/>
          <w:sz w:val="30"/>
          <w:szCs w:val="30"/>
          <w14:textFill>
            <w14:solidFill>
              <w14:schemeClr w14:val="tx1"/>
            </w14:solidFill>
          </w14:textFill>
        </w:rPr>
      </w:pPr>
      <w:r>
        <w:rPr>
          <w:rFonts w:hint="eastAsia" w:ascii="仿宋_GB2312" w:eastAsia="仿宋_GB2312"/>
          <w:color w:val="000000" w:themeColor="text1"/>
          <w:spacing w:val="6"/>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国家体育总局体育器材装备中心</w:t>
      </w:r>
    </w:p>
    <w:p>
      <w:pPr>
        <w:wordWrap w:val="0"/>
        <w:snapToGrid w:val="0"/>
        <w:spacing w:line="360" w:lineRule="auto"/>
        <w:ind w:firstLine="600" w:firstLineChars="200"/>
        <w:jc w:val="righ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接收人签名或签章：</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line="360" w:lineRule="auto"/>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pStyle w:val="808"/>
        <w:widowControl w:val="0"/>
        <w:snapToGrid w:val="0"/>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附件19：</w:t>
      </w:r>
    </w:p>
    <w:p>
      <w:pPr>
        <w:pStyle w:val="808"/>
        <w:widowControl w:val="0"/>
        <w:snapToGrid w:val="0"/>
        <w:spacing w:line="500" w:lineRule="exact"/>
        <w:jc w:val="center"/>
        <w:rPr>
          <w:rFonts w:ascii="仿宋" w:hAnsi="仿宋" w:eastAsia="仿宋" w:cs="方正小标宋简体"/>
          <w:b/>
          <w:color w:val="000000" w:themeColor="text1"/>
          <w:sz w:val="32"/>
          <w:szCs w:val="32"/>
          <w14:textFill>
            <w14:solidFill>
              <w14:schemeClr w14:val="tx1"/>
            </w14:solidFill>
          </w14:textFill>
        </w:rPr>
      </w:pPr>
      <w:r>
        <w:rPr>
          <w:rFonts w:hint="eastAsia" w:ascii="仿宋" w:hAnsi="仿宋" w:eastAsia="仿宋" w:cs="方正小标宋简体"/>
          <w:b/>
          <w:color w:val="000000" w:themeColor="text1"/>
          <w:sz w:val="32"/>
          <w:szCs w:val="32"/>
          <w14:textFill>
            <w14:solidFill>
              <w14:schemeClr w14:val="tx1"/>
            </w14:solidFill>
          </w14:textFill>
        </w:rPr>
        <w:t>政府采购活动现场确认声明书</w:t>
      </w:r>
    </w:p>
    <w:p>
      <w:pPr>
        <w:pStyle w:val="808"/>
        <w:widowControl w:val="0"/>
        <w:snapToGrid w:val="0"/>
        <w:spacing w:line="500" w:lineRule="exact"/>
        <w:jc w:val="both"/>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kern w:val="0"/>
          <w:sz w:val="24"/>
          <w:szCs w:val="24"/>
          <w14:textFill>
            <w14:solidFill>
              <w14:schemeClr w14:val="tx1"/>
            </w14:solidFill>
          </w14:textFill>
        </w:rPr>
        <w:t>国家体育总局体育器材装备中心：</w:t>
      </w:r>
    </w:p>
    <w:p>
      <w:pPr>
        <w:pStyle w:val="808"/>
        <w:widowControl w:val="0"/>
        <w:snapToGrid w:val="0"/>
        <w:spacing w:line="480" w:lineRule="exact"/>
        <w:ind w:firstLine="504" w:firstLineChars="200"/>
        <w:jc w:val="both"/>
        <w:rPr>
          <w:rFonts w:ascii="仿宋" w:hAnsi="仿宋" w:eastAsia="仿宋"/>
          <w:color w:val="000000" w:themeColor="text1"/>
          <w:spacing w:val="6"/>
          <w:sz w:val="24"/>
          <w:szCs w:val="24"/>
          <w14:textFill>
            <w14:solidFill>
              <w14:schemeClr w14:val="tx1"/>
            </w14:solidFill>
          </w14:textFill>
        </w:rPr>
      </w:pPr>
      <w:r>
        <w:rPr>
          <w:rFonts w:hint="eastAsia" w:ascii="仿宋" w:hAnsi="仿宋" w:eastAsia="仿宋"/>
          <w:color w:val="000000" w:themeColor="text1"/>
          <w:spacing w:val="6"/>
          <w:sz w:val="24"/>
          <w:szCs w:val="24"/>
          <w14:textFill>
            <w14:solidFill>
              <w14:schemeClr w14:val="tx1"/>
            </w14:solidFill>
          </w14:textFill>
        </w:rPr>
        <w:t>本人经由</w:t>
      </w:r>
      <w:r>
        <w:rPr>
          <w:rFonts w:hint="eastAsia" w:ascii="仿宋" w:hAnsi="仿宋" w:eastAsia="仿宋"/>
          <w:color w:val="000000" w:themeColor="text1"/>
          <w:spacing w:val="6"/>
          <w:sz w:val="24"/>
          <w:szCs w:val="24"/>
          <w:u w:val="single"/>
          <w14:textFill>
            <w14:solidFill>
              <w14:schemeClr w14:val="tx1"/>
            </w14:solidFill>
          </w14:textFill>
        </w:rPr>
        <w:t xml:space="preserve">                  （单位）</w:t>
      </w:r>
      <w:r>
        <w:rPr>
          <w:rFonts w:hint="eastAsia" w:ascii="仿宋" w:hAnsi="仿宋" w:eastAsia="仿宋"/>
          <w:color w:val="000000" w:themeColor="text1"/>
          <w:spacing w:val="6"/>
          <w:sz w:val="24"/>
          <w:szCs w:val="24"/>
          <w14:textFill>
            <w14:solidFill>
              <w14:schemeClr w14:val="tx1"/>
            </w14:solidFill>
          </w14:textFill>
        </w:rPr>
        <w:t>负责人</w:t>
      </w:r>
      <w:r>
        <w:rPr>
          <w:rFonts w:hint="eastAsia" w:ascii="仿宋" w:hAnsi="仿宋" w:eastAsia="仿宋"/>
          <w:color w:val="000000" w:themeColor="text1"/>
          <w:spacing w:val="6"/>
          <w:sz w:val="24"/>
          <w:szCs w:val="24"/>
          <w:u w:val="single"/>
          <w14:textFill>
            <w14:solidFill>
              <w14:schemeClr w14:val="tx1"/>
            </w14:solidFill>
          </w14:textFill>
        </w:rPr>
        <w:t xml:space="preserve">        （姓名）</w:t>
      </w:r>
      <w:r>
        <w:rPr>
          <w:rFonts w:hint="eastAsia" w:ascii="仿宋" w:hAnsi="仿宋" w:eastAsia="仿宋"/>
          <w:color w:val="000000" w:themeColor="text1"/>
          <w:spacing w:val="6"/>
          <w:sz w:val="24"/>
          <w:szCs w:val="24"/>
          <w14:textFill>
            <w14:solidFill>
              <w14:schemeClr w14:val="tx1"/>
            </w14:solidFill>
          </w14:textFill>
        </w:rPr>
        <w:t>合法授权参加</w:t>
      </w:r>
      <w:r>
        <w:rPr>
          <w:rFonts w:hint="eastAsia" w:ascii="仿宋" w:hAnsi="仿宋" w:eastAsia="仿宋"/>
          <w:color w:val="000000" w:themeColor="text1"/>
          <w:spacing w:val="6"/>
          <w:sz w:val="24"/>
          <w:szCs w:val="24"/>
          <w:u w:val="single"/>
          <w14:textFill>
            <w14:solidFill>
              <w14:schemeClr w14:val="tx1"/>
            </w14:solidFill>
          </w14:textFill>
        </w:rPr>
        <w:t xml:space="preserve">                </w:t>
      </w:r>
      <w:r>
        <w:rPr>
          <w:rFonts w:hint="eastAsia" w:ascii="仿宋" w:hAnsi="仿宋" w:eastAsia="仿宋"/>
          <w:color w:val="000000" w:themeColor="text1"/>
          <w:spacing w:val="6"/>
          <w:sz w:val="24"/>
          <w:szCs w:val="24"/>
          <w14:textFill>
            <w14:solidFill>
              <w14:schemeClr w14:val="tx1"/>
            </w14:solidFill>
          </w14:textFill>
        </w:rPr>
        <w:t>项目（编号：</w:t>
      </w:r>
      <w:r>
        <w:rPr>
          <w:rFonts w:hint="eastAsia" w:ascii="仿宋" w:hAnsi="仿宋" w:eastAsia="仿宋"/>
          <w:color w:val="000000" w:themeColor="text1"/>
          <w:spacing w:val="6"/>
          <w:sz w:val="24"/>
          <w:szCs w:val="24"/>
          <w:u w:val="single"/>
          <w14:textFill>
            <w14:solidFill>
              <w14:schemeClr w14:val="tx1"/>
            </w14:solidFill>
          </w14:textFill>
        </w:rPr>
        <w:t xml:space="preserve">        </w:t>
      </w:r>
      <w:r>
        <w:rPr>
          <w:rFonts w:hint="eastAsia" w:ascii="仿宋" w:hAnsi="仿宋" w:eastAsia="仿宋"/>
          <w:color w:val="000000" w:themeColor="text1"/>
          <w:spacing w:val="6"/>
          <w:sz w:val="24"/>
          <w:szCs w:val="24"/>
          <w14:textFill>
            <w14:solidFill>
              <w14:schemeClr w14:val="tx1"/>
            </w14:solidFill>
          </w14:textFill>
        </w:rPr>
        <w:t xml:space="preserve">）政府采购活动，经与本单位法人代表（负责人）联系确认，现就有关公平竞争事项郑重声明如下： </w:t>
      </w:r>
    </w:p>
    <w:p>
      <w:pPr>
        <w:pStyle w:val="807"/>
        <w:widowControl/>
        <w:numPr>
          <w:ilvl w:val="0"/>
          <w:numId w:val="46"/>
        </w:numPr>
        <w:snapToGrid w:val="0"/>
        <w:spacing w:line="480" w:lineRule="exact"/>
        <w:ind w:firstLine="453" w:firstLineChars="18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本单位与采购人之间 </w:t>
      </w:r>
      <w:r>
        <w:rPr>
          <w:rFonts w:hint="eastAsia"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 xml:space="preserve">不存在利害关系 </w:t>
      </w:r>
      <w:r>
        <w:rPr>
          <w:rFonts w:hint="eastAsia"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存在下列利害关系</w:t>
      </w:r>
      <w:r>
        <w:rPr>
          <w:rFonts w:hint="eastAsia" w:ascii="仿宋" w:hAnsi="仿宋" w:eastAsia="仿宋"/>
          <w:color w:val="000000" w:themeColor="text1"/>
          <w:kern w:val="0"/>
          <w:sz w:val="24"/>
          <w:szCs w:val="24"/>
          <w:u w:val="single"/>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w:t>
      </w:r>
    </w:p>
    <w:p>
      <w:pPr>
        <w:pStyle w:val="807"/>
        <w:widowControl/>
        <w:snapToGrid w:val="0"/>
        <w:spacing w:line="4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A.投资关系    B.行政隶属关系    C.业务指导关系</w:t>
      </w:r>
    </w:p>
    <w:p>
      <w:pPr>
        <w:pStyle w:val="807"/>
        <w:widowControl/>
        <w:snapToGrid w:val="0"/>
        <w:spacing w:line="4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D.其他可能</w:t>
      </w:r>
      <w:r>
        <w:rPr>
          <w:rFonts w:hint="eastAsia" w:ascii="仿宋" w:hAnsi="仿宋" w:eastAsia="仿宋"/>
          <w:color w:val="000000" w:themeColor="text1"/>
          <w:sz w:val="24"/>
          <w:szCs w:val="24"/>
          <w14:textFill>
            <w14:solidFill>
              <w14:schemeClr w14:val="tx1"/>
            </w14:solidFill>
          </w14:textFill>
        </w:rPr>
        <w:t>影响采购公正的</w:t>
      </w:r>
      <w:r>
        <w:rPr>
          <w:rFonts w:hint="eastAsia" w:ascii="仿宋" w:hAnsi="仿宋" w:eastAsia="仿宋"/>
          <w:color w:val="000000" w:themeColor="text1"/>
          <w:kern w:val="0"/>
          <w:sz w:val="24"/>
          <w:szCs w:val="24"/>
          <w14:textFill>
            <w14:solidFill>
              <w14:schemeClr w14:val="tx1"/>
            </w14:solidFill>
          </w14:textFill>
        </w:rPr>
        <w:t>利害关系</w:t>
      </w:r>
      <w:r>
        <w:rPr>
          <w:rFonts w:hint="eastAsia" w:ascii="仿宋" w:hAnsi="仿宋" w:eastAsia="仿宋"/>
          <w:color w:val="000000" w:themeColor="text1"/>
          <w:kern w:val="0"/>
          <w:sz w:val="24"/>
          <w:szCs w:val="24"/>
          <w:u w:val="single"/>
          <w14:textFill>
            <w14:solidFill>
              <w14:schemeClr w14:val="tx1"/>
            </w14:solidFill>
          </w14:textFill>
        </w:rPr>
        <w:t xml:space="preserve">（如有，请如实说明）                 </w:t>
      </w:r>
      <w:r>
        <w:rPr>
          <w:rFonts w:hint="eastAsia" w:ascii="仿宋" w:hAnsi="仿宋" w:eastAsia="仿宋"/>
          <w:color w:val="000000" w:themeColor="text1"/>
          <w:kern w:val="0"/>
          <w:sz w:val="24"/>
          <w:szCs w:val="24"/>
          <w14:textFill>
            <w14:solidFill>
              <w14:schemeClr w14:val="tx1"/>
            </w14:solidFill>
          </w14:textFill>
        </w:rPr>
        <w:t>。</w:t>
      </w:r>
    </w:p>
    <w:p>
      <w:pPr>
        <w:pStyle w:val="807"/>
        <w:widowControl/>
        <w:snapToGrid w:val="0"/>
        <w:spacing w:line="4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spacing w:val="6"/>
          <w:sz w:val="24"/>
          <w:szCs w:val="24"/>
          <w14:textFill>
            <w14:solidFill>
              <w14:schemeClr w14:val="tx1"/>
            </w14:solidFill>
          </w14:textFill>
        </w:rPr>
        <w:t xml:space="preserve">  二、</w:t>
      </w:r>
      <w:r>
        <w:rPr>
          <w:rFonts w:hint="eastAsia" w:ascii="仿宋" w:hAnsi="仿宋" w:eastAsia="仿宋"/>
          <w:color w:val="000000" w:themeColor="text1"/>
          <w:kern w:val="0"/>
          <w:sz w:val="24"/>
          <w:szCs w:val="24"/>
          <w14:textFill>
            <w14:solidFill>
              <w14:schemeClr w14:val="tx1"/>
            </w14:solidFill>
          </w14:textFill>
        </w:rPr>
        <w:t xml:space="preserve">现已清楚知道参加本项目采购活动的其他所有供应商名称，本单位 </w:t>
      </w:r>
      <w:r>
        <w:rPr>
          <w:rFonts w:hint="eastAsia" w:ascii="仿宋" w:hAnsi="仿宋" w:eastAsia="仿宋" w:cs="宋体"/>
          <w:color w:val="000000" w:themeColor="text1"/>
          <w:kern w:val="0"/>
          <w:sz w:val="24"/>
          <w:szCs w:val="24"/>
          <w14:textFill>
            <w14:solidFill>
              <w14:schemeClr w14:val="tx1"/>
            </w14:solidFill>
          </w14:textFill>
        </w:rPr>
        <w:t>□与其他所有供应商之间均</w:t>
      </w:r>
      <w:r>
        <w:rPr>
          <w:rFonts w:hint="eastAsia" w:ascii="仿宋" w:hAnsi="仿宋" w:eastAsia="仿宋"/>
          <w:color w:val="000000" w:themeColor="text1"/>
          <w:kern w:val="0"/>
          <w:sz w:val="24"/>
          <w:szCs w:val="24"/>
          <w14:textFill>
            <w14:solidFill>
              <w14:schemeClr w14:val="tx1"/>
            </w14:solidFill>
          </w14:textFill>
        </w:rPr>
        <w:t xml:space="preserve">不存在利害关系 </w:t>
      </w:r>
      <w:r>
        <w:rPr>
          <w:rFonts w:hint="eastAsia" w:ascii="仿宋" w:hAnsi="仿宋" w:eastAsia="仿宋" w:cs="宋体"/>
          <w:color w:val="000000" w:themeColor="text1"/>
          <w:kern w:val="0"/>
          <w:sz w:val="24"/>
          <w:szCs w:val="24"/>
          <w14:textFill>
            <w14:solidFill>
              <w14:schemeClr w14:val="tx1"/>
            </w14:solidFill>
          </w14:textFill>
        </w:rPr>
        <w:t>□与</w:t>
      </w:r>
      <w:r>
        <w:rPr>
          <w:rFonts w:hint="eastAsia" w:ascii="仿宋" w:hAnsi="仿宋" w:eastAsia="仿宋" w:cs="宋体"/>
          <w:color w:val="000000" w:themeColor="text1"/>
          <w:kern w:val="0"/>
          <w:sz w:val="24"/>
          <w:szCs w:val="24"/>
          <w:u w:val="single"/>
          <w14:textFill>
            <w14:solidFill>
              <w14:schemeClr w14:val="tx1"/>
            </w14:solidFill>
          </w14:textFill>
        </w:rPr>
        <w:t xml:space="preserve">           （供应商名称）</w:t>
      </w:r>
      <w:r>
        <w:rPr>
          <w:rFonts w:hint="eastAsia" w:ascii="仿宋" w:hAnsi="仿宋" w:eastAsia="仿宋" w:cs="宋体"/>
          <w:color w:val="000000" w:themeColor="text1"/>
          <w:kern w:val="0"/>
          <w:sz w:val="24"/>
          <w:szCs w:val="24"/>
          <w14:textFill>
            <w14:solidFill>
              <w14:schemeClr w14:val="tx1"/>
            </w14:solidFill>
          </w14:textFill>
        </w:rPr>
        <w:t>之间</w:t>
      </w:r>
      <w:r>
        <w:rPr>
          <w:rFonts w:hint="eastAsia" w:ascii="仿宋" w:hAnsi="仿宋" w:eastAsia="仿宋"/>
          <w:color w:val="000000" w:themeColor="text1"/>
          <w:kern w:val="0"/>
          <w:sz w:val="24"/>
          <w:szCs w:val="24"/>
          <w14:textFill>
            <w14:solidFill>
              <w14:schemeClr w14:val="tx1"/>
            </w14:solidFill>
          </w14:textFill>
        </w:rPr>
        <w:t>存在下列利害关系</w:t>
      </w:r>
      <w:r>
        <w:rPr>
          <w:rFonts w:hint="eastAsia" w:ascii="仿宋" w:hAnsi="仿宋" w:eastAsia="仿宋"/>
          <w:color w:val="000000" w:themeColor="text1"/>
          <w:kern w:val="0"/>
          <w:sz w:val="24"/>
          <w:szCs w:val="24"/>
          <w:u w:val="single"/>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w:t>
      </w:r>
    </w:p>
    <w:p>
      <w:pPr>
        <w:pStyle w:val="808"/>
        <w:widowControl w:val="0"/>
        <w:snapToGrid w:val="0"/>
        <w:spacing w:line="480" w:lineRule="exact"/>
        <w:jc w:val="both"/>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A.法定代表人或负责人或实际控制人是同一人</w:t>
      </w:r>
    </w:p>
    <w:p>
      <w:pPr>
        <w:pStyle w:val="808"/>
        <w:widowControl w:val="0"/>
        <w:snapToGrid w:val="0"/>
        <w:spacing w:line="480" w:lineRule="exact"/>
        <w:jc w:val="both"/>
        <w:rPr>
          <w:rFonts w:ascii="仿宋" w:hAnsi="仿宋" w:eastAsia="仿宋"/>
          <w:color w:val="000000" w:themeColor="text1"/>
          <w:spacing w:val="6"/>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B.法定代表人或负责人或实际控制人是夫妻关系</w:t>
      </w:r>
    </w:p>
    <w:p>
      <w:pPr>
        <w:pStyle w:val="808"/>
        <w:widowControl w:val="0"/>
        <w:snapToGrid w:val="0"/>
        <w:spacing w:line="480" w:lineRule="exact"/>
        <w:jc w:val="both"/>
        <w:rPr>
          <w:rFonts w:ascii="仿宋" w:hAnsi="仿宋" w:eastAsia="仿宋"/>
          <w:color w:val="000000" w:themeColor="text1"/>
          <w:spacing w:val="6"/>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C.法定代表人或负责人或实际控制人是直系血亲关系</w:t>
      </w:r>
    </w:p>
    <w:p>
      <w:pPr>
        <w:pStyle w:val="808"/>
        <w:widowControl w:val="0"/>
        <w:snapToGrid w:val="0"/>
        <w:spacing w:line="480" w:lineRule="exact"/>
        <w:jc w:val="both"/>
        <w:rPr>
          <w:rFonts w:ascii="仿宋" w:hAnsi="仿宋" w:eastAsia="仿宋"/>
          <w:color w:val="000000" w:themeColor="text1"/>
          <w:spacing w:val="6"/>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D.法定代表人或负责人或实际控制人存在三代以内旁系血亲关系</w:t>
      </w:r>
    </w:p>
    <w:p>
      <w:pPr>
        <w:pStyle w:val="808"/>
        <w:widowControl w:val="0"/>
        <w:snapToGrid w:val="0"/>
        <w:spacing w:line="480" w:lineRule="exact"/>
        <w:jc w:val="both"/>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E.法定代表人或负责人或实际控制人存在近姻亲关系</w:t>
      </w:r>
    </w:p>
    <w:p>
      <w:pPr>
        <w:pStyle w:val="808"/>
        <w:widowControl w:val="0"/>
        <w:snapToGrid w:val="0"/>
        <w:spacing w:line="480" w:lineRule="exact"/>
        <w:jc w:val="both"/>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F.法定代表人或负责人或实际控制人存在股份控制或实际控制关系</w:t>
      </w:r>
    </w:p>
    <w:p>
      <w:pPr>
        <w:pStyle w:val="808"/>
        <w:widowControl w:val="0"/>
        <w:snapToGrid w:val="0"/>
        <w:spacing w:line="480" w:lineRule="exact"/>
        <w:jc w:val="both"/>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G.存在共同直接或间接投资设立子公司、联营企业和合营企业情况</w:t>
      </w:r>
    </w:p>
    <w:p>
      <w:pPr>
        <w:pStyle w:val="808"/>
        <w:widowControl w:val="0"/>
        <w:snapToGrid w:val="0"/>
        <w:spacing w:line="480" w:lineRule="exact"/>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H.存在分级代理或代销关系、同一生产制造商关系、</w:t>
      </w:r>
      <w:r>
        <w:rPr>
          <w:rFonts w:hint="eastAsia" w:ascii="仿宋" w:hAnsi="仿宋" w:eastAsia="仿宋"/>
          <w:color w:val="000000" w:themeColor="text1"/>
          <w:sz w:val="24"/>
          <w:szCs w:val="24"/>
          <w14:textFill>
            <w14:solidFill>
              <w14:schemeClr w14:val="tx1"/>
            </w14:solidFill>
          </w14:textFill>
        </w:rPr>
        <w:t>管理关系、重要业务（占主营业务收入50%以上）或重要财务往来关系（如融资）等其他实质性控制关系</w:t>
      </w:r>
    </w:p>
    <w:p>
      <w:pPr>
        <w:pStyle w:val="808"/>
        <w:widowControl w:val="0"/>
        <w:snapToGrid w:val="0"/>
        <w:spacing w:line="480" w:lineRule="exact"/>
        <w:jc w:val="both"/>
        <w:rPr>
          <w:rFonts w:ascii="仿宋" w:hAnsi="仿宋" w:eastAsia="仿宋"/>
          <w:color w:val="000000" w:themeColor="text1"/>
          <w:spacing w:val="6"/>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I</w:t>
      </w:r>
      <w:r>
        <w:rPr>
          <w:rFonts w:hint="eastAsia" w:ascii="仿宋" w:hAnsi="仿宋" w:eastAsia="仿宋"/>
          <w:color w:val="000000" w:themeColor="text1"/>
          <w:kern w:val="0"/>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其他利害关系情况</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w:t>
      </w:r>
    </w:p>
    <w:p>
      <w:pPr>
        <w:pStyle w:val="807"/>
        <w:widowControl/>
        <w:numPr>
          <w:ilvl w:val="0"/>
          <w:numId w:val="47"/>
        </w:numPr>
        <w:snapToGrid w:val="0"/>
        <w:spacing w:line="480" w:lineRule="exact"/>
        <w:ind w:firstLine="453" w:firstLineChars="18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现已清楚知道并</w:t>
      </w:r>
      <w:r>
        <w:rPr>
          <w:rFonts w:hint="eastAsia" w:ascii="仿宋" w:hAnsi="仿宋" w:eastAsia="仿宋"/>
          <w:color w:val="000000" w:themeColor="text1"/>
          <w:kern w:val="0"/>
          <w:sz w:val="24"/>
          <w:szCs w:val="24"/>
          <w14:textFill>
            <w14:solidFill>
              <w14:schemeClr w14:val="tx1"/>
            </w14:solidFill>
          </w14:textFill>
        </w:rPr>
        <w:t>严格遵守政府采购法律法规和现场纪律。</w:t>
      </w:r>
    </w:p>
    <w:p>
      <w:pPr>
        <w:pStyle w:val="807"/>
        <w:widowControl/>
        <w:numPr>
          <w:ilvl w:val="0"/>
          <w:numId w:val="47"/>
        </w:numPr>
        <w:snapToGrid w:val="0"/>
        <w:spacing w:line="480" w:lineRule="exact"/>
        <w:ind w:firstLine="453" w:firstLineChars="18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我发现</w:t>
      </w:r>
      <w:r>
        <w:rPr>
          <w:rFonts w:hint="eastAsia" w:ascii="仿宋" w:hAnsi="仿宋" w:eastAsia="仿宋"/>
          <w:color w:val="000000" w:themeColor="text1"/>
          <w:kern w:val="0"/>
          <w:sz w:val="24"/>
          <w:szCs w:val="24"/>
          <w:u w:val="single"/>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供应商之间存在或可能存在上述第二条第</w:t>
      </w:r>
      <w:r>
        <w:rPr>
          <w:rFonts w:hint="eastAsia" w:ascii="仿宋" w:hAnsi="仿宋" w:eastAsia="仿宋"/>
          <w:color w:val="000000" w:themeColor="text1"/>
          <w:kern w:val="0"/>
          <w:sz w:val="24"/>
          <w:szCs w:val="24"/>
          <w:u w:val="single"/>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项利害关系。</w:t>
      </w:r>
    </w:p>
    <w:p>
      <w:pPr>
        <w:pStyle w:val="808"/>
        <w:widowControl w:val="0"/>
        <w:snapToGrid w:val="0"/>
        <w:spacing w:line="500" w:lineRule="exact"/>
        <w:ind w:firstLine="480" w:firstLineChars="200"/>
        <w:jc w:val="both"/>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（供应商代表签名）</w:t>
      </w:r>
      <w:r>
        <w:rPr>
          <w:rFonts w:hint="eastAsia" w:ascii="仿宋" w:hAnsi="仿宋" w:eastAsia="仿宋"/>
          <w:color w:val="000000" w:themeColor="text1"/>
          <w:sz w:val="24"/>
          <w:szCs w:val="24"/>
          <w:u w:val="single"/>
          <w14:textFill>
            <w14:solidFill>
              <w14:schemeClr w14:val="tx1"/>
            </w14:solidFill>
          </w14:textFill>
        </w:rPr>
        <w:t xml:space="preserve">           </w:t>
      </w:r>
    </w:p>
    <w:p>
      <w:pPr>
        <w:pStyle w:val="34"/>
        <w:snapToGrid w:val="0"/>
        <w:spacing w:line="460" w:lineRule="exact"/>
        <w:ind w:left="0" w:leftChars="0"/>
        <w:rPr>
          <w:rFonts w:ascii="仿宋" w:hAnsi="仿宋" w:eastAsia="仿宋"/>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 xml:space="preserve">     年  月  日</w:t>
      </w:r>
    </w:p>
    <w:p>
      <w:pPr>
        <w:snapToGrid w:val="0"/>
        <w:spacing w:line="600" w:lineRule="exact"/>
        <w:rPr>
          <w:rFonts w:ascii="仿宋" w:hAnsi="仿宋" w:eastAsia="仿宋"/>
          <w:color w:val="000000" w:themeColor="text1"/>
          <w:sz w:val="30"/>
          <w:szCs w:val="30"/>
          <w14:textFill>
            <w14:solidFill>
              <w14:schemeClr w14:val="tx1"/>
            </w14:solidFill>
          </w14:textFill>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1"/>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166254"/>
    </w:sdtPr>
    <w:sdtContent>
      <w:p>
        <w:pPr>
          <w:pStyle w:val="38"/>
          <w:jc w:val="center"/>
        </w:pPr>
        <w:r>
          <w:fldChar w:fldCharType="begin"/>
        </w:r>
        <w:r>
          <w:instrText xml:space="preserve">PAGE   \* MERGEFORMAT</w:instrText>
        </w:r>
        <w:r>
          <w:fldChar w:fldCharType="separate"/>
        </w:r>
        <w:r>
          <w:rPr>
            <w:lang w:val="zh-CN"/>
          </w:rPr>
          <w:t>1</w:t>
        </w:r>
        <w:r>
          <w:t>:38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5"/>
        <w:rFonts w:ascii="宋体" w:hAnsi="宋体"/>
        <w:sz w:val="28"/>
        <w:szCs w:val="28"/>
      </w:rPr>
    </w:pPr>
    <w:r>
      <w:rPr>
        <w:rStyle w:val="65"/>
        <w:rFonts w:hint="eastAsia" w:ascii="宋体" w:hAnsi="宋体"/>
        <w:sz w:val="28"/>
        <w:szCs w:val="28"/>
      </w:rPr>
      <w:t xml:space="preserve">— </w:t>
    </w:r>
    <w:r>
      <w:rPr>
        <w:rFonts w:ascii="宋体" w:hAnsi="宋体"/>
        <w:sz w:val="28"/>
        <w:szCs w:val="28"/>
      </w:rPr>
      <w:fldChar w:fldCharType="begin"/>
    </w:r>
    <w:r>
      <w:rPr>
        <w:rStyle w:val="65"/>
        <w:rFonts w:ascii="宋体" w:hAnsi="宋体"/>
        <w:sz w:val="28"/>
        <w:szCs w:val="28"/>
      </w:rPr>
      <w:instrText xml:space="preserve">PAGE  </w:instrText>
    </w:r>
    <w:r>
      <w:rPr>
        <w:rFonts w:ascii="宋体" w:hAnsi="宋体"/>
        <w:sz w:val="28"/>
        <w:szCs w:val="28"/>
      </w:rPr>
      <w:fldChar w:fldCharType="separate"/>
    </w:r>
    <w:r>
      <w:rPr>
        <w:rStyle w:val="65"/>
        <w:rFonts w:ascii="宋体" w:hAnsi="宋体"/>
        <w:sz w:val="28"/>
        <w:szCs w:val="28"/>
      </w:rPr>
      <w:t>100</w:t>
    </w:r>
    <w:r>
      <w:rPr>
        <w:rFonts w:ascii="宋体" w:hAnsi="宋体"/>
        <w:sz w:val="28"/>
        <w:szCs w:val="28"/>
      </w:rPr>
      <w:fldChar w:fldCharType="end"/>
    </w:r>
    <w:r>
      <w:rPr>
        <w:rStyle w:val="65"/>
        <w:rFonts w:hint="eastAsia" w:ascii="宋体" w:hAnsi="宋体"/>
        <w:sz w:val="28"/>
        <w:szCs w:val="28"/>
      </w:rPr>
      <w:t xml:space="preserve"> —</w:t>
    </w:r>
  </w:p>
  <w:p>
    <w:pPr>
      <w:pStyle w:val="38"/>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5"/>
      </w:rPr>
    </w:pPr>
    <w:r>
      <w:fldChar w:fldCharType="begin"/>
    </w:r>
    <w:r>
      <w:rPr>
        <w:rStyle w:val="65"/>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5"/>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2"/>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A632530"/>
    <w:multiLevelType w:val="multilevel"/>
    <w:tmpl w:val="0A632530"/>
    <w:lvl w:ilvl="0" w:tentative="0">
      <w:start w:val="1"/>
      <w:numFmt w:val="decimal"/>
      <w:suff w:val="nothing"/>
      <w:lvlText w:val="（%1）"/>
      <w:lvlJc w:val="left"/>
      <w:pPr>
        <w:ind w:left="2689" w:hanging="420"/>
      </w:pPr>
      <w:rPr>
        <w:rFonts w:hint="eastAsia"/>
      </w:rPr>
    </w:lvl>
    <w:lvl w:ilvl="1" w:tentative="0">
      <w:start w:val="1"/>
      <w:numFmt w:val="lowerLetter"/>
      <w:lvlText w:val="%2)"/>
      <w:lvlJc w:val="left"/>
      <w:pPr>
        <w:ind w:left="1556" w:hanging="420"/>
      </w:pPr>
    </w:lvl>
    <w:lvl w:ilvl="2" w:tentative="0">
      <w:start w:val="1"/>
      <w:numFmt w:val="lowerRoman"/>
      <w:lvlText w:val="%3."/>
      <w:lvlJc w:val="right"/>
      <w:pPr>
        <w:ind w:left="1976" w:hanging="420"/>
      </w:pPr>
    </w:lvl>
    <w:lvl w:ilvl="3" w:tentative="0">
      <w:start w:val="1"/>
      <w:numFmt w:val="decimal"/>
      <w:lvlText w:val="%4."/>
      <w:lvlJc w:val="left"/>
      <w:pPr>
        <w:ind w:left="2396" w:hanging="420"/>
      </w:pPr>
    </w:lvl>
    <w:lvl w:ilvl="4" w:tentative="0">
      <w:start w:val="1"/>
      <w:numFmt w:val="lowerLetter"/>
      <w:lvlText w:val="%5)"/>
      <w:lvlJc w:val="left"/>
      <w:pPr>
        <w:ind w:left="2816" w:hanging="420"/>
      </w:pPr>
    </w:lvl>
    <w:lvl w:ilvl="5" w:tentative="0">
      <w:start w:val="1"/>
      <w:numFmt w:val="lowerRoman"/>
      <w:lvlText w:val="%6."/>
      <w:lvlJc w:val="right"/>
      <w:pPr>
        <w:ind w:left="3236" w:hanging="420"/>
      </w:pPr>
    </w:lvl>
    <w:lvl w:ilvl="6" w:tentative="0">
      <w:start w:val="1"/>
      <w:numFmt w:val="decimal"/>
      <w:lvlText w:val="%7."/>
      <w:lvlJc w:val="left"/>
      <w:pPr>
        <w:ind w:left="3656" w:hanging="420"/>
      </w:pPr>
    </w:lvl>
    <w:lvl w:ilvl="7" w:tentative="0">
      <w:start w:val="1"/>
      <w:numFmt w:val="lowerLetter"/>
      <w:lvlText w:val="%8)"/>
      <w:lvlJc w:val="left"/>
      <w:pPr>
        <w:ind w:left="4076" w:hanging="420"/>
      </w:pPr>
    </w:lvl>
    <w:lvl w:ilvl="8" w:tentative="0">
      <w:start w:val="1"/>
      <w:numFmt w:val="lowerRoman"/>
      <w:lvlText w:val="%9."/>
      <w:lvlJc w:val="right"/>
      <w:pPr>
        <w:ind w:left="4496" w:hanging="420"/>
      </w:pPr>
    </w:lvl>
  </w:abstractNum>
  <w:abstractNum w:abstractNumId="9">
    <w:nsid w:val="105373CC"/>
    <w:multiLevelType w:val="multilevel"/>
    <w:tmpl w:val="105373CC"/>
    <w:lvl w:ilvl="0" w:tentative="0">
      <w:start w:val="1"/>
      <w:numFmt w:val="decimal"/>
      <w:suff w:val="space"/>
      <w:lvlText w:val="%1."/>
      <w:lvlJc w:val="left"/>
      <w:pPr>
        <w:ind w:left="1280" w:hanging="7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6"/>
      <w:lvlText w:val="%1.%2."/>
      <w:lvlJc w:val="left"/>
      <w:pPr>
        <w:ind w:left="567" w:hanging="567"/>
      </w:pPr>
    </w:lvl>
    <w:lvl w:ilvl="2" w:tentative="0">
      <w:start w:val="1"/>
      <w:numFmt w:val="decimal"/>
      <w:pStyle w:val="742"/>
      <w:lvlText w:val="%1.%2.%3."/>
      <w:lvlJc w:val="left"/>
      <w:pPr>
        <w:ind w:left="709" w:hanging="709"/>
      </w:pPr>
    </w:lvl>
    <w:lvl w:ilvl="3" w:tentative="0">
      <w:start w:val="1"/>
      <w:numFmt w:val="decimal"/>
      <w:pStyle w:val="331"/>
      <w:lvlText w:val="%1.%2.%3.%4."/>
      <w:lvlJc w:val="left"/>
      <w:pPr>
        <w:ind w:left="851" w:hanging="851"/>
      </w:pPr>
    </w:lvl>
    <w:lvl w:ilvl="4" w:tentative="0">
      <w:start w:val="1"/>
      <w:numFmt w:val="decimal"/>
      <w:pStyle w:val="799"/>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tentative="0">
      <w:start w:val="1"/>
      <w:numFmt w:val="bullet"/>
      <w:pStyle w:val="750"/>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1CFD52FD"/>
    <w:multiLevelType w:val="multilevel"/>
    <w:tmpl w:val="1CFD52FD"/>
    <w:lvl w:ilvl="0" w:tentative="0">
      <w:start w:val="1"/>
      <w:numFmt w:val="decimal"/>
      <w:suff w:val="nothing"/>
      <w:lvlText w:val="（%1）"/>
      <w:lvlJc w:val="left"/>
      <w:pPr>
        <w:ind w:left="839" w:hanging="420"/>
      </w:pPr>
      <w:rPr>
        <w:rFonts w:hint="eastAsia"/>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7F10E20"/>
    <w:multiLevelType w:val="multilevel"/>
    <w:tmpl w:val="27F10E20"/>
    <w:lvl w:ilvl="0" w:tentative="0">
      <w:start w:val="1"/>
      <w:numFmt w:val="chineseCountingThousand"/>
      <w:lvlText w:val="%1、"/>
      <w:lvlJc w:val="left"/>
      <w:pPr>
        <w:tabs>
          <w:tab w:val="left" w:pos="420"/>
        </w:tabs>
        <w:ind w:left="420" w:hanging="420"/>
      </w:pPr>
    </w:lvl>
    <w:lvl w:ilvl="1" w:tentative="0">
      <w:start w:val="1"/>
      <w:numFmt w:val="lowerLetter"/>
      <w:pStyle w:val="59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22614AC"/>
    <w:multiLevelType w:val="multilevel"/>
    <w:tmpl w:val="322614AC"/>
    <w:lvl w:ilvl="0" w:tentative="0">
      <w:start w:val="1"/>
      <w:numFmt w:val="decimal"/>
      <w:suff w:val="nothing"/>
      <w:lvlText w:val="（%1）"/>
      <w:lvlJc w:val="left"/>
      <w:pPr>
        <w:ind w:left="2689" w:hanging="420"/>
      </w:pPr>
      <w:rPr>
        <w:rFonts w:hint="eastAsia"/>
        <w:lang w:val="en-US"/>
      </w:rPr>
    </w:lvl>
    <w:lvl w:ilvl="1" w:tentative="0">
      <w:start w:val="1"/>
      <w:numFmt w:val="lowerLetter"/>
      <w:lvlText w:val="%2)"/>
      <w:lvlJc w:val="left"/>
      <w:pPr>
        <w:ind w:left="1556" w:hanging="420"/>
      </w:pPr>
    </w:lvl>
    <w:lvl w:ilvl="2" w:tentative="0">
      <w:start w:val="1"/>
      <w:numFmt w:val="lowerRoman"/>
      <w:lvlText w:val="%3."/>
      <w:lvlJc w:val="right"/>
      <w:pPr>
        <w:ind w:left="1976" w:hanging="420"/>
      </w:pPr>
    </w:lvl>
    <w:lvl w:ilvl="3" w:tentative="0">
      <w:start w:val="1"/>
      <w:numFmt w:val="decimal"/>
      <w:lvlText w:val="%4."/>
      <w:lvlJc w:val="left"/>
      <w:pPr>
        <w:ind w:left="2396" w:hanging="420"/>
      </w:pPr>
    </w:lvl>
    <w:lvl w:ilvl="4" w:tentative="0">
      <w:start w:val="1"/>
      <w:numFmt w:val="lowerLetter"/>
      <w:lvlText w:val="%5)"/>
      <w:lvlJc w:val="left"/>
      <w:pPr>
        <w:ind w:left="2816" w:hanging="420"/>
      </w:pPr>
    </w:lvl>
    <w:lvl w:ilvl="5" w:tentative="0">
      <w:start w:val="1"/>
      <w:numFmt w:val="lowerRoman"/>
      <w:lvlText w:val="%6."/>
      <w:lvlJc w:val="right"/>
      <w:pPr>
        <w:ind w:left="3236" w:hanging="420"/>
      </w:pPr>
    </w:lvl>
    <w:lvl w:ilvl="6" w:tentative="0">
      <w:start w:val="1"/>
      <w:numFmt w:val="decimal"/>
      <w:lvlText w:val="%7."/>
      <w:lvlJc w:val="left"/>
      <w:pPr>
        <w:ind w:left="3656" w:hanging="420"/>
      </w:pPr>
    </w:lvl>
    <w:lvl w:ilvl="7" w:tentative="0">
      <w:start w:val="1"/>
      <w:numFmt w:val="lowerLetter"/>
      <w:lvlText w:val="%8)"/>
      <w:lvlJc w:val="left"/>
      <w:pPr>
        <w:ind w:left="4076" w:hanging="420"/>
      </w:pPr>
    </w:lvl>
    <w:lvl w:ilvl="8" w:tentative="0">
      <w:start w:val="1"/>
      <w:numFmt w:val="lowerRoman"/>
      <w:lvlText w:val="%9."/>
      <w:lvlJc w:val="right"/>
      <w:pPr>
        <w:ind w:left="4496" w:hanging="420"/>
      </w:pPr>
    </w:lvl>
  </w:abstractNum>
  <w:abstractNum w:abstractNumId="18">
    <w:nsid w:val="33EC121D"/>
    <w:multiLevelType w:val="multilevel"/>
    <w:tmpl w:val="33EC121D"/>
    <w:lvl w:ilvl="0" w:tentative="0">
      <w:start w:val="1"/>
      <w:numFmt w:val="decimal"/>
      <w:suff w:val="nothing"/>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35B05358"/>
    <w:multiLevelType w:val="multilevel"/>
    <w:tmpl w:val="35B05358"/>
    <w:lvl w:ilvl="0" w:tentative="0">
      <w:start w:val="1"/>
      <w:numFmt w:val="bullet"/>
      <w:pStyle w:val="34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2"/>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6F76905"/>
    <w:multiLevelType w:val="multilevel"/>
    <w:tmpl w:val="36F76905"/>
    <w:lvl w:ilvl="0" w:tentative="0">
      <w:start w:val="1"/>
      <w:numFmt w:val="decimal"/>
      <w:suff w:val="nothing"/>
      <w:lvlText w:val="（%1）"/>
      <w:lvlJc w:val="left"/>
      <w:pPr>
        <w:ind w:left="839" w:hanging="420"/>
      </w:pPr>
      <w:rPr>
        <w:rFonts w:hint="eastAsia"/>
        <w:lang w:val="en-US"/>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3CFD7D5B"/>
    <w:multiLevelType w:val="multilevel"/>
    <w:tmpl w:val="3CFD7D5B"/>
    <w:lvl w:ilvl="0" w:tentative="0">
      <w:start w:val="1"/>
      <w:numFmt w:val="chineseCountingThousand"/>
      <w:pStyle w:val="94"/>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4">
    <w:nsid w:val="3D4831B4"/>
    <w:multiLevelType w:val="multilevel"/>
    <w:tmpl w:val="3D4831B4"/>
    <w:lvl w:ilvl="0" w:tentative="0">
      <w:start w:val="1"/>
      <w:numFmt w:val="decimal"/>
      <w:suff w:val="nothing"/>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3E1A3692"/>
    <w:multiLevelType w:val="multilevel"/>
    <w:tmpl w:val="3E1A3692"/>
    <w:lvl w:ilvl="0" w:tentative="0">
      <w:start w:val="1"/>
      <w:numFmt w:val="chineseCountingThousand"/>
      <w:pStyle w:val="728"/>
      <w:suff w:val="space"/>
      <w:lvlText w:val="%1."/>
      <w:lvlJc w:val="left"/>
      <w:rPr>
        <w:rFonts w:hint="eastAsia" w:cs="Times New Roman"/>
      </w:rPr>
    </w:lvl>
    <w:lvl w:ilvl="1" w:tentative="0">
      <w:start w:val="1"/>
      <w:numFmt w:val="chineseCountingThousand"/>
      <w:pStyle w:val="691"/>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5"/>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6">
    <w:nsid w:val="425E4455"/>
    <w:multiLevelType w:val="multilevel"/>
    <w:tmpl w:val="425E4455"/>
    <w:lvl w:ilvl="0" w:tentative="0">
      <w:start w:val="1"/>
      <w:numFmt w:val="decimal"/>
      <w:pStyle w:val="2"/>
      <w:lvlText w:val="%1"/>
      <w:lvlJc w:val="left"/>
      <w:pPr>
        <w:ind w:left="432" w:hanging="432"/>
      </w:pPr>
      <w:rPr>
        <w:rFonts w:hint="default" w:ascii="Arial" w:hAnsi="Arial" w:cs="Arial"/>
        <w:b/>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3"/>
      <w:lvlText w:val="%1.%2"/>
      <w:lvlJc w:val="left"/>
      <w:pPr>
        <w:ind w:left="576" w:hanging="576"/>
      </w:pPr>
      <w:rPr>
        <w:rFonts w:hint="default" w:ascii="Arial" w:hAnsi="Arial" w:cs="Arial"/>
        <w:b/>
        <w:bCs w:val="0"/>
        <w:i w:val="0"/>
        <w:iCs w:val="0"/>
        <w:caps w:val="0"/>
        <w:smallCaps w:val="0"/>
        <w:strike w:val="0"/>
        <w:dstrike w:val="0"/>
        <w:vanish w:val="0"/>
        <w:color w:val="000000"/>
        <w:spacing w:val="0"/>
        <w:position w:val="0"/>
        <w:u w:val="none"/>
        <w:vertAlign w:val="baseline"/>
      </w:rPr>
    </w:lvl>
    <w:lvl w:ilvl="2" w:tentative="0">
      <w:start w:val="1"/>
      <w:numFmt w:val="decimal"/>
      <w:pStyle w:val="4"/>
      <w:lvlText w:val="%1.%2.%3"/>
      <w:lvlJc w:val="left"/>
      <w:pPr>
        <w:ind w:left="720" w:hanging="720"/>
      </w:pPr>
      <w:rPr>
        <w:rFonts w:hint="default" w:ascii="Arial" w:hAnsi="Arial" w:cs="Arial"/>
        <w:b/>
        <w:i w:val="0"/>
        <w:iCs w:val="0"/>
        <w:caps w:val="0"/>
        <w:strike w:val="0"/>
        <w:dstrike w:val="0"/>
        <w:vanish w:val="0"/>
        <w:color w:val="000000"/>
        <w:spacing w:val="0"/>
        <w:position w:val="0"/>
        <w:u w:val="none"/>
        <w:vertAlign w:val="baseline"/>
      </w:rPr>
    </w:lvl>
    <w:lvl w:ilvl="3" w:tentative="0">
      <w:start w:val="1"/>
      <w:numFmt w:val="decimal"/>
      <w:pStyle w:val="5"/>
      <w:lvlText w:val="%1.%2.%3.%4"/>
      <w:lvlJc w:val="left"/>
      <w:pPr>
        <w:ind w:left="864" w:hanging="864"/>
      </w:pPr>
      <w:rPr>
        <w:rFonts w:hint="default" w:ascii="Arial" w:hAnsi="Arial" w:cs="Arial"/>
        <w:b/>
        <w:i w:val="0"/>
        <w:iCs w:val="0"/>
        <w:caps w:val="0"/>
        <w:strike w:val="0"/>
        <w:dstrike w:val="0"/>
        <w:vanish w:val="0"/>
        <w:color w:val="000000"/>
        <w:spacing w:val="0"/>
        <w:position w:val="0"/>
        <w:u w:val="none"/>
        <w:vertAlign w:val="baseline"/>
      </w:rPr>
    </w:lvl>
    <w:lvl w:ilvl="4" w:tentative="0">
      <w:start w:val="1"/>
      <w:numFmt w:val="decimal"/>
      <w:pStyle w:val="6"/>
      <w:lvlText w:val="%1.%2.%3.%4.%5"/>
      <w:lvlJc w:val="left"/>
      <w:pPr>
        <w:ind w:left="1008" w:hanging="1008"/>
      </w:pPr>
      <w:rPr>
        <w:rFonts w:hint="default" w:ascii="Arial" w:hAnsi="Arial" w:cs="Arial"/>
        <w:b/>
        <w:bCs w:val="0"/>
        <w:i w:val="0"/>
        <w:iCs w:val="0"/>
        <w:caps w:val="0"/>
        <w:smallCaps w:val="0"/>
        <w:strike w:val="0"/>
        <w:dstrike w:val="0"/>
        <w:vanish w:val="0"/>
        <w:color w:val="000000"/>
        <w:spacing w:val="0"/>
        <w:position w:val="0"/>
        <w:u w:val="none"/>
        <w:vertAlign w:val="baseline"/>
      </w:rPr>
    </w:lvl>
    <w:lvl w:ilvl="5" w:tentative="0">
      <w:start w:val="1"/>
      <w:numFmt w:val="decimal"/>
      <w:pStyle w:val="7"/>
      <w:lvlText w:val="%1.%2.%3.%4.%5.%6"/>
      <w:lvlJc w:val="left"/>
      <w:pPr>
        <w:ind w:left="1152" w:hanging="1152"/>
      </w:pPr>
      <w:rPr>
        <w:rFonts w:hint="default" w:ascii="Arial" w:hAnsi="Arial" w:cs="Arial"/>
        <w:b/>
        <w:i w:val="0"/>
        <w:iCs w:val="0"/>
        <w:caps w:val="0"/>
        <w:strike w:val="0"/>
        <w:dstrike w:val="0"/>
        <w:vanish w:val="0"/>
        <w:color w:val="000000"/>
        <w:spacing w:val="0"/>
        <w:position w:val="0"/>
        <w:u w:val="none"/>
        <w:vertAlign w:val="baseline"/>
      </w:rPr>
    </w:lvl>
    <w:lvl w:ilvl="6" w:tentative="0">
      <w:start w:val="1"/>
      <w:numFmt w:val="decimal"/>
      <w:pStyle w:val="8"/>
      <w:lvlText w:val="%1.%2.%3.%4.%5.%6.%7"/>
      <w:lvlJc w:val="left"/>
      <w:pPr>
        <w:ind w:left="1296" w:hanging="1296"/>
      </w:pPr>
      <w:rPr>
        <w:rFonts w:hint="default" w:ascii="Arial" w:hAnsi="Arial" w:cs="Arial"/>
        <w:b/>
        <w:i w:val="0"/>
        <w:iCs w:val="0"/>
        <w:caps w:val="0"/>
        <w:strike w:val="0"/>
        <w:dstrike w:val="0"/>
        <w:vanish w:val="0"/>
        <w:color w:val="000000"/>
        <w:spacing w:val="0"/>
        <w:position w:val="0"/>
        <w:u w:val="none"/>
        <w:vertAlign w:val="baseline"/>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7">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8">
    <w:nsid w:val="4B9D13A2"/>
    <w:multiLevelType w:val="multilevel"/>
    <w:tmpl w:val="4B9D13A2"/>
    <w:lvl w:ilvl="0" w:tentative="0">
      <w:start w:val="1"/>
      <w:numFmt w:val="bullet"/>
      <w:pStyle w:val="74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4E7107F0"/>
    <w:multiLevelType w:val="multilevel"/>
    <w:tmpl w:val="4E7107F0"/>
    <w:lvl w:ilvl="0" w:tentative="0">
      <w:start w:val="1"/>
      <w:numFmt w:val="bullet"/>
      <w:pStyle w:val="241"/>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30">
    <w:nsid w:val="4FEB1EBA"/>
    <w:multiLevelType w:val="multilevel"/>
    <w:tmpl w:val="4FEB1EBA"/>
    <w:lvl w:ilvl="0" w:tentative="0">
      <w:start w:val="1"/>
      <w:numFmt w:val="decimal"/>
      <w:suff w:val="nothing"/>
      <w:lvlText w:val="（%1）"/>
      <w:lvlJc w:val="left"/>
      <w:pPr>
        <w:ind w:left="839" w:hanging="420"/>
      </w:pPr>
      <w:rPr>
        <w:rFonts w:hint="eastAsia"/>
        <w:lang w:val="en-US"/>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1">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32">
    <w:nsid w:val="54D82748"/>
    <w:multiLevelType w:val="multilevel"/>
    <w:tmpl w:val="54D82748"/>
    <w:lvl w:ilvl="0" w:tentative="0">
      <w:start w:val="1"/>
      <w:numFmt w:val="decimal"/>
      <w:suff w:val="nothing"/>
      <w:lvlText w:val="（%1）"/>
      <w:lvlJc w:val="left"/>
      <w:pPr>
        <w:ind w:left="988" w:hanging="420"/>
      </w:pPr>
      <w:rPr>
        <w:rFonts w:hint="eastAsia"/>
      </w:rPr>
    </w:lvl>
    <w:lvl w:ilvl="1" w:tentative="0">
      <w:start w:val="1"/>
      <w:numFmt w:val="lowerLetter"/>
      <w:lvlText w:val="%2)"/>
      <w:lvlJc w:val="left"/>
      <w:pPr>
        <w:ind w:left="1556" w:hanging="420"/>
      </w:pPr>
    </w:lvl>
    <w:lvl w:ilvl="2" w:tentative="0">
      <w:start w:val="1"/>
      <w:numFmt w:val="lowerRoman"/>
      <w:lvlText w:val="%3."/>
      <w:lvlJc w:val="right"/>
      <w:pPr>
        <w:ind w:left="1976" w:hanging="420"/>
      </w:pPr>
    </w:lvl>
    <w:lvl w:ilvl="3" w:tentative="0">
      <w:start w:val="1"/>
      <w:numFmt w:val="decimal"/>
      <w:lvlText w:val="%4."/>
      <w:lvlJc w:val="left"/>
      <w:pPr>
        <w:ind w:left="2396" w:hanging="420"/>
      </w:pPr>
    </w:lvl>
    <w:lvl w:ilvl="4" w:tentative="0">
      <w:start w:val="1"/>
      <w:numFmt w:val="lowerLetter"/>
      <w:lvlText w:val="%5)"/>
      <w:lvlJc w:val="left"/>
      <w:pPr>
        <w:ind w:left="2816" w:hanging="420"/>
      </w:pPr>
    </w:lvl>
    <w:lvl w:ilvl="5" w:tentative="0">
      <w:start w:val="1"/>
      <w:numFmt w:val="lowerRoman"/>
      <w:lvlText w:val="%6."/>
      <w:lvlJc w:val="right"/>
      <w:pPr>
        <w:ind w:left="3236" w:hanging="420"/>
      </w:pPr>
    </w:lvl>
    <w:lvl w:ilvl="6" w:tentative="0">
      <w:start w:val="1"/>
      <w:numFmt w:val="decimal"/>
      <w:lvlText w:val="%7."/>
      <w:lvlJc w:val="left"/>
      <w:pPr>
        <w:ind w:left="3656" w:hanging="420"/>
      </w:pPr>
    </w:lvl>
    <w:lvl w:ilvl="7" w:tentative="0">
      <w:start w:val="1"/>
      <w:numFmt w:val="lowerLetter"/>
      <w:lvlText w:val="%8)"/>
      <w:lvlJc w:val="left"/>
      <w:pPr>
        <w:ind w:left="4076" w:hanging="420"/>
      </w:pPr>
    </w:lvl>
    <w:lvl w:ilvl="8" w:tentative="0">
      <w:start w:val="1"/>
      <w:numFmt w:val="lowerRoman"/>
      <w:lvlText w:val="%9."/>
      <w:lvlJc w:val="right"/>
      <w:pPr>
        <w:ind w:left="4496" w:hanging="420"/>
      </w:pPr>
    </w:lvl>
  </w:abstractNum>
  <w:abstractNum w:abstractNumId="33">
    <w:nsid w:val="54F403B5"/>
    <w:multiLevelType w:val="singleLevel"/>
    <w:tmpl w:val="54F403B5"/>
    <w:lvl w:ilvl="0" w:tentative="0">
      <w:start w:val="1"/>
      <w:numFmt w:val="chineseCounting"/>
      <w:suff w:val="nothing"/>
      <w:lvlText w:val="%1、"/>
      <w:lvlJc w:val="left"/>
      <w:pPr>
        <w:ind w:left="0" w:firstLine="0"/>
      </w:pPr>
    </w:lvl>
  </w:abstractNum>
  <w:abstractNum w:abstractNumId="34">
    <w:nsid w:val="557FD3DA"/>
    <w:multiLevelType w:val="singleLevel"/>
    <w:tmpl w:val="557FD3DA"/>
    <w:lvl w:ilvl="0" w:tentative="0">
      <w:start w:val="3"/>
      <w:numFmt w:val="chineseCounting"/>
      <w:suff w:val="nothing"/>
      <w:lvlText w:val="%1、"/>
      <w:lvlJc w:val="left"/>
      <w:pPr>
        <w:ind w:left="0" w:firstLine="0"/>
      </w:pPr>
    </w:lvl>
  </w:abstractNum>
  <w:abstractNum w:abstractNumId="3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1"/>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6">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7">
    <w:nsid w:val="67403E98"/>
    <w:multiLevelType w:val="singleLevel"/>
    <w:tmpl w:val="67403E98"/>
    <w:lvl w:ilvl="0" w:tentative="0">
      <w:start w:val="1"/>
      <w:numFmt w:val="bullet"/>
      <w:pStyle w:val="739"/>
      <w:lvlText w:val=""/>
      <w:lvlJc w:val="left"/>
      <w:pPr>
        <w:tabs>
          <w:tab w:val="left" w:pos="360"/>
        </w:tabs>
        <w:ind w:left="360" w:hanging="360"/>
      </w:pPr>
      <w:rPr>
        <w:rFonts w:hint="default" w:ascii="Symbol" w:hAnsi="Symbol"/>
      </w:rPr>
    </w:lvl>
  </w:abstractNum>
  <w:abstractNum w:abstractNumId="38">
    <w:nsid w:val="676E2D0D"/>
    <w:multiLevelType w:val="multilevel"/>
    <w:tmpl w:val="676E2D0D"/>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9">
    <w:nsid w:val="698619EB"/>
    <w:multiLevelType w:val="multilevel"/>
    <w:tmpl w:val="698619EB"/>
    <w:lvl w:ilvl="0" w:tentative="0">
      <w:start w:val="1"/>
      <w:numFmt w:val="decimal"/>
      <w:pStyle w:val="250"/>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0">
    <w:nsid w:val="70787520"/>
    <w:multiLevelType w:val="multilevel"/>
    <w:tmpl w:val="70787520"/>
    <w:lvl w:ilvl="0" w:tentative="0">
      <w:start w:val="1"/>
      <w:numFmt w:val="decimal"/>
      <w:suff w:val="nothing"/>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1">
    <w:nsid w:val="738A4524"/>
    <w:multiLevelType w:val="multilevel"/>
    <w:tmpl w:val="738A4524"/>
    <w:lvl w:ilvl="0" w:tentative="0">
      <w:start w:val="1"/>
      <w:numFmt w:val="decimal"/>
      <w:lvlText w:val="%1、"/>
      <w:lvlJc w:val="left"/>
      <w:pPr>
        <w:tabs>
          <w:tab w:val="left" w:pos="0"/>
        </w:tabs>
        <w:ind w:left="0" w:hanging="360"/>
      </w:pPr>
      <w:rPr>
        <w:rFonts w:hint="eastAsia"/>
      </w:rPr>
    </w:lvl>
    <w:lvl w:ilvl="1" w:tentative="0">
      <w:start w:val="1"/>
      <w:numFmt w:val="japaneseCounting"/>
      <w:lvlText w:val="%2、"/>
      <w:lvlJc w:val="left"/>
      <w:pPr>
        <w:tabs>
          <w:tab w:val="left" w:pos="594"/>
        </w:tabs>
        <w:ind w:left="594" w:hanging="480"/>
      </w:pPr>
      <w:rPr>
        <w:rFonts w:hint="default"/>
      </w:rPr>
    </w:lvl>
    <w:lvl w:ilvl="2" w:tentative="0">
      <w:start w:val="1"/>
      <w:numFmt w:val="lowerRoman"/>
      <w:lvlText w:val="%3."/>
      <w:lvlJc w:val="right"/>
      <w:pPr>
        <w:tabs>
          <w:tab w:val="left" w:pos="954"/>
        </w:tabs>
        <w:ind w:left="954" w:hanging="420"/>
      </w:pPr>
    </w:lvl>
    <w:lvl w:ilvl="3" w:tentative="0">
      <w:start w:val="1"/>
      <w:numFmt w:val="decimal"/>
      <w:lvlText w:val="%4."/>
      <w:lvlJc w:val="left"/>
      <w:pPr>
        <w:tabs>
          <w:tab w:val="left" w:pos="1374"/>
        </w:tabs>
        <w:ind w:left="1374" w:hanging="420"/>
      </w:pPr>
    </w:lvl>
    <w:lvl w:ilvl="4" w:tentative="0">
      <w:start w:val="1"/>
      <w:numFmt w:val="lowerLetter"/>
      <w:lvlText w:val="%5)"/>
      <w:lvlJc w:val="left"/>
      <w:pPr>
        <w:tabs>
          <w:tab w:val="left" w:pos="1794"/>
        </w:tabs>
        <w:ind w:left="1794" w:hanging="420"/>
      </w:pPr>
    </w:lvl>
    <w:lvl w:ilvl="5" w:tentative="0">
      <w:start w:val="1"/>
      <w:numFmt w:val="lowerRoman"/>
      <w:lvlText w:val="%6."/>
      <w:lvlJc w:val="right"/>
      <w:pPr>
        <w:tabs>
          <w:tab w:val="left" w:pos="2214"/>
        </w:tabs>
        <w:ind w:left="2214" w:hanging="420"/>
      </w:pPr>
    </w:lvl>
    <w:lvl w:ilvl="6" w:tentative="0">
      <w:start w:val="1"/>
      <w:numFmt w:val="decimal"/>
      <w:lvlText w:val="%7."/>
      <w:lvlJc w:val="left"/>
      <w:pPr>
        <w:tabs>
          <w:tab w:val="left" w:pos="2634"/>
        </w:tabs>
        <w:ind w:left="2634" w:hanging="420"/>
      </w:pPr>
    </w:lvl>
    <w:lvl w:ilvl="7" w:tentative="0">
      <w:start w:val="1"/>
      <w:numFmt w:val="lowerLetter"/>
      <w:lvlText w:val="%8)"/>
      <w:lvlJc w:val="left"/>
      <w:pPr>
        <w:tabs>
          <w:tab w:val="left" w:pos="3054"/>
        </w:tabs>
        <w:ind w:left="3054" w:hanging="420"/>
      </w:pPr>
    </w:lvl>
    <w:lvl w:ilvl="8" w:tentative="0">
      <w:start w:val="1"/>
      <w:numFmt w:val="lowerRoman"/>
      <w:lvlText w:val="%9."/>
      <w:lvlJc w:val="right"/>
      <w:pPr>
        <w:tabs>
          <w:tab w:val="left" w:pos="3474"/>
        </w:tabs>
        <w:ind w:left="3474" w:hanging="420"/>
      </w:pPr>
    </w:lvl>
  </w:abstractNum>
  <w:abstractNum w:abstractNumId="42">
    <w:nsid w:val="740124C8"/>
    <w:multiLevelType w:val="multilevel"/>
    <w:tmpl w:val="740124C8"/>
    <w:lvl w:ilvl="0" w:tentative="0">
      <w:start w:val="1"/>
      <w:numFmt w:val="decimal"/>
      <w:suff w:val="nothing"/>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3">
    <w:nsid w:val="76D52E27"/>
    <w:multiLevelType w:val="multilevel"/>
    <w:tmpl w:val="76D52E27"/>
    <w:lvl w:ilvl="0" w:tentative="0">
      <w:start w:val="1"/>
      <w:numFmt w:val="bullet"/>
      <w:pStyle w:val="69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4">
    <w:nsid w:val="7755585C"/>
    <w:multiLevelType w:val="multilevel"/>
    <w:tmpl w:val="7755585C"/>
    <w:lvl w:ilvl="0" w:tentative="0">
      <w:start w:val="1"/>
      <w:numFmt w:val="bullet"/>
      <w:pStyle w:val="19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6"/>
  </w:num>
  <w:num w:numId="2">
    <w:abstractNumId w:val="15"/>
  </w:num>
  <w:num w:numId="3">
    <w:abstractNumId w:val="2"/>
  </w:num>
  <w:num w:numId="4">
    <w:abstractNumId w:val="0"/>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44"/>
  </w:num>
  <w:num w:numId="9">
    <w:abstractNumId w:val="29"/>
  </w:num>
  <w:num w:numId="10">
    <w:abstractNumId w:val="39"/>
    <w:lvlOverride w:ilvl="0">
      <w:startOverride w:val="1"/>
    </w:lvlOverride>
  </w:num>
  <w:num w:numId="11">
    <w:abstractNumId w:val="10"/>
  </w:num>
  <w:num w:numId="12">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5"/>
  </w:num>
  <w:num w:numId="14">
    <w:abstractNumId w:val="22"/>
  </w:num>
  <w:num w:numId="15">
    <w:abstractNumId w:val="36"/>
  </w:num>
  <w:num w:numId="16">
    <w:abstractNumId w:val="25"/>
  </w:num>
  <w:num w:numId="17">
    <w:abstractNumId w:val="20"/>
  </w:num>
  <w:num w:numId="18">
    <w:abstractNumId w:val="4"/>
  </w:num>
  <w:num w:numId="19">
    <w:abstractNumId w:val="31"/>
  </w:num>
  <w:num w:numId="20">
    <w:abstractNumId w:val="6"/>
  </w:num>
  <w:num w:numId="21">
    <w:abstractNumId w:val="16"/>
  </w:num>
  <w:num w:numId="22">
    <w:abstractNumId w:val="14"/>
  </w:num>
  <w:num w:numId="23">
    <w:abstractNumId w:val="27"/>
  </w:num>
  <w:num w:numId="24">
    <w:abstractNumId w:val="7"/>
  </w:num>
  <w:num w:numId="25">
    <w:abstractNumId w:val="43"/>
  </w:num>
  <w:num w:numId="26">
    <w:abstractNumId w:val="3"/>
  </w:num>
  <w:num w:numId="27">
    <w:abstractNumId w:val="37"/>
  </w:num>
  <w:num w:numId="28">
    <w:abstractNumId w:val="28"/>
  </w:num>
  <w:num w:numId="29">
    <w:abstractNumId w:val="12"/>
  </w:num>
  <w:num w:numId="30">
    <w:abstractNumId w:val="35"/>
  </w:num>
  <w:num w:numId="31">
    <w:abstractNumId w:val="41"/>
  </w:num>
  <w:num w:numId="32">
    <w:abstractNumId w:val="38"/>
  </w:num>
  <w:num w:numId="33">
    <w:abstractNumId w:val="13"/>
  </w:num>
  <w:num w:numId="34">
    <w:abstractNumId w:val="8"/>
  </w:num>
  <w:num w:numId="35">
    <w:abstractNumId w:val="32"/>
  </w:num>
  <w:num w:numId="36">
    <w:abstractNumId w:val="9"/>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42"/>
  </w:num>
  <w:num w:numId="40">
    <w:abstractNumId w:val="18"/>
  </w:num>
  <w:num w:numId="41">
    <w:abstractNumId w:val="24"/>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21"/>
  </w:num>
  <w:num w:numId="45">
    <w:abstractNumId w:val="30"/>
  </w:num>
  <w:num w:numId="46">
    <w:abstractNumId w:val="33"/>
    <w:lvlOverride w:ilvl="0">
      <w:startOverride w:val="1"/>
    </w:lvlOverride>
  </w:num>
  <w:num w:numId="47">
    <w:abstractNumId w:val="3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1"/>
    <w:rsid w:val="00002CA9"/>
    <w:rsid w:val="00003CB6"/>
    <w:rsid w:val="000041A5"/>
    <w:rsid w:val="000043A0"/>
    <w:rsid w:val="00004826"/>
    <w:rsid w:val="000048A6"/>
    <w:rsid w:val="00005111"/>
    <w:rsid w:val="000056B4"/>
    <w:rsid w:val="000058C6"/>
    <w:rsid w:val="0000599E"/>
    <w:rsid w:val="00006304"/>
    <w:rsid w:val="00006B8D"/>
    <w:rsid w:val="00007144"/>
    <w:rsid w:val="00007584"/>
    <w:rsid w:val="000077D6"/>
    <w:rsid w:val="000105B0"/>
    <w:rsid w:val="0001088A"/>
    <w:rsid w:val="000113DA"/>
    <w:rsid w:val="000115D5"/>
    <w:rsid w:val="00012105"/>
    <w:rsid w:val="000125B4"/>
    <w:rsid w:val="000130E4"/>
    <w:rsid w:val="00013556"/>
    <w:rsid w:val="00013AB9"/>
    <w:rsid w:val="00014E09"/>
    <w:rsid w:val="0001547E"/>
    <w:rsid w:val="00015F97"/>
    <w:rsid w:val="0001731A"/>
    <w:rsid w:val="000175E0"/>
    <w:rsid w:val="00017888"/>
    <w:rsid w:val="00017AD3"/>
    <w:rsid w:val="00017BD2"/>
    <w:rsid w:val="00017E56"/>
    <w:rsid w:val="00020A64"/>
    <w:rsid w:val="00020ABB"/>
    <w:rsid w:val="0002181D"/>
    <w:rsid w:val="00021F7A"/>
    <w:rsid w:val="0002294D"/>
    <w:rsid w:val="00022998"/>
    <w:rsid w:val="00024EF6"/>
    <w:rsid w:val="0002527D"/>
    <w:rsid w:val="0002531C"/>
    <w:rsid w:val="00025B40"/>
    <w:rsid w:val="00026BB8"/>
    <w:rsid w:val="00027712"/>
    <w:rsid w:val="00027D30"/>
    <w:rsid w:val="00030445"/>
    <w:rsid w:val="00030E5A"/>
    <w:rsid w:val="000310B8"/>
    <w:rsid w:val="000310CF"/>
    <w:rsid w:val="0003142A"/>
    <w:rsid w:val="00031E05"/>
    <w:rsid w:val="00031E13"/>
    <w:rsid w:val="000327A0"/>
    <w:rsid w:val="00032C15"/>
    <w:rsid w:val="00033D56"/>
    <w:rsid w:val="00035548"/>
    <w:rsid w:val="000360CB"/>
    <w:rsid w:val="000370D2"/>
    <w:rsid w:val="00037CA1"/>
    <w:rsid w:val="000400B9"/>
    <w:rsid w:val="000405CF"/>
    <w:rsid w:val="00040625"/>
    <w:rsid w:val="000409F9"/>
    <w:rsid w:val="00040A06"/>
    <w:rsid w:val="00040A15"/>
    <w:rsid w:val="00041D87"/>
    <w:rsid w:val="0004262C"/>
    <w:rsid w:val="000427DA"/>
    <w:rsid w:val="00045C8E"/>
    <w:rsid w:val="00045CF0"/>
    <w:rsid w:val="0004617D"/>
    <w:rsid w:val="00047516"/>
    <w:rsid w:val="00047A43"/>
    <w:rsid w:val="000504F3"/>
    <w:rsid w:val="0005111D"/>
    <w:rsid w:val="00051D87"/>
    <w:rsid w:val="00053306"/>
    <w:rsid w:val="00055310"/>
    <w:rsid w:val="00055AFD"/>
    <w:rsid w:val="00055B48"/>
    <w:rsid w:val="000562B5"/>
    <w:rsid w:val="00056351"/>
    <w:rsid w:val="000568E8"/>
    <w:rsid w:val="00056D53"/>
    <w:rsid w:val="000570F0"/>
    <w:rsid w:val="00057EC8"/>
    <w:rsid w:val="00057FA9"/>
    <w:rsid w:val="00060158"/>
    <w:rsid w:val="00060334"/>
    <w:rsid w:val="000608C7"/>
    <w:rsid w:val="000612B2"/>
    <w:rsid w:val="00062AD3"/>
    <w:rsid w:val="00062E3B"/>
    <w:rsid w:val="00063425"/>
    <w:rsid w:val="00064C30"/>
    <w:rsid w:val="00065283"/>
    <w:rsid w:val="00066C4B"/>
    <w:rsid w:val="00066D1E"/>
    <w:rsid w:val="00066E10"/>
    <w:rsid w:val="00066FDD"/>
    <w:rsid w:val="000672A6"/>
    <w:rsid w:val="000677D2"/>
    <w:rsid w:val="00067EE5"/>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90B"/>
    <w:rsid w:val="00096D33"/>
    <w:rsid w:val="0009740B"/>
    <w:rsid w:val="00097E0A"/>
    <w:rsid w:val="000A0118"/>
    <w:rsid w:val="000A0491"/>
    <w:rsid w:val="000A055F"/>
    <w:rsid w:val="000A059A"/>
    <w:rsid w:val="000A0B68"/>
    <w:rsid w:val="000A0BB6"/>
    <w:rsid w:val="000A1704"/>
    <w:rsid w:val="000A24F5"/>
    <w:rsid w:val="000A25B7"/>
    <w:rsid w:val="000A2D4F"/>
    <w:rsid w:val="000A3641"/>
    <w:rsid w:val="000A4AC4"/>
    <w:rsid w:val="000A5498"/>
    <w:rsid w:val="000A57B4"/>
    <w:rsid w:val="000A594F"/>
    <w:rsid w:val="000A597F"/>
    <w:rsid w:val="000A5E53"/>
    <w:rsid w:val="000A640C"/>
    <w:rsid w:val="000A7C90"/>
    <w:rsid w:val="000B04E9"/>
    <w:rsid w:val="000B0892"/>
    <w:rsid w:val="000B09FF"/>
    <w:rsid w:val="000B1B34"/>
    <w:rsid w:val="000B24E4"/>
    <w:rsid w:val="000B3279"/>
    <w:rsid w:val="000B43C5"/>
    <w:rsid w:val="000B453A"/>
    <w:rsid w:val="000B4B19"/>
    <w:rsid w:val="000B4B8C"/>
    <w:rsid w:val="000B4CB8"/>
    <w:rsid w:val="000B5487"/>
    <w:rsid w:val="000B7579"/>
    <w:rsid w:val="000B778F"/>
    <w:rsid w:val="000B7EE0"/>
    <w:rsid w:val="000C02D9"/>
    <w:rsid w:val="000C2E25"/>
    <w:rsid w:val="000C2EF8"/>
    <w:rsid w:val="000C43CF"/>
    <w:rsid w:val="000C4621"/>
    <w:rsid w:val="000C4A94"/>
    <w:rsid w:val="000C6043"/>
    <w:rsid w:val="000C6CBC"/>
    <w:rsid w:val="000D03EC"/>
    <w:rsid w:val="000D0925"/>
    <w:rsid w:val="000D28D8"/>
    <w:rsid w:val="000D2A75"/>
    <w:rsid w:val="000D2F4B"/>
    <w:rsid w:val="000D30AC"/>
    <w:rsid w:val="000D348F"/>
    <w:rsid w:val="000D3F8A"/>
    <w:rsid w:val="000D3FD1"/>
    <w:rsid w:val="000D48F1"/>
    <w:rsid w:val="000D56DC"/>
    <w:rsid w:val="000D5B04"/>
    <w:rsid w:val="000D6E97"/>
    <w:rsid w:val="000D6ED3"/>
    <w:rsid w:val="000E0B47"/>
    <w:rsid w:val="000E0C9E"/>
    <w:rsid w:val="000E13AB"/>
    <w:rsid w:val="000E1EF6"/>
    <w:rsid w:val="000E2E68"/>
    <w:rsid w:val="000E30EB"/>
    <w:rsid w:val="000E4C14"/>
    <w:rsid w:val="000E5F53"/>
    <w:rsid w:val="000E5F93"/>
    <w:rsid w:val="000E705A"/>
    <w:rsid w:val="000E79FE"/>
    <w:rsid w:val="000F08D2"/>
    <w:rsid w:val="000F0FAC"/>
    <w:rsid w:val="000F2CFD"/>
    <w:rsid w:val="000F33A8"/>
    <w:rsid w:val="000F4622"/>
    <w:rsid w:val="000F496C"/>
    <w:rsid w:val="000F4E84"/>
    <w:rsid w:val="000F5946"/>
    <w:rsid w:val="000F6CB5"/>
    <w:rsid w:val="000F7308"/>
    <w:rsid w:val="00100280"/>
    <w:rsid w:val="001004A6"/>
    <w:rsid w:val="00101C75"/>
    <w:rsid w:val="00101D91"/>
    <w:rsid w:val="00102392"/>
    <w:rsid w:val="001028C7"/>
    <w:rsid w:val="00103278"/>
    <w:rsid w:val="00104794"/>
    <w:rsid w:val="00104AB0"/>
    <w:rsid w:val="00104E08"/>
    <w:rsid w:val="00104F6E"/>
    <w:rsid w:val="00105090"/>
    <w:rsid w:val="00105E09"/>
    <w:rsid w:val="00106636"/>
    <w:rsid w:val="00106D50"/>
    <w:rsid w:val="001101DE"/>
    <w:rsid w:val="00110932"/>
    <w:rsid w:val="00110FED"/>
    <w:rsid w:val="001113D7"/>
    <w:rsid w:val="001117BF"/>
    <w:rsid w:val="001133D7"/>
    <w:rsid w:val="001138BE"/>
    <w:rsid w:val="00113B97"/>
    <w:rsid w:val="00113E20"/>
    <w:rsid w:val="00113EC5"/>
    <w:rsid w:val="001146D9"/>
    <w:rsid w:val="00115981"/>
    <w:rsid w:val="00116A24"/>
    <w:rsid w:val="00116B0B"/>
    <w:rsid w:val="00116DD3"/>
    <w:rsid w:val="00116FD8"/>
    <w:rsid w:val="0012057D"/>
    <w:rsid w:val="00120D8A"/>
    <w:rsid w:val="00120E41"/>
    <w:rsid w:val="0012168B"/>
    <w:rsid w:val="001216B8"/>
    <w:rsid w:val="001221CB"/>
    <w:rsid w:val="001222BE"/>
    <w:rsid w:val="001223D1"/>
    <w:rsid w:val="00122EEB"/>
    <w:rsid w:val="00122F86"/>
    <w:rsid w:val="00123AEB"/>
    <w:rsid w:val="00123F75"/>
    <w:rsid w:val="001240EE"/>
    <w:rsid w:val="00125024"/>
    <w:rsid w:val="00125899"/>
    <w:rsid w:val="00125CFA"/>
    <w:rsid w:val="001265E9"/>
    <w:rsid w:val="00127C67"/>
    <w:rsid w:val="00130244"/>
    <w:rsid w:val="00130EB8"/>
    <w:rsid w:val="0013173E"/>
    <w:rsid w:val="0013193D"/>
    <w:rsid w:val="001328F6"/>
    <w:rsid w:val="0013342D"/>
    <w:rsid w:val="00134D7F"/>
    <w:rsid w:val="00135C50"/>
    <w:rsid w:val="00136376"/>
    <w:rsid w:val="00136A47"/>
    <w:rsid w:val="00136EF0"/>
    <w:rsid w:val="00137508"/>
    <w:rsid w:val="00137AE0"/>
    <w:rsid w:val="00140483"/>
    <w:rsid w:val="001404B9"/>
    <w:rsid w:val="00140556"/>
    <w:rsid w:val="001410B1"/>
    <w:rsid w:val="00141D14"/>
    <w:rsid w:val="00142748"/>
    <w:rsid w:val="00142BE2"/>
    <w:rsid w:val="0014355C"/>
    <w:rsid w:val="001445ED"/>
    <w:rsid w:val="001473C5"/>
    <w:rsid w:val="00147A86"/>
    <w:rsid w:val="00147C64"/>
    <w:rsid w:val="001506E0"/>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30BF"/>
    <w:rsid w:val="001641BF"/>
    <w:rsid w:val="00164670"/>
    <w:rsid w:val="001646CC"/>
    <w:rsid w:val="00164DED"/>
    <w:rsid w:val="00165C4E"/>
    <w:rsid w:val="00165E4F"/>
    <w:rsid w:val="00166FD2"/>
    <w:rsid w:val="00167AF8"/>
    <w:rsid w:val="001707C4"/>
    <w:rsid w:val="001716E7"/>
    <w:rsid w:val="0017249C"/>
    <w:rsid w:val="001725F9"/>
    <w:rsid w:val="00172C56"/>
    <w:rsid w:val="00173848"/>
    <w:rsid w:val="00174331"/>
    <w:rsid w:val="00174D61"/>
    <w:rsid w:val="00175A59"/>
    <w:rsid w:val="001763F7"/>
    <w:rsid w:val="001767B2"/>
    <w:rsid w:val="00180DA8"/>
    <w:rsid w:val="00181168"/>
    <w:rsid w:val="001853FD"/>
    <w:rsid w:val="0018543D"/>
    <w:rsid w:val="00186A15"/>
    <w:rsid w:val="0019001E"/>
    <w:rsid w:val="001907CD"/>
    <w:rsid w:val="0019115E"/>
    <w:rsid w:val="001917CB"/>
    <w:rsid w:val="001931CA"/>
    <w:rsid w:val="00193921"/>
    <w:rsid w:val="00193D1F"/>
    <w:rsid w:val="001947C4"/>
    <w:rsid w:val="00194EF6"/>
    <w:rsid w:val="00195AA4"/>
    <w:rsid w:val="001967F1"/>
    <w:rsid w:val="00197559"/>
    <w:rsid w:val="00197E8B"/>
    <w:rsid w:val="001A066E"/>
    <w:rsid w:val="001A0FD5"/>
    <w:rsid w:val="001A1005"/>
    <w:rsid w:val="001A1932"/>
    <w:rsid w:val="001A2AFE"/>
    <w:rsid w:val="001A3CCF"/>
    <w:rsid w:val="001A436E"/>
    <w:rsid w:val="001A4A2D"/>
    <w:rsid w:val="001A552B"/>
    <w:rsid w:val="001A5A92"/>
    <w:rsid w:val="001A6924"/>
    <w:rsid w:val="001A6B8A"/>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A14"/>
    <w:rsid w:val="001B7FE0"/>
    <w:rsid w:val="001C0373"/>
    <w:rsid w:val="001C1010"/>
    <w:rsid w:val="001C16FE"/>
    <w:rsid w:val="001C3221"/>
    <w:rsid w:val="001C39A9"/>
    <w:rsid w:val="001C3D72"/>
    <w:rsid w:val="001C5249"/>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0527"/>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41A"/>
    <w:rsid w:val="0020053E"/>
    <w:rsid w:val="00201866"/>
    <w:rsid w:val="00202C7E"/>
    <w:rsid w:val="00202F7F"/>
    <w:rsid w:val="00203176"/>
    <w:rsid w:val="00203FD9"/>
    <w:rsid w:val="00204CC9"/>
    <w:rsid w:val="00205598"/>
    <w:rsid w:val="00205F87"/>
    <w:rsid w:val="00207B81"/>
    <w:rsid w:val="00207B9E"/>
    <w:rsid w:val="0021000E"/>
    <w:rsid w:val="0021052B"/>
    <w:rsid w:val="0021083F"/>
    <w:rsid w:val="0021091B"/>
    <w:rsid w:val="00210EE5"/>
    <w:rsid w:val="00210F3C"/>
    <w:rsid w:val="00211872"/>
    <w:rsid w:val="0021235A"/>
    <w:rsid w:val="00212768"/>
    <w:rsid w:val="00212FCC"/>
    <w:rsid w:val="002131A1"/>
    <w:rsid w:val="0021407A"/>
    <w:rsid w:val="00214CB9"/>
    <w:rsid w:val="00214F80"/>
    <w:rsid w:val="0021515E"/>
    <w:rsid w:val="00215894"/>
    <w:rsid w:val="00215912"/>
    <w:rsid w:val="0021622F"/>
    <w:rsid w:val="0021635F"/>
    <w:rsid w:val="002166BB"/>
    <w:rsid w:val="002170BE"/>
    <w:rsid w:val="0021788B"/>
    <w:rsid w:val="0022053F"/>
    <w:rsid w:val="00220767"/>
    <w:rsid w:val="00220964"/>
    <w:rsid w:val="00220B86"/>
    <w:rsid w:val="00220DCD"/>
    <w:rsid w:val="00220FFE"/>
    <w:rsid w:val="0022154C"/>
    <w:rsid w:val="00221CC5"/>
    <w:rsid w:val="00221E4E"/>
    <w:rsid w:val="0022207C"/>
    <w:rsid w:val="00222371"/>
    <w:rsid w:val="00223158"/>
    <w:rsid w:val="00223479"/>
    <w:rsid w:val="0022370E"/>
    <w:rsid w:val="002248BB"/>
    <w:rsid w:val="0022528E"/>
    <w:rsid w:val="002252AE"/>
    <w:rsid w:val="0022535B"/>
    <w:rsid w:val="0022685D"/>
    <w:rsid w:val="00226ADB"/>
    <w:rsid w:val="00227C39"/>
    <w:rsid w:val="00227EB8"/>
    <w:rsid w:val="0023079A"/>
    <w:rsid w:val="00231E23"/>
    <w:rsid w:val="00232EF4"/>
    <w:rsid w:val="00233778"/>
    <w:rsid w:val="002349C4"/>
    <w:rsid w:val="00235987"/>
    <w:rsid w:val="002360D3"/>
    <w:rsid w:val="00236A14"/>
    <w:rsid w:val="002407C0"/>
    <w:rsid w:val="00240F1F"/>
    <w:rsid w:val="00241835"/>
    <w:rsid w:val="0024187E"/>
    <w:rsid w:val="002423E4"/>
    <w:rsid w:val="0024285B"/>
    <w:rsid w:val="00243A23"/>
    <w:rsid w:val="00244595"/>
    <w:rsid w:val="0024515A"/>
    <w:rsid w:val="002454C7"/>
    <w:rsid w:val="002457B4"/>
    <w:rsid w:val="002460B4"/>
    <w:rsid w:val="0025021D"/>
    <w:rsid w:val="00250B08"/>
    <w:rsid w:val="0025154D"/>
    <w:rsid w:val="00251C73"/>
    <w:rsid w:val="002529F9"/>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12B"/>
    <w:rsid w:val="002874A6"/>
    <w:rsid w:val="00287BC6"/>
    <w:rsid w:val="00291308"/>
    <w:rsid w:val="002919E0"/>
    <w:rsid w:val="0029240A"/>
    <w:rsid w:val="00294161"/>
    <w:rsid w:val="0029421D"/>
    <w:rsid w:val="002948CF"/>
    <w:rsid w:val="0029620C"/>
    <w:rsid w:val="002A096D"/>
    <w:rsid w:val="002A17B6"/>
    <w:rsid w:val="002A2D5B"/>
    <w:rsid w:val="002A2FF8"/>
    <w:rsid w:val="002A532E"/>
    <w:rsid w:val="002A5CE8"/>
    <w:rsid w:val="002A791F"/>
    <w:rsid w:val="002B0C26"/>
    <w:rsid w:val="002B1270"/>
    <w:rsid w:val="002B1300"/>
    <w:rsid w:val="002B1335"/>
    <w:rsid w:val="002B1C79"/>
    <w:rsid w:val="002B4672"/>
    <w:rsid w:val="002B52AD"/>
    <w:rsid w:val="002B5B64"/>
    <w:rsid w:val="002B5D61"/>
    <w:rsid w:val="002B62B2"/>
    <w:rsid w:val="002C1BD4"/>
    <w:rsid w:val="002C3413"/>
    <w:rsid w:val="002C34DB"/>
    <w:rsid w:val="002C3A32"/>
    <w:rsid w:val="002C3FB8"/>
    <w:rsid w:val="002C4286"/>
    <w:rsid w:val="002C43FB"/>
    <w:rsid w:val="002C576D"/>
    <w:rsid w:val="002C7531"/>
    <w:rsid w:val="002C799A"/>
    <w:rsid w:val="002D02BF"/>
    <w:rsid w:val="002D0922"/>
    <w:rsid w:val="002D09D8"/>
    <w:rsid w:val="002D0D97"/>
    <w:rsid w:val="002D0FFC"/>
    <w:rsid w:val="002D1274"/>
    <w:rsid w:val="002D12A3"/>
    <w:rsid w:val="002D13B2"/>
    <w:rsid w:val="002D2AB5"/>
    <w:rsid w:val="002D34F7"/>
    <w:rsid w:val="002D3B93"/>
    <w:rsid w:val="002D3E19"/>
    <w:rsid w:val="002D3F64"/>
    <w:rsid w:val="002D3FC8"/>
    <w:rsid w:val="002D41F4"/>
    <w:rsid w:val="002D49C1"/>
    <w:rsid w:val="002D4CE5"/>
    <w:rsid w:val="002D4DBE"/>
    <w:rsid w:val="002D572B"/>
    <w:rsid w:val="002D61AE"/>
    <w:rsid w:val="002D6E1E"/>
    <w:rsid w:val="002D6E28"/>
    <w:rsid w:val="002D7B66"/>
    <w:rsid w:val="002E0814"/>
    <w:rsid w:val="002E088D"/>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2F"/>
    <w:rsid w:val="002F49F1"/>
    <w:rsid w:val="002F56CA"/>
    <w:rsid w:val="002F5993"/>
    <w:rsid w:val="002F7FB2"/>
    <w:rsid w:val="003003A6"/>
    <w:rsid w:val="00300492"/>
    <w:rsid w:val="0030154F"/>
    <w:rsid w:val="0030213B"/>
    <w:rsid w:val="0030250D"/>
    <w:rsid w:val="003026DD"/>
    <w:rsid w:val="00303102"/>
    <w:rsid w:val="003038AC"/>
    <w:rsid w:val="003039C5"/>
    <w:rsid w:val="00303F21"/>
    <w:rsid w:val="003053DB"/>
    <w:rsid w:val="00305923"/>
    <w:rsid w:val="003068EE"/>
    <w:rsid w:val="003070A9"/>
    <w:rsid w:val="003075C5"/>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2D38"/>
    <w:rsid w:val="00333425"/>
    <w:rsid w:val="00333EEA"/>
    <w:rsid w:val="00334730"/>
    <w:rsid w:val="00334877"/>
    <w:rsid w:val="00334980"/>
    <w:rsid w:val="00334D2C"/>
    <w:rsid w:val="00334D61"/>
    <w:rsid w:val="00335E9C"/>
    <w:rsid w:val="00337500"/>
    <w:rsid w:val="00342F4A"/>
    <w:rsid w:val="00343A6B"/>
    <w:rsid w:val="00344650"/>
    <w:rsid w:val="00344E44"/>
    <w:rsid w:val="0034529B"/>
    <w:rsid w:val="0034628E"/>
    <w:rsid w:val="00346452"/>
    <w:rsid w:val="00350989"/>
    <w:rsid w:val="00350BC0"/>
    <w:rsid w:val="00350C11"/>
    <w:rsid w:val="0035148D"/>
    <w:rsid w:val="003518B2"/>
    <w:rsid w:val="00352028"/>
    <w:rsid w:val="00352219"/>
    <w:rsid w:val="003524F3"/>
    <w:rsid w:val="00352C4F"/>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893"/>
    <w:rsid w:val="00366EAD"/>
    <w:rsid w:val="00367367"/>
    <w:rsid w:val="003674C6"/>
    <w:rsid w:val="00370067"/>
    <w:rsid w:val="00370CDF"/>
    <w:rsid w:val="003721D1"/>
    <w:rsid w:val="003731EA"/>
    <w:rsid w:val="00373C9A"/>
    <w:rsid w:val="00374207"/>
    <w:rsid w:val="003744F1"/>
    <w:rsid w:val="003759E3"/>
    <w:rsid w:val="00375C8E"/>
    <w:rsid w:val="00376DD0"/>
    <w:rsid w:val="0038038C"/>
    <w:rsid w:val="00380B6F"/>
    <w:rsid w:val="00380D97"/>
    <w:rsid w:val="003821AA"/>
    <w:rsid w:val="00384283"/>
    <w:rsid w:val="00385277"/>
    <w:rsid w:val="00385401"/>
    <w:rsid w:val="003857F6"/>
    <w:rsid w:val="00385CBA"/>
    <w:rsid w:val="00386C8B"/>
    <w:rsid w:val="00387C4A"/>
    <w:rsid w:val="00391E35"/>
    <w:rsid w:val="00392AB5"/>
    <w:rsid w:val="003932EE"/>
    <w:rsid w:val="00393DC4"/>
    <w:rsid w:val="00393FB0"/>
    <w:rsid w:val="0039465C"/>
    <w:rsid w:val="00394E49"/>
    <w:rsid w:val="0039515F"/>
    <w:rsid w:val="00395D69"/>
    <w:rsid w:val="00396E0F"/>
    <w:rsid w:val="00396F86"/>
    <w:rsid w:val="003A0A75"/>
    <w:rsid w:val="003A0C25"/>
    <w:rsid w:val="003A1FC5"/>
    <w:rsid w:val="003A2B6A"/>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3601"/>
    <w:rsid w:val="003C4267"/>
    <w:rsid w:val="003C44E1"/>
    <w:rsid w:val="003C5585"/>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2962"/>
    <w:rsid w:val="003F2D1E"/>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039"/>
    <w:rsid w:val="00404929"/>
    <w:rsid w:val="00405B86"/>
    <w:rsid w:val="00405ED2"/>
    <w:rsid w:val="004061F0"/>
    <w:rsid w:val="0040656B"/>
    <w:rsid w:val="004065E3"/>
    <w:rsid w:val="00406BD8"/>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2DD5"/>
    <w:rsid w:val="00423869"/>
    <w:rsid w:val="004245AB"/>
    <w:rsid w:val="00424AA9"/>
    <w:rsid w:val="00425CFC"/>
    <w:rsid w:val="004261F4"/>
    <w:rsid w:val="00426A09"/>
    <w:rsid w:val="00427A57"/>
    <w:rsid w:val="00427CCA"/>
    <w:rsid w:val="00430081"/>
    <w:rsid w:val="00430A86"/>
    <w:rsid w:val="00431687"/>
    <w:rsid w:val="0043278B"/>
    <w:rsid w:val="0043300B"/>
    <w:rsid w:val="004337B5"/>
    <w:rsid w:val="00433CCC"/>
    <w:rsid w:val="004340EE"/>
    <w:rsid w:val="00434C2B"/>
    <w:rsid w:val="00435B88"/>
    <w:rsid w:val="00435F19"/>
    <w:rsid w:val="00436F07"/>
    <w:rsid w:val="00437959"/>
    <w:rsid w:val="00437CC5"/>
    <w:rsid w:val="004402C6"/>
    <w:rsid w:val="00440EB7"/>
    <w:rsid w:val="0044123F"/>
    <w:rsid w:val="00441C86"/>
    <w:rsid w:val="00442CEA"/>
    <w:rsid w:val="00443372"/>
    <w:rsid w:val="004436EC"/>
    <w:rsid w:val="0044434F"/>
    <w:rsid w:val="00444561"/>
    <w:rsid w:val="00444B78"/>
    <w:rsid w:val="00444F5E"/>
    <w:rsid w:val="00445186"/>
    <w:rsid w:val="00445FD3"/>
    <w:rsid w:val="00446634"/>
    <w:rsid w:val="00446644"/>
    <w:rsid w:val="00446BF5"/>
    <w:rsid w:val="00450309"/>
    <w:rsid w:val="004511AF"/>
    <w:rsid w:val="0045193A"/>
    <w:rsid w:val="00452CA2"/>
    <w:rsid w:val="00452CBF"/>
    <w:rsid w:val="004555C8"/>
    <w:rsid w:val="00456823"/>
    <w:rsid w:val="004569E1"/>
    <w:rsid w:val="00457742"/>
    <w:rsid w:val="00457F89"/>
    <w:rsid w:val="00460CF6"/>
    <w:rsid w:val="00461725"/>
    <w:rsid w:val="00462A53"/>
    <w:rsid w:val="00462EA7"/>
    <w:rsid w:val="00463979"/>
    <w:rsid w:val="00463FEF"/>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0F75"/>
    <w:rsid w:val="00480F92"/>
    <w:rsid w:val="0048107B"/>
    <w:rsid w:val="00481606"/>
    <w:rsid w:val="004819DB"/>
    <w:rsid w:val="00482DCD"/>
    <w:rsid w:val="00482FDC"/>
    <w:rsid w:val="00483622"/>
    <w:rsid w:val="00483B81"/>
    <w:rsid w:val="00483F38"/>
    <w:rsid w:val="00484176"/>
    <w:rsid w:val="00484306"/>
    <w:rsid w:val="00484546"/>
    <w:rsid w:val="004847FC"/>
    <w:rsid w:val="00484F51"/>
    <w:rsid w:val="00485EE7"/>
    <w:rsid w:val="0049057C"/>
    <w:rsid w:val="004926FD"/>
    <w:rsid w:val="00492ACD"/>
    <w:rsid w:val="00492B65"/>
    <w:rsid w:val="004942A4"/>
    <w:rsid w:val="004958FB"/>
    <w:rsid w:val="00495AD5"/>
    <w:rsid w:val="00497983"/>
    <w:rsid w:val="00497E89"/>
    <w:rsid w:val="004A0BCB"/>
    <w:rsid w:val="004A181D"/>
    <w:rsid w:val="004A2D58"/>
    <w:rsid w:val="004A2F5A"/>
    <w:rsid w:val="004A42CF"/>
    <w:rsid w:val="004A42D7"/>
    <w:rsid w:val="004A4E0C"/>
    <w:rsid w:val="004A607A"/>
    <w:rsid w:val="004A61EC"/>
    <w:rsid w:val="004A68CF"/>
    <w:rsid w:val="004A7A79"/>
    <w:rsid w:val="004A7B30"/>
    <w:rsid w:val="004B01B0"/>
    <w:rsid w:val="004B15D6"/>
    <w:rsid w:val="004B19A8"/>
    <w:rsid w:val="004B2E87"/>
    <w:rsid w:val="004B3943"/>
    <w:rsid w:val="004B3A9C"/>
    <w:rsid w:val="004B4B12"/>
    <w:rsid w:val="004B4DB9"/>
    <w:rsid w:val="004B540A"/>
    <w:rsid w:val="004B57B9"/>
    <w:rsid w:val="004B6213"/>
    <w:rsid w:val="004B65B0"/>
    <w:rsid w:val="004B7206"/>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A8B"/>
    <w:rsid w:val="004D3CBB"/>
    <w:rsid w:val="004D4236"/>
    <w:rsid w:val="004D4B33"/>
    <w:rsid w:val="004D50DB"/>
    <w:rsid w:val="004D586C"/>
    <w:rsid w:val="004D6919"/>
    <w:rsid w:val="004D6F49"/>
    <w:rsid w:val="004E0206"/>
    <w:rsid w:val="004E04F2"/>
    <w:rsid w:val="004E114E"/>
    <w:rsid w:val="004E1B37"/>
    <w:rsid w:val="004E1F6B"/>
    <w:rsid w:val="004E344B"/>
    <w:rsid w:val="004E41C2"/>
    <w:rsid w:val="004E430C"/>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C8C"/>
    <w:rsid w:val="004F7DA6"/>
    <w:rsid w:val="00503337"/>
    <w:rsid w:val="005035AA"/>
    <w:rsid w:val="00503C0D"/>
    <w:rsid w:val="00503CF3"/>
    <w:rsid w:val="00504213"/>
    <w:rsid w:val="00504749"/>
    <w:rsid w:val="00504AF5"/>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C9B"/>
    <w:rsid w:val="005218B7"/>
    <w:rsid w:val="005221CD"/>
    <w:rsid w:val="00522CBD"/>
    <w:rsid w:val="00522EAB"/>
    <w:rsid w:val="00523A02"/>
    <w:rsid w:val="00524D62"/>
    <w:rsid w:val="00524FE3"/>
    <w:rsid w:val="005257E6"/>
    <w:rsid w:val="005267E4"/>
    <w:rsid w:val="005277C8"/>
    <w:rsid w:val="00527A74"/>
    <w:rsid w:val="0053122D"/>
    <w:rsid w:val="00531548"/>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6AA"/>
    <w:rsid w:val="00542A8C"/>
    <w:rsid w:val="00543521"/>
    <w:rsid w:val="005435E9"/>
    <w:rsid w:val="005438C9"/>
    <w:rsid w:val="005441EA"/>
    <w:rsid w:val="00544996"/>
    <w:rsid w:val="005456DE"/>
    <w:rsid w:val="00546753"/>
    <w:rsid w:val="00546E33"/>
    <w:rsid w:val="00547B3E"/>
    <w:rsid w:val="00547FBB"/>
    <w:rsid w:val="00550573"/>
    <w:rsid w:val="00550EAD"/>
    <w:rsid w:val="00551F63"/>
    <w:rsid w:val="00553340"/>
    <w:rsid w:val="00553E8B"/>
    <w:rsid w:val="005547EC"/>
    <w:rsid w:val="00554D55"/>
    <w:rsid w:val="0055573F"/>
    <w:rsid w:val="005563C1"/>
    <w:rsid w:val="00556599"/>
    <w:rsid w:val="0055677A"/>
    <w:rsid w:val="005570D5"/>
    <w:rsid w:val="005577D8"/>
    <w:rsid w:val="0055785E"/>
    <w:rsid w:val="00561BE3"/>
    <w:rsid w:val="00561C88"/>
    <w:rsid w:val="00562595"/>
    <w:rsid w:val="00562AEB"/>
    <w:rsid w:val="00562FD4"/>
    <w:rsid w:val="00563753"/>
    <w:rsid w:val="00564127"/>
    <w:rsid w:val="005646DB"/>
    <w:rsid w:val="0056567F"/>
    <w:rsid w:val="0056614F"/>
    <w:rsid w:val="005663CD"/>
    <w:rsid w:val="00566A91"/>
    <w:rsid w:val="005673D2"/>
    <w:rsid w:val="005677E2"/>
    <w:rsid w:val="005678E7"/>
    <w:rsid w:val="00571156"/>
    <w:rsid w:val="0057176D"/>
    <w:rsid w:val="00571CDA"/>
    <w:rsid w:val="00572288"/>
    <w:rsid w:val="005734E0"/>
    <w:rsid w:val="0057410C"/>
    <w:rsid w:val="005761C9"/>
    <w:rsid w:val="00576EBD"/>
    <w:rsid w:val="0057762D"/>
    <w:rsid w:val="005779EF"/>
    <w:rsid w:val="00580379"/>
    <w:rsid w:val="00580398"/>
    <w:rsid w:val="00580712"/>
    <w:rsid w:val="00580FC0"/>
    <w:rsid w:val="00581397"/>
    <w:rsid w:val="00581799"/>
    <w:rsid w:val="00581F1C"/>
    <w:rsid w:val="00582964"/>
    <w:rsid w:val="005847B6"/>
    <w:rsid w:val="005851AE"/>
    <w:rsid w:val="005855D1"/>
    <w:rsid w:val="0058560A"/>
    <w:rsid w:val="00585CDF"/>
    <w:rsid w:val="00585EB2"/>
    <w:rsid w:val="0058645E"/>
    <w:rsid w:val="0058666F"/>
    <w:rsid w:val="00586B3B"/>
    <w:rsid w:val="0058798D"/>
    <w:rsid w:val="00587EC0"/>
    <w:rsid w:val="0059020A"/>
    <w:rsid w:val="00591467"/>
    <w:rsid w:val="00591881"/>
    <w:rsid w:val="0059298A"/>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1134"/>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41A8"/>
    <w:rsid w:val="005C44C9"/>
    <w:rsid w:val="005C5345"/>
    <w:rsid w:val="005C5FB8"/>
    <w:rsid w:val="005C65C3"/>
    <w:rsid w:val="005C66C5"/>
    <w:rsid w:val="005C789B"/>
    <w:rsid w:val="005C7962"/>
    <w:rsid w:val="005D0757"/>
    <w:rsid w:val="005D09F7"/>
    <w:rsid w:val="005D0C2C"/>
    <w:rsid w:val="005D0DB8"/>
    <w:rsid w:val="005D17BE"/>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5F7D81"/>
    <w:rsid w:val="00600996"/>
    <w:rsid w:val="00600C92"/>
    <w:rsid w:val="00601236"/>
    <w:rsid w:val="006028ED"/>
    <w:rsid w:val="0060336E"/>
    <w:rsid w:val="006033D0"/>
    <w:rsid w:val="00603EE6"/>
    <w:rsid w:val="00603FBA"/>
    <w:rsid w:val="0060466C"/>
    <w:rsid w:val="00604701"/>
    <w:rsid w:val="00605409"/>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0E8A"/>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0ABD"/>
    <w:rsid w:val="00641AAA"/>
    <w:rsid w:val="006428AF"/>
    <w:rsid w:val="006433A3"/>
    <w:rsid w:val="006433E7"/>
    <w:rsid w:val="00643598"/>
    <w:rsid w:val="00643978"/>
    <w:rsid w:val="00643D41"/>
    <w:rsid w:val="00644410"/>
    <w:rsid w:val="00644652"/>
    <w:rsid w:val="00644E53"/>
    <w:rsid w:val="0064610A"/>
    <w:rsid w:val="00647A95"/>
    <w:rsid w:val="00647C93"/>
    <w:rsid w:val="00650B28"/>
    <w:rsid w:val="00651457"/>
    <w:rsid w:val="00651C24"/>
    <w:rsid w:val="00651CDD"/>
    <w:rsid w:val="006527A5"/>
    <w:rsid w:val="0065329D"/>
    <w:rsid w:val="00653A42"/>
    <w:rsid w:val="00653A4E"/>
    <w:rsid w:val="00653B3A"/>
    <w:rsid w:val="00653F42"/>
    <w:rsid w:val="0065538C"/>
    <w:rsid w:val="00655DB3"/>
    <w:rsid w:val="006568B1"/>
    <w:rsid w:val="00656BB0"/>
    <w:rsid w:val="00656CE7"/>
    <w:rsid w:val="00657442"/>
    <w:rsid w:val="006601E9"/>
    <w:rsid w:val="00660446"/>
    <w:rsid w:val="00660848"/>
    <w:rsid w:val="00661827"/>
    <w:rsid w:val="00661859"/>
    <w:rsid w:val="00661A1A"/>
    <w:rsid w:val="00662123"/>
    <w:rsid w:val="00662B63"/>
    <w:rsid w:val="006630F1"/>
    <w:rsid w:val="00663F46"/>
    <w:rsid w:val="00664A3F"/>
    <w:rsid w:val="00664F35"/>
    <w:rsid w:val="0066500E"/>
    <w:rsid w:val="00665391"/>
    <w:rsid w:val="00665564"/>
    <w:rsid w:val="00665DE7"/>
    <w:rsid w:val="00667022"/>
    <w:rsid w:val="006707CB"/>
    <w:rsid w:val="0067155F"/>
    <w:rsid w:val="00672846"/>
    <w:rsid w:val="006729DB"/>
    <w:rsid w:val="00672EF9"/>
    <w:rsid w:val="00673672"/>
    <w:rsid w:val="00673E24"/>
    <w:rsid w:val="0067498C"/>
    <w:rsid w:val="00675D84"/>
    <w:rsid w:val="00676465"/>
    <w:rsid w:val="006764B4"/>
    <w:rsid w:val="00676597"/>
    <w:rsid w:val="0067752E"/>
    <w:rsid w:val="006802A5"/>
    <w:rsid w:val="0068043D"/>
    <w:rsid w:val="00680488"/>
    <w:rsid w:val="00681121"/>
    <w:rsid w:val="0068154E"/>
    <w:rsid w:val="0068179E"/>
    <w:rsid w:val="00681FA6"/>
    <w:rsid w:val="0068229A"/>
    <w:rsid w:val="00683996"/>
    <w:rsid w:val="00683A7D"/>
    <w:rsid w:val="00684C2F"/>
    <w:rsid w:val="006861E4"/>
    <w:rsid w:val="006863CB"/>
    <w:rsid w:val="00686717"/>
    <w:rsid w:val="00686A27"/>
    <w:rsid w:val="00686F2B"/>
    <w:rsid w:val="00687A94"/>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5C0B"/>
    <w:rsid w:val="006A64B1"/>
    <w:rsid w:val="006A7BF4"/>
    <w:rsid w:val="006A7D32"/>
    <w:rsid w:val="006B0A19"/>
    <w:rsid w:val="006B31F3"/>
    <w:rsid w:val="006B3CD4"/>
    <w:rsid w:val="006B3D25"/>
    <w:rsid w:val="006B3E30"/>
    <w:rsid w:val="006B3E5E"/>
    <w:rsid w:val="006B685B"/>
    <w:rsid w:val="006B6F1C"/>
    <w:rsid w:val="006B724D"/>
    <w:rsid w:val="006C0CEA"/>
    <w:rsid w:val="006C158C"/>
    <w:rsid w:val="006C18DA"/>
    <w:rsid w:val="006C1D38"/>
    <w:rsid w:val="006C201B"/>
    <w:rsid w:val="006C39DF"/>
    <w:rsid w:val="006C3A50"/>
    <w:rsid w:val="006C51D2"/>
    <w:rsid w:val="006C58F9"/>
    <w:rsid w:val="006C62C3"/>
    <w:rsid w:val="006C6574"/>
    <w:rsid w:val="006C6FA5"/>
    <w:rsid w:val="006D2386"/>
    <w:rsid w:val="006D2689"/>
    <w:rsid w:val="006D2B2A"/>
    <w:rsid w:val="006D35B6"/>
    <w:rsid w:val="006D4B69"/>
    <w:rsid w:val="006D4D77"/>
    <w:rsid w:val="006D4F94"/>
    <w:rsid w:val="006D50B0"/>
    <w:rsid w:val="006D50C1"/>
    <w:rsid w:val="006D52A0"/>
    <w:rsid w:val="006D5BD3"/>
    <w:rsid w:val="006D6473"/>
    <w:rsid w:val="006D682A"/>
    <w:rsid w:val="006E0EA6"/>
    <w:rsid w:val="006E2451"/>
    <w:rsid w:val="006E27B5"/>
    <w:rsid w:val="006E3755"/>
    <w:rsid w:val="006E3AE5"/>
    <w:rsid w:val="006E3DDF"/>
    <w:rsid w:val="006E4D95"/>
    <w:rsid w:val="006E568F"/>
    <w:rsid w:val="006E5D06"/>
    <w:rsid w:val="006E6842"/>
    <w:rsid w:val="006E7C6F"/>
    <w:rsid w:val="006F1320"/>
    <w:rsid w:val="006F1F9A"/>
    <w:rsid w:val="006F3322"/>
    <w:rsid w:val="006F4C0F"/>
    <w:rsid w:val="006F5304"/>
    <w:rsid w:val="006F55C6"/>
    <w:rsid w:val="006F5B53"/>
    <w:rsid w:val="006F6F1D"/>
    <w:rsid w:val="006F7BB2"/>
    <w:rsid w:val="00700734"/>
    <w:rsid w:val="0070183A"/>
    <w:rsid w:val="00701A2A"/>
    <w:rsid w:val="00701D60"/>
    <w:rsid w:val="00702964"/>
    <w:rsid w:val="007030FF"/>
    <w:rsid w:val="0070397C"/>
    <w:rsid w:val="00705540"/>
    <w:rsid w:val="00705CBB"/>
    <w:rsid w:val="00706B6E"/>
    <w:rsid w:val="00710221"/>
    <w:rsid w:val="00710228"/>
    <w:rsid w:val="00711085"/>
    <w:rsid w:val="0071161B"/>
    <w:rsid w:val="00712034"/>
    <w:rsid w:val="00713297"/>
    <w:rsid w:val="00713AAE"/>
    <w:rsid w:val="00716413"/>
    <w:rsid w:val="007168AA"/>
    <w:rsid w:val="00716F5D"/>
    <w:rsid w:val="007170AB"/>
    <w:rsid w:val="007174A1"/>
    <w:rsid w:val="007176D1"/>
    <w:rsid w:val="007211FB"/>
    <w:rsid w:val="00721283"/>
    <w:rsid w:val="0072225A"/>
    <w:rsid w:val="007223DB"/>
    <w:rsid w:val="00722778"/>
    <w:rsid w:val="007229DB"/>
    <w:rsid w:val="00724BED"/>
    <w:rsid w:val="00725BA4"/>
    <w:rsid w:val="00725D0E"/>
    <w:rsid w:val="00726244"/>
    <w:rsid w:val="007262AE"/>
    <w:rsid w:val="00726457"/>
    <w:rsid w:val="00727124"/>
    <w:rsid w:val="007300FC"/>
    <w:rsid w:val="00730630"/>
    <w:rsid w:val="00730CEC"/>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62CF"/>
    <w:rsid w:val="0074694B"/>
    <w:rsid w:val="00746A46"/>
    <w:rsid w:val="0074720F"/>
    <w:rsid w:val="00747599"/>
    <w:rsid w:val="00747D00"/>
    <w:rsid w:val="0075060B"/>
    <w:rsid w:val="00750672"/>
    <w:rsid w:val="007508A4"/>
    <w:rsid w:val="0075174C"/>
    <w:rsid w:val="00751AF3"/>
    <w:rsid w:val="0075275F"/>
    <w:rsid w:val="0075281D"/>
    <w:rsid w:val="00752A25"/>
    <w:rsid w:val="007538AE"/>
    <w:rsid w:val="007538F7"/>
    <w:rsid w:val="00753B68"/>
    <w:rsid w:val="0075486D"/>
    <w:rsid w:val="00754936"/>
    <w:rsid w:val="00754FC3"/>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58D8"/>
    <w:rsid w:val="00766D00"/>
    <w:rsid w:val="0076748B"/>
    <w:rsid w:val="00767D3E"/>
    <w:rsid w:val="00771743"/>
    <w:rsid w:val="00771DA4"/>
    <w:rsid w:val="00772073"/>
    <w:rsid w:val="007723B1"/>
    <w:rsid w:val="0077353F"/>
    <w:rsid w:val="007735C9"/>
    <w:rsid w:val="007746E9"/>
    <w:rsid w:val="00775327"/>
    <w:rsid w:val="00775BEB"/>
    <w:rsid w:val="00775D13"/>
    <w:rsid w:val="0077777D"/>
    <w:rsid w:val="007778F6"/>
    <w:rsid w:val="00777B8C"/>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1A31"/>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1FC7"/>
    <w:rsid w:val="007B2B17"/>
    <w:rsid w:val="007B311F"/>
    <w:rsid w:val="007B3540"/>
    <w:rsid w:val="007B39EE"/>
    <w:rsid w:val="007B698B"/>
    <w:rsid w:val="007B7F81"/>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563"/>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480"/>
    <w:rsid w:val="00803857"/>
    <w:rsid w:val="008038F6"/>
    <w:rsid w:val="00803EBA"/>
    <w:rsid w:val="00804003"/>
    <w:rsid w:val="00804B57"/>
    <w:rsid w:val="00805889"/>
    <w:rsid w:val="00805E37"/>
    <w:rsid w:val="00805F84"/>
    <w:rsid w:val="008065A1"/>
    <w:rsid w:val="008071AB"/>
    <w:rsid w:val="008100A4"/>
    <w:rsid w:val="0081075E"/>
    <w:rsid w:val="00811106"/>
    <w:rsid w:val="00811591"/>
    <w:rsid w:val="00811836"/>
    <w:rsid w:val="008121C2"/>
    <w:rsid w:val="0081479B"/>
    <w:rsid w:val="00817F91"/>
    <w:rsid w:val="00817FCD"/>
    <w:rsid w:val="0082101E"/>
    <w:rsid w:val="00821A39"/>
    <w:rsid w:val="00821CBC"/>
    <w:rsid w:val="008224FD"/>
    <w:rsid w:val="00822A00"/>
    <w:rsid w:val="0082327C"/>
    <w:rsid w:val="008246D9"/>
    <w:rsid w:val="00824767"/>
    <w:rsid w:val="008249CD"/>
    <w:rsid w:val="008255D2"/>
    <w:rsid w:val="00825892"/>
    <w:rsid w:val="00825D3C"/>
    <w:rsid w:val="00825D91"/>
    <w:rsid w:val="00826639"/>
    <w:rsid w:val="008269E2"/>
    <w:rsid w:val="00827321"/>
    <w:rsid w:val="008275F9"/>
    <w:rsid w:val="0082798C"/>
    <w:rsid w:val="00827AD8"/>
    <w:rsid w:val="00830B21"/>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180"/>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22C9"/>
    <w:rsid w:val="008534CA"/>
    <w:rsid w:val="008542D8"/>
    <w:rsid w:val="008543CA"/>
    <w:rsid w:val="00854454"/>
    <w:rsid w:val="008555C1"/>
    <w:rsid w:val="00857E28"/>
    <w:rsid w:val="00860221"/>
    <w:rsid w:val="008603D2"/>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519"/>
    <w:rsid w:val="00885F80"/>
    <w:rsid w:val="0088692B"/>
    <w:rsid w:val="00887138"/>
    <w:rsid w:val="008871C3"/>
    <w:rsid w:val="0088727F"/>
    <w:rsid w:val="008874C2"/>
    <w:rsid w:val="00890160"/>
    <w:rsid w:val="00890189"/>
    <w:rsid w:val="008901D4"/>
    <w:rsid w:val="008902B0"/>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0A96"/>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5BA"/>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3E75"/>
    <w:rsid w:val="008D43AD"/>
    <w:rsid w:val="008D460C"/>
    <w:rsid w:val="008D4BAD"/>
    <w:rsid w:val="008D63F3"/>
    <w:rsid w:val="008D7C89"/>
    <w:rsid w:val="008E014C"/>
    <w:rsid w:val="008E0439"/>
    <w:rsid w:val="008E1502"/>
    <w:rsid w:val="008E1BF0"/>
    <w:rsid w:val="008E1FB9"/>
    <w:rsid w:val="008E44B6"/>
    <w:rsid w:val="008E47AD"/>
    <w:rsid w:val="008E4F39"/>
    <w:rsid w:val="008E4F50"/>
    <w:rsid w:val="008E56C7"/>
    <w:rsid w:val="008E7018"/>
    <w:rsid w:val="008E7919"/>
    <w:rsid w:val="008F119B"/>
    <w:rsid w:val="008F240A"/>
    <w:rsid w:val="008F2C85"/>
    <w:rsid w:val="008F43F2"/>
    <w:rsid w:val="008F4985"/>
    <w:rsid w:val="008F532A"/>
    <w:rsid w:val="008F53C5"/>
    <w:rsid w:val="008F5EC0"/>
    <w:rsid w:val="008F67AC"/>
    <w:rsid w:val="008F6A56"/>
    <w:rsid w:val="009002AA"/>
    <w:rsid w:val="009002DD"/>
    <w:rsid w:val="00901A80"/>
    <w:rsid w:val="00902398"/>
    <w:rsid w:val="00902C01"/>
    <w:rsid w:val="00903047"/>
    <w:rsid w:val="009033B7"/>
    <w:rsid w:val="00903678"/>
    <w:rsid w:val="00904701"/>
    <w:rsid w:val="00904D31"/>
    <w:rsid w:val="0090657E"/>
    <w:rsid w:val="00906DDC"/>
    <w:rsid w:val="009073C4"/>
    <w:rsid w:val="00907C4B"/>
    <w:rsid w:val="009102AF"/>
    <w:rsid w:val="00910640"/>
    <w:rsid w:val="00911442"/>
    <w:rsid w:val="00911FA3"/>
    <w:rsid w:val="00912025"/>
    <w:rsid w:val="0091321E"/>
    <w:rsid w:val="009134A8"/>
    <w:rsid w:val="00913F57"/>
    <w:rsid w:val="00916AD9"/>
    <w:rsid w:val="00916F72"/>
    <w:rsid w:val="00917852"/>
    <w:rsid w:val="00917971"/>
    <w:rsid w:val="009202D3"/>
    <w:rsid w:val="00920A0E"/>
    <w:rsid w:val="0092133E"/>
    <w:rsid w:val="00921914"/>
    <w:rsid w:val="00922393"/>
    <w:rsid w:val="00922438"/>
    <w:rsid w:val="00923DC3"/>
    <w:rsid w:val="00923F75"/>
    <w:rsid w:val="00924964"/>
    <w:rsid w:val="00924E89"/>
    <w:rsid w:val="00925253"/>
    <w:rsid w:val="00925776"/>
    <w:rsid w:val="009257D8"/>
    <w:rsid w:val="00925FEC"/>
    <w:rsid w:val="009260D2"/>
    <w:rsid w:val="00927257"/>
    <w:rsid w:val="00927478"/>
    <w:rsid w:val="00927B11"/>
    <w:rsid w:val="00927F71"/>
    <w:rsid w:val="0093030B"/>
    <w:rsid w:val="00930BCC"/>
    <w:rsid w:val="009315CC"/>
    <w:rsid w:val="00931967"/>
    <w:rsid w:val="0093204A"/>
    <w:rsid w:val="00932DC8"/>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0B3F"/>
    <w:rsid w:val="00961E58"/>
    <w:rsid w:val="00962A6C"/>
    <w:rsid w:val="00962D35"/>
    <w:rsid w:val="009638CA"/>
    <w:rsid w:val="009655F6"/>
    <w:rsid w:val="00966A44"/>
    <w:rsid w:val="00966C02"/>
    <w:rsid w:val="00967520"/>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78C"/>
    <w:rsid w:val="00985DB8"/>
    <w:rsid w:val="00986757"/>
    <w:rsid w:val="009872E6"/>
    <w:rsid w:val="009874CA"/>
    <w:rsid w:val="009903F3"/>
    <w:rsid w:val="0099297F"/>
    <w:rsid w:val="00992F3A"/>
    <w:rsid w:val="0099346F"/>
    <w:rsid w:val="00994522"/>
    <w:rsid w:val="00994874"/>
    <w:rsid w:val="009953C4"/>
    <w:rsid w:val="009953EF"/>
    <w:rsid w:val="009A0039"/>
    <w:rsid w:val="009A0851"/>
    <w:rsid w:val="009A1F76"/>
    <w:rsid w:val="009A22BB"/>
    <w:rsid w:val="009A2840"/>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555D"/>
    <w:rsid w:val="009B60AC"/>
    <w:rsid w:val="009C02E4"/>
    <w:rsid w:val="009C09DE"/>
    <w:rsid w:val="009C0C1A"/>
    <w:rsid w:val="009C16A4"/>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A3B"/>
    <w:rsid w:val="009E0E06"/>
    <w:rsid w:val="009E1A68"/>
    <w:rsid w:val="009E37B2"/>
    <w:rsid w:val="009E3BFA"/>
    <w:rsid w:val="009E3EDC"/>
    <w:rsid w:val="009E5521"/>
    <w:rsid w:val="009E55C1"/>
    <w:rsid w:val="009E5FAE"/>
    <w:rsid w:val="009E61E5"/>
    <w:rsid w:val="009E67D1"/>
    <w:rsid w:val="009E68EC"/>
    <w:rsid w:val="009E75AB"/>
    <w:rsid w:val="009F1B73"/>
    <w:rsid w:val="009F1C97"/>
    <w:rsid w:val="009F1DB5"/>
    <w:rsid w:val="009F43CB"/>
    <w:rsid w:val="009F5836"/>
    <w:rsid w:val="009F701A"/>
    <w:rsid w:val="00A03231"/>
    <w:rsid w:val="00A03746"/>
    <w:rsid w:val="00A03ED8"/>
    <w:rsid w:val="00A04BA7"/>
    <w:rsid w:val="00A04FD8"/>
    <w:rsid w:val="00A05E42"/>
    <w:rsid w:val="00A06A27"/>
    <w:rsid w:val="00A06DCE"/>
    <w:rsid w:val="00A07C33"/>
    <w:rsid w:val="00A10BA3"/>
    <w:rsid w:val="00A114A4"/>
    <w:rsid w:val="00A11C53"/>
    <w:rsid w:val="00A12A9B"/>
    <w:rsid w:val="00A12FD5"/>
    <w:rsid w:val="00A13649"/>
    <w:rsid w:val="00A15490"/>
    <w:rsid w:val="00A1553D"/>
    <w:rsid w:val="00A158EF"/>
    <w:rsid w:val="00A17EDB"/>
    <w:rsid w:val="00A20945"/>
    <w:rsid w:val="00A20D56"/>
    <w:rsid w:val="00A210A2"/>
    <w:rsid w:val="00A216A5"/>
    <w:rsid w:val="00A2188B"/>
    <w:rsid w:val="00A22267"/>
    <w:rsid w:val="00A22427"/>
    <w:rsid w:val="00A224DD"/>
    <w:rsid w:val="00A23088"/>
    <w:rsid w:val="00A23723"/>
    <w:rsid w:val="00A23FA8"/>
    <w:rsid w:val="00A24ED5"/>
    <w:rsid w:val="00A2701B"/>
    <w:rsid w:val="00A27C85"/>
    <w:rsid w:val="00A30DB9"/>
    <w:rsid w:val="00A30F0E"/>
    <w:rsid w:val="00A3298C"/>
    <w:rsid w:val="00A3335E"/>
    <w:rsid w:val="00A33E67"/>
    <w:rsid w:val="00A35919"/>
    <w:rsid w:val="00A36999"/>
    <w:rsid w:val="00A36AC5"/>
    <w:rsid w:val="00A36B2D"/>
    <w:rsid w:val="00A36CB0"/>
    <w:rsid w:val="00A36EF5"/>
    <w:rsid w:val="00A404A0"/>
    <w:rsid w:val="00A407CC"/>
    <w:rsid w:val="00A418D1"/>
    <w:rsid w:val="00A42159"/>
    <w:rsid w:val="00A42927"/>
    <w:rsid w:val="00A42A7D"/>
    <w:rsid w:val="00A43852"/>
    <w:rsid w:val="00A43CF6"/>
    <w:rsid w:val="00A449FF"/>
    <w:rsid w:val="00A44C55"/>
    <w:rsid w:val="00A4510F"/>
    <w:rsid w:val="00A455D8"/>
    <w:rsid w:val="00A457E9"/>
    <w:rsid w:val="00A45DE9"/>
    <w:rsid w:val="00A50CDD"/>
    <w:rsid w:val="00A50D4B"/>
    <w:rsid w:val="00A51868"/>
    <w:rsid w:val="00A5209D"/>
    <w:rsid w:val="00A52678"/>
    <w:rsid w:val="00A52C93"/>
    <w:rsid w:val="00A53AFD"/>
    <w:rsid w:val="00A54339"/>
    <w:rsid w:val="00A56748"/>
    <w:rsid w:val="00A573A7"/>
    <w:rsid w:val="00A57A37"/>
    <w:rsid w:val="00A60713"/>
    <w:rsid w:val="00A60DD0"/>
    <w:rsid w:val="00A61042"/>
    <w:rsid w:val="00A61F66"/>
    <w:rsid w:val="00A6208B"/>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20"/>
    <w:rsid w:val="00A90DAB"/>
    <w:rsid w:val="00A914EE"/>
    <w:rsid w:val="00A91996"/>
    <w:rsid w:val="00A92059"/>
    <w:rsid w:val="00A92552"/>
    <w:rsid w:val="00A933B3"/>
    <w:rsid w:val="00A933B9"/>
    <w:rsid w:val="00A93859"/>
    <w:rsid w:val="00A93988"/>
    <w:rsid w:val="00A93EEC"/>
    <w:rsid w:val="00A93FC0"/>
    <w:rsid w:val="00A944C8"/>
    <w:rsid w:val="00A949A7"/>
    <w:rsid w:val="00A95E1A"/>
    <w:rsid w:val="00A961F1"/>
    <w:rsid w:val="00A97031"/>
    <w:rsid w:val="00A97A96"/>
    <w:rsid w:val="00AA1105"/>
    <w:rsid w:val="00AA1AFD"/>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04B9"/>
    <w:rsid w:val="00AC13D5"/>
    <w:rsid w:val="00AC157C"/>
    <w:rsid w:val="00AC16B9"/>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1F8E"/>
    <w:rsid w:val="00AD2116"/>
    <w:rsid w:val="00AD3BF2"/>
    <w:rsid w:val="00AD53E8"/>
    <w:rsid w:val="00AD663E"/>
    <w:rsid w:val="00AD6987"/>
    <w:rsid w:val="00AD6C3D"/>
    <w:rsid w:val="00AD6EC6"/>
    <w:rsid w:val="00AD6FF8"/>
    <w:rsid w:val="00AD72BB"/>
    <w:rsid w:val="00AE03CB"/>
    <w:rsid w:val="00AE0F9D"/>
    <w:rsid w:val="00AE1A02"/>
    <w:rsid w:val="00AE2374"/>
    <w:rsid w:val="00AE2388"/>
    <w:rsid w:val="00AE260C"/>
    <w:rsid w:val="00AE2759"/>
    <w:rsid w:val="00AE2FD9"/>
    <w:rsid w:val="00AE3064"/>
    <w:rsid w:val="00AE3873"/>
    <w:rsid w:val="00AE387B"/>
    <w:rsid w:val="00AE3CE2"/>
    <w:rsid w:val="00AE3D9E"/>
    <w:rsid w:val="00AE44AC"/>
    <w:rsid w:val="00AE69EC"/>
    <w:rsid w:val="00AE6C84"/>
    <w:rsid w:val="00AE726A"/>
    <w:rsid w:val="00AE78C4"/>
    <w:rsid w:val="00AE78E4"/>
    <w:rsid w:val="00AF29CE"/>
    <w:rsid w:val="00AF2DE8"/>
    <w:rsid w:val="00AF2F1B"/>
    <w:rsid w:val="00AF31C1"/>
    <w:rsid w:val="00AF3637"/>
    <w:rsid w:val="00AF36BB"/>
    <w:rsid w:val="00AF372B"/>
    <w:rsid w:val="00AF4169"/>
    <w:rsid w:val="00AF5017"/>
    <w:rsid w:val="00AF5205"/>
    <w:rsid w:val="00AF538B"/>
    <w:rsid w:val="00AF770E"/>
    <w:rsid w:val="00B0116B"/>
    <w:rsid w:val="00B014FE"/>
    <w:rsid w:val="00B023CE"/>
    <w:rsid w:val="00B028F7"/>
    <w:rsid w:val="00B02E57"/>
    <w:rsid w:val="00B031A0"/>
    <w:rsid w:val="00B03793"/>
    <w:rsid w:val="00B03D2E"/>
    <w:rsid w:val="00B03EE8"/>
    <w:rsid w:val="00B03FAA"/>
    <w:rsid w:val="00B042F2"/>
    <w:rsid w:val="00B04796"/>
    <w:rsid w:val="00B06FA9"/>
    <w:rsid w:val="00B06FF4"/>
    <w:rsid w:val="00B071D2"/>
    <w:rsid w:val="00B0740A"/>
    <w:rsid w:val="00B106AE"/>
    <w:rsid w:val="00B111A3"/>
    <w:rsid w:val="00B118CB"/>
    <w:rsid w:val="00B13AA7"/>
    <w:rsid w:val="00B13F7D"/>
    <w:rsid w:val="00B1560A"/>
    <w:rsid w:val="00B15F3D"/>
    <w:rsid w:val="00B16042"/>
    <w:rsid w:val="00B16D2D"/>
    <w:rsid w:val="00B16D61"/>
    <w:rsid w:val="00B17A1B"/>
    <w:rsid w:val="00B17D4C"/>
    <w:rsid w:val="00B21357"/>
    <w:rsid w:val="00B2241B"/>
    <w:rsid w:val="00B22730"/>
    <w:rsid w:val="00B22B33"/>
    <w:rsid w:val="00B23223"/>
    <w:rsid w:val="00B23B15"/>
    <w:rsid w:val="00B24259"/>
    <w:rsid w:val="00B2496D"/>
    <w:rsid w:val="00B25236"/>
    <w:rsid w:val="00B26B21"/>
    <w:rsid w:val="00B279DD"/>
    <w:rsid w:val="00B30970"/>
    <w:rsid w:val="00B31306"/>
    <w:rsid w:val="00B31843"/>
    <w:rsid w:val="00B325D9"/>
    <w:rsid w:val="00B33342"/>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03E"/>
    <w:rsid w:val="00B55960"/>
    <w:rsid w:val="00B566A1"/>
    <w:rsid w:val="00B5683D"/>
    <w:rsid w:val="00B56AD5"/>
    <w:rsid w:val="00B56D5A"/>
    <w:rsid w:val="00B6012F"/>
    <w:rsid w:val="00B60C8D"/>
    <w:rsid w:val="00B61363"/>
    <w:rsid w:val="00B6238B"/>
    <w:rsid w:val="00B6312B"/>
    <w:rsid w:val="00B632F4"/>
    <w:rsid w:val="00B64986"/>
    <w:rsid w:val="00B64C0B"/>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6012"/>
    <w:rsid w:val="00B86A51"/>
    <w:rsid w:val="00B87E8F"/>
    <w:rsid w:val="00B9141B"/>
    <w:rsid w:val="00B922B4"/>
    <w:rsid w:val="00B931AE"/>
    <w:rsid w:val="00B93713"/>
    <w:rsid w:val="00B947C3"/>
    <w:rsid w:val="00B94FD6"/>
    <w:rsid w:val="00B950A4"/>
    <w:rsid w:val="00B95D03"/>
    <w:rsid w:val="00B95DD2"/>
    <w:rsid w:val="00B961D4"/>
    <w:rsid w:val="00BA0754"/>
    <w:rsid w:val="00BA1E00"/>
    <w:rsid w:val="00BA29AD"/>
    <w:rsid w:val="00BA2E32"/>
    <w:rsid w:val="00BA3E56"/>
    <w:rsid w:val="00BA4171"/>
    <w:rsid w:val="00BA481A"/>
    <w:rsid w:val="00BA4C3E"/>
    <w:rsid w:val="00BA5243"/>
    <w:rsid w:val="00BA5B20"/>
    <w:rsid w:val="00BA6343"/>
    <w:rsid w:val="00BA70B4"/>
    <w:rsid w:val="00BB0A98"/>
    <w:rsid w:val="00BB1E1E"/>
    <w:rsid w:val="00BB407F"/>
    <w:rsid w:val="00BB438F"/>
    <w:rsid w:val="00BB4C98"/>
    <w:rsid w:val="00BB50A5"/>
    <w:rsid w:val="00BB6D79"/>
    <w:rsid w:val="00BB7A7D"/>
    <w:rsid w:val="00BC0A22"/>
    <w:rsid w:val="00BC3784"/>
    <w:rsid w:val="00BC3CEE"/>
    <w:rsid w:val="00BC3E12"/>
    <w:rsid w:val="00BC4125"/>
    <w:rsid w:val="00BC450B"/>
    <w:rsid w:val="00BC4898"/>
    <w:rsid w:val="00BC699A"/>
    <w:rsid w:val="00BD017A"/>
    <w:rsid w:val="00BD0646"/>
    <w:rsid w:val="00BD08B6"/>
    <w:rsid w:val="00BD11DA"/>
    <w:rsid w:val="00BD1BD2"/>
    <w:rsid w:val="00BD23D4"/>
    <w:rsid w:val="00BD24E7"/>
    <w:rsid w:val="00BD2614"/>
    <w:rsid w:val="00BD2A16"/>
    <w:rsid w:val="00BD2A57"/>
    <w:rsid w:val="00BD415F"/>
    <w:rsid w:val="00BD5428"/>
    <w:rsid w:val="00BD54F1"/>
    <w:rsid w:val="00BD5867"/>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B9A"/>
    <w:rsid w:val="00BF3E2F"/>
    <w:rsid w:val="00BF4430"/>
    <w:rsid w:val="00BF552A"/>
    <w:rsid w:val="00BF591D"/>
    <w:rsid w:val="00BF6CCF"/>
    <w:rsid w:val="00C01093"/>
    <w:rsid w:val="00C01B28"/>
    <w:rsid w:val="00C01F10"/>
    <w:rsid w:val="00C034A6"/>
    <w:rsid w:val="00C03AAA"/>
    <w:rsid w:val="00C03FE5"/>
    <w:rsid w:val="00C04293"/>
    <w:rsid w:val="00C042A7"/>
    <w:rsid w:val="00C04405"/>
    <w:rsid w:val="00C054AA"/>
    <w:rsid w:val="00C059AA"/>
    <w:rsid w:val="00C05B11"/>
    <w:rsid w:val="00C06666"/>
    <w:rsid w:val="00C0698C"/>
    <w:rsid w:val="00C074F1"/>
    <w:rsid w:val="00C1026A"/>
    <w:rsid w:val="00C10CD8"/>
    <w:rsid w:val="00C11257"/>
    <w:rsid w:val="00C1203F"/>
    <w:rsid w:val="00C122D8"/>
    <w:rsid w:val="00C14013"/>
    <w:rsid w:val="00C140F6"/>
    <w:rsid w:val="00C141E9"/>
    <w:rsid w:val="00C14239"/>
    <w:rsid w:val="00C14352"/>
    <w:rsid w:val="00C15A41"/>
    <w:rsid w:val="00C15E8B"/>
    <w:rsid w:val="00C16583"/>
    <w:rsid w:val="00C202EA"/>
    <w:rsid w:val="00C210B6"/>
    <w:rsid w:val="00C21F04"/>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340F"/>
    <w:rsid w:val="00C5438F"/>
    <w:rsid w:val="00C5471D"/>
    <w:rsid w:val="00C55669"/>
    <w:rsid w:val="00C56102"/>
    <w:rsid w:val="00C5659E"/>
    <w:rsid w:val="00C60E43"/>
    <w:rsid w:val="00C60EAD"/>
    <w:rsid w:val="00C61B60"/>
    <w:rsid w:val="00C62756"/>
    <w:rsid w:val="00C6341C"/>
    <w:rsid w:val="00C646C3"/>
    <w:rsid w:val="00C648F0"/>
    <w:rsid w:val="00C64DBA"/>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64A"/>
    <w:rsid w:val="00C77BBC"/>
    <w:rsid w:val="00C80535"/>
    <w:rsid w:val="00C80EE0"/>
    <w:rsid w:val="00C82512"/>
    <w:rsid w:val="00C82839"/>
    <w:rsid w:val="00C82A08"/>
    <w:rsid w:val="00C82B7E"/>
    <w:rsid w:val="00C82C06"/>
    <w:rsid w:val="00C847A3"/>
    <w:rsid w:val="00C84CB4"/>
    <w:rsid w:val="00C84DBC"/>
    <w:rsid w:val="00C852AF"/>
    <w:rsid w:val="00C857AB"/>
    <w:rsid w:val="00C86711"/>
    <w:rsid w:val="00C87068"/>
    <w:rsid w:val="00C901AC"/>
    <w:rsid w:val="00C91884"/>
    <w:rsid w:val="00C9224D"/>
    <w:rsid w:val="00C92B60"/>
    <w:rsid w:val="00C93692"/>
    <w:rsid w:val="00C939F4"/>
    <w:rsid w:val="00C941EB"/>
    <w:rsid w:val="00C9422A"/>
    <w:rsid w:val="00C95447"/>
    <w:rsid w:val="00C95BD3"/>
    <w:rsid w:val="00C96166"/>
    <w:rsid w:val="00C9700C"/>
    <w:rsid w:val="00C97180"/>
    <w:rsid w:val="00CA0019"/>
    <w:rsid w:val="00CA0D37"/>
    <w:rsid w:val="00CA0F0D"/>
    <w:rsid w:val="00CA0F54"/>
    <w:rsid w:val="00CA0F99"/>
    <w:rsid w:val="00CA13BC"/>
    <w:rsid w:val="00CA1C64"/>
    <w:rsid w:val="00CA2078"/>
    <w:rsid w:val="00CA2332"/>
    <w:rsid w:val="00CA2874"/>
    <w:rsid w:val="00CA6354"/>
    <w:rsid w:val="00CA6E3F"/>
    <w:rsid w:val="00CA7C5A"/>
    <w:rsid w:val="00CB008D"/>
    <w:rsid w:val="00CB1802"/>
    <w:rsid w:val="00CB1919"/>
    <w:rsid w:val="00CB6362"/>
    <w:rsid w:val="00CB673C"/>
    <w:rsid w:val="00CB6F10"/>
    <w:rsid w:val="00CB72B1"/>
    <w:rsid w:val="00CB7405"/>
    <w:rsid w:val="00CC0433"/>
    <w:rsid w:val="00CC119D"/>
    <w:rsid w:val="00CC1282"/>
    <w:rsid w:val="00CC1560"/>
    <w:rsid w:val="00CC2E33"/>
    <w:rsid w:val="00CC3B6D"/>
    <w:rsid w:val="00CC4733"/>
    <w:rsid w:val="00CC478B"/>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694"/>
    <w:rsid w:val="00D0690E"/>
    <w:rsid w:val="00D06BA6"/>
    <w:rsid w:val="00D06CF0"/>
    <w:rsid w:val="00D07001"/>
    <w:rsid w:val="00D071AA"/>
    <w:rsid w:val="00D07CB3"/>
    <w:rsid w:val="00D100A5"/>
    <w:rsid w:val="00D10395"/>
    <w:rsid w:val="00D11069"/>
    <w:rsid w:val="00D1135D"/>
    <w:rsid w:val="00D113AF"/>
    <w:rsid w:val="00D1188C"/>
    <w:rsid w:val="00D12030"/>
    <w:rsid w:val="00D1230E"/>
    <w:rsid w:val="00D12B2F"/>
    <w:rsid w:val="00D12B76"/>
    <w:rsid w:val="00D12E69"/>
    <w:rsid w:val="00D13E65"/>
    <w:rsid w:val="00D14146"/>
    <w:rsid w:val="00D144EC"/>
    <w:rsid w:val="00D14D4C"/>
    <w:rsid w:val="00D1534C"/>
    <w:rsid w:val="00D154F9"/>
    <w:rsid w:val="00D20655"/>
    <w:rsid w:val="00D20F51"/>
    <w:rsid w:val="00D21586"/>
    <w:rsid w:val="00D2177D"/>
    <w:rsid w:val="00D21AC3"/>
    <w:rsid w:val="00D2266C"/>
    <w:rsid w:val="00D233A7"/>
    <w:rsid w:val="00D24F85"/>
    <w:rsid w:val="00D2578E"/>
    <w:rsid w:val="00D265AB"/>
    <w:rsid w:val="00D3169F"/>
    <w:rsid w:val="00D31748"/>
    <w:rsid w:val="00D323B3"/>
    <w:rsid w:val="00D340C2"/>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6E44"/>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5C88"/>
    <w:rsid w:val="00D767AB"/>
    <w:rsid w:val="00D76F92"/>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361C"/>
    <w:rsid w:val="00D94749"/>
    <w:rsid w:val="00D956AA"/>
    <w:rsid w:val="00D95D0C"/>
    <w:rsid w:val="00D96526"/>
    <w:rsid w:val="00D96E1F"/>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85F"/>
    <w:rsid w:val="00DA5EB8"/>
    <w:rsid w:val="00DA6146"/>
    <w:rsid w:val="00DA7B8B"/>
    <w:rsid w:val="00DA7BD2"/>
    <w:rsid w:val="00DB0F0B"/>
    <w:rsid w:val="00DB1471"/>
    <w:rsid w:val="00DB244C"/>
    <w:rsid w:val="00DB399F"/>
    <w:rsid w:val="00DB45B6"/>
    <w:rsid w:val="00DB4B69"/>
    <w:rsid w:val="00DB5194"/>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539"/>
    <w:rsid w:val="00DC79C7"/>
    <w:rsid w:val="00DC7EE9"/>
    <w:rsid w:val="00DD05CF"/>
    <w:rsid w:val="00DD1B7E"/>
    <w:rsid w:val="00DD24E9"/>
    <w:rsid w:val="00DD2C8E"/>
    <w:rsid w:val="00DD436B"/>
    <w:rsid w:val="00DD4893"/>
    <w:rsid w:val="00DD4AC3"/>
    <w:rsid w:val="00DD4F1D"/>
    <w:rsid w:val="00DD5490"/>
    <w:rsid w:val="00DD54A5"/>
    <w:rsid w:val="00DD5526"/>
    <w:rsid w:val="00DD6C27"/>
    <w:rsid w:val="00DD7D9F"/>
    <w:rsid w:val="00DE0D4E"/>
    <w:rsid w:val="00DE1631"/>
    <w:rsid w:val="00DE24E4"/>
    <w:rsid w:val="00DE2C23"/>
    <w:rsid w:val="00DE3066"/>
    <w:rsid w:val="00DE3718"/>
    <w:rsid w:val="00DE5120"/>
    <w:rsid w:val="00DE53D9"/>
    <w:rsid w:val="00DE53DB"/>
    <w:rsid w:val="00DE63D6"/>
    <w:rsid w:val="00DE739B"/>
    <w:rsid w:val="00DE7D38"/>
    <w:rsid w:val="00DF00A1"/>
    <w:rsid w:val="00DF0906"/>
    <w:rsid w:val="00DF0AE0"/>
    <w:rsid w:val="00DF2662"/>
    <w:rsid w:val="00DF2DE1"/>
    <w:rsid w:val="00DF394B"/>
    <w:rsid w:val="00DF5880"/>
    <w:rsid w:val="00DF62E1"/>
    <w:rsid w:val="00DF67DF"/>
    <w:rsid w:val="00DF68D6"/>
    <w:rsid w:val="00DF7B69"/>
    <w:rsid w:val="00DF7CA5"/>
    <w:rsid w:val="00E014D3"/>
    <w:rsid w:val="00E0301E"/>
    <w:rsid w:val="00E03A4E"/>
    <w:rsid w:val="00E043A6"/>
    <w:rsid w:val="00E04612"/>
    <w:rsid w:val="00E0558A"/>
    <w:rsid w:val="00E06F0C"/>
    <w:rsid w:val="00E07263"/>
    <w:rsid w:val="00E10039"/>
    <w:rsid w:val="00E10299"/>
    <w:rsid w:val="00E10E83"/>
    <w:rsid w:val="00E1101D"/>
    <w:rsid w:val="00E1133F"/>
    <w:rsid w:val="00E1136C"/>
    <w:rsid w:val="00E11BAF"/>
    <w:rsid w:val="00E11F67"/>
    <w:rsid w:val="00E128BB"/>
    <w:rsid w:val="00E1317E"/>
    <w:rsid w:val="00E13AE6"/>
    <w:rsid w:val="00E13CD9"/>
    <w:rsid w:val="00E14992"/>
    <w:rsid w:val="00E14E72"/>
    <w:rsid w:val="00E16115"/>
    <w:rsid w:val="00E16ACD"/>
    <w:rsid w:val="00E16B6E"/>
    <w:rsid w:val="00E17232"/>
    <w:rsid w:val="00E1778C"/>
    <w:rsid w:val="00E178E7"/>
    <w:rsid w:val="00E2098D"/>
    <w:rsid w:val="00E2160D"/>
    <w:rsid w:val="00E21D79"/>
    <w:rsid w:val="00E2202F"/>
    <w:rsid w:val="00E22234"/>
    <w:rsid w:val="00E227FE"/>
    <w:rsid w:val="00E23451"/>
    <w:rsid w:val="00E23595"/>
    <w:rsid w:val="00E23D5D"/>
    <w:rsid w:val="00E2572A"/>
    <w:rsid w:val="00E26D2B"/>
    <w:rsid w:val="00E27530"/>
    <w:rsid w:val="00E275D0"/>
    <w:rsid w:val="00E278C0"/>
    <w:rsid w:val="00E307CB"/>
    <w:rsid w:val="00E308AE"/>
    <w:rsid w:val="00E32262"/>
    <w:rsid w:val="00E323A8"/>
    <w:rsid w:val="00E345CE"/>
    <w:rsid w:val="00E34AD0"/>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2A95"/>
    <w:rsid w:val="00E6318D"/>
    <w:rsid w:val="00E6351A"/>
    <w:rsid w:val="00E6355E"/>
    <w:rsid w:val="00E64448"/>
    <w:rsid w:val="00E645B5"/>
    <w:rsid w:val="00E64AEB"/>
    <w:rsid w:val="00E6518A"/>
    <w:rsid w:val="00E66C7F"/>
    <w:rsid w:val="00E67F5A"/>
    <w:rsid w:val="00E67F87"/>
    <w:rsid w:val="00E70295"/>
    <w:rsid w:val="00E70CF8"/>
    <w:rsid w:val="00E758F7"/>
    <w:rsid w:val="00E76284"/>
    <w:rsid w:val="00E80F9F"/>
    <w:rsid w:val="00E814B2"/>
    <w:rsid w:val="00E82833"/>
    <w:rsid w:val="00E82E6F"/>
    <w:rsid w:val="00E84821"/>
    <w:rsid w:val="00E8488D"/>
    <w:rsid w:val="00E84E52"/>
    <w:rsid w:val="00E86014"/>
    <w:rsid w:val="00E86B97"/>
    <w:rsid w:val="00E87001"/>
    <w:rsid w:val="00E870C8"/>
    <w:rsid w:val="00E8765A"/>
    <w:rsid w:val="00E87BE0"/>
    <w:rsid w:val="00E91800"/>
    <w:rsid w:val="00E9264C"/>
    <w:rsid w:val="00E92835"/>
    <w:rsid w:val="00E93DDC"/>
    <w:rsid w:val="00E94890"/>
    <w:rsid w:val="00E94AA2"/>
    <w:rsid w:val="00E956B7"/>
    <w:rsid w:val="00E963E3"/>
    <w:rsid w:val="00E97076"/>
    <w:rsid w:val="00EA196C"/>
    <w:rsid w:val="00EA1F9F"/>
    <w:rsid w:val="00EA2712"/>
    <w:rsid w:val="00EA33A4"/>
    <w:rsid w:val="00EA3C26"/>
    <w:rsid w:val="00EA3D5D"/>
    <w:rsid w:val="00EA4191"/>
    <w:rsid w:val="00EA4A72"/>
    <w:rsid w:val="00EA4A79"/>
    <w:rsid w:val="00EA5BD8"/>
    <w:rsid w:val="00EA647E"/>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4EF0"/>
    <w:rsid w:val="00EB5036"/>
    <w:rsid w:val="00EB5045"/>
    <w:rsid w:val="00EB6066"/>
    <w:rsid w:val="00EB66C2"/>
    <w:rsid w:val="00EB6D7F"/>
    <w:rsid w:val="00EB73C0"/>
    <w:rsid w:val="00EB7D35"/>
    <w:rsid w:val="00EC0B9A"/>
    <w:rsid w:val="00EC23E7"/>
    <w:rsid w:val="00EC46E7"/>
    <w:rsid w:val="00EC492E"/>
    <w:rsid w:val="00EC4D8D"/>
    <w:rsid w:val="00EC4F80"/>
    <w:rsid w:val="00EC5DC8"/>
    <w:rsid w:val="00EC6070"/>
    <w:rsid w:val="00EC7586"/>
    <w:rsid w:val="00EC7A39"/>
    <w:rsid w:val="00ED101B"/>
    <w:rsid w:val="00ED208E"/>
    <w:rsid w:val="00ED3C03"/>
    <w:rsid w:val="00ED3C80"/>
    <w:rsid w:val="00ED63E1"/>
    <w:rsid w:val="00ED7007"/>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E7D7E"/>
    <w:rsid w:val="00EF04C1"/>
    <w:rsid w:val="00EF0C8E"/>
    <w:rsid w:val="00EF31E7"/>
    <w:rsid w:val="00EF3E62"/>
    <w:rsid w:val="00EF40EB"/>
    <w:rsid w:val="00EF42AF"/>
    <w:rsid w:val="00EF50F8"/>
    <w:rsid w:val="00EF545F"/>
    <w:rsid w:val="00EF5AE8"/>
    <w:rsid w:val="00EF6001"/>
    <w:rsid w:val="00EF62C1"/>
    <w:rsid w:val="00EF661B"/>
    <w:rsid w:val="00EF714B"/>
    <w:rsid w:val="00EF7816"/>
    <w:rsid w:val="00EF7926"/>
    <w:rsid w:val="00EF7E7A"/>
    <w:rsid w:val="00F0029B"/>
    <w:rsid w:val="00F00C82"/>
    <w:rsid w:val="00F00DC0"/>
    <w:rsid w:val="00F00E13"/>
    <w:rsid w:val="00F012F7"/>
    <w:rsid w:val="00F02AD5"/>
    <w:rsid w:val="00F02DF1"/>
    <w:rsid w:val="00F041E4"/>
    <w:rsid w:val="00F04BFF"/>
    <w:rsid w:val="00F04CD2"/>
    <w:rsid w:val="00F04D33"/>
    <w:rsid w:val="00F04D6B"/>
    <w:rsid w:val="00F05176"/>
    <w:rsid w:val="00F05198"/>
    <w:rsid w:val="00F05781"/>
    <w:rsid w:val="00F05C5A"/>
    <w:rsid w:val="00F066D6"/>
    <w:rsid w:val="00F0728B"/>
    <w:rsid w:val="00F0763B"/>
    <w:rsid w:val="00F1028D"/>
    <w:rsid w:val="00F10A79"/>
    <w:rsid w:val="00F11744"/>
    <w:rsid w:val="00F12BF1"/>
    <w:rsid w:val="00F1327F"/>
    <w:rsid w:val="00F1609A"/>
    <w:rsid w:val="00F171AC"/>
    <w:rsid w:val="00F17592"/>
    <w:rsid w:val="00F175BB"/>
    <w:rsid w:val="00F179E1"/>
    <w:rsid w:val="00F17AA5"/>
    <w:rsid w:val="00F20170"/>
    <w:rsid w:val="00F2270D"/>
    <w:rsid w:val="00F234F3"/>
    <w:rsid w:val="00F238E9"/>
    <w:rsid w:val="00F2472F"/>
    <w:rsid w:val="00F25171"/>
    <w:rsid w:val="00F269A2"/>
    <w:rsid w:val="00F26AB2"/>
    <w:rsid w:val="00F27299"/>
    <w:rsid w:val="00F27D3C"/>
    <w:rsid w:val="00F300E5"/>
    <w:rsid w:val="00F31CC4"/>
    <w:rsid w:val="00F31FDD"/>
    <w:rsid w:val="00F32A9C"/>
    <w:rsid w:val="00F3341C"/>
    <w:rsid w:val="00F343A8"/>
    <w:rsid w:val="00F35B1E"/>
    <w:rsid w:val="00F37413"/>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195"/>
    <w:rsid w:val="00F479E5"/>
    <w:rsid w:val="00F50113"/>
    <w:rsid w:val="00F5085D"/>
    <w:rsid w:val="00F508A7"/>
    <w:rsid w:val="00F50D59"/>
    <w:rsid w:val="00F50F94"/>
    <w:rsid w:val="00F51AD3"/>
    <w:rsid w:val="00F51DA7"/>
    <w:rsid w:val="00F51FE9"/>
    <w:rsid w:val="00F5225F"/>
    <w:rsid w:val="00F5337A"/>
    <w:rsid w:val="00F53AE5"/>
    <w:rsid w:val="00F5433B"/>
    <w:rsid w:val="00F5479C"/>
    <w:rsid w:val="00F5515E"/>
    <w:rsid w:val="00F553FB"/>
    <w:rsid w:val="00F55C41"/>
    <w:rsid w:val="00F56676"/>
    <w:rsid w:val="00F60070"/>
    <w:rsid w:val="00F60084"/>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254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151"/>
    <w:rsid w:val="00FA6266"/>
    <w:rsid w:val="00FB3B2D"/>
    <w:rsid w:val="00FB3F24"/>
    <w:rsid w:val="00FB468A"/>
    <w:rsid w:val="00FB57C6"/>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5A35"/>
    <w:rsid w:val="00FD6FA3"/>
    <w:rsid w:val="00FD72DB"/>
    <w:rsid w:val="00FD7EA1"/>
    <w:rsid w:val="00FE0384"/>
    <w:rsid w:val="00FE16CE"/>
    <w:rsid w:val="00FE1F82"/>
    <w:rsid w:val="00FE36D3"/>
    <w:rsid w:val="00FE37D3"/>
    <w:rsid w:val="00FE6380"/>
    <w:rsid w:val="00FE6B5D"/>
    <w:rsid w:val="00FE6D80"/>
    <w:rsid w:val="00FF102A"/>
    <w:rsid w:val="00FF1435"/>
    <w:rsid w:val="00FF2956"/>
    <w:rsid w:val="00FF3326"/>
    <w:rsid w:val="00FF4C34"/>
    <w:rsid w:val="00FF589E"/>
    <w:rsid w:val="00FF7030"/>
    <w:rsid w:val="00FF7BA2"/>
    <w:rsid w:val="072038EE"/>
    <w:rsid w:val="080E745B"/>
    <w:rsid w:val="0B894205"/>
    <w:rsid w:val="111533AD"/>
    <w:rsid w:val="17AC087B"/>
    <w:rsid w:val="17AD7DC6"/>
    <w:rsid w:val="188D493C"/>
    <w:rsid w:val="19576A1C"/>
    <w:rsid w:val="1B4F1C59"/>
    <w:rsid w:val="2B94600C"/>
    <w:rsid w:val="2E6A153F"/>
    <w:rsid w:val="307A2CE3"/>
    <w:rsid w:val="31671E88"/>
    <w:rsid w:val="36B55F0A"/>
    <w:rsid w:val="3D232759"/>
    <w:rsid w:val="402E16CA"/>
    <w:rsid w:val="42671128"/>
    <w:rsid w:val="42901A53"/>
    <w:rsid w:val="56A87C0C"/>
    <w:rsid w:val="5CF46281"/>
    <w:rsid w:val="5EA95406"/>
    <w:rsid w:val="64F30BD8"/>
    <w:rsid w:val="65777969"/>
    <w:rsid w:val="68E71107"/>
    <w:rsid w:val="69100D36"/>
    <w:rsid w:val="710F3A90"/>
    <w:rsid w:val="75D51C75"/>
    <w:rsid w:val="76730F8E"/>
    <w:rsid w:val="7927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iPriority="99" w:semiHidden="0" w:name="footnote text"/>
    <w:lsdException w:qFormat="1" w:unhideWhenUsed="0" w:uiPriority="99" w:semiHidden="0" w:name="annotation text"/>
    <w:lsdException w:uiPriority="99" w:semiHidden="0" w:name="header"/>
    <w:lsdException w:uiPriority="99" w:semiHidden="0" w:name="footer"/>
    <w:lsdException w:uiPriority="0" w:name="index heading"/>
    <w:lsdException w:qFormat="1" w:unhideWhenUsed="0" w:uiPriority="0" w:semiHidden="0" w:name="caption"/>
    <w:lsdException w:unhideWhenUsed="0" w:uiPriority="0" w:semiHidden="0" w:name="table of figures"/>
    <w:lsdException w:uiPriority="0" w:name="envelope address"/>
    <w:lsdException w:uiPriority="0" w:name="envelope return"/>
    <w:lsdException w:uiPriority="99" w:semiHidden="0" w:name="footnote reference"/>
    <w:lsdException w:unhideWhenUsed="0" w:uiPriority="99" w:semiHidden="0" w:name="annotation reference"/>
    <w:lsdException w:uiPriority="0" w:name="line number"/>
    <w:lsdException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99" w:semiHidden="0" w:name="annotation subject"/>
    <w:lsdException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0"/>
    <w:qFormat/>
    <w:uiPriority w:val="9"/>
    <w:pPr>
      <w:numPr>
        <w:ilvl w:val="0"/>
        <w:numId w:val="1"/>
      </w:num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14"/>
    <w:qFormat/>
    <w:uiPriority w:val="9"/>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7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53"/>
    <w:qFormat/>
    <w:uiPriority w:val="9"/>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174"/>
    <w:qFormat/>
    <w:uiPriority w:val="9"/>
    <w:pPr>
      <w:keepNext/>
      <w:keepLines/>
      <w:numPr>
        <w:ilvl w:val="4"/>
        <w:numId w:val="1"/>
      </w:numPr>
      <w:tabs>
        <w:tab w:val="left" w:pos="992"/>
      </w:tabs>
      <w:spacing w:before="280" w:after="290" w:line="376" w:lineRule="auto"/>
      <w:outlineLvl w:val="4"/>
    </w:pPr>
    <w:rPr>
      <w:b/>
      <w:bCs/>
      <w:sz w:val="28"/>
      <w:szCs w:val="28"/>
    </w:rPr>
  </w:style>
  <w:style w:type="paragraph" w:styleId="7">
    <w:name w:val="heading 6"/>
    <w:basedOn w:val="1"/>
    <w:next w:val="1"/>
    <w:link w:val="81"/>
    <w:qFormat/>
    <w:uiPriority w:val="9"/>
    <w:pPr>
      <w:keepNext/>
      <w:keepLines/>
      <w:numPr>
        <w:ilvl w:val="5"/>
        <w:numId w:val="1"/>
      </w:numPr>
      <w:spacing w:before="240" w:after="64" w:line="320" w:lineRule="auto"/>
      <w:outlineLvl w:val="5"/>
    </w:pPr>
    <w:rPr>
      <w:rFonts w:ascii="Arial" w:hAnsi="Arial" w:eastAsia="黑体"/>
      <w:b/>
      <w:bCs/>
      <w:sz w:val="24"/>
      <w:szCs w:val="24"/>
    </w:rPr>
  </w:style>
  <w:style w:type="paragraph" w:styleId="8">
    <w:name w:val="heading 7"/>
    <w:basedOn w:val="1"/>
    <w:next w:val="1"/>
    <w:link w:val="128"/>
    <w:qFormat/>
    <w:uiPriority w:val="9"/>
    <w:pPr>
      <w:keepNext/>
      <w:keepLines/>
      <w:numPr>
        <w:ilvl w:val="6"/>
        <w:numId w:val="1"/>
      </w:numPr>
      <w:tabs>
        <w:tab w:val="left" w:pos="0"/>
      </w:tabs>
      <w:spacing w:before="240" w:after="64" w:line="320" w:lineRule="auto"/>
      <w:outlineLvl w:val="6"/>
    </w:pPr>
    <w:rPr>
      <w:b/>
      <w:bCs/>
      <w:sz w:val="24"/>
      <w:szCs w:val="24"/>
    </w:rPr>
  </w:style>
  <w:style w:type="paragraph" w:styleId="9">
    <w:name w:val="heading 8"/>
    <w:basedOn w:val="1"/>
    <w:next w:val="1"/>
    <w:link w:val="115"/>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52"/>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3">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39"/>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2"/>
      </w:numPr>
      <w:ind w:left="200" w:leftChars="200"/>
    </w:pPr>
    <w:rPr>
      <w:rFonts w:ascii="Times New Roman" w:hAnsi="Times New Roman"/>
      <w:sz w:val="18"/>
      <w:szCs w:val="24"/>
    </w:rPr>
  </w:style>
  <w:style w:type="paragraph" w:styleId="15">
    <w:name w:val="List Bullet 4"/>
    <w:basedOn w:val="1"/>
    <w:qFormat/>
    <w:uiPriority w:val="0"/>
    <w:pPr>
      <w:numPr>
        <w:ilvl w:val="0"/>
        <w:numId w:val="3"/>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68"/>
    <w:qFormat/>
    <w:uiPriority w:val="0"/>
    <w:pPr>
      <w:ind w:firstLine="420"/>
    </w:pPr>
    <w:rPr>
      <w:szCs w:val="20"/>
    </w:rPr>
  </w:style>
  <w:style w:type="paragraph" w:styleId="18">
    <w:name w:val="caption"/>
    <w:basedOn w:val="1"/>
    <w:next w:val="1"/>
    <w:link w:val="74"/>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99"/>
    <w:qFormat/>
    <w:uiPriority w:val="99"/>
    <w:rPr>
      <w:rFonts w:ascii="宋体"/>
      <w:sz w:val="18"/>
      <w:szCs w:val="18"/>
    </w:rPr>
  </w:style>
  <w:style w:type="paragraph" w:styleId="21">
    <w:name w:val="annotation text"/>
    <w:basedOn w:val="1"/>
    <w:link w:val="207"/>
    <w:qFormat/>
    <w:uiPriority w:val="99"/>
    <w:pPr>
      <w:jc w:val="left"/>
    </w:pPr>
  </w:style>
  <w:style w:type="paragraph" w:styleId="22">
    <w:name w:val="Salutation"/>
    <w:basedOn w:val="1"/>
    <w:next w:val="1"/>
    <w:link w:val="98"/>
    <w:qFormat/>
    <w:uiPriority w:val="0"/>
    <w:rPr>
      <w:rFonts w:ascii="宋体" w:hAnsi="Times New Roman"/>
      <w:b/>
      <w:sz w:val="28"/>
      <w:szCs w:val="20"/>
    </w:rPr>
  </w:style>
  <w:style w:type="paragraph" w:styleId="23">
    <w:name w:val="Body Text 3"/>
    <w:basedOn w:val="1"/>
    <w:link w:val="220"/>
    <w:qFormat/>
    <w:uiPriority w:val="0"/>
    <w:pPr>
      <w:snapToGrid w:val="0"/>
      <w:spacing w:before="50" w:after="50"/>
    </w:pPr>
    <w:rPr>
      <w:rFonts w:ascii="Times New Roman" w:hAnsi="宋体" w:eastAsia="仿宋_GB2312"/>
      <w:b/>
      <w:bCs/>
      <w:sz w:val="24"/>
      <w:szCs w:val="20"/>
    </w:rPr>
  </w:style>
  <w:style w:type="paragraph" w:styleId="24">
    <w:name w:val="Body Text"/>
    <w:basedOn w:val="1"/>
    <w:link w:val="195"/>
    <w:qFormat/>
    <w:uiPriority w:val="0"/>
    <w:pPr>
      <w:spacing w:after="120"/>
    </w:pPr>
    <w:rPr>
      <w:sz w:val="28"/>
      <w:szCs w:val="24"/>
    </w:rPr>
  </w:style>
  <w:style w:type="paragraph" w:styleId="25">
    <w:name w:val="Body Text Indent"/>
    <w:basedOn w:val="1"/>
    <w:link w:val="228"/>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4"/>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39"/>
    <w:pPr>
      <w:ind w:left="840" w:leftChars="400"/>
    </w:pPr>
  </w:style>
  <w:style w:type="paragraph" w:styleId="31">
    <w:name w:val="Plain Text"/>
    <w:basedOn w:val="1"/>
    <w:link w:val="376"/>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5"/>
      </w:numPr>
    </w:pPr>
    <w:rPr>
      <w:rFonts w:ascii="Times New Roman" w:hAnsi="Times New Roman"/>
      <w:szCs w:val="24"/>
    </w:rPr>
  </w:style>
  <w:style w:type="paragraph" w:styleId="33">
    <w:name w:val="toc 8"/>
    <w:basedOn w:val="1"/>
    <w:next w:val="1"/>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378"/>
    <w:uiPriority w:val="0"/>
    <w:pPr>
      <w:ind w:left="2500" w:leftChars="2500"/>
    </w:pPr>
    <w:rPr>
      <w:rFonts w:eastAsia="楷体_GB2312"/>
      <w:sz w:val="32"/>
      <w:szCs w:val="20"/>
    </w:rPr>
  </w:style>
  <w:style w:type="paragraph" w:styleId="35">
    <w:name w:val="Body Text Indent 2"/>
    <w:basedOn w:val="1"/>
    <w:link w:val="264"/>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165"/>
    <w:qFormat/>
    <w:uiPriority w:val="0"/>
    <w:pPr>
      <w:numPr>
        <w:ilvl w:val="0"/>
        <w:numId w:val="6"/>
      </w:numPr>
      <w:snapToGrid w:val="0"/>
      <w:spacing w:afterLines="50"/>
      <w:jc w:val="left"/>
    </w:pPr>
    <w:rPr>
      <w:rFonts w:ascii="宋体"/>
      <w:snapToGrid w:val="0"/>
      <w:kern w:val="0"/>
      <w:szCs w:val="20"/>
    </w:rPr>
  </w:style>
  <w:style w:type="paragraph" w:styleId="37">
    <w:name w:val="Balloon Text"/>
    <w:basedOn w:val="1"/>
    <w:link w:val="285"/>
    <w:qFormat/>
    <w:uiPriority w:val="99"/>
    <w:rPr>
      <w:sz w:val="18"/>
      <w:szCs w:val="18"/>
    </w:rPr>
  </w:style>
  <w:style w:type="paragraph" w:styleId="38">
    <w:name w:val="footer"/>
    <w:basedOn w:val="1"/>
    <w:link w:val="232"/>
    <w:unhideWhenUsed/>
    <w:uiPriority w:val="99"/>
    <w:pPr>
      <w:tabs>
        <w:tab w:val="center" w:pos="4153"/>
        <w:tab w:val="right" w:pos="8306"/>
      </w:tabs>
      <w:snapToGrid w:val="0"/>
      <w:jc w:val="left"/>
    </w:pPr>
    <w:rPr>
      <w:sz w:val="18"/>
      <w:szCs w:val="18"/>
    </w:rPr>
  </w:style>
  <w:style w:type="paragraph" w:styleId="39">
    <w:name w:val="header"/>
    <w:basedOn w:val="1"/>
    <w:link w:val="375"/>
    <w:unhideWhenUsed/>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240" w:after="240"/>
    </w:pPr>
    <w:rPr>
      <w:rFonts w:ascii="Times New Roman" w:hAnsi="Times New Roman" w:eastAsia="仿宋"/>
      <w:sz w:val="36"/>
      <w:szCs w:val="24"/>
    </w:rPr>
  </w:style>
  <w:style w:type="paragraph" w:styleId="41">
    <w:name w:val="toc 4"/>
    <w:basedOn w:val="1"/>
    <w:next w:val="1"/>
    <w:unhideWhenUsed/>
    <w:uiPriority w:val="39"/>
    <w:pPr>
      <w:ind w:left="1260" w:leftChars="600"/>
    </w:pPr>
  </w:style>
  <w:style w:type="paragraph" w:styleId="42">
    <w:name w:val="Subtitle"/>
    <w:basedOn w:val="1"/>
    <w:link w:val="363"/>
    <w:qFormat/>
    <w:uiPriority w:val="11"/>
    <w:pPr>
      <w:spacing w:afterLines="50"/>
      <w:jc w:val="center"/>
    </w:pPr>
    <w:rPr>
      <w:rFonts w:ascii="Times New Roman" w:hAnsi="Times New Roman" w:eastAsia="Times New Roman"/>
      <w:sz w:val="18"/>
      <w:szCs w:val="18"/>
    </w:rPr>
  </w:style>
  <w:style w:type="paragraph" w:styleId="43">
    <w:name w:val="List"/>
    <w:basedOn w:val="1"/>
    <w:uiPriority w:val="0"/>
    <w:pPr>
      <w:ind w:left="200" w:hanging="200" w:hangingChars="200"/>
    </w:pPr>
    <w:rPr>
      <w:rFonts w:ascii="Times New Roman" w:hAnsi="Times New Roman"/>
      <w:sz w:val="28"/>
      <w:szCs w:val="24"/>
    </w:rPr>
  </w:style>
  <w:style w:type="paragraph" w:styleId="44">
    <w:name w:val="footnote text"/>
    <w:basedOn w:val="1"/>
    <w:link w:val="160"/>
    <w:unhideWhenUsed/>
    <w:uiPriority w:val="99"/>
    <w:pPr>
      <w:snapToGrid w:val="0"/>
      <w:jc w:val="left"/>
    </w:pPr>
    <w:rPr>
      <w:sz w:val="18"/>
      <w:szCs w:val="18"/>
    </w:rPr>
  </w:style>
  <w:style w:type="paragraph" w:styleId="45">
    <w:name w:val="toc 6"/>
    <w:basedOn w:val="1"/>
    <w:next w:val="1"/>
    <w:uiPriority w:val="39"/>
    <w:pPr>
      <w:ind w:left="1050"/>
      <w:jc w:val="left"/>
    </w:pPr>
    <w:rPr>
      <w:rFonts w:ascii="Times New Roman" w:hAnsi="Times New Roman"/>
      <w:sz w:val="18"/>
      <w:szCs w:val="18"/>
    </w:rPr>
  </w:style>
  <w:style w:type="paragraph" w:styleId="46">
    <w:name w:val="Body Text Indent 3"/>
    <w:basedOn w:val="1"/>
    <w:link w:val="298"/>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uiPriority w:val="39"/>
    <w:pPr>
      <w:ind w:left="1680"/>
      <w:jc w:val="left"/>
    </w:pPr>
    <w:rPr>
      <w:rFonts w:ascii="Times New Roman" w:hAnsi="Times New Roman"/>
      <w:sz w:val="18"/>
      <w:szCs w:val="18"/>
    </w:rPr>
  </w:style>
  <w:style w:type="paragraph" w:styleId="50">
    <w:name w:val="Body Text 2"/>
    <w:basedOn w:val="1"/>
    <w:link w:val="379"/>
    <w:uiPriority w:val="0"/>
    <w:pPr>
      <w:widowControl/>
      <w:snapToGrid w:val="0"/>
      <w:spacing w:before="50" w:afterLines="50" w:line="400" w:lineRule="exact"/>
      <w:jc w:val="left"/>
    </w:pPr>
    <w:rPr>
      <w:rFonts w:ascii="宋体" w:hAnsi="宋体"/>
      <w:color w:val="000000"/>
      <w:sz w:val="24"/>
      <w:szCs w:val="24"/>
    </w:rPr>
  </w:style>
  <w:style w:type="paragraph" w:styleId="51">
    <w:name w:val="HTML Preformatted"/>
    <w:basedOn w:val="1"/>
    <w:link w:val="105"/>
    <w:uiPriority w:val="0"/>
    <w:rPr>
      <w:rFonts w:ascii="Courier New" w:hAnsi="Courier New"/>
      <w:sz w:val="20"/>
      <w:szCs w:val="20"/>
    </w:rPr>
  </w:style>
  <w:style w:type="paragraph" w:styleId="5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53">
    <w:name w:val="index 1"/>
    <w:basedOn w:val="1"/>
    <w:next w:val="1"/>
    <w:uiPriority w:val="0"/>
    <w:rPr>
      <w:rFonts w:ascii="Times New Roman" w:hAnsi="Times New Roman"/>
      <w:szCs w:val="20"/>
    </w:rPr>
  </w:style>
  <w:style w:type="paragraph" w:styleId="54">
    <w:name w:val="Title"/>
    <w:basedOn w:val="1"/>
    <w:link w:val="173"/>
    <w:qFormat/>
    <w:uiPriority w:val="0"/>
    <w:pPr>
      <w:spacing w:before="240" w:after="60"/>
      <w:jc w:val="center"/>
      <w:outlineLvl w:val="0"/>
    </w:pPr>
    <w:rPr>
      <w:rFonts w:ascii="Arial" w:hAnsi="Arial"/>
      <w:b/>
      <w:bCs/>
      <w:sz w:val="32"/>
      <w:szCs w:val="32"/>
    </w:rPr>
  </w:style>
  <w:style w:type="paragraph" w:styleId="55">
    <w:name w:val="annotation subject"/>
    <w:basedOn w:val="21"/>
    <w:next w:val="21"/>
    <w:uiPriority w:val="99"/>
    <w:rPr>
      <w:b/>
      <w:bCs/>
    </w:rPr>
  </w:style>
  <w:style w:type="paragraph" w:styleId="56">
    <w:name w:val="Body Text First Indent"/>
    <w:basedOn w:val="24"/>
    <w:link w:val="197"/>
    <w:uiPriority w:val="0"/>
    <w:pPr>
      <w:ind w:firstLine="420" w:firstLineChars="100"/>
    </w:pPr>
    <w:rPr>
      <w:sz w:val="21"/>
      <w:szCs w:val="22"/>
    </w:rPr>
  </w:style>
  <w:style w:type="paragraph" w:styleId="57">
    <w:name w:val="Body Text First Indent 2"/>
    <w:basedOn w:val="25"/>
    <w:uiPriority w:val="0"/>
    <w:pPr>
      <w:spacing w:after="120" w:line="240" w:lineRule="auto"/>
      <w:ind w:left="420" w:leftChars="200" w:firstLine="420" w:firstLineChars="200"/>
    </w:pPr>
    <w:rPr>
      <w:rFonts w:ascii="Times New Roman" w:hAnsi="Times New Roman"/>
      <w:spacing w:val="0"/>
      <w:sz w:val="21"/>
    </w:rPr>
  </w:style>
  <w:style w:type="table" w:styleId="59">
    <w:name w:val="Table Grid"/>
    <w:basedOn w:val="5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Simple 1"/>
    <w:basedOn w:val="58"/>
    <w:uiPriority w:val="0"/>
    <w:pPr>
      <w:widowControl w:val="0"/>
      <w:jc w:val="both"/>
    </w:pPr>
    <w:rPr>
      <w:rFonts w:ascii="Times New Roman" w:hAnsi="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1">
    <w:name w:val="Table Grid 1"/>
    <w:basedOn w:val="5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Light List Accent 5"/>
    <w:basedOn w:val="58"/>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4">
    <w:name w:val="Strong"/>
    <w:qFormat/>
    <w:uiPriority w:val="22"/>
    <w:rPr>
      <w:b/>
      <w:bCs/>
    </w:rPr>
  </w:style>
  <w:style w:type="character" w:styleId="65">
    <w:name w:val="page number"/>
    <w:basedOn w:val="63"/>
    <w:uiPriority w:val="0"/>
  </w:style>
  <w:style w:type="character" w:styleId="66">
    <w:name w:val="FollowedHyperlink"/>
    <w:uiPriority w:val="0"/>
    <w:rPr>
      <w:color w:val="800080"/>
      <w:u w:val="single"/>
    </w:rPr>
  </w:style>
  <w:style w:type="character" w:styleId="67">
    <w:name w:val="Emphasis"/>
    <w:qFormat/>
    <w:uiPriority w:val="0"/>
    <w:rPr>
      <w:color w:val="CC0033"/>
    </w:rPr>
  </w:style>
  <w:style w:type="character" w:styleId="68">
    <w:name w:val="Hyperlink"/>
    <w:uiPriority w:val="99"/>
    <w:rPr>
      <w:color w:val="0000FF"/>
      <w:u w:val="single"/>
    </w:rPr>
  </w:style>
  <w:style w:type="character" w:styleId="69">
    <w:name w:val="annotation reference"/>
    <w:uiPriority w:val="99"/>
    <w:rPr>
      <w:sz w:val="21"/>
      <w:szCs w:val="21"/>
    </w:rPr>
  </w:style>
  <w:style w:type="character" w:styleId="70">
    <w:name w:val="footnote reference"/>
    <w:unhideWhenUsed/>
    <w:uiPriority w:val="99"/>
    <w:rPr>
      <w:vertAlign w:val="superscript"/>
    </w:rPr>
  </w:style>
  <w:style w:type="character" w:customStyle="1" w:styleId="71">
    <w:name w:val="标题 3 Char"/>
    <w:link w:val="4"/>
    <w:qFormat/>
    <w:uiPriority w:val="0"/>
    <w:rPr>
      <w:rFonts w:ascii="Calibri" w:hAnsi="Calibri" w:eastAsia="宋体" w:cs="Times New Roman"/>
      <w:b/>
      <w:bCs/>
      <w:kern w:val="2"/>
      <w:sz w:val="32"/>
      <w:szCs w:val="32"/>
    </w:rPr>
  </w:style>
  <w:style w:type="paragraph" w:customStyle="1" w:styleId="72">
    <w:name w:val="样式1"/>
    <w:basedOn w:val="1"/>
    <w:uiPriority w:val="0"/>
    <w:pPr>
      <w:pBdr>
        <w:bottom w:val="single" w:color="auto" w:sz="4" w:space="1"/>
      </w:pBdr>
    </w:pPr>
    <w:rPr>
      <w:rFonts w:ascii="Times New Roman" w:hAnsi="Times New Roman"/>
      <w:szCs w:val="24"/>
    </w:rPr>
  </w:style>
  <w:style w:type="character" w:customStyle="1" w:styleId="73">
    <w:name w:val="ca-8"/>
    <w:basedOn w:val="63"/>
    <w:uiPriority w:val="0"/>
  </w:style>
  <w:style w:type="character" w:customStyle="1" w:styleId="74">
    <w:name w:val="题注 Char"/>
    <w:link w:val="18"/>
    <w:uiPriority w:val="0"/>
    <w:rPr>
      <w:rFonts w:ascii="Arial" w:hAnsi="Arial" w:eastAsia="黑体" w:cs="Arial"/>
      <w:kern w:val="2"/>
    </w:rPr>
  </w:style>
  <w:style w:type="character" w:customStyle="1" w:styleId="75">
    <w:name w:val="正文2 Char Char"/>
    <w:link w:val="76"/>
    <w:uiPriority w:val="0"/>
    <w:rPr>
      <w:rFonts w:ascii="Times New Roman" w:hAnsi="Times New Roman"/>
      <w:kern w:val="2"/>
      <w:sz w:val="24"/>
    </w:rPr>
  </w:style>
  <w:style w:type="paragraph" w:customStyle="1" w:styleId="76">
    <w:name w:val="正文2"/>
    <w:basedOn w:val="1"/>
    <w:link w:val="75"/>
    <w:uiPriority w:val="0"/>
    <w:pPr>
      <w:spacing w:before="156" w:line="360" w:lineRule="auto"/>
      <w:ind w:firstLine="510" w:firstLineChars="200"/>
    </w:pPr>
    <w:rPr>
      <w:rFonts w:ascii="Times New Roman" w:hAnsi="Times New Roman"/>
      <w:sz w:val="24"/>
      <w:szCs w:val="20"/>
    </w:rPr>
  </w:style>
  <w:style w:type="character" w:customStyle="1" w:styleId="77">
    <w:name w:val="新昌正文 Char"/>
    <w:link w:val="78"/>
    <w:uiPriority w:val="0"/>
    <w:rPr>
      <w:rFonts w:ascii="Times New Roman" w:hAnsi="宋体"/>
      <w:sz w:val="24"/>
      <w:szCs w:val="24"/>
    </w:rPr>
  </w:style>
  <w:style w:type="paragraph" w:customStyle="1" w:styleId="78">
    <w:name w:val="新昌正文"/>
    <w:basedOn w:val="1"/>
    <w:link w:val="77"/>
    <w:qFormat/>
    <w:uiPriority w:val="0"/>
    <w:pPr>
      <w:spacing w:line="360" w:lineRule="auto"/>
      <w:ind w:firstLine="480" w:firstLineChars="200"/>
    </w:pPr>
    <w:rPr>
      <w:rFonts w:ascii="Times New Roman" w:hAnsi="宋体"/>
      <w:kern w:val="0"/>
      <w:sz w:val="24"/>
      <w:szCs w:val="24"/>
    </w:rPr>
  </w:style>
  <w:style w:type="character" w:customStyle="1" w:styleId="79">
    <w:name w:val="样式 首行缩进:  0.85 厘米 Char Char"/>
    <w:uiPriority w:val="0"/>
    <w:rPr>
      <w:rFonts w:eastAsia="宋体" w:cs="宋体"/>
      <w:kern w:val="2"/>
      <w:sz w:val="24"/>
      <w:lang w:val="en-US" w:eastAsia="zh-CN" w:bidi="ar-SA"/>
    </w:rPr>
  </w:style>
  <w:style w:type="character" w:customStyle="1" w:styleId="80">
    <w:name w:val="表正文 Char1"/>
    <w:uiPriority w:val="0"/>
    <w:rPr>
      <w:rFonts w:eastAsia="宋体"/>
      <w:kern w:val="2"/>
      <w:sz w:val="24"/>
      <w:lang w:val="en-US" w:eastAsia="zh-CN"/>
    </w:rPr>
  </w:style>
  <w:style w:type="character" w:customStyle="1" w:styleId="81">
    <w:name w:val="标题 6 Char"/>
    <w:link w:val="7"/>
    <w:qFormat/>
    <w:uiPriority w:val="9"/>
    <w:rPr>
      <w:rFonts w:ascii="Arial" w:hAnsi="Arial" w:eastAsia="黑体" w:cs="Times New Roman"/>
      <w:b/>
      <w:bCs/>
      <w:kern w:val="2"/>
      <w:sz w:val="24"/>
      <w:szCs w:val="24"/>
    </w:rPr>
  </w:style>
  <w:style w:type="character" w:customStyle="1" w:styleId="82">
    <w:name w:val="A C"/>
    <w:uiPriority w:val="0"/>
    <w:rPr>
      <w:rFonts w:ascii="仿宋_GB2312"/>
      <w:bCs/>
      <w:iCs/>
      <w:sz w:val="24"/>
    </w:rPr>
  </w:style>
  <w:style w:type="character" w:customStyle="1" w:styleId="83">
    <w:name w:val="大汉方案正文 Char1"/>
    <w:link w:val="84"/>
    <w:uiPriority w:val="0"/>
    <w:rPr>
      <w:rFonts w:ascii="Arial" w:hAnsi="Arial" w:eastAsia="宋体"/>
      <w:sz w:val="24"/>
      <w:szCs w:val="24"/>
      <w:lang w:bidi="ar-SA"/>
    </w:rPr>
  </w:style>
  <w:style w:type="paragraph" w:customStyle="1" w:styleId="84">
    <w:name w:val="大汉方案正文"/>
    <w:basedOn w:val="1"/>
    <w:link w:val="83"/>
    <w:uiPriority w:val="0"/>
    <w:pPr>
      <w:spacing w:line="360" w:lineRule="auto"/>
      <w:ind w:firstLine="200" w:firstLineChars="200"/>
    </w:pPr>
    <w:rPr>
      <w:rFonts w:ascii="Arial" w:hAnsi="Arial"/>
      <w:kern w:val="0"/>
      <w:sz w:val="24"/>
      <w:szCs w:val="24"/>
    </w:rPr>
  </w:style>
  <w:style w:type="character" w:customStyle="1" w:styleId="85">
    <w:name w:val="正 文 1 Char Char"/>
    <w:uiPriority w:val="0"/>
    <w:rPr>
      <w:rFonts w:ascii="宋体" w:hAnsi="Courier New" w:eastAsia="宋体"/>
      <w:kern w:val="2"/>
      <w:sz w:val="21"/>
      <w:lang w:val="en-US" w:eastAsia="zh-CN" w:bidi="ar-SA"/>
    </w:rPr>
  </w:style>
  <w:style w:type="character" w:customStyle="1" w:styleId="86">
    <w:name w:val="Char Char6"/>
    <w:uiPriority w:val="0"/>
    <w:rPr>
      <w:rFonts w:ascii="Calibri" w:hAnsi="Calibri" w:eastAsia="宋体"/>
      <w:b/>
      <w:bCs/>
      <w:kern w:val="2"/>
      <w:sz w:val="28"/>
      <w:szCs w:val="28"/>
      <w:lang w:bidi="ar-SA"/>
    </w:rPr>
  </w:style>
  <w:style w:type="character" w:customStyle="1" w:styleId="87">
    <w:name w:val="标题 1 Char1"/>
    <w:uiPriority w:val="0"/>
    <w:rPr>
      <w:rFonts w:cs="Times New Roman"/>
      <w:b/>
      <w:bCs/>
      <w:kern w:val="44"/>
      <w:sz w:val="44"/>
      <w:szCs w:val="44"/>
    </w:rPr>
  </w:style>
  <w:style w:type="character" w:customStyle="1" w:styleId="88">
    <w:name w:val="标题 2 Char"/>
    <w:qFormat/>
    <w:uiPriority w:val="9"/>
    <w:rPr>
      <w:rFonts w:ascii="Arial" w:hAnsi="Arial" w:eastAsia="黑体"/>
      <w:b/>
      <w:kern w:val="2"/>
      <w:sz w:val="32"/>
      <w:lang w:val="en-US" w:eastAsia="zh-CN"/>
    </w:rPr>
  </w:style>
  <w:style w:type="character" w:customStyle="1" w:styleId="89">
    <w:name w:val="仙居正文 Char"/>
    <w:link w:val="90"/>
    <w:uiPriority w:val="0"/>
    <w:rPr>
      <w:rFonts w:ascii="宋体" w:hAnsi="宋体"/>
      <w:sz w:val="24"/>
      <w:szCs w:val="24"/>
    </w:rPr>
  </w:style>
  <w:style w:type="paragraph" w:customStyle="1" w:styleId="90">
    <w:name w:val="仙居正文"/>
    <w:basedOn w:val="1"/>
    <w:link w:val="89"/>
    <w:qFormat/>
    <w:uiPriority w:val="0"/>
    <w:pPr>
      <w:spacing w:line="360" w:lineRule="auto"/>
      <w:ind w:firstLine="480" w:firstLineChars="200"/>
    </w:pPr>
    <w:rPr>
      <w:rFonts w:ascii="宋体" w:hAnsi="宋体"/>
      <w:kern w:val="0"/>
      <w:sz w:val="24"/>
      <w:szCs w:val="24"/>
    </w:rPr>
  </w:style>
  <w:style w:type="character" w:customStyle="1" w:styleId="91">
    <w:name w:val="tw4winJump"/>
    <w:uiPriority w:val="0"/>
    <w:rPr>
      <w:rFonts w:ascii="Courier New" w:hAnsi="Courier New"/>
      <w:color w:val="008080"/>
    </w:rPr>
  </w:style>
  <w:style w:type="character" w:customStyle="1" w:styleId="92">
    <w:name w:val="unnamed1"/>
    <w:basedOn w:val="63"/>
    <w:uiPriority w:val="0"/>
  </w:style>
  <w:style w:type="character" w:customStyle="1" w:styleId="93">
    <w:name w:val="样式(-) Char"/>
    <w:link w:val="94"/>
    <w:locked/>
    <w:uiPriority w:val="0"/>
    <w:rPr>
      <w:rFonts w:ascii="Calibri" w:hAnsi="Calibri" w:cs="Times New Roman"/>
      <w:b/>
      <w:kern w:val="2"/>
      <w:sz w:val="28"/>
      <w:szCs w:val="21"/>
    </w:rPr>
  </w:style>
  <w:style w:type="paragraph" w:customStyle="1" w:styleId="94">
    <w:name w:val="样式(-)"/>
    <w:basedOn w:val="95"/>
    <w:link w:val="93"/>
    <w:uiPriority w:val="0"/>
    <w:pPr>
      <w:numPr>
        <w:ilvl w:val="0"/>
        <w:numId w:val="7"/>
      </w:numPr>
      <w:spacing w:line="360" w:lineRule="auto"/>
      <w:ind w:firstLine="0" w:firstLineChars="0"/>
      <w:jc w:val="left"/>
    </w:pPr>
    <w:rPr>
      <w:rFonts w:eastAsia="仿宋"/>
      <w:b/>
      <w:sz w:val="28"/>
      <w:szCs w:val="21"/>
    </w:rPr>
  </w:style>
  <w:style w:type="paragraph" w:customStyle="1" w:styleId="95">
    <w:name w:val="浅色网格 - 强调文字颜色 31"/>
    <w:basedOn w:val="1"/>
    <w:link w:val="153"/>
    <w:qFormat/>
    <w:uiPriority w:val="0"/>
    <w:pPr>
      <w:ind w:firstLine="420" w:firstLineChars="200"/>
    </w:pPr>
    <w:rPr>
      <w:szCs w:val="24"/>
    </w:rPr>
  </w:style>
  <w:style w:type="character" w:customStyle="1" w:styleId="96">
    <w:name w:val="表正文 Char2"/>
    <w:uiPriority w:val="0"/>
    <w:rPr>
      <w:rFonts w:eastAsia="宋体"/>
      <w:kern w:val="2"/>
      <w:sz w:val="21"/>
      <w:lang w:val="en-US" w:eastAsia="zh-CN" w:bidi="ar-SA"/>
    </w:rPr>
  </w:style>
  <w:style w:type="character" w:customStyle="1" w:styleId="97">
    <w:name w:val="表格中文字 Char Char"/>
    <w:qFormat/>
    <w:uiPriority w:val="0"/>
    <w:rPr>
      <w:rFonts w:ascii="新宋体" w:hAnsi="新宋体" w:eastAsia="新宋体"/>
      <w:sz w:val="24"/>
      <w:szCs w:val="24"/>
      <w:lang w:bidi="ar-SA"/>
    </w:rPr>
  </w:style>
  <w:style w:type="character" w:customStyle="1" w:styleId="98">
    <w:name w:val="称呼 Char"/>
    <w:link w:val="22"/>
    <w:uiPriority w:val="0"/>
    <w:rPr>
      <w:rFonts w:ascii="宋体" w:hAnsi="Times New Roman"/>
      <w:b/>
      <w:kern w:val="2"/>
      <w:sz w:val="28"/>
    </w:rPr>
  </w:style>
  <w:style w:type="character" w:customStyle="1" w:styleId="99">
    <w:name w:val="文档结构图 Char"/>
    <w:link w:val="20"/>
    <w:uiPriority w:val="99"/>
    <w:rPr>
      <w:rFonts w:ascii="宋体"/>
      <w:kern w:val="2"/>
      <w:sz w:val="18"/>
      <w:szCs w:val="18"/>
    </w:rPr>
  </w:style>
  <w:style w:type="character" w:customStyle="1" w:styleId="100">
    <w:name w:val="ca-7"/>
    <w:basedOn w:val="63"/>
    <w:uiPriority w:val="0"/>
  </w:style>
  <w:style w:type="character" w:customStyle="1" w:styleId="101">
    <w:name w:val="公司一级标题"/>
    <w:uiPriority w:val="0"/>
    <w:rPr>
      <w:rFonts w:ascii="黑体" w:hAnsi="黑体" w:eastAsia="黑体"/>
      <w:color w:val="333300"/>
      <w:sz w:val="30"/>
    </w:rPr>
  </w:style>
  <w:style w:type="character" w:customStyle="1" w:styleId="102">
    <w:name w:val="a Char"/>
    <w:link w:val="103"/>
    <w:uiPriority w:val="0"/>
    <w:rPr>
      <w:rFonts w:ascii="宋体" w:hAnsi="宋体" w:eastAsia="仿宋_GB2312"/>
      <w:sz w:val="24"/>
      <w:lang w:val="en-US" w:eastAsia="zh-CN" w:bidi="ar-SA"/>
    </w:rPr>
  </w:style>
  <w:style w:type="paragraph" w:customStyle="1" w:styleId="103">
    <w:name w:val="a"/>
    <w:basedOn w:val="1"/>
    <w:link w:val="102"/>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04">
    <w:name w:val="headline-content2"/>
    <w:basedOn w:val="63"/>
    <w:uiPriority w:val="0"/>
  </w:style>
  <w:style w:type="character" w:customStyle="1" w:styleId="105">
    <w:name w:val="HTML 预设格式 Char"/>
    <w:link w:val="51"/>
    <w:uiPriority w:val="0"/>
    <w:rPr>
      <w:rFonts w:ascii="Courier New" w:hAnsi="Courier New" w:cs="Courier New"/>
      <w:kern w:val="2"/>
    </w:rPr>
  </w:style>
  <w:style w:type="character" w:customStyle="1" w:styleId="106">
    <w:name w:val="tw4winTerm"/>
    <w:uiPriority w:val="0"/>
    <w:rPr>
      <w:color w:val="0000FF"/>
    </w:rPr>
  </w:style>
  <w:style w:type="character" w:customStyle="1" w:styleId="107">
    <w:name w:val="正文样式_首行缩进2字符 Char"/>
    <w:link w:val="108"/>
    <w:uiPriority w:val="0"/>
    <w:rPr>
      <w:sz w:val="24"/>
      <w:szCs w:val="24"/>
    </w:rPr>
  </w:style>
  <w:style w:type="paragraph" w:customStyle="1" w:styleId="108">
    <w:name w:val="正文样式_首行缩进2字符"/>
    <w:basedOn w:val="1"/>
    <w:link w:val="107"/>
    <w:qFormat/>
    <w:uiPriority w:val="0"/>
    <w:pPr>
      <w:spacing w:line="360" w:lineRule="auto"/>
      <w:ind w:firstLine="480" w:firstLineChars="200"/>
    </w:pPr>
    <w:rPr>
      <w:kern w:val="0"/>
      <w:sz w:val="24"/>
      <w:szCs w:val="24"/>
    </w:rPr>
  </w:style>
  <w:style w:type="character" w:customStyle="1" w:styleId="109">
    <w:name w:val="正文4 Char Char"/>
    <w:uiPriority w:val="0"/>
    <w:rPr>
      <w:rFonts w:ascii="Calibri" w:hAnsi="Calibri" w:eastAsia="宋体"/>
      <w:kern w:val="2"/>
      <w:sz w:val="24"/>
      <w:szCs w:val="24"/>
      <w:lang w:bidi="ar-SA"/>
    </w:rPr>
  </w:style>
  <w:style w:type="character" w:customStyle="1" w:styleId="110">
    <w:name w:val="BodyText 2 Char Char"/>
    <w:link w:val="111"/>
    <w:uiPriority w:val="0"/>
    <w:rPr>
      <w:snapToGrid w:val="0"/>
      <w:sz w:val="24"/>
    </w:rPr>
  </w:style>
  <w:style w:type="paragraph" w:customStyle="1" w:styleId="111">
    <w:name w:val="BodyText 2"/>
    <w:basedOn w:val="1"/>
    <w:link w:val="110"/>
    <w:uiPriority w:val="0"/>
    <w:pPr>
      <w:widowControl/>
      <w:spacing w:before="120"/>
      <w:ind w:left="994"/>
    </w:pPr>
    <w:rPr>
      <w:snapToGrid w:val="0"/>
      <w:kern w:val="0"/>
      <w:sz w:val="24"/>
      <w:szCs w:val="20"/>
    </w:rPr>
  </w:style>
  <w:style w:type="character" w:customStyle="1" w:styleId="112">
    <w:name w:val="tw4winInternal"/>
    <w:uiPriority w:val="0"/>
    <w:rPr>
      <w:rFonts w:ascii="Courier New" w:hAnsi="Courier New"/>
      <w:color w:val="FF0000"/>
    </w:rPr>
  </w:style>
  <w:style w:type="character" w:customStyle="1" w:styleId="113">
    <w:name w:val="Z图表 Char"/>
    <w:link w:val="114"/>
    <w:uiPriority w:val="0"/>
    <w:rPr>
      <w:rFonts w:ascii="Times New Roman" w:hAnsi="Times New Roman" w:eastAsia="黑体"/>
      <w:sz w:val="24"/>
      <w:szCs w:val="24"/>
    </w:rPr>
  </w:style>
  <w:style w:type="paragraph" w:customStyle="1" w:styleId="114">
    <w:name w:val="Z图表"/>
    <w:basedOn w:val="18"/>
    <w:link w:val="113"/>
    <w:qFormat/>
    <w:uiPriority w:val="0"/>
    <w:pPr>
      <w:spacing w:beforeLines="50" w:afterLines="50"/>
      <w:jc w:val="center"/>
    </w:pPr>
    <w:rPr>
      <w:rFonts w:ascii="Times New Roman" w:hAnsi="Times New Roman"/>
      <w:kern w:val="0"/>
      <w:sz w:val="24"/>
      <w:szCs w:val="24"/>
    </w:rPr>
  </w:style>
  <w:style w:type="character" w:customStyle="1" w:styleId="115">
    <w:name w:val="标题 8 Char"/>
    <w:link w:val="9"/>
    <w:uiPriority w:val="0"/>
    <w:rPr>
      <w:rFonts w:ascii="Cambria" w:hAnsi="Cambria" w:eastAsia="宋体"/>
      <w:kern w:val="2"/>
      <w:sz w:val="24"/>
      <w:szCs w:val="24"/>
      <w:lang w:val="en-US" w:eastAsia="zh-CN" w:bidi="ar-SA"/>
    </w:rPr>
  </w:style>
  <w:style w:type="character" w:customStyle="1" w:styleId="116">
    <w:name w:val="标题4-dyf Char"/>
    <w:link w:val="117"/>
    <w:uiPriority w:val="0"/>
    <w:rPr>
      <w:rFonts w:ascii="Cambria" w:hAnsi="Cambria" w:eastAsia="宋体" w:cs="Times New Roman"/>
      <w:b/>
      <w:bCs/>
      <w:color w:val="000000"/>
      <w:kern w:val="2"/>
      <w:sz w:val="21"/>
      <w:szCs w:val="21"/>
    </w:rPr>
  </w:style>
  <w:style w:type="paragraph" w:customStyle="1" w:styleId="117">
    <w:name w:val="标题4-dyf"/>
    <w:basedOn w:val="5"/>
    <w:link w:val="116"/>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118">
    <w:name w:val="无间隔 Char"/>
    <w:link w:val="119"/>
    <w:uiPriority w:val="0"/>
    <w:rPr>
      <w:rFonts w:ascii="Times New Roman" w:hAnsi="Times New Roman" w:eastAsia="Times New Roman"/>
      <w:sz w:val="22"/>
      <w:lang w:val="en-US" w:eastAsia="zh-CN" w:bidi="ar-SA"/>
    </w:rPr>
  </w:style>
  <w:style w:type="paragraph" w:customStyle="1" w:styleId="119">
    <w:name w:val="无间隔1"/>
    <w:link w:val="118"/>
    <w:uiPriority w:val="0"/>
    <w:rPr>
      <w:rFonts w:ascii="Times New Roman" w:hAnsi="Times New Roman" w:eastAsia="Times New Roman" w:cs="Times New Roman"/>
      <w:sz w:val="22"/>
      <w:lang w:val="en-US" w:eastAsia="zh-CN" w:bidi="ar-SA"/>
    </w:rPr>
  </w:style>
  <w:style w:type="character" w:customStyle="1" w:styleId="120">
    <w:name w:val="ZJGIS图表 Char"/>
    <w:link w:val="121"/>
    <w:uiPriority w:val="0"/>
    <w:rPr>
      <w:rFonts w:ascii="Times New Roman" w:hAnsi="Times New Roman" w:eastAsia="黑体"/>
      <w:color w:val="000000"/>
      <w:sz w:val="24"/>
      <w:szCs w:val="24"/>
    </w:rPr>
  </w:style>
  <w:style w:type="paragraph" w:customStyle="1" w:styleId="121">
    <w:name w:val="ZJGIS图表"/>
    <w:basedOn w:val="1"/>
    <w:link w:val="120"/>
    <w:qFormat/>
    <w:uiPriority w:val="0"/>
    <w:pPr>
      <w:jc w:val="center"/>
    </w:pPr>
    <w:rPr>
      <w:rFonts w:ascii="Times New Roman" w:hAnsi="Times New Roman" w:eastAsia="黑体"/>
      <w:color w:val="000000"/>
      <w:kern w:val="0"/>
      <w:sz w:val="24"/>
      <w:szCs w:val="24"/>
    </w:rPr>
  </w:style>
  <w:style w:type="character" w:customStyle="1" w:styleId="122">
    <w:name w:val="H1 Char2"/>
    <w:uiPriority w:val="0"/>
    <w:rPr>
      <w:rFonts w:eastAsia="隶书"/>
      <w:b/>
      <w:bCs/>
      <w:sz w:val="36"/>
      <w:szCs w:val="36"/>
      <w:lang w:val="en-US" w:eastAsia="zh-CN" w:bidi="ar-SA"/>
    </w:rPr>
  </w:style>
  <w:style w:type="character" w:customStyle="1" w:styleId="123">
    <w:name w:val="info4"/>
    <w:basedOn w:val="63"/>
    <w:uiPriority w:val="0"/>
  </w:style>
  <w:style w:type="character" w:customStyle="1" w:styleId="124">
    <w:name w:val="content"/>
    <w:basedOn w:val="63"/>
    <w:uiPriority w:val="0"/>
  </w:style>
  <w:style w:type="character" w:customStyle="1" w:styleId="125">
    <w:name w:val="普通文字 Char Char2"/>
    <w:qFormat/>
    <w:uiPriority w:val="0"/>
    <w:rPr>
      <w:rFonts w:ascii="宋体" w:hAnsi="Courier New" w:eastAsia="宋体"/>
      <w:sz w:val="21"/>
      <w:lang w:val="en-US" w:eastAsia="zh-CN" w:bidi="ar-SA"/>
    </w:rPr>
  </w:style>
  <w:style w:type="character" w:customStyle="1" w:styleId="126">
    <w:name w:val="列表1 Char Char"/>
    <w:link w:val="127"/>
    <w:uiPriority w:val="0"/>
    <w:rPr>
      <w:rFonts w:ascii="Century" w:hAnsi="Century"/>
      <w:kern w:val="2"/>
      <w:sz w:val="21"/>
      <w:szCs w:val="21"/>
    </w:rPr>
  </w:style>
  <w:style w:type="paragraph" w:customStyle="1" w:styleId="127">
    <w:name w:val="列表11"/>
    <w:basedOn w:val="1"/>
    <w:link w:val="126"/>
    <w:uiPriority w:val="0"/>
    <w:pPr>
      <w:tabs>
        <w:tab w:val="left" w:pos="840"/>
      </w:tabs>
      <w:spacing w:line="360" w:lineRule="auto"/>
      <w:ind w:left="840" w:hanging="420"/>
      <w:jc w:val="left"/>
    </w:pPr>
    <w:rPr>
      <w:rFonts w:ascii="Century" w:hAnsi="Century"/>
      <w:szCs w:val="21"/>
    </w:rPr>
  </w:style>
  <w:style w:type="character" w:customStyle="1" w:styleId="128">
    <w:name w:val="标题 7 Char"/>
    <w:link w:val="8"/>
    <w:qFormat/>
    <w:uiPriority w:val="9"/>
    <w:rPr>
      <w:rFonts w:ascii="Calibri" w:hAnsi="Calibri" w:eastAsia="宋体" w:cs="Times New Roman"/>
      <w:b/>
      <w:bCs/>
      <w:kern w:val="2"/>
      <w:sz w:val="24"/>
      <w:szCs w:val="24"/>
    </w:rPr>
  </w:style>
  <w:style w:type="character" w:customStyle="1" w:styleId="129">
    <w:name w:val="Head 2"/>
    <w:uiPriority w:val="0"/>
    <w:rPr>
      <w:rFonts w:ascii="仿宋_GB2312"/>
      <w:bCs/>
      <w:iCs/>
      <w:sz w:val="24"/>
    </w:rPr>
  </w:style>
  <w:style w:type="character" w:customStyle="1" w:styleId="130">
    <w:name w:val="ZJ正文 Char"/>
    <w:link w:val="131"/>
    <w:uiPriority w:val="0"/>
    <w:rPr>
      <w:rFonts w:ascii="Times New Roman" w:hAnsi="Times New Roman"/>
      <w:sz w:val="24"/>
      <w:szCs w:val="24"/>
    </w:rPr>
  </w:style>
  <w:style w:type="paragraph" w:customStyle="1" w:styleId="131">
    <w:name w:val="ZJ正文"/>
    <w:basedOn w:val="1"/>
    <w:link w:val="130"/>
    <w:qFormat/>
    <w:uiPriority w:val="0"/>
    <w:pPr>
      <w:spacing w:line="360" w:lineRule="auto"/>
      <w:ind w:firstLine="480" w:firstLineChars="200"/>
    </w:pPr>
    <w:rPr>
      <w:rFonts w:ascii="Times New Roman" w:hAnsi="Times New Roman"/>
      <w:kern w:val="0"/>
      <w:sz w:val="24"/>
      <w:szCs w:val="24"/>
    </w:rPr>
  </w:style>
  <w:style w:type="character" w:customStyle="1" w:styleId="132">
    <w:name w:val="t_tag"/>
    <w:basedOn w:val="63"/>
    <w:uiPriority w:val="0"/>
  </w:style>
  <w:style w:type="character" w:customStyle="1" w:styleId="133">
    <w:name w:val="p71"/>
    <w:uiPriority w:val="0"/>
    <w:rPr>
      <w:sz w:val="21"/>
    </w:rPr>
  </w:style>
  <w:style w:type="character" w:customStyle="1" w:styleId="134">
    <w:name w:val="文档结构图 Char1"/>
    <w:uiPriority w:val="0"/>
    <w:rPr>
      <w:rFonts w:ascii="宋体" w:hAnsi="Courier New" w:eastAsia="宋体"/>
      <w:sz w:val="21"/>
      <w:lang w:val="en-US" w:eastAsia="zh-CN" w:bidi="ar-SA"/>
    </w:rPr>
  </w:style>
  <w:style w:type="character" w:customStyle="1" w:styleId="135">
    <w:name w:val="样式 小四"/>
    <w:uiPriority w:val="0"/>
    <w:rPr>
      <w:sz w:val="21"/>
    </w:rPr>
  </w:style>
  <w:style w:type="character" w:customStyle="1" w:styleId="136">
    <w:name w:val="页眉 Char Char"/>
    <w:qFormat/>
    <w:uiPriority w:val="0"/>
    <w:rPr>
      <w:kern w:val="2"/>
      <w:sz w:val="18"/>
      <w:szCs w:val="18"/>
      <w:lang w:bidi="ar-SA"/>
    </w:rPr>
  </w:style>
  <w:style w:type="character" w:customStyle="1" w:styleId="137">
    <w:name w:val="font9_black_line14"/>
    <w:basedOn w:val="63"/>
    <w:uiPriority w:val="0"/>
  </w:style>
  <w:style w:type="character" w:customStyle="1" w:styleId="138">
    <w:name w:val="粘贴正文 Char"/>
    <w:link w:val="139"/>
    <w:uiPriority w:val="0"/>
    <w:rPr>
      <w:rFonts w:ascii="Times New Roman" w:hAnsi="Times New Roman"/>
      <w:kern w:val="2"/>
      <w:sz w:val="24"/>
      <w:szCs w:val="21"/>
      <w:lang w:val="en-US" w:eastAsia="zh-CN" w:bidi="ar-SA"/>
    </w:rPr>
  </w:style>
  <w:style w:type="paragraph" w:customStyle="1" w:styleId="139">
    <w:name w:val="粘贴正文"/>
    <w:link w:val="138"/>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140">
    <w:name w:val="tpc_content1"/>
    <w:uiPriority w:val="0"/>
    <w:rPr>
      <w:sz w:val="20"/>
      <w:szCs w:val="20"/>
    </w:rPr>
  </w:style>
  <w:style w:type="character" w:customStyle="1" w:styleId="141">
    <w:name w:val="Char Char7"/>
    <w:uiPriority w:val="0"/>
    <w:rPr>
      <w:rFonts w:eastAsia="宋体"/>
      <w:b/>
      <w:kern w:val="2"/>
      <w:sz w:val="32"/>
      <w:lang w:bidi="ar-SA"/>
    </w:rPr>
  </w:style>
  <w:style w:type="character" w:customStyle="1" w:styleId="142">
    <w:name w:val="Heading 2 Char"/>
    <w:uiPriority w:val="0"/>
    <w:rPr>
      <w:rFonts w:ascii="Cambria" w:hAnsi="Cambria" w:eastAsia="宋体" w:cs="Cambria"/>
      <w:b/>
      <w:bCs/>
      <w:sz w:val="32"/>
      <w:szCs w:val="32"/>
      <w:lang w:val="en-US" w:eastAsia="zh-CN" w:bidi="ar-SA"/>
    </w:rPr>
  </w:style>
  <w:style w:type="character" w:customStyle="1" w:styleId="143">
    <w:name w:val="maywed421"/>
    <w:uiPriority w:val="0"/>
    <w:rPr>
      <w:color w:val="366FB6"/>
      <w:u w:val="none"/>
    </w:rPr>
  </w:style>
  <w:style w:type="character" w:customStyle="1" w:styleId="144">
    <w:name w:val="表格抬头 Char"/>
    <w:link w:val="145"/>
    <w:locked/>
    <w:uiPriority w:val="0"/>
    <w:rPr>
      <w:rFonts w:ascii="黑体" w:eastAsia="黑体"/>
      <w:b/>
      <w:kern w:val="2"/>
      <w:sz w:val="21"/>
    </w:rPr>
  </w:style>
  <w:style w:type="paragraph" w:customStyle="1" w:styleId="145">
    <w:name w:val="表格抬头"/>
    <w:basedOn w:val="1"/>
    <w:link w:val="144"/>
    <w:uiPriority w:val="0"/>
    <w:pPr>
      <w:jc w:val="center"/>
    </w:pPr>
    <w:rPr>
      <w:rFonts w:ascii="黑体" w:eastAsia="黑体"/>
      <w:b/>
      <w:szCs w:val="20"/>
    </w:rPr>
  </w:style>
  <w:style w:type="character" w:customStyle="1" w:styleId="146">
    <w:name w:val="greyfont1"/>
    <w:uiPriority w:val="0"/>
    <w:rPr>
      <w:b/>
      <w:bCs/>
      <w:color w:val="666666"/>
    </w:rPr>
  </w:style>
  <w:style w:type="character" w:customStyle="1" w:styleId="147">
    <w:name w:val="pt91"/>
    <w:uiPriority w:val="0"/>
    <w:rPr>
      <w:rFonts w:hint="default"/>
      <w:spacing w:val="240"/>
      <w:sz w:val="18"/>
      <w:szCs w:val="18"/>
    </w:rPr>
  </w:style>
  <w:style w:type="character" w:customStyle="1" w:styleId="148">
    <w:name w:val="title14"/>
    <w:basedOn w:val="63"/>
    <w:uiPriority w:val="0"/>
  </w:style>
  <w:style w:type="character" w:customStyle="1" w:styleId="149">
    <w:name w:val="样式41"/>
    <w:uiPriority w:val="0"/>
    <w:rPr>
      <w:color w:val="3366CC"/>
      <w:sz w:val="21"/>
      <w:szCs w:val="21"/>
    </w:rPr>
  </w:style>
  <w:style w:type="character" w:customStyle="1" w:styleId="150">
    <w:name w:val="正文s Char"/>
    <w:link w:val="151"/>
    <w:uiPriority w:val="0"/>
    <w:rPr>
      <w:rFonts w:ascii="Arial" w:hAnsi="Arial"/>
    </w:rPr>
  </w:style>
  <w:style w:type="paragraph" w:customStyle="1" w:styleId="151">
    <w:name w:val="正文s"/>
    <w:basedOn w:val="1"/>
    <w:link w:val="150"/>
    <w:uiPriority w:val="0"/>
    <w:pPr>
      <w:spacing w:beforeLines="50" w:line="360" w:lineRule="exact"/>
      <w:ind w:left="420"/>
    </w:pPr>
    <w:rPr>
      <w:rFonts w:ascii="Arial" w:hAnsi="Arial"/>
      <w:kern w:val="0"/>
      <w:sz w:val="20"/>
      <w:szCs w:val="20"/>
    </w:rPr>
  </w:style>
  <w:style w:type="character" w:customStyle="1" w:styleId="152">
    <w:name w:val="标题 9 Char"/>
    <w:link w:val="10"/>
    <w:uiPriority w:val="0"/>
    <w:rPr>
      <w:rFonts w:ascii="Cambria" w:hAnsi="Cambria" w:eastAsia="宋体"/>
      <w:kern w:val="2"/>
      <w:sz w:val="21"/>
      <w:szCs w:val="21"/>
      <w:lang w:val="en-US" w:eastAsia="zh-CN" w:bidi="ar-SA"/>
    </w:rPr>
  </w:style>
  <w:style w:type="character" w:customStyle="1" w:styleId="153">
    <w:name w:val="浅色网格 - 强调文字颜色 3 Char1"/>
    <w:link w:val="95"/>
    <w:uiPriority w:val="0"/>
    <w:rPr>
      <w:rFonts w:eastAsia="宋体"/>
      <w:kern w:val="2"/>
      <w:sz w:val="21"/>
      <w:szCs w:val="24"/>
      <w:lang w:val="en-US" w:eastAsia="zh-CN" w:bidi="ar-SA"/>
    </w:rPr>
  </w:style>
  <w:style w:type="character" w:customStyle="1" w:styleId="154">
    <w:name w:val="b11_01b Char"/>
    <w:link w:val="155"/>
    <w:uiPriority w:val="0"/>
    <w:rPr>
      <w:rFonts w:ascii="Verdana" w:hAnsi="Verdana" w:eastAsia="宋体"/>
      <w:b/>
      <w:bCs/>
      <w:color w:val="4A82CA"/>
      <w:sz w:val="17"/>
      <w:szCs w:val="17"/>
      <w:lang w:val="en-US" w:eastAsia="zh-CN" w:bidi="ar-SA"/>
    </w:rPr>
  </w:style>
  <w:style w:type="paragraph" w:customStyle="1" w:styleId="155">
    <w:name w:val="b11_01b"/>
    <w:basedOn w:val="1"/>
    <w:next w:val="1"/>
    <w:link w:val="154"/>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6">
    <w:name w:val="列出段落 Char"/>
    <w:link w:val="157"/>
    <w:qFormat/>
    <w:uiPriority w:val="99"/>
    <w:rPr>
      <w:kern w:val="2"/>
      <w:sz w:val="21"/>
      <w:szCs w:val="22"/>
    </w:rPr>
  </w:style>
  <w:style w:type="paragraph" w:styleId="157">
    <w:name w:val="List Paragraph"/>
    <w:basedOn w:val="1"/>
    <w:link w:val="156"/>
    <w:qFormat/>
    <w:uiPriority w:val="99"/>
    <w:pPr>
      <w:ind w:firstLine="420" w:firstLineChars="200"/>
    </w:pPr>
  </w:style>
  <w:style w:type="character" w:customStyle="1" w:styleId="158">
    <w:name w:val="para"/>
    <w:basedOn w:val="63"/>
    <w:uiPriority w:val="0"/>
  </w:style>
  <w:style w:type="character" w:customStyle="1" w:styleId="159">
    <w:name w:val="文档正文1 Char Char"/>
    <w:uiPriority w:val="0"/>
    <w:rPr>
      <w:rFonts w:ascii="仿宋_GB2312" w:hAnsi="仿宋" w:eastAsia="仿宋_GB2312"/>
      <w:kern w:val="2"/>
      <w:sz w:val="30"/>
      <w:szCs w:val="30"/>
      <w:lang w:bidi="ar-SA"/>
    </w:rPr>
  </w:style>
  <w:style w:type="character" w:customStyle="1" w:styleId="160">
    <w:name w:val="脚注文本 Char"/>
    <w:link w:val="44"/>
    <w:uiPriority w:val="99"/>
    <w:rPr>
      <w:kern w:val="2"/>
      <w:sz w:val="18"/>
      <w:szCs w:val="18"/>
    </w:rPr>
  </w:style>
  <w:style w:type="character" w:customStyle="1" w:styleId="161">
    <w:name w:val="加重文字 Char"/>
    <w:link w:val="162"/>
    <w:locked/>
    <w:uiPriority w:val="0"/>
    <w:rPr>
      <w:b/>
      <w:bCs/>
      <w:kern w:val="2"/>
      <w:sz w:val="24"/>
      <w:szCs w:val="24"/>
      <w:u w:val="thick"/>
    </w:rPr>
  </w:style>
  <w:style w:type="paragraph" w:customStyle="1" w:styleId="162">
    <w:name w:val="加重文字"/>
    <w:basedOn w:val="163"/>
    <w:link w:val="161"/>
    <w:uiPriority w:val="0"/>
    <w:pPr>
      <w:ind w:firstLine="0" w:firstLineChars="0"/>
    </w:pPr>
    <w:rPr>
      <w:b/>
      <w:bCs/>
      <w:u w:val="thick"/>
    </w:rPr>
  </w:style>
  <w:style w:type="paragraph" w:customStyle="1" w:styleId="163">
    <w:name w:val="标准文本"/>
    <w:basedOn w:val="1"/>
    <w:link w:val="178"/>
    <w:uiPriority w:val="0"/>
    <w:pPr>
      <w:spacing w:line="360" w:lineRule="auto"/>
      <w:ind w:firstLine="480" w:firstLineChars="200"/>
    </w:pPr>
    <w:rPr>
      <w:sz w:val="24"/>
      <w:szCs w:val="24"/>
    </w:rPr>
  </w:style>
  <w:style w:type="character" w:customStyle="1" w:styleId="164">
    <w:name w:val="H1 Char3"/>
    <w:uiPriority w:val="0"/>
    <w:rPr>
      <w:rFonts w:eastAsia="隶书"/>
      <w:b/>
      <w:bCs/>
      <w:sz w:val="36"/>
      <w:szCs w:val="36"/>
      <w:lang w:val="en-US" w:eastAsia="zh-CN" w:bidi="ar-SA"/>
    </w:rPr>
  </w:style>
  <w:style w:type="character" w:customStyle="1" w:styleId="165">
    <w:name w:val="尾注文本 Char"/>
    <w:link w:val="36"/>
    <w:uiPriority w:val="0"/>
    <w:rPr>
      <w:rFonts w:ascii="宋体" w:hAnsi="Calibri" w:eastAsia="宋体" w:cs="Times New Roman"/>
      <w:snapToGrid w:val="0"/>
      <w:sz w:val="21"/>
    </w:rPr>
  </w:style>
  <w:style w:type="character" w:customStyle="1" w:styleId="166">
    <w:name w:val="style181"/>
    <w:uiPriority w:val="0"/>
    <w:rPr>
      <w:rFonts w:hint="default" w:ascii="Arial" w:hAnsi="Arial" w:cs="Arial"/>
      <w:color w:val="000000"/>
      <w:sz w:val="18"/>
      <w:szCs w:val="18"/>
    </w:rPr>
  </w:style>
  <w:style w:type="character" w:customStyle="1" w:styleId="167">
    <w:name w:val="吉奥正文 Char2"/>
    <w:link w:val="168"/>
    <w:qFormat/>
    <w:uiPriority w:val="0"/>
    <w:rPr>
      <w:rFonts w:ascii="Times New Roman" w:hAnsi="Times New Roman" w:eastAsia="仿宋_GB2312"/>
      <w:sz w:val="24"/>
    </w:rPr>
  </w:style>
  <w:style w:type="paragraph" w:customStyle="1" w:styleId="168">
    <w:name w:val="吉奥正文"/>
    <w:basedOn w:val="1"/>
    <w:link w:val="167"/>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169">
    <w:name w:val="flname7"/>
    <w:basedOn w:val="63"/>
    <w:uiPriority w:val="0"/>
  </w:style>
  <w:style w:type="character" w:customStyle="1" w:styleId="170">
    <w:name w:val="header odd Char Char1"/>
    <w:uiPriority w:val="0"/>
    <w:rPr>
      <w:rFonts w:eastAsia="宋体"/>
      <w:kern w:val="2"/>
      <w:sz w:val="18"/>
      <w:szCs w:val="18"/>
      <w:lang w:val="en-US" w:eastAsia="zh-CN" w:bidi="ar-SA"/>
    </w:rPr>
  </w:style>
  <w:style w:type="character" w:customStyle="1" w:styleId="171">
    <w:name w:val="一级标题 Char Char"/>
    <w:uiPriority w:val="0"/>
    <w:rPr>
      <w:rFonts w:eastAsia="仿宋"/>
      <w:b/>
      <w:kern w:val="44"/>
      <w:sz w:val="28"/>
      <w:lang w:val="en-US" w:eastAsia="zh-CN" w:bidi="ar-SA"/>
    </w:rPr>
  </w:style>
  <w:style w:type="character" w:customStyle="1" w:styleId="172">
    <w:name w:val="Char Char12"/>
    <w:uiPriority w:val="0"/>
    <w:rPr>
      <w:rFonts w:ascii="宋体" w:hAnsi="Courier New" w:eastAsia="宋体" w:cs="Times New Roman"/>
      <w:spacing w:val="-4"/>
      <w:sz w:val="18"/>
      <w:szCs w:val="20"/>
    </w:rPr>
  </w:style>
  <w:style w:type="character" w:customStyle="1" w:styleId="173">
    <w:name w:val="标题 Char"/>
    <w:link w:val="54"/>
    <w:uiPriority w:val="0"/>
    <w:rPr>
      <w:rFonts w:ascii="Arial" w:hAnsi="Arial" w:cs="Arial"/>
      <w:b/>
      <w:bCs/>
      <w:kern w:val="2"/>
      <w:sz w:val="32"/>
      <w:szCs w:val="32"/>
    </w:rPr>
  </w:style>
  <w:style w:type="character" w:customStyle="1" w:styleId="174">
    <w:name w:val="标题 5 Char"/>
    <w:link w:val="6"/>
    <w:uiPriority w:val="9"/>
    <w:rPr>
      <w:rFonts w:ascii="Calibri" w:hAnsi="Calibri" w:eastAsia="宋体" w:cs="Times New Roman"/>
      <w:b/>
      <w:bCs/>
      <w:kern w:val="2"/>
      <w:sz w:val="28"/>
      <w:szCs w:val="28"/>
    </w:rPr>
  </w:style>
  <w:style w:type="character" w:customStyle="1" w:styleId="175">
    <w:name w:val="huide001"/>
    <w:uiPriority w:val="0"/>
    <w:rPr>
      <w:rFonts w:hint="default" w:ascii="Arial" w:hAnsi="Arial" w:cs="Arial"/>
      <w:color w:val="666666"/>
      <w:sz w:val="18"/>
      <w:szCs w:val="18"/>
    </w:rPr>
  </w:style>
  <w:style w:type="character" w:customStyle="1" w:styleId="176">
    <w:name w:val="Title Char"/>
    <w:uiPriority w:val="0"/>
    <w:rPr>
      <w:rFonts w:ascii="Cambria" w:hAnsi="Cambria" w:eastAsia="宋体" w:cs="Cambria"/>
      <w:b/>
      <w:bCs/>
      <w:sz w:val="32"/>
      <w:szCs w:val="32"/>
      <w:lang w:val="en-US" w:eastAsia="zh-CN" w:bidi="ar-SA"/>
    </w:rPr>
  </w:style>
  <w:style w:type="character" w:customStyle="1" w:styleId="177">
    <w:name w:val="text_show1"/>
    <w:uiPriority w:val="0"/>
    <w:rPr>
      <w:color w:val="000000"/>
      <w:sz w:val="21"/>
      <w:szCs w:val="21"/>
      <w:u w:val="none"/>
    </w:rPr>
  </w:style>
  <w:style w:type="character" w:customStyle="1" w:styleId="178">
    <w:name w:val="标准文本 Char"/>
    <w:link w:val="163"/>
    <w:locked/>
    <w:uiPriority w:val="0"/>
    <w:rPr>
      <w:kern w:val="2"/>
      <w:sz w:val="24"/>
      <w:szCs w:val="24"/>
    </w:rPr>
  </w:style>
  <w:style w:type="character" w:customStyle="1" w:styleId="179">
    <w:name w:val="Char Char4"/>
    <w:uiPriority w:val="0"/>
    <w:rPr>
      <w:rFonts w:ascii="Calibri" w:hAnsi="Calibri" w:eastAsia="宋体"/>
      <w:sz w:val="18"/>
      <w:szCs w:val="18"/>
      <w:lang w:bidi="ar-SA"/>
    </w:rPr>
  </w:style>
  <w:style w:type="character" w:customStyle="1" w:styleId="180">
    <w:name w:val="Char Char141"/>
    <w:uiPriority w:val="0"/>
    <w:rPr>
      <w:rFonts w:ascii="楷体_GB2312" w:eastAsia="楷体_GB2312"/>
      <w:kern w:val="2"/>
      <w:sz w:val="32"/>
      <w:lang w:val="en-US" w:eastAsia="zh-CN" w:bidi="ar-SA"/>
    </w:rPr>
  </w:style>
  <w:style w:type="character" w:customStyle="1" w:styleId="181">
    <w:name w:val="Header Char"/>
    <w:semiHidden/>
    <w:locked/>
    <w:uiPriority w:val="0"/>
    <w:rPr>
      <w:rFonts w:ascii="Times New Roman" w:hAnsi="Times New Roman" w:eastAsia="宋体" w:cs="Times New Roman"/>
      <w:sz w:val="18"/>
      <w:szCs w:val="18"/>
    </w:rPr>
  </w:style>
  <w:style w:type="character" w:customStyle="1" w:styleId="182">
    <w:name w:val="p21"/>
    <w:uiPriority w:val="0"/>
    <w:rPr>
      <w:rFonts w:hint="default" w:ascii="Arial" w:hAnsi="Arial"/>
      <w:color w:val="333333"/>
      <w:sz w:val="18"/>
      <w:u w:val="none"/>
    </w:rPr>
  </w:style>
  <w:style w:type="character" w:customStyle="1" w:styleId="183">
    <w:name w:val="Footer Char"/>
    <w:semiHidden/>
    <w:locked/>
    <w:uiPriority w:val="0"/>
    <w:rPr>
      <w:rFonts w:ascii="Times New Roman" w:hAnsi="Times New Roman" w:eastAsia="宋体" w:cs="Times New Roman"/>
      <w:sz w:val="18"/>
      <w:szCs w:val="18"/>
    </w:rPr>
  </w:style>
  <w:style w:type="character" w:customStyle="1" w:styleId="184">
    <w:name w:val="Normal Indent Char Char"/>
    <w:uiPriority w:val="0"/>
    <w:rPr>
      <w:rFonts w:eastAsia="宋体"/>
      <w:kern w:val="2"/>
      <w:sz w:val="21"/>
      <w:szCs w:val="24"/>
      <w:lang w:val="en-US" w:eastAsia="zh-CN" w:bidi="ar-SA"/>
    </w:rPr>
  </w:style>
  <w:style w:type="character" w:customStyle="1" w:styleId="185">
    <w:name w:val="Char Char8"/>
    <w:uiPriority w:val="0"/>
    <w:rPr>
      <w:rFonts w:ascii="Arial" w:hAnsi="Arial" w:eastAsia="黑体"/>
      <w:b/>
      <w:bCs/>
      <w:kern w:val="2"/>
      <w:sz w:val="32"/>
      <w:szCs w:val="32"/>
      <w:lang w:val="en-US" w:eastAsia="zh-CN" w:bidi="ar-SA"/>
    </w:rPr>
  </w:style>
  <w:style w:type="character" w:customStyle="1" w:styleId="186">
    <w:name w:val="List Paragraph Char"/>
    <w:link w:val="187"/>
    <w:locked/>
    <w:uiPriority w:val="0"/>
    <w:rPr>
      <w:rFonts w:ascii="Times New Roman" w:hAnsi="Times New Roman"/>
      <w:kern w:val="2"/>
      <w:sz w:val="21"/>
      <w:szCs w:val="24"/>
    </w:rPr>
  </w:style>
  <w:style w:type="paragraph" w:customStyle="1" w:styleId="187">
    <w:name w:val="列出段落1"/>
    <w:basedOn w:val="1"/>
    <w:link w:val="186"/>
    <w:qFormat/>
    <w:uiPriority w:val="99"/>
    <w:pPr>
      <w:ind w:firstLine="420" w:firstLineChars="200"/>
    </w:pPr>
    <w:rPr>
      <w:rFonts w:ascii="Times New Roman" w:hAnsi="Times New Roman"/>
      <w:szCs w:val="24"/>
    </w:rPr>
  </w:style>
  <w:style w:type="character" w:customStyle="1" w:styleId="188">
    <w:name w:val="Balloon Text Char"/>
    <w:semiHidden/>
    <w:locked/>
    <w:uiPriority w:val="0"/>
    <w:rPr>
      <w:rFonts w:ascii="Times New Roman" w:hAnsi="Times New Roman" w:eastAsia="宋体" w:cs="Times New Roman"/>
      <w:sz w:val="18"/>
      <w:szCs w:val="18"/>
    </w:rPr>
  </w:style>
  <w:style w:type="character" w:customStyle="1" w:styleId="189">
    <w:name w:val="书籍标题1"/>
    <w:qFormat/>
    <w:uiPriority w:val="33"/>
    <w:rPr>
      <w:b/>
      <w:bCs/>
      <w:smallCaps/>
      <w:spacing w:val="5"/>
    </w:rPr>
  </w:style>
  <w:style w:type="character" w:customStyle="1" w:styleId="190">
    <w:name w:val="标题 1 Char"/>
    <w:link w:val="2"/>
    <w:qFormat/>
    <w:uiPriority w:val="9"/>
    <w:rPr>
      <w:rFonts w:ascii="Calibri" w:hAnsi="Calibri" w:eastAsia="隶书" w:cs="Times New Roman"/>
      <w:b/>
      <w:bCs/>
      <w:sz w:val="36"/>
      <w:szCs w:val="36"/>
    </w:rPr>
  </w:style>
  <w:style w:type="character" w:customStyle="1" w:styleId="191">
    <w:name w:val="tw4winMark"/>
    <w:uiPriority w:val="0"/>
    <w:rPr>
      <w:rFonts w:ascii="Courier New" w:hAnsi="Courier New"/>
      <w:vanish/>
      <w:color w:val="800080"/>
      <w:vertAlign w:val="subscript"/>
    </w:rPr>
  </w:style>
  <w:style w:type="character" w:customStyle="1" w:styleId="192">
    <w:name w:val="Item List in Table Char Char"/>
    <w:link w:val="193"/>
    <w:locked/>
    <w:uiPriority w:val="0"/>
    <w:rPr>
      <w:rFonts w:ascii="Arial" w:hAnsi="Arial" w:eastAsia="宋体" w:cs="Times New Roman"/>
      <w:sz w:val="18"/>
      <w:szCs w:val="18"/>
    </w:rPr>
  </w:style>
  <w:style w:type="paragraph" w:customStyle="1" w:styleId="193">
    <w:name w:val="Item List in Table"/>
    <w:link w:val="192"/>
    <w:uiPriority w:val="0"/>
    <w:pPr>
      <w:numPr>
        <w:ilvl w:val="0"/>
        <w:numId w:val="8"/>
      </w:numPr>
      <w:spacing w:before="40" w:after="40"/>
      <w:jc w:val="both"/>
    </w:pPr>
    <w:rPr>
      <w:rFonts w:ascii="Arial" w:hAnsi="Arial" w:eastAsia="宋体" w:cs="Times New Roman"/>
      <w:sz w:val="18"/>
      <w:szCs w:val="18"/>
      <w:lang w:val="en-US" w:eastAsia="zh-CN" w:bidi="ar-SA"/>
    </w:rPr>
  </w:style>
  <w:style w:type="character" w:customStyle="1" w:styleId="194">
    <w:name w:val="Char Char2"/>
    <w:uiPriority w:val="0"/>
    <w:rPr>
      <w:rFonts w:ascii="宋体" w:hAnsi="Courier New" w:eastAsia="宋体"/>
      <w:sz w:val="21"/>
      <w:lang w:val="en-US" w:eastAsia="zh-CN" w:bidi="ar-SA"/>
    </w:rPr>
  </w:style>
  <w:style w:type="character" w:customStyle="1" w:styleId="195">
    <w:name w:val="正文文本 Char"/>
    <w:link w:val="24"/>
    <w:qFormat/>
    <w:uiPriority w:val="0"/>
    <w:rPr>
      <w:rFonts w:eastAsia="宋体"/>
      <w:kern w:val="2"/>
      <w:sz w:val="28"/>
      <w:szCs w:val="24"/>
      <w:lang w:val="en-US" w:eastAsia="zh-CN" w:bidi="ar-SA"/>
    </w:rPr>
  </w:style>
  <w:style w:type="character" w:customStyle="1" w:styleId="196">
    <w:name w:val="paragraph1 Char Char"/>
    <w:uiPriority w:val="0"/>
    <w:rPr>
      <w:rFonts w:eastAsia="楷体_GB2312"/>
      <w:kern w:val="2"/>
      <w:sz w:val="24"/>
      <w:lang w:val="en-US" w:eastAsia="zh-CN" w:bidi="ar-SA"/>
    </w:rPr>
  </w:style>
  <w:style w:type="character" w:customStyle="1" w:styleId="197">
    <w:name w:val="正文首行缩进 Char"/>
    <w:link w:val="56"/>
    <w:uiPriority w:val="0"/>
    <w:rPr>
      <w:rFonts w:ascii="Calibri" w:hAnsi="Calibri" w:eastAsia="宋体"/>
      <w:kern w:val="2"/>
      <w:sz w:val="21"/>
      <w:szCs w:val="22"/>
      <w:lang w:val="en-US" w:eastAsia="zh-CN" w:bidi="ar-SA"/>
    </w:rPr>
  </w:style>
  <w:style w:type="character" w:customStyle="1" w:styleId="198">
    <w:name w:val="grame"/>
    <w:basedOn w:val="63"/>
    <w:uiPriority w:val="0"/>
  </w:style>
  <w:style w:type="character" w:customStyle="1" w:styleId="199">
    <w:name w:val="Char Char5"/>
    <w:uiPriority w:val="0"/>
    <w:rPr>
      <w:rFonts w:ascii="Calibri" w:hAnsi="Calibri" w:eastAsia="宋体"/>
      <w:sz w:val="18"/>
      <w:szCs w:val="18"/>
      <w:lang w:bidi="ar-SA"/>
    </w:rPr>
  </w:style>
  <w:style w:type="character" w:customStyle="1" w:styleId="200">
    <w:name w:val="fontdz1"/>
    <w:uiPriority w:val="0"/>
    <w:rPr>
      <w:sz w:val="18"/>
      <w:szCs w:val="18"/>
    </w:rPr>
  </w:style>
  <w:style w:type="character" w:customStyle="1" w:styleId="201">
    <w:name w:val="自定义正文 Char"/>
    <w:link w:val="202"/>
    <w:uiPriority w:val="0"/>
    <w:rPr>
      <w:rFonts w:ascii="仿宋_GB2312" w:eastAsia="仿宋_GB2312"/>
      <w:kern w:val="2"/>
      <w:sz w:val="28"/>
      <w:szCs w:val="24"/>
    </w:rPr>
  </w:style>
  <w:style w:type="paragraph" w:customStyle="1" w:styleId="202">
    <w:name w:val="自定义正文"/>
    <w:basedOn w:val="1"/>
    <w:link w:val="201"/>
    <w:uiPriority w:val="0"/>
    <w:pPr>
      <w:spacing w:before="120" w:after="120" w:line="480" w:lineRule="exact"/>
      <w:ind w:firstLine="200" w:firstLineChars="200"/>
      <w:jc w:val="left"/>
    </w:pPr>
    <w:rPr>
      <w:rFonts w:ascii="仿宋_GB2312" w:eastAsia="仿宋_GB2312"/>
      <w:sz w:val="28"/>
      <w:szCs w:val="24"/>
    </w:rPr>
  </w:style>
  <w:style w:type="character" w:customStyle="1" w:styleId="203">
    <w:name w:val="公文正文 Char"/>
    <w:link w:val="204"/>
    <w:uiPriority w:val="0"/>
    <w:rPr>
      <w:rFonts w:ascii="仿宋_GB2312" w:eastAsia="仿宋_GB2312"/>
      <w:kern w:val="2"/>
      <w:sz w:val="24"/>
      <w:szCs w:val="24"/>
      <w:lang w:val="en-US" w:eastAsia="zh-CN" w:bidi="ar-SA"/>
    </w:rPr>
  </w:style>
  <w:style w:type="paragraph" w:customStyle="1" w:styleId="204">
    <w:name w:val="公文正文"/>
    <w:basedOn w:val="1"/>
    <w:link w:val="203"/>
    <w:uiPriority w:val="0"/>
    <w:pPr>
      <w:spacing w:before="156" w:line="360" w:lineRule="auto"/>
      <w:ind w:firstLine="360" w:firstLineChars="200"/>
    </w:pPr>
    <w:rPr>
      <w:rFonts w:ascii="仿宋_GB2312" w:eastAsia="仿宋_GB2312"/>
      <w:sz w:val="24"/>
      <w:szCs w:val="24"/>
    </w:rPr>
  </w:style>
  <w:style w:type="character" w:customStyle="1" w:styleId="205">
    <w:name w:val="Char Char14"/>
    <w:uiPriority w:val="0"/>
    <w:rPr>
      <w:rFonts w:ascii="Calibri" w:hAnsi="Calibri" w:eastAsia="宋体" w:cs="Times New Roman"/>
      <w:b/>
      <w:bCs/>
      <w:sz w:val="28"/>
      <w:szCs w:val="28"/>
    </w:rPr>
  </w:style>
  <w:style w:type="character" w:customStyle="1" w:styleId="206">
    <w:name w:val="列表1、 Char Char"/>
    <w:uiPriority w:val="0"/>
    <w:rPr>
      <w:rFonts w:ascii="仿宋" w:hAnsi="仿宋" w:eastAsia="仿宋"/>
      <w:kern w:val="2"/>
      <w:sz w:val="28"/>
      <w:szCs w:val="21"/>
      <w:lang w:bidi="ar-SA"/>
    </w:rPr>
  </w:style>
  <w:style w:type="character" w:customStyle="1" w:styleId="207">
    <w:name w:val="批注文字 Char"/>
    <w:link w:val="21"/>
    <w:qFormat/>
    <w:uiPriority w:val="99"/>
    <w:rPr>
      <w:kern w:val="2"/>
      <w:sz w:val="21"/>
      <w:szCs w:val="22"/>
    </w:rPr>
  </w:style>
  <w:style w:type="character" w:customStyle="1" w:styleId="208">
    <w:name w:val="批注主题 Char"/>
    <w:link w:val="209"/>
    <w:qFormat/>
    <w:uiPriority w:val="99"/>
    <w:rPr>
      <w:b/>
      <w:bCs/>
    </w:rPr>
  </w:style>
  <w:style w:type="paragraph" w:customStyle="1" w:styleId="209">
    <w:name w:val="批注主题1"/>
    <w:basedOn w:val="21"/>
    <w:next w:val="21"/>
    <w:link w:val="208"/>
    <w:uiPriority w:val="0"/>
    <w:rPr>
      <w:b/>
      <w:bCs/>
      <w:kern w:val="0"/>
      <w:sz w:val="20"/>
      <w:szCs w:val="20"/>
    </w:rPr>
  </w:style>
  <w:style w:type="character" w:customStyle="1" w:styleId="210">
    <w:name w:val="表名 Char"/>
    <w:uiPriority w:val="0"/>
    <w:rPr>
      <w:rFonts w:ascii="Arial" w:hAnsi="Arial" w:eastAsia="黑体"/>
      <w:sz w:val="24"/>
      <w:szCs w:val="24"/>
    </w:rPr>
  </w:style>
  <w:style w:type="character" w:customStyle="1" w:styleId="211">
    <w:name w:val="ZJ图表 Char"/>
    <w:link w:val="212"/>
    <w:uiPriority w:val="0"/>
    <w:rPr>
      <w:rFonts w:ascii="Times New Roman" w:hAnsi="Times New Roman" w:eastAsia="黑体" w:cs="Times New Roman"/>
      <w:color w:val="000000"/>
      <w:sz w:val="24"/>
      <w:szCs w:val="24"/>
    </w:rPr>
  </w:style>
  <w:style w:type="paragraph" w:customStyle="1" w:styleId="212">
    <w:name w:val="ZJ图表"/>
    <w:basedOn w:val="8"/>
    <w:link w:val="211"/>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213">
    <w:name w:val="h Char"/>
    <w:uiPriority w:val="0"/>
    <w:rPr>
      <w:rFonts w:ascii="Calibri" w:hAnsi="Calibri" w:eastAsia="宋体" w:cs="Times New Roman"/>
      <w:sz w:val="18"/>
      <w:szCs w:val="18"/>
    </w:rPr>
  </w:style>
  <w:style w:type="character" w:customStyle="1" w:styleId="214">
    <w:name w:val="标题 2 Char1"/>
    <w:link w:val="3"/>
    <w:uiPriority w:val="9"/>
    <w:rPr>
      <w:rFonts w:ascii="Arial" w:hAnsi="Arial" w:eastAsia="黑体" w:cs="Times New Roman"/>
      <w:b/>
      <w:bCs/>
      <w:kern w:val="2"/>
      <w:sz w:val="32"/>
      <w:szCs w:val="32"/>
    </w:rPr>
  </w:style>
  <w:style w:type="character" w:customStyle="1" w:styleId="215">
    <w:name w:val="z-窗体底端 Char"/>
    <w:link w:val="216"/>
    <w:uiPriority w:val="0"/>
    <w:rPr>
      <w:rFonts w:ascii="Arial" w:hAnsi="Arial" w:cs="Arial"/>
      <w:vanish/>
      <w:sz w:val="16"/>
      <w:szCs w:val="16"/>
    </w:rPr>
  </w:style>
  <w:style w:type="paragraph" w:customStyle="1" w:styleId="216">
    <w:name w:val="z-窗体底端1"/>
    <w:basedOn w:val="1"/>
    <w:next w:val="1"/>
    <w:link w:val="215"/>
    <w:uiPriority w:val="0"/>
    <w:pPr>
      <w:widowControl/>
      <w:pBdr>
        <w:top w:val="single" w:color="auto" w:sz="6" w:space="1"/>
      </w:pBdr>
      <w:jc w:val="center"/>
    </w:pPr>
    <w:rPr>
      <w:rFonts w:ascii="Arial" w:hAnsi="Arial"/>
      <w:vanish/>
      <w:kern w:val="0"/>
      <w:sz w:val="16"/>
      <w:szCs w:val="16"/>
    </w:rPr>
  </w:style>
  <w:style w:type="character" w:customStyle="1" w:styleId="217">
    <w:name w:val="title_sub_blue1"/>
    <w:uiPriority w:val="0"/>
    <w:rPr>
      <w:rFonts w:hint="default" w:ascii="Arial" w:hAnsi="Arial"/>
      <w:b/>
      <w:color w:val="16344F"/>
      <w:spacing w:val="15"/>
      <w:sz w:val="18"/>
      <w:u w:val="none"/>
    </w:rPr>
  </w:style>
  <w:style w:type="character" w:customStyle="1" w:styleId="218">
    <w:name w:val="二级标题 Char Char"/>
    <w:uiPriority w:val="0"/>
    <w:rPr>
      <w:rFonts w:eastAsia="仿宋"/>
      <w:b/>
      <w:sz w:val="28"/>
      <w:lang w:val="en-US" w:eastAsia="zh-CN" w:bidi="ar-SA"/>
    </w:rPr>
  </w:style>
  <w:style w:type="character" w:customStyle="1" w:styleId="219">
    <w:name w:val="明显参考1"/>
    <w:qFormat/>
    <w:uiPriority w:val="0"/>
    <w:rPr>
      <w:b/>
      <w:sz w:val="24"/>
      <w:u w:val="single"/>
    </w:rPr>
  </w:style>
  <w:style w:type="character" w:customStyle="1" w:styleId="220">
    <w:name w:val="正文文本 3 Char"/>
    <w:link w:val="23"/>
    <w:uiPriority w:val="0"/>
    <w:rPr>
      <w:rFonts w:ascii="Times New Roman" w:hAnsi="宋体" w:eastAsia="仿宋_GB2312"/>
      <w:b/>
      <w:bCs/>
      <w:kern w:val="2"/>
      <w:sz w:val="24"/>
    </w:rPr>
  </w:style>
  <w:style w:type="character" w:customStyle="1" w:styleId="221">
    <w:name w:val="中等深浅网格 11"/>
    <w:semiHidden/>
    <w:uiPriority w:val="0"/>
    <w:rPr>
      <w:color w:val="808080"/>
    </w:rPr>
  </w:style>
  <w:style w:type="character" w:customStyle="1" w:styleId="222">
    <w:name w:val="Char Char9"/>
    <w:uiPriority w:val="0"/>
    <w:rPr>
      <w:rFonts w:eastAsia="宋体"/>
      <w:b/>
      <w:kern w:val="44"/>
      <w:sz w:val="44"/>
      <w:lang w:bidi="ar-SA"/>
    </w:rPr>
  </w:style>
  <w:style w:type="character" w:customStyle="1" w:styleId="223">
    <w:name w:val="正文文本缩进 Char1"/>
    <w:uiPriority w:val="99"/>
    <w:rPr>
      <w:rFonts w:ascii="Times New Roman" w:hAnsi="Times New Roman" w:eastAsia="宋体" w:cs="Times New Roman"/>
      <w:sz w:val="28"/>
      <w:szCs w:val="20"/>
    </w:rPr>
  </w:style>
  <w:style w:type="character" w:customStyle="1" w:styleId="22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25">
    <w:name w:val="大标题 Char"/>
    <w:link w:val="226"/>
    <w:uiPriority w:val="0"/>
    <w:rPr>
      <w:b/>
      <w:sz w:val="28"/>
      <w:lang w:val="en-US" w:eastAsia="zh-CN" w:bidi="ar-SA"/>
    </w:rPr>
  </w:style>
  <w:style w:type="paragraph" w:customStyle="1" w:styleId="226">
    <w:name w:val="大标题"/>
    <w:next w:val="1"/>
    <w:link w:val="225"/>
    <w:uiPriority w:val="0"/>
    <w:pPr>
      <w:spacing w:before="120" w:after="120" w:line="360" w:lineRule="auto"/>
    </w:pPr>
    <w:rPr>
      <w:rFonts w:ascii="Calibri" w:hAnsi="Calibri" w:eastAsia="宋体" w:cs="Times New Roman"/>
      <w:b/>
      <w:sz w:val="28"/>
      <w:lang w:val="en-US" w:eastAsia="zh-CN" w:bidi="ar-SA"/>
    </w:rPr>
  </w:style>
  <w:style w:type="character" w:customStyle="1" w:styleId="227">
    <w:name w:val="样式4 Char Char"/>
    <w:uiPriority w:val="0"/>
    <w:rPr>
      <w:rFonts w:ascii="Calibri" w:hAnsi="Calibri" w:eastAsia="宋体"/>
      <w:kern w:val="2"/>
      <w:sz w:val="24"/>
      <w:szCs w:val="22"/>
      <w:lang w:val="en-US" w:eastAsia="zh-CN" w:bidi="ar-SA"/>
    </w:rPr>
  </w:style>
  <w:style w:type="character" w:customStyle="1" w:styleId="228">
    <w:name w:val="正文文本缩进 Char"/>
    <w:link w:val="25"/>
    <w:uiPriority w:val="0"/>
    <w:rPr>
      <w:rFonts w:ascii="宋体" w:hAnsi="Courier New" w:eastAsia="宋体"/>
      <w:spacing w:val="-4"/>
      <w:kern w:val="2"/>
      <w:sz w:val="18"/>
      <w:lang w:val="en-US" w:eastAsia="zh-CN" w:bidi="ar-SA"/>
    </w:rPr>
  </w:style>
  <w:style w:type="character" w:customStyle="1" w:styleId="229">
    <w:name w:val="正文（首行缩进2字符） Char Char"/>
    <w:link w:val="230"/>
    <w:uiPriority w:val="0"/>
    <w:rPr>
      <w:szCs w:val="21"/>
    </w:rPr>
  </w:style>
  <w:style w:type="paragraph" w:customStyle="1" w:styleId="230">
    <w:name w:val="正文（首行缩进2字符）"/>
    <w:basedOn w:val="1"/>
    <w:link w:val="229"/>
    <w:uiPriority w:val="0"/>
    <w:pPr>
      <w:spacing w:line="360" w:lineRule="auto"/>
      <w:ind w:firstLine="420" w:firstLineChars="200"/>
    </w:pPr>
    <w:rPr>
      <w:kern w:val="0"/>
      <w:sz w:val="20"/>
      <w:szCs w:val="21"/>
    </w:rPr>
  </w:style>
  <w:style w:type="character" w:customStyle="1" w:styleId="231">
    <w:name w:val="tw4winPopup"/>
    <w:uiPriority w:val="0"/>
    <w:rPr>
      <w:rFonts w:ascii="Courier New" w:hAnsi="Courier New"/>
      <w:color w:val="008000"/>
    </w:rPr>
  </w:style>
  <w:style w:type="character" w:customStyle="1" w:styleId="232">
    <w:name w:val="页脚 Char1"/>
    <w:link w:val="38"/>
    <w:uiPriority w:val="99"/>
    <w:rPr>
      <w:kern w:val="2"/>
      <w:sz w:val="18"/>
      <w:szCs w:val="18"/>
    </w:rPr>
  </w:style>
  <w:style w:type="character" w:customStyle="1" w:styleId="233">
    <w:name w:val="浅色网格 - 强调文字颜色 3 Char"/>
    <w:locked/>
    <w:uiPriority w:val="0"/>
    <w:rPr>
      <w:rFonts w:ascii="Calibri" w:hAnsi="Calibri" w:eastAsia="宋体" w:cs="Times New Roman"/>
    </w:rPr>
  </w:style>
  <w:style w:type="character" w:customStyle="1" w:styleId="234">
    <w:name w:val="Char Char21"/>
    <w:uiPriority w:val="0"/>
    <w:rPr>
      <w:rFonts w:ascii="宋体" w:hAnsi="Courier New" w:eastAsia="宋体"/>
      <w:sz w:val="21"/>
      <w:lang w:val="en-US" w:eastAsia="zh-CN" w:bidi="ar-SA"/>
    </w:rPr>
  </w:style>
  <w:style w:type="character" w:customStyle="1" w:styleId="235">
    <w:name w:val="H2 Char3"/>
    <w:uiPriority w:val="0"/>
    <w:rPr>
      <w:rFonts w:ascii="Arial" w:hAnsi="Arial" w:eastAsia="黑体"/>
      <w:b/>
      <w:bCs/>
      <w:kern w:val="2"/>
      <w:sz w:val="32"/>
      <w:szCs w:val="32"/>
      <w:lang w:val="en-US" w:eastAsia="zh-CN" w:bidi="ar-SA"/>
    </w:rPr>
  </w:style>
  <w:style w:type="character" w:customStyle="1" w:styleId="236">
    <w:name w:val="新昌图表 Char"/>
    <w:link w:val="237"/>
    <w:uiPriority w:val="0"/>
    <w:rPr>
      <w:rFonts w:ascii="Times New Roman" w:hAnsi="Times New Roman" w:eastAsia="黑体"/>
      <w:color w:val="000000"/>
      <w:sz w:val="24"/>
      <w:szCs w:val="24"/>
    </w:rPr>
  </w:style>
  <w:style w:type="paragraph" w:customStyle="1" w:styleId="237">
    <w:name w:val="新昌图表"/>
    <w:basedOn w:val="1"/>
    <w:link w:val="236"/>
    <w:qFormat/>
    <w:uiPriority w:val="0"/>
    <w:pPr>
      <w:jc w:val="center"/>
    </w:pPr>
    <w:rPr>
      <w:rFonts w:ascii="Times New Roman" w:hAnsi="Times New Roman" w:eastAsia="黑体"/>
      <w:color w:val="000000"/>
      <w:kern w:val="0"/>
      <w:sz w:val="24"/>
      <w:szCs w:val="24"/>
    </w:rPr>
  </w:style>
  <w:style w:type="character" w:customStyle="1" w:styleId="238">
    <w:name w:val="Char Char142"/>
    <w:locked/>
    <w:uiPriority w:val="0"/>
    <w:rPr>
      <w:rFonts w:ascii="楷体_GB2312" w:eastAsia="楷体_GB2312"/>
      <w:kern w:val="2"/>
      <w:sz w:val="32"/>
      <w:lang w:val="en-US" w:eastAsia="zh-CN" w:bidi="ar-SA"/>
    </w:rPr>
  </w:style>
  <w:style w:type="character" w:customStyle="1" w:styleId="239">
    <w:name w:val="tw4winError"/>
    <w:uiPriority w:val="0"/>
    <w:rPr>
      <w:rFonts w:ascii="Courier New" w:hAnsi="Courier New"/>
      <w:color w:val="00FF00"/>
      <w:sz w:val="40"/>
    </w:rPr>
  </w:style>
  <w:style w:type="character" w:customStyle="1" w:styleId="240">
    <w:name w:val="正文4 Char"/>
    <w:link w:val="241"/>
    <w:uiPriority w:val="0"/>
    <w:rPr>
      <w:rFonts w:ascii="Calibri" w:hAnsi="Calibri" w:eastAsia="宋体" w:cs="Times New Roman"/>
      <w:kern w:val="2"/>
      <w:sz w:val="24"/>
      <w:szCs w:val="24"/>
    </w:rPr>
  </w:style>
  <w:style w:type="paragraph" w:customStyle="1" w:styleId="241">
    <w:name w:val="正文4"/>
    <w:basedOn w:val="1"/>
    <w:link w:val="240"/>
    <w:uiPriority w:val="0"/>
    <w:pPr>
      <w:numPr>
        <w:ilvl w:val="0"/>
        <w:numId w:val="9"/>
      </w:numPr>
      <w:spacing w:before="60" w:after="60" w:line="360" w:lineRule="auto"/>
      <w:ind w:firstLine="0"/>
    </w:pPr>
    <w:rPr>
      <w:sz w:val="24"/>
      <w:szCs w:val="24"/>
    </w:rPr>
  </w:style>
  <w:style w:type="character" w:customStyle="1" w:styleId="242">
    <w:name w:val="z-窗体顶端 Char"/>
    <w:link w:val="243"/>
    <w:uiPriority w:val="0"/>
    <w:rPr>
      <w:rFonts w:ascii="Arial" w:hAnsi="Arial" w:cs="Arial"/>
      <w:vanish/>
      <w:sz w:val="16"/>
      <w:szCs w:val="16"/>
    </w:rPr>
  </w:style>
  <w:style w:type="paragraph" w:customStyle="1" w:styleId="243">
    <w:name w:val="z-窗体顶端1"/>
    <w:basedOn w:val="1"/>
    <w:next w:val="1"/>
    <w:link w:val="242"/>
    <w:uiPriority w:val="0"/>
    <w:pPr>
      <w:widowControl/>
      <w:pBdr>
        <w:bottom w:val="single" w:color="auto" w:sz="6" w:space="1"/>
      </w:pBdr>
      <w:jc w:val="center"/>
    </w:pPr>
    <w:rPr>
      <w:rFonts w:ascii="Arial" w:hAnsi="Arial"/>
      <w:vanish/>
      <w:kern w:val="0"/>
      <w:sz w:val="16"/>
      <w:szCs w:val="16"/>
    </w:rPr>
  </w:style>
  <w:style w:type="character" w:customStyle="1" w:styleId="244">
    <w:name w:val="衢州正文 Char"/>
    <w:link w:val="245"/>
    <w:uiPriority w:val="0"/>
    <w:rPr>
      <w:rFonts w:ascii="Times New Roman" w:hAnsi="宋体"/>
      <w:sz w:val="24"/>
      <w:szCs w:val="24"/>
    </w:rPr>
  </w:style>
  <w:style w:type="paragraph" w:customStyle="1" w:styleId="245">
    <w:name w:val="衢州正文"/>
    <w:basedOn w:val="1"/>
    <w:link w:val="244"/>
    <w:qFormat/>
    <w:uiPriority w:val="0"/>
    <w:pPr>
      <w:spacing w:line="360" w:lineRule="auto"/>
      <w:ind w:firstLine="480" w:firstLineChars="200"/>
    </w:pPr>
    <w:rPr>
      <w:rFonts w:ascii="Times New Roman" w:hAnsi="宋体"/>
      <w:kern w:val="0"/>
      <w:sz w:val="24"/>
      <w:szCs w:val="24"/>
    </w:rPr>
  </w:style>
  <w:style w:type="character" w:customStyle="1" w:styleId="246">
    <w:name w:val="公文正文 Char Char"/>
    <w:uiPriority w:val="0"/>
    <w:rPr>
      <w:rFonts w:ascii="仿宋_GB2312" w:eastAsia="仿宋_GB2312"/>
      <w:kern w:val="2"/>
      <w:sz w:val="24"/>
      <w:szCs w:val="24"/>
      <w:lang w:val="en-US" w:eastAsia="zh-CN" w:bidi="ar-SA"/>
    </w:rPr>
  </w:style>
  <w:style w:type="character" w:customStyle="1" w:styleId="247">
    <w:name w:val="css21"/>
    <w:uiPriority w:val="0"/>
    <w:rPr>
      <w:sz w:val="18"/>
    </w:rPr>
  </w:style>
  <w:style w:type="character" w:customStyle="1" w:styleId="248">
    <w:name w:val="样式(-) Char Char"/>
    <w:uiPriority w:val="0"/>
    <w:rPr>
      <w:rFonts w:ascii="Calibri" w:hAnsi="Calibri" w:eastAsia="仿宋"/>
      <w:b/>
      <w:kern w:val="2"/>
      <w:sz w:val="28"/>
      <w:szCs w:val="21"/>
      <w:lang w:bidi="ar-SA"/>
    </w:rPr>
  </w:style>
  <w:style w:type="character" w:customStyle="1" w:styleId="249">
    <w:name w:val="列表1、 Char"/>
    <w:link w:val="250"/>
    <w:locked/>
    <w:uiPriority w:val="0"/>
    <w:rPr>
      <w:rFonts w:cs="Times New Roman"/>
      <w:kern w:val="2"/>
      <w:sz w:val="28"/>
      <w:szCs w:val="21"/>
    </w:rPr>
  </w:style>
  <w:style w:type="paragraph" w:customStyle="1" w:styleId="250">
    <w:name w:val="列表1、"/>
    <w:basedOn w:val="95"/>
    <w:link w:val="249"/>
    <w:uiPriority w:val="0"/>
    <w:pPr>
      <w:numPr>
        <w:ilvl w:val="0"/>
        <w:numId w:val="10"/>
      </w:numPr>
      <w:tabs>
        <w:tab w:val="left" w:pos="1276"/>
      </w:tabs>
      <w:spacing w:line="360" w:lineRule="auto"/>
      <w:ind w:left="987" w:firstLine="0" w:firstLineChars="0"/>
      <w:jc w:val="left"/>
    </w:pPr>
    <w:rPr>
      <w:rFonts w:ascii="仿宋" w:hAnsi="仿宋" w:eastAsia="仿宋"/>
      <w:sz w:val="28"/>
      <w:szCs w:val="21"/>
    </w:rPr>
  </w:style>
  <w:style w:type="character" w:customStyle="1" w:styleId="251">
    <w:name w:val="bt Char2"/>
    <w:uiPriority w:val="0"/>
    <w:rPr>
      <w:rFonts w:eastAsia="宋体"/>
      <w:kern w:val="2"/>
      <w:sz w:val="28"/>
      <w:szCs w:val="24"/>
      <w:lang w:val="en-US" w:eastAsia="zh-CN" w:bidi="ar-SA"/>
    </w:rPr>
  </w:style>
  <w:style w:type="character" w:customStyle="1" w:styleId="252">
    <w:name w:val="news1"/>
    <w:uiPriority w:val="0"/>
    <w:rPr>
      <w:rFonts w:hint="default" w:ascii="Times New Roman" w:hAnsi="Times New Roman" w:cs="Times New Roman"/>
      <w:sz w:val="21"/>
      <w:szCs w:val="21"/>
    </w:rPr>
  </w:style>
  <w:style w:type="character" w:customStyle="1" w:styleId="253">
    <w:name w:val="标题 4 Char"/>
    <w:link w:val="5"/>
    <w:qFormat/>
    <w:uiPriority w:val="9"/>
    <w:rPr>
      <w:rFonts w:ascii="Arial" w:hAnsi="Arial" w:eastAsia="黑体" w:cs="Times New Roman"/>
      <w:b/>
      <w:bCs/>
      <w:kern w:val="2"/>
      <w:sz w:val="28"/>
      <w:szCs w:val="28"/>
    </w:rPr>
  </w:style>
  <w:style w:type="character" w:customStyle="1" w:styleId="254">
    <w:name w:val="Char Char51"/>
    <w:uiPriority w:val="0"/>
    <w:rPr>
      <w:rFonts w:ascii="Calibri" w:hAnsi="Calibri" w:eastAsia="宋体"/>
      <w:sz w:val="18"/>
      <w:szCs w:val="18"/>
      <w:lang w:bidi="ar-SA"/>
    </w:rPr>
  </w:style>
  <w:style w:type="character" w:customStyle="1" w:styleId="255">
    <w:name w:val="正文文字 Char"/>
    <w:uiPriority w:val="0"/>
    <w:rPr>
      <w:rFonts w:ascii="Arial" w:hAnsi="Arial" w:eastAsia="宋体"/>
      <w:kern w:val="2"/>
      <w:sz w:val="24"/>
      <w:lang w:val="en-US" w:eastAsia="zh-CN"/>
    </w:rPr>
  </w:style>
  <w:style w:type="character" w:customStyle="1" w:styleId="256">
    <w:name w:val="大标题 Char Char"/>
    <w:uiPriority w:val="0"/>
    <w:rPr>
      <w:b/>
      <w:sz w:val="28"/>
      <w:lang w:val="en-US" w:eastAsia="zh-CN" w:bidi="ar-SA"/>
    </w:rPr>
  </w:style>
  <w:style w:type="character" w:customStyle="1" w:styleId="257">
    <w:name w:val="华电 正文 Char"/>
    <w:link w:val="258"/>
    <w:uiPriority w:val="0"/>
    <w:rPr>
      <w:rFonts w:ascii="宋体" w:hAnsi="宋体" w:eastAsia="宋体"/>
      <w:sz w:val="22"/>
      <w:lang w:bidi="ar-SA"/>
    </w:rPr>
  </w:style>
  <w:style w:type="paragraph" w:customStyle="1" w:styleId="258">
    <w:name w:val="华电 正文"/>
    <w:basedOn w:val="1"/>
    <w:link w:val="257"/>
    <w:uiPriority w:val="0"/>
    <w:pPr>
      <w:widowControl/>
      <w:spacing w:line="360" w:lineRule="auto"/>
      <w:ind w:firstLine="440" w:firstLineChars="200"/>
      <w:jc w:val="left"/>
    </w:pPr>
    <w:rPr>
      <w:rFonts w:ascii="宋体" w:hAnsi="宋体"/>
      <w:kern w:val="0"/>
      <w:sz w:val="22"/>
      <w:szCs w:val="20"/>
    </w:rPr>
  </w:style>
  <w:style w:type="character" w:customStyle="1" w:styleId="259">
    <w:name w:val="标准正文格式 Char"/>
    <w:link w:val="260"/>
    <w:uiPriority w:val="0"/>
    <w:rPr>
      <w:rFonts w:ascii="宋体" w:eastAsia="仿宋_GB2312" w:cs="宋体"/>
      <w:color w:val="000000"/>
      <w:sz w:val="24"/>
      <w:lang w:val="en-US" w:eastAsia="zh-CN" w:bidi="ar-SA"/>
    </w:rPr>
  </w:style>
  <w:style w:type="paragraph" w:customStyle="1" w:styleId="260">
    <w:name w:val="标准正文格式"/>
    <w:basedOn w:val="1"/>
    <w:link w:val="259"/>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61">
    <w:name w:val="标题 3 Char1"/>
    <w:uiPriority w:val="0"/>
    <w:rPr>
      <w:rFonts w:ascii="Calibri" w:hAnsi="Calibri" w:eastAsia="宋体"/>
      <w:b/>
      <w:bCs/>
      <w:kern w:val="2"/>
      <w:sz w:val="32"/>
      <w:szCs w:val="32"/>
      <w:lang w:val="en-US" w:eastAsia="zh-CN" w:bidi="ar-SA"/>
    </w:rPr>
  </w:style>
  <w:style w:type="character" w:customStyle="1" w:styleId="262">
    <w:name w:val="Indent Normal Char"/>
    <w:link w:val="263"/>
    <w:uiPriority w:val="0"/>
    <w:rPr>
      <w:kern w:val="2"/>
      <w:sz w:val="21"/>
      <w:lang w:bidi="ar-SA"/>
    </w:rPr>
  </w:style>
  <w:style w:type="paragraph" w:customStyle="1" w:styleId="263">
    <w:name w:val="Indent Normal"/>
    <w:basedOn w:val="1"/>
    <w:link w:val="262"/>
    <w:uiPriority w:val="0"/>
    <w:pPr>
      <w:ind w:firstLine="420"/>
    </w:pPr>
    <w:rPr>
      <w:szCs w:val="20"/>
    </w:rPr>
  </w:style>
  <w:style w:type="character" w:customStyle="1" w:styleId="264">
    <w:name w:val="正文文本缩进 2 Char"/>
    <w:link w:val="35"/>
    <w:uiPriority w:val="0"/>
    <w:rPr>
      <w:rFonts w:ascii="仿宋_GB2312" w:hAnsi="宋体" w:cs="Arial"/>
      <w:b/>
      <w:bCs/>
      <w:color w:val="000000"/>
      <w:kern w:val="2"/>
      <w:sz w:val="24"/>
      <w:szCs w:val="24"/>
    </w:rPr>
  </w:style>
  <w:style w:type="character" w:customStyle="1" w:styleId="265">
    <w:name w:val="line1"/>
    <w:uiPriority w:val="0"/>
    <w:rPr>
      <w:spacing w:val="360"/>
      <w:u w:val="none"/>
    </w:rPr>
  </w:style>
  <w:style w:type="character" w:customStyle="1" w:styleId="266">
    <w:name w:val="页脚 Char"/>
    <w:qFormat/>
    <w:uiPriority w:val="99"/>
    <w:rPr>
      <w:kern w:val="2"/>
      <w:sz w:val="18"/>
      <w:szCs w:val="18"/>
      <w:lang w:bidi="ar-SA"/>
    </w:rPr>
  </w:style>
  <w:style w:type="character" w:customStyle="1" w:styleId="267">
    <w:name w:val="point_normal1"/>
    <w:uiPriority w:val="0"/>
    <w:rPr>
      <w:rFonts w:hint="default" w:ascii="Arial" w:hAnsi="Arial" w:cs="Arial"/>
      <w:sz w:val="18"/>
      <w:szCs w:val="18"/>
    </w:rPr>
  </w:style>
  <w:style w:type="character" w:customStyle="1" w:styleId="268">
    <w:name w:val="unnamed11"/>
    <w:qFormat/>
    <w:uiPriority w:val="0"/>
    <w:rPr>
      <w:color w:val="000000"/>
      <w:sz w:val="20"/>
      <w:szCs w:val="20"/>
    </w:rPr>
  </w:style>
  <w:style w:type="character" w:customStyle="1" w:styleId="269">
    <w:name w:val="模板正文 Char"/>
    <w:link w:val="270"/>
    <w:uiPriority w:val="0"/>
    <w:rPr>
      <w:rFonts w:ascii="Arial" w:hAnsi="Arial"/>
      <w:szCs w:val="21"/>
    </w:rPr>
  </w:style>
  <w:style w:type="paragraph" w:customStyle="1" w:styleId="270">
    <w:name w:val="模板正文"/>
    <w:basedOn w:val="1"/>
    <w:link w:val="269"/>
    <w:uiPriority w:val="0"/>
    <w:pPr>
      <w:wordWrap w:val="0"/>
      <w:spacing w:before="120" w:line="320" w:lineRule="exact"/>
      <w:ind w:left="200" w:leftChars="200" w:firstLine="200" w:firstLineChars="200"/>
    </w:pPr>
    <w:rPr>
      <w:rFonts w:ascii="Arial" w:hAnsi="Arial"/>
      <w:kern w:val="0"/>
      <w:sz w:val="20"/>
      <w:szCs w:val="21"/>
    </w:rPr>
  </w:style>
  <w:style w:type="character" w:customStyle="1" w:styleId="271">
    <w:name w:val="*Body Text Char1"/>
    <w:link w:val="272"/>
    <w:uiPriority w:val="0"/>
    <w:rPr>
      <w:rFonts w:ascii="Futura Lt" w:hAnsi="Futura Lt" w:cs="Futura Lt"/>
      <w:sz w:val="21"/>
      <w:szCs w:val="21"/>
      <w:lang w:val="en-US" w:eastAsia="en-US" w:bidi="ar-SA"/>
    </w:rPr>
  </w:style>
  <w:style w:type="paragraph" w:customStyle="1" w:styleId="272">
    <w:name w:val="*Body Text"/>
    <w:link w:val="271"/>
    <w:uiPriority w:val="0"/>
    <w:pPr>
      <w:spacing w:line="360" w:lineRule="auto"/>
    </w:pPr>
    <w:rPr>
      <w:rFonts w:ascii="Futura Lt" w:hAnsi="Futura Lt" w:eastAsia="宋体" w:cs="Futura Lt"/>
      <w:sz w:val="21"/>
      <w:szCs w:val="21"/>
      <w:lang w:val="en-US" w:eastAsia="en-US" w:bidi="ar-SA"/>
    </w:rPr>
  </w:style>
  <w:style w:type="character" w:customStyle="1" w:styleId="273">
    <w:name w:val="14_black1"/>
    <w:uiPriority w:val="0"/>
    <w:rPr>
      <w:color w:val="000000"/>
      <w:sz w:val="21"/>
    </w:rPr>
  </w:style>
  <w:style w:type="character" w:customStyle="1" w:styleId="274">
    <w:name w:val="样式 小四1"/>
    <w:uiPriority w:val="0"/>
    <w:rPr>
      <w:rFonts w:ascii="Tahoma" w:hAnsi="Tahoma" w:eastAsia="仿宋_GB2312"/>
      <w:kern w:val="2"/>
      <w:sz w:val="24"/>
      <w:lang w:val="en-US" w:eastAsia="zh-CN" w:bidi="ar-SA"/>
    </w:rPr>
  </w:style>
  <w:style w:type="character" w:customStyle="1" w:styleId="275">
    <w:name w:val="Char Char3"/>
    <w:uiPriority w:val="0"/>
    <w:rPr>
      <w:rFonts w:ascii="Arial" w:hAnsi="Arial" w:eastAsia="黑体"/>
      <w:b/>
      <w:kern w:val="2"/>
      <w:sz w:val="32"/>
      <w:lang w:val="en-US" w:eastAsia="zh-CN" w:bidi="ar-SA"/>
    </w:rPr>
  </w:style>
  <w:style w:type="character" w:customStyle="1" w:styleId="276">
    <w:name w:val="style51"/>
    <w:uiPriority w:val="0"/>
    <w:rPr>
      <w:rFonts w:hint="eastAsia" w:ascii="宋体" w:hAnsi="宋体" w:eastAsia="宋体"/>
      <w:color w:val="333333"/>
      <w:sz w:val="23"/>
      <w:szCs w:val="23"/>
      <w:u w:val="none"/>
    </w:rPr>
  </w:style>
  <w:style w:type="character" w:customStyle="1" w:styleId="277">
    <w:name w:val="font3"/>
    <w:basedOn w:val="63"/>
    <w:uiPriority w:val="0"/>
  </w:style>
  <w:style w:type="character" w:customStyle="1" w:styleId="278">
    <w:name w:val="样式4 Char"/>
    <w:link w:val="279"/>
    <w:uiPriority w:val="0"/>
    <w:rPr>
      <w:rFonts w:ascii="Calibri" w:hAnsi="Calibri" w:eastAsia="宋体"/>
      <w:kern w:val="2"/>
      <w:sz w:val="24"/>
      <w:szCs w:val="22"/>
      <w:lang w:val="en-US" w:eastAsia="zh-CN" w:bidi="ar-SA"/>
    </w:rPr>
  </w:style>
  <w:style w:type="paragraph" w:customStyle="1" w:styleId="279">
    <w:name w:val="样式4"/>
    <w:basedOn w:val="1"/>
    <w:link w:val="278"/>
    <w:qFormat/>
    <w:uiPriority w:val="0"/>
    <w:pPr>
      <w:spacing w:line="360" w:lineRule="auto"/>
    </w:pPr>
    <w:rPr>
      <w:sz w:val="24"/>
    </w:rPr>
  </w:style>
  <w:style w:type="character" w:customStyle="1" w:styleId="280">
    <w:name w:val="样式 正文缩进 + 首行缩进:  2 字符 Char"/>
    <w:link w:val="281"/>
    <w:uiPriority w:val="0"/>
    <w:rPr>
      <w:rFonts w:ascii="Times New Roman" w:hAnsi="Times New Roman"/>
      <w:kern w:val="2"/>
      <w:sz w:val="24"/>
    </w:rPr>
  </w:style>
  <w:style w:type="paragraph" w:customStyle="1" w:styleId="281">
    <w:name w:val="样式 正文缩进 + 首行缩进:  2 字符"/>
    <w:basedOn w:val="17"/>
    <w:link w:val="280"/>
    <w:uiPriority w:val="0"/>
    <w:pPr>
      <w:spacing w:line="360" w:lineRule="auto"/>
      <w:ind w:firstLine="200" w:firstLineChars="200"/>
    </w:pPr>
    <w:rPr>
      <w:rFonts w:ascii="Times New Roman" w:hAnsi="Times New Roman"/>
      <w:sz w:val="24"/>
    </w:rPr>
  </w:style>
  <w:style w:type="character" w:customStyle="1" w:styleId="282">
    <w:name w:val="inf1"/>
    <w:uiPriority w:val="0"/>
    <w:rPr>
      <w:rFonts w:hint="eastAsia" w:ascii="宋体" w:hAnsi="宋体" w:eastAsia="宋体"/>
      <w:color w:val="000000"/>
      <w:sz w:val="20"/>
      <w:szCs w:val="20"/>
    </w:rPr>
  </w:style>
  <w:style w:type="character" w:customStyle="1" w:styleId="283">
    <w:name w:val="h3 Char"/>
    <w:uiPriority w:val="0"/>
    <w:rPr>
      <w:rFonts w:ascii="Times New Roman" w:hAnsi="Times New Roman"/>
      <w:b/>
      <w:bCs/>
      <w:kern w:val="2"/>
      <w:sz w:val="32"/>
      <w:szCs w:val="32"/>
    </w:rPr>
  </w:style>
  <w:style w:type="character" w:customStyle="1" w:styleId="284">
    <w:name w:val="apple-style-span"/>
    <w:basedOn w:val="63"/>
    <w:uiPriority w:val="0"/>
  </w:style>
  <w:style w:type="character" w:customStyle="1" w:styleId="285">
    <w:name w:val="批注框文本 Char"/>
    <w:link w:val="37"/>
    <w:qFormat/>
    <w:uiPriority w:val="99"/>
    <w:rPr>
      <w:kern w:val="2"/>
      <w:sz w:val="18"/>
      <w:szCs w:val="18"/>
    </w:rPr>
  </w:style>
  <w:style w:type="character" w:customStyle="1" w:styleId="286">
    <w:name w:val="样式 首行缩进:  0.85 厘米 Char"/>
    <w:link w:val="287"/>
    <w:uiPriority w:val="0"/>
    <w:rPr>
      <w:rFonts w:eastAsia="宋体" w:cs="宋体"/>
      <w:kern w:val="2"/>
      <w:sz w:val="24"/>
      <w:lang w:val="en-US" w:eastAsia="zh-CN" w:bidi="ar-SA"/>
    </w:rPr>
  </w:style>
  <w:style w:type="paragraph" w:customStyle="1" w:styleId="287">
    <w:name w:val="样式 首行缩进:  0.85 厘米"/>
    <w:basedOn w:val="1"/>
    <w:link w:val="286"/>
    <w:uiPriority w:val="0"/>
    <w:pPr>
      <w:spacing w:line="360" w:lineRule="auto"/>
      <w:ind w:firstLine="480"/>
    </w:pPr>
    <w:rPr>
      <w:rFonts w:cs="宋体"/>
      <w:sz w:val="24"/>
      <w:szCs w:val="20"/>
    </w:rPr>
  </w:style>
  <w:style w:type="character" w:customStyle="1" w:styleId="288">
    <w:name w:val="style31"/>
    <w:uiPriority w:val="0"/>
    <w:rPr>
      <w:color w:val="666666"/>
    </w:rPr>
  </w:style>
  <w:style w:type="character" w:customStyle="1" w:styleId="289">
    <w:name w:val="_正文段落 Char"/>
    <w:link w:val="290"/>
    <w:uiPriority w:val="0"/>
    <w:rPr>
      <w:rFonts w:ascii="Times New Roman" w:hAnsi="Times New Roman"/>
      <w:kern w:val="2"/>
      <w:sz w:val="21"/>
      <w:szCs w:val="24"/>
    </w:rPr>
  </w:style>
  <w:style w:type="paragraph" w:customStyle="1" w:styleId="290">
    <w:name w:val="_正文段落"/>
    <w:basedOn w:val="1"/>
    <w:link w:val="289"/>
    <w:uiPriority w:val="0"/>
    <w:pPr>
      <w:spacing w:beforeLines="15" w:afterLines="15" w:line="360" w:lineRule="auto"/>
      <w:ind w:firstLine="200" w:firstLineChars="200"/>
    </w:pPr>
    <w:rPr>
      <w:rFonts w:ascii="Times New Roman" w:hAnsi="Times New Roman"/>
      <w:szCs w:val="24"/>
    </w:rPr>
  </w:style>
  <w:style w:type="character" w:customStyle="1" w:styleId="291">
    <w:name w:val="列表1"/>
    <w:basedOn w:val="63"/>
    <w:uiPriority w:val="0"/>
  </w:style>
  <w:style w:type="character" w:customStyle="1" w:styleId="292">
    <w:name w:val="Char Char61"/>
    <w:uiPriority w:val="0"/>
    <w:rPr>
      <w:rFonts w:ascii="Calibri" w:hAnsi="Calibri" w:eastAsia="宋体"/>
      <w:b/>
      <w:bCs/>
      <w:kern w:val="2"/>
      <w:sz w:val="28"/>
      <w:szCs w:val="28"/>
      <w:lang w:bidi="ar-SA"/>
    </w:rPr>
  </w:style>
  <w:style w:type="character" w:customStyle="1" w:styleId="293">
    <w:name w:val="数据小节格式"/>
    <w:uiPriority w:val="0"/>
    <w:rPr>
      <w:rFonts w:ascii="新宋体" w:hAnsi="新宋体" w:eastAsia="华文中宋"/>
      <w:b/>
      <w:bCs/>
      <w:sz w:val="27"/>
      <w:szCs w:val="26"/>
      <w:shd w:val="clear" w:color="auto" w:fill="auto"/>
    </w:rPr>
  </w:style>
  <w:style w:type="character" w:customStyle="1" w:styleId="294">
    <w:name w:val="自定义正文 Char Char"/>
    <w:uiPriority w:val="0"/>
    <w:rPr>
      <w:rFonts w:eastAsia="宋体"/>
      <w:kern w:val="2"/>
      <w:sz w:val="24"/>
      <w:szCs w:val="24"/>
      <w:lang w:val="en-US" w:eastAsia="zh-CN" w:bidi="ar-SA"/>
    </w:rPr>
  </w:style>
  <w:style w:type="character" w:customStyle="1" w:styleId="295">
    <w:name w:val="apple-converted-space"/>
    <w:uiPriority w:val="0"/>
  </w:style>
  <w:style w:type="character" w:customStyle="1" w:styleId="296">
    <w:name w:val="表格文字 Char"/>
    <w:link w:val="297"/>
    <w:uiPriority w:val="0"/>
    <w:rPr>
      <w:rFonts w:ascii="Times New Roman" w:hAnsi="Times New Roman"/>
      <w:kern w:val="2"/>
      <w:sz w:val="18"/>
      <w:szCs w:val="24"/>
    </w:rPr>
  </w:style>
  <w:style w:type="paragraph" w:customStyle="1" w:styleId="297">
    <w:name w:val="表格文字"/>
    <w:basedOn w:val="1"/>
    <w:link w:val="296"/>
    <w:uiPriority w:val="0"/>
    <w:pPr>
      <w:jc w:val="left"/>
      <w:textAlignment w:val="top"/>
    </w:pPr>
    <w:rPr>
      <w:rFonts w:ascii="Times New Roman" w:hAnsi="Times New Roman"/>
      <w:sz w:val="18"/>
      <w:szCs w:val="24"/>
    </w:rPr>
  </w:style>
  <w:style w:type="character" w:customStyle="1" w:styleId="298">
    <w:name w:val="正文文本缩进 3 Char"/>
    <w:link w:val="46"/>
    <w:uiPriority w:val="0"/>
    <w:rPr>
      <w:rFonts w:ascii="仿宋_GB2312" w:hAnsi="宋体" w:eastAsia="仿宋_GB2312"/>
      <w:color w:val="000000"/>
      <w:kern w:val="2"/>
      <w:sz w:val="24"/>
      <w:szCs w:val="24"/>
    </w:rPr>
  </w:style>
  <w:style w:type="character" w:customStyle="1" w:styleId="299">
    <w:name w:val="我的正文 Char"/>
    <w:link w:val="300"/>
    <w:uiPriority w:val="0"/>
    <w:rPr>
      <w:rFonts w:eastAsia="仿宋_GB2312" w:cs="宋体"/>
      <w:kern w:val="2"/>
      <w:sz w:val="24"/>
    </w:rPr>
  </w:style>
  <w:style w:type="paragraph" w:customStyle="1" w:styleId="300">
    <w:name w:val="我的正文"/>
    <w:basedOn w:val="1"/>
    <w:link w:val="299"/>
    <w:uiPriority w:val="0"/>
    <w:pPr>
      <w:spacing w:afterLines="100" w:line="360" w:lineRule="auto"/>
      <w:ind w:firstLine="480" w:firstLineChars="200"/>
    </w:pPr>
    <w:rPr>
      <w:rFonts w:eastAsia="仿宋_GB2312"/>
      <w:sz w:val="24"/>
      <w:szCs w:val="20"/>
    </w:rPr>
  </w:style>
  <w:style w:type="character" w:customStyle="1" w:styleId="301">
    <w:name w:val="7.表小四 Char"/>
    <w:link w:val="302"/>
    <w:uiPriority w:val="0"/>
    <w:rPr>
      <w:rFonts w:ascii="宋体" w:hAnsi="宋体" w:eastAsia="宋体"/>
      <w:kern w:val="2"/>
      <w:sz w:val="24"/>
      <w:szCs w:val="24"/>
      <w:lang w:val="en-US" w:eastAsia="zh-CN" w:bidi="ar-SA"/>
    </w:rPr>
  </w:style>
  <w:style w:type="paragraph" w:customStyle="1" w:styleId="302">
    <w:name w:val="7.表小四"/>
    <w:basedOn w:val="1"/>
    <w:link w:val="301"/>
    <w:qFormat/>
    <w:uiPriority w:val="0"/>
    <w:pPr>
      <w:spacing w:beforeLines="50" w:afterLines="50"/>
    </w:pPr>
    <w:rPr>
      <w:rFonts w:ascii="宋体" w:hAnsi="宋体"/>
      <w:sz w:val="24"/>
      <w:szCs w:val="24"/>
    </w:rPr>
  </w:style>
  <w:style w:type="character" w:customStyle="1" w:styleId="303">
    <w:name w:val="标题 1 Char Char"/>
    <w:uiPriority w:val="0"/>
    <w:rPr>
      <w:rFonts w:eastAsia="宋体"/>
      <w:b/>
      <w:spacing w:val="-2"/>
      <w:sz w:val="24"/>
      <w:lang w:val="en-US" w:eastAsia="zh-CN" w:bidi="ar-SA"/>
    </w:rPr>
  </w:style>
  <w:style w:type="character" w:customStyle="1" w:styleId="304">
    <w:name w:val="b11_01b Char Char"/>
    <w:uiPriority w:val="0"/>
    <w:rPr>
      <w:rFonts w:ascii="Verdana" w:hAnsi="Verdana" w:eastAsia="宋体"/>
      <w:b/>
      <w:bCs/>
      <w:color w:val="4A82CA"/>
      <w:sz w:val="17"/>
      <w:szCs w:val="17"/>
      <w:lang w:val="en-US" w:eastAsia="zh-CN" w:bidi="ar-SA"/>
    </w:rPr>
  </w:style>
  <w:style w:type="character" w:customStyle="1" w:styleId="305">
    <w:name w:val="方案正文 Char"/>
    <w:link w:val="306"/>
    <w:uiPriority w:val="0"/>
    <w:rPr>
      <w:rFonts w:ascii="Calibri" w:hAnsi="Calibri" w:eastAsia="仿宋_GB2312"/>
      <w:kern w:val="2"/>
      <w:sz w:val="32"/>
      <w:szCs w:val="24"/>
      <w:lang w:val="en-US" w:eastAsia="zh-CN" w:bidi="ar-SA"/>
    </w:rPr>
  </w:style>
  <w:style w:type="paragraph" w:customStyle="1" w:styleId="306">
    <w:name w:val="方案正文"/>
    <w:basedOn w:val="1"/>
    <w:link w:val="305"/>
    <w:qFormat/>
    <w:uiPriority w:val="0"/>
    <w:pPr>
      <w:adjustRightInd w:val="0"/>
      <w:snapToGrid w:val="0"/>
      <w:spacing w:line="560" w:lineRule="exact"/>
      <w:ind w:firstLine="200" w:firstLineChars="200"/>
    </w:pPr>
    <w:rPr>
      <w:rFonts w:eastAsia="仿宋_GB2312"/>
      <w:sz w:val="32"/>
      <w:szCs w:val="24"/>
    </w:rPr>
  </w:style>
  <w:style w:type="character" w:customStyle="1" w:styleId="307">
    <w:name w:val="Char Char81"/>
    <w:uiPriority w:val="0"/>
    <w:rPr>
      <w:rFonts w:ascii="Arial" w:hAnsi="Arial" w:eastAsia="黑体"/>
      <w:b/>
      <w:bCs/>
      <w:kern w:val="2"/>
      <w:sz w:val="32"/>
      <w:szCs w:val="32"/>
      <w:lang w:val="en-US" w:eastAsia="zh-CN" w:bidi="ar-SA"/>
    </w:rPr>
  </w:style>
  <w:style w:type="character" w:customStyle="1" w:styleId="308">
    <w:name w:val="标准正文格式 Char Char"/>
    <w:uiPriority w:val="0"/>
    <w:rPr>
      <w:rFonts w:ascii="宋体" w:eastAsia="仿宋_GB2312" w:cs="宋体"/>
      <w:color w:val="000000"/>
      <w:sz w:val="24"/>
      <w:lang w:val="en-US" w:eastAsia="zh-CN" w:bidi="ar-SA"/>
    </w:rPr>
  </w:style>
  <w:style w:type="character" w:customStyle="1" w:styleId="309">
    <w:name w:val="页脚 Char Char"/>
    <w:uiPriority w:val="0"/>
    <w:rPr>
      <w:kern w:val="2"/>
      <w:sz w:val="18"/>
      <w:szCs w:val="18"/>
      <w:lang w:bidi="ar-SA"/>
    </w:rPr>
  </w:style>
  <w:style w:type="character" w:customStyle="1" w:styleId="310">
    <w:name w:val="Char Char22"/>
    <w:uiPriority w:val="0"/>
    <w:rPr>
      <w:rFonts w:ascii="宋体" w:hAnsi="Courier New" w:eastAsia="宋体"/>
      <w:sz w:val="21"/>
      <w:lang w:val="en-US" w:eastAsia="zh-CN" w:bidi="ar-SA"/>
    </w:rPr>
  </w:style>
  <w:style w:type="character" w:customStyle="1" w:styleId="311">
    <w:name w:val="投标正文 Char"/>
    <w:link w:val="312"/>
    <w:uiPriority w:val="0"/>
    <w:rPr>
      <w:rFonts w:ascii="宋体" w:hAnsi="宋体" w:eastAsia="宋体"/>
      <w:kern w:val="2"/>
      <w:sz w:val="24"/>
      <w:szCs w:val="24"/>
      <w:lang w:val="en-US" w:eastAsia="zh-CN" w:bidi="ar-SA"/>
    </w:rPr>
  </w:style>
  <w:style w:type="paragraph" w:customStyle="1" w:styleId="312">
    <w:name w:val="投标正文"/>
    <w:basedOn w:val="1"/>
    <w:link w:val="311"/>
    <w:qFormat/>
    <w:uiPriority w:val="0"/>
    <w:pPr>
      <w:adjustRightInd w:val="0"/>
      <w:snapToGrid w:val="0"/>
      <w:spacing w:line="360" w:lineRule="auto"/>
      <w:ind w:firstLine="480" w:firstLineChars="200"/>
    </w:pPr>
    <w:rPr>
      <w:rFonts w:ascii="宋体" w:hAnsi="宋体"/>
      <w:sz w:val="24"/>
      <w:szCs w:val="24"/>
    </w:rPr>
  </w:style>
  <w:style w:type="character" w:customStyle="1" w:styleId="313">
    <w:name w:val="封面日期 Char Char"/>
    <w:uiPriority w:val="0"/>
    <w:rPr>
      <w:rFonts w:eastAsia="楷体_GB2312"/>
      <w:kern w:val="2"/>
      <w:sz w:val="32"/>
      <w:lang w:val="en-US" w:eastAsia="zh-CN" w:bidi="ar-SA"/>
    </w:rPr>
  </w:style>
  <w:style w:type="character" w:customStyle="1" w:styleId="314">
    <w:name w:val="正文0缩进 Char"/>
    <w:link w:val="315"/>
    <w:uiPriority w:val="0"/>
    <w:rPr>
      <w:rFonts w:ascii="宋体" w:hAnsi="宋体"/>
      <w:sz w:val="24"/>
      <w:szCs w:val="24"/>
    </w:rPr>
  </w:style>
  <w:style w:type="paragraph" w:customStyle="1" w:styleId="315">
    <w:name w:val="正文0缩进"/>
    <w:basedOn w:val="1"/>
    <w:link w:val="314"/>
    <w:qFormat/>
    <w:uiPriority w:val="0"/>
    <w:pPr>
      <w:spacing w:line="360" w:lineRule="auto"/>
    </w:pPr>
    <w:rPr>
      <w:rFonts w:ascii="宋体" w:hAnsi="宋体"/>
      <w:kern w:val="0"/>
      <w:sz w:val="24"/>
      <w:szCs w:val="24"/>
    </w:rPr>
  </w:style>
  <w:style w:type="character" w:customStyle="1" w:styleId="316">
    <w:name w:val="正文首行缩进 2 Char"/>
    <w:link w:val="317"/>
    <w:uiPriority w:val="0"/>
    <w:rPr>
      <w:rFonts w:eastAsia="仿宋"/>
      <w:sz w:val="24"/>
      <w:szCs w:val="24"/>
    </w:rPr>
  </w:style>
  <w:style w:type="paragraph" w:customStyle="1" w:styleId="317">
    <w:name w:val="正文首行缩进 22"/>
    <w:basedOn w:val="318"/>
    <w:link w:val="316"/>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318">
    <w:name w:val="正文文本缩进1"/>
    <w:basedOn w:val="1"/>
    <w:uiPriority w:val="0"/>
    <w:pPr>
      <w:spacing w:after="120"/>
      <w:ind w:left="420" w:leftChars="200"/>
    </w:pPr>
    <w:rPr>
      <w:rFonts w:cs="黑体"/>
    </w:rPr>
  </w:style>
  <w:style w:type="character" w:customStyle="1" w:styleId="319">
    <w:name w:val="表格中文字 Char"/>
    <w:link w:val="320"/>
    <w:uiPriority w:val="0"/>
    <w:rPr>
      <w:rFonts w:ascii="新宋体" w:hAnsi="新宋体" w:eastAsia="新宋体"/>
      <w:sz w:val="24"/>
      <w:szCs w:val="24"/>
      <w:lang w:bidi="ar-SA"/>
    </w:rPr>
  </w:style>
  <w:style w:type="paragraph" w:customStyle="1" w:styleId="320">
    <w:name w:val="表格中文字"/>
    <w:basedOn w:val="1"/>
    <w:link w:val="319"/>
    <w:uiPriority w:val="0"/>
    <w:pPr>
      <w:spacing w:line="288" w:lineRule="auto"/>
    </w:pPr>
    <w:rPr>
      <w:rFonts w:ascii="新宋体" w:hAnsi="新宋体" w:eastAsia="新宋体"/>
      <w:kern w:val="0"/>
      <w:sz w:val="24"/>
      <w:szCs w:val="24"/>
    </w:rPr>
  </w:style>
  <w:style w:type="character" w:styleId="321">
    <w:name w:val="Placeholder Text"/>
    <w:uiPriority w:val="0"/>
    <w:rPr>
      <w:color w:val="808080"/>
    </w:rPr>
  </w:style>
  <w:style w:type="character" w:customStyle="1" w:styleId="322">
    <w:name w:val="标题4-dyf Char Char"/>
    <w:uiPriority w:val="0"/>
    <w:rPr>
      <w:rFonts w:ascii="Cambria" w:hAnsi="Cambria" w:eastAsia="宋体"/>
      <w:b/>
      <w:bCs/>
      <w:color w:val="000000"/>
      <w:kern w:val="2"/>
      <w:sz w:val="21"/>
      <w:szCs w:val="21"/>
      <w:lang w:val="en-US" w:eastAsia="zh-CN" w:bidi="ar-SA"/>
    </w:rPr>
  </w:style>
  <w:style w:type="character" w:customStyle="1" w:styleId="323">
    <w:name w:val="封面日期 Char Char1"/>
    <w:uiPriority w:val="0"/>
    <w:rPr>
      <w:rFonts w:ascii="Calibri" w:hAnsi="Calibri" w:eastAsia="楷体_GB2312"/>
      <w:kern w:val="2"/>
      <w:sz w:val="32"/>
      <w:lang w:val="en-US" w:eastAsia="zh-CN" w:bidi="ar-SA"/>
    </w:rPr>
  </w:style>
  <w:style w:type="character" w:customStyle="1" w:styleId="324">
    <w:name w:val="viewdoctitle"/>
    <w:basedOn w:val="63"/>
    <w:uiPriority w:val="0"/>
  </w:style>
  <w:style w:type="character" w:customStyle="1" w:styleId="325">
    <w:name w:val="black10"/>
    <w:basedOn w:val="63"/>
    <w:uiPriority w:val="0"/>
  </w:style>
  <w:style w:type="character" w:customStyle="1" w:styleId="326">
    <w:name w:val="Char Char121"/>
    <w:uiPriority w:val="0"/>
    <w:rPr>
      <w:rFonts w:ascii="宋体" w:hAnsi="Courier New" w:eastAsia="宋体" w:cs="Times New Roman"/>
      <w:spacing w:val="-4"/>
      <w:sz w:val="18"/>
      <w:szCs w:val="20"/>
    </w:rPr>
  </w:style>
  <w:style w:type="character" w:customStyle="1" w:styleId="327">
    <w:name w:val="段 Char Char"/>
    <w:link w:val="328"/>
    <w:uiPriority w:val="0"/>
    <w:rPr>
      <w:rFonts w:ascii="宋体" w:hAnsi="Times New Roman"/>
      <w:sz w:val="21"/>
      <w:lang w:val="en-US" w:eastAsia="zh-CN" w:bidi="ar-SA"/>
    </w:rPr>
  </w:style>
  <w:style w:type="paragraph" w:customStyle="1" w:styleId="328">
    <w:name w:val="段"/>
    <w:link w:val="327"/>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9">
    <w:name w:val="f9"/>
    <w:basedOn w:val="63"/>
    <w:uiPriority w:val="0"/>
  </w:style>
  <w:style w:type="character" w:customStyle="1" w:styleId="330">
    <w:name w:val="ZJGIS-四级标题 Char"/>
    <w:link w:val="331"/>
    <w:uiPriority w:val="0"/>
    <w:rPr>
      <w:rFonts w:ascii="Arial" w:hAnsi="Arial" w:eastAsia="仿宋_GB2312" w:cs="Times New Roman"/>
      <w:b/>
      <w:bCs/>
      <w:sz w:val="28"/>
      <w:szCs w:val="28"/>
    </w:rPr>
  </w:style>
  <w:style w:type="paragraph" w:customStyle="1" w:styleId="331">
    <w:name w:val="ZJGIS-四级标题"/>
    <w:basedOn w:val="5"/>
    <w:link w:val="330"/>
    <w:qFormat/>
    <w:uiPriority w:val="0"/>
    <w:pPr>
      <w:numPr>
        <w:numId w:val="11"/>
      </w:numPr>
      <w:spacing w:before="120" w:after="120" w:line="240" w:lineRule="auto"/>
    </w:pPr>
    <w:rPr>
      <w:rFonts w:eastAsia="仿宋_GB2312"/>
      <w:kern w:val="0"/>
    </w:rPr>
  </w:style>
  <w:style w:type="character" w:customStyle="1" w:styleId="332">
    <w:name w:val="不明显参考1"/>
    <w:qFormat/>
    <w:uiPriority w:val="31"/>
    <w:rPr>
      <w:smallCaps/>
      <w:color w:val="C0504D"/>
      <w:u w:val="single"/>
    </w:rPr>
  </w:style>
  <w:style w:type="character" w:customStyle="1" w:styleId="333">
    <w:name w:val="样式 样式 正文首行缩进 + 首行缩进:  2 字符 + 首行缩进:  2 字符 Char"/>
    <w:link w:val="334"/>
    <w:uiPriority w:val="0"/>
    <w:rPr>
      <w:rFonts w:cs="宋体"/>
      <w:kern w:val="2"/>
      <w:sz w:val="24"/>
    </w:rPr>
  </w:style>
  <w:style w:type="paragraph" w:customStyle="1" w:styleId="334">
    <w:name w:val="样式 样式 正文首行缩进 + 首行缩进:  2 字符 + 首行缩进:  2 字符"/>
    <w:basedOn w:val="1"/>
    <w:link w:val="333"/>
    <w:qFormat/>
    <w:uiPriority w:val="0"/>
    <w:pPr>
      <w:spacing w:line="440" w:lineRule="exact"/>
      <w:ind w:firstLine="200" w:firstLineChars="200"/>
    </w:pPr>
    <w:rPr>
      <w:sz w:val="24"/>
      <w:szCs w:val="20"/>
    </w:rPr>
  </w:style>
  <w:style w:type="character" w:customStyle="1" w:styleId="335">
    <w:name w:val="Char Char31"/>
    <w:uiPriority w:val="0"/>
    <w:rPr>
      <w:rFonts w:ascii="Arial" w:hAnsi="Arial" w:eastAsia="黑体"/>
      <w:b/>
      <w:kern w:val="2"/>
      <w:sz w:val="32"/>
      <w:lang w:val="en-US" w:eastAsia="zh-CN" w:bidi="ar-SA"/>
    </w:rPr>
  </w:style>
  <w:style w:type="character" w:customStyle="1" w:styleId="336">
    <w:name w:val="b titlename wangputoptitle"/>
    <w:basedOn w:val="63"/>
    <w:uiPriority w:val="0"/>
  </w:style>
  <w:style w:type="character" w:customStyle="1" w:styleId="337">
    <w:name w:val="tw4winExternal"/>
    <w:uiPriority w:val="0"/>
    <w:rPr>
      <w:rFonts w:ascii="Courier New" w:hAnsi="Courier New"/>
      <w:color w:val="808080"/>
    </w:rPr>
  </w:style>
  <w:style w:type="character" w:customStyle="1" w:styleId="338">
    <w:name w:val="glossaryitem"/>
    <w:uiPriority w:val="0"/>
    <w:rPr>
      <w:u w:val="none"/>
    </w:rPr>
  </w:style>
  <w:style w:type="character" w:customStyle="1" w:styleId="339">
    <w:name w:val="title_emph1"/>
    <w:uiPriority w:val="0"/>
    <w:rPr>
      <w:rFonts w:hint="default" w:ascii="Arial" w:hAnsi="Arial" w:cs="Arial"/>
      <w:b/>
      <w:bCs/>
      <w:sz w:val="18"/>
      <w:szCs w:val="18"/>
    </w:rPr>
  </w:style>
  <w:style w:type="character" w:customStyle="1" w:styleId="340">
    <w:name w:val="Char Char1"/>
    <w:uiPriority w:val="0"/>
    <w:rPr>
      <w:kern w:val="2"/>
      <w:sz w:val="18"/>
      <w:szCs w:val="18"/>
    </w:rPr>
  </w:style>
  <w:style w:type="character" w:customStyle="1" w:styleId="341">
    <w:name w:val="正文段落 Char"/>
    <w:link w:val="342"/>
    <w:uiPriority w:val="0"/>
    <w:rPr>
      <w:rFonts w:ascii="Times New Roman" w:hAnsi="Times New Roman"/>
      <w:kern w:val="2"/>
      <w:sz w:val="24"/>
    </w:rPr>
  </w:style>
  <w:style w:type="paragraph" w:customStyle="1" w:styleId="342">
    <w:name w:val="正文段落"/>
    <w:basedOn w:val="1"/>
    <w:link w:val="341"/>
    <w:uiPriority w:val="0"/>
    <w:pPr>
      <w:spacing w:line="300" w:lineRule="auto"/>
      <w:ind w:firstLine="510"/>
    </w:pPr>
    <w:rPr>
      <w:rFonts w:ascii="Times New Roman" w:hAnsi="Times New Roman"/>
      <w:sz w:val="24"/>
      <w:szCs w:val="20"/>
    </w:rPr>
  </w:style>
  <w:style w:type="character" w:customStyle="1" w:styleId="343">
    <w:name w:val="paramname2"/>
    <w:basedOn w:val="63"/>
    <w:uiPriority w:val="0"/>
  </w:style>
  <w:style w:type="character" w:customStyle="1" w:styleId="344">
    <w:name w:val="样式 首行缩进:  2 字符 Char"/>
    <w:link w:val="345"/>
    <w:uiPriority w:val="0"/>
    <w:rPr>
      <w:rFonts w:ascii="宋体" w:hAnsi="宋体" w:eastAsia="宋体" w:cs="Times New Roman"/>
      <w:bCs/>
      <w:color w:val="000000"/>
      <w:sz w:val="24"/>
      <w:szCs w:val="24"/>
    </w:rPr>
  </w:style>
  <w:style w:type="paragraph" w:customStyle="1" w:styleId="345">
    <w:name w:val="样式 首行缩进:  2 字符"/>
    <w:basedOn w:val="1"/>
    <w:link w:val="344"/>
    <w:uiPriority w:val="0"/>
    <w:pPr>
      <w:widowControl/>
      <w:numPr>
        <w:ilvl w:val="0"/>
        <w:numId w:val="12"/>
      </w:numPr>
    </w:pPr>
    <w:rPr>
      <w:rFonts w:ascii="宋体" w:hAnsi="宋体"/>
      <w:bCs/>
      <w:color w:val="000000"/>
      <w:kern w:val="0"/>
      <w:sz w:val="24"/>
      <w:szCs w:val="24"/>
    </w:rPr>
  </w:style>
  <w:style w:type="character" w:customStyle="1" w:styleId="346">
    <w:name w:val="h4 Char2"/>
    <w:uiPriority w:val="0"/>
    <w:rPr>
      <w:rFonts w:ascii="Arial" w:hAnsi="Arial" w:eastAsia="黑体"/>
      <w:b/>
      <w:bCs/>
      <w:kern w:val="2"/>
      <w:sz w:val="28"/>
      <w:szCs w:val="28"/>
      <w:lang w:val="en-US" w:eastAsia="zh-CN" w:bidi="ar-SA"/>
    </w:rPr>
  </w:style>
  <w:style w:type="character" w:customStyle="1" w:styleId="347">
    <w:name w:val="大汉方案正文 Char Char Char"/>
    <w:link w:val="348"/>
    <w:uiPriority w:val="0"/>
    <w:rPr>
      <w:rFonts w:ascii="Arial" w:hAnsi="Arial" w:eastAsia="宋体"/>
      <w:sz w:val="24"/>
      <w:szCs w:val="24"/>
      <w:lang w:bidi="ar-SA"/>
    </w:rPr>
  </w:style>
  <w:style w:type="paragraph" w:customStyle="1" w:styleId="348">
    <w:name w:val="大汉方案正文 Char"/>
    <w:basedOn w:val="1"/>
    <w:link w:val="347"/>
    <w:uiPriority w:val="0"/>
    <w:pPr>
      <w:spacing w:line="360" w:lineRule="auto"/>
      <w:ind w:firstLine="200" w:firstLineChars="200"/>
    </w:pPr>
    <w:rPr>
      <w:rFonts w:ascii="Arial" w:hAnsi="Arial"/>
      <w:kern w:val="0"/>
      <w:sz w:val="24"/>
      <w:szCs w:val="24"/>
    </w:rPr>
  </w:style>
  <w:style w:type="character" w:customStyle="1" w:styleId="349">
    <w:name w:val="表格正文 Char Char"/>
    <w:link w:val="350"/>
    <w:uiPriority w:val="0"/>
    <w:rPr>
      <w:rFonts w:ascii="Times New Roman" w:hAnsi="Times New Roman" w:eastAsia="仿宋_GB2312"/>
      <w:szCs w:val="21"/>
    </w:rPr>
  </w:style>
  <w:style w:type="paragraph" w:customStyle="1" w:styleId="350">
    <w:name w:val="表格正文"/>
    <w:basedOn w:val="1"/>
    <w:link w:val="349"/>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51">
    <w:name w:val="正文标准样式ty Char2"/>
    <w:link w:val="352"/>
    <w:uiPriority w:val="0"/>
    <w:rPr>
      <w:rFonts w:eastAsia="宋体" w:cs="宋体"/>
      <w:kern w:val="2"/>
      <w:sz w:val="24"/>
      <w:lang w:val="en-US" w:eastAsia="zh-CN" w:bidi="ar-SA"/>
    </w:rPr>
  </w:style>
  <w:style w:type="paragraph" w:customStyle="1" w:styleId="352">
    <w:name w:val="正文标准样式ty"/>
    <w:basedOn w:val="1"/>
    <w:link w:val="351"/>
    <w:uiPriority w:val="0"/>
    <w:pPr>
      <w:spacing w:line="360" w:lineRule="auto"/>
      <w:ind w:firstLine="480" w:firstLineChars="200"/>
    </w:pPr>
    <w:rPr>
      <w:rFonts w:cs="宋体"/>
      <w:sz w:val="24"/>
      <w:szCs w:val="20"/>
    </w:rPr>
  </w:style>
  <w:style w:type="character" w:customStyle="1" w:styleId="353">
    <w:name w:val="Char Char13"/>
    <w:uiPriority w:val="0"/>
    <w:rPr>
      <w:rFonts w:ascii="Calibri" w:hAnsi="Calibri" w:eastAsia="宋体" w:cs="Times New Roman"/>
      <w:sz w:val="18"/>
      <w:szCs w:val="18"/>
    </w:rPr>
  </w:style>
  <w:style w:type="character" w:customStyle="1" w:styleId="354">
    <w:name w:val="Char Char71"/>
    <w:uiPriority w:val="0"/>
    <w:rPr>
      <w:rFonts w:eastAsia="宋体"/>
      <w:b/>
      <w:kern w:val="2"/>
      <w:sz w:val="32"/>
      <w:lang w:bidi="ar-SA"/>
    </w:rPr>
  </w:style>
  <w:style w:type="character" w:customStyle="1" w:styleId="355">
    <w:name w:val="Char Char91"/>
    <w:uiPriority w:val="0"/>
    <w:rPr>
      <w:rFonts w:eastAsia="宋体"/>
      <w:b/>
      <w:kern w:val="44"/>
      <w:sz w:val="44"/>
      <w:lang w:bidi="ar-SA"/>
    </w:rPr>
  </w:style>
  <w:style w:type="character" w:customStyle="1" w:styleId="356">
    <w:name w:val="吉奥表格正文 Char"/>
    <w:link w:val="357"/>
    <w:uiPriority w:val="0"/>
    <w:rPr>
      <w:rFonts w:ascii="Times New Roman" w:hAnsi="Times New Roman" w:eastAsia="仿宋_GB2312"/>
      <w:szCs w:val="21"/>
    </w:rPr>
  </w:style>
  <w:style w:type="paragraph" w:customStyle="1" w:styleId="357">
    <w:name w:val="吉奥表格正文"/>
    <w:basedOn w:val="1"/>
    <w:link w:val="356"/>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58">
    <w:name w:val="+SymcPara Char"/>
    <w:link w:val="359"/>
    <w:locked/>
    <w:uiPriority w:val="0"/>
    <w:rPr>
      <w:rFonts w:ascii="宋体" w:hAnsi="宋体" w:cs="Arial"/>
      <w:lang w:val="en-US" w:eastAsia="en-US" w:bidi="ar-SA"/>
    </w:rPr>
  </w:style>
  <w:style w:type="paragraph" w:customStyle="1" w:styleId="359">
    <w:name w:val="+SymcPara"/>
    <w:link w:val="358"/>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360">
    <w:name w:val="a Char Char"/>
    <w:uiPriority w:val="0"/>
    <w:rPr>
      <w:rFonts w:ascii="宋体" w:hAnsi="宋体" w:eastAsia="仿宋_GB2312"/>
      <w:sz w:val="24"/>
      <w:lang w:val="en-US" w:eastAsia="zh-CN" w:bidi="ar-SA"/>
    </w:rPr>
  </w:style>
  <w:style w:type="character" w:customStyle="1" w:styleId="361">
    <w:name w:val="7.表小四 Char Char"/>
    <w:uiPriority w:val="0"/>
    <w:rPr>
      <w:rFonts w:ascii="宋体" w:hAnsi="宋体" w:eastAsia="宋体"/>
      <w:kern w:val="2"/>
      <w:sz w:val="24"/>
      <w:szCs w:val="24"/>
      <w:lang w:val="en-US" w:eastAsia="zh-CN" w:bidi="ar-SA"/>
    </w:rPr>
  </w:style>
  <w:style w:type="character" w:customStyle="1" w:styleId="362">
    <w:name w:val="ca-16"/>
    <w:basedOn w:val="63"/>
    <w:uiPriority w:val="0"/>
  </w:style>
  <w:style w:type="character" w:customStyle="1" w:styleId="363">
    <w:name w:val="副标题 Char"/>
    <w:link w:val="42"/>
    <w:uiPriority w:val="11"/>
    <w:rPr>
      <w:rFonts w:ascii="Times New Roman" w:hAnsi="Times New Roman" w:eastAsia="Times New Roman"/>
      <w:kern w:val="2"/>
      <w:sz w:val="18"/>
      <w:szCs w:val="18"/>
      <w:lang w:val="en-US" w:eastAsia="zh-CN"/>
    </w:rPr>
  </w:style>
  <w:style w:type="character" w:customStyle="1" w:styleId="364">
    <w:name w:val="正文（缩进） Char"/>
    <w:link w:val="365"/>
    <w:uiPriority w:val="0"/>
    <w:rPr>
      <w:kern w:val="2"/>
      <w:sz w:val="24"/>
      <w:szCs w:val="24"/>
    </w:rPr>
  </w:style>
  <w:style w:type="paragraph" w:customStyle="1" w:styleId="365">
    <w:name w:val="正文（缩进）"/>
    <w:basedOn w:val="1"/>
    <w:link w:val="364"/>
    <w:uiPriority w:val="0"/>
    <w:pPr>
      <w:spacing w:beforeLines="50" w:afterLines="50" w:line="360" w:lineRule="auto"/>
      <w:ind w:firstLine="480" w:firstLineChars="200"/>
    </w:pPr>
    <w:rPr>
      <w:sz w:val="24"/>
      <w:szCs w:val="24"/>
    </w:rPr>
  </w:style>
  <w:style w:type="character" w:customStyle="1" w:styleId="366">
    <w:name w:val="文档正文1 Char"/>
    <w:link w:val="367"/>
    <w:uiPriority w:val="0"/>
    <w:rPr>
      <w:rFonts w:ascii="仿宋_GB2312" w:hAnsi="仿宋" w:eastAsia="仿宋_GB2312"/>
      <w:kern w:val="2"/>
      <w:sz w:val="30"/>
      <w:szCs w:val="30"/>
      <w:lang w:bidi="ar-SA"/>
    </w:rPr>
  </w:style>
  <w:style w:type="paragraph" w:customStyle="1" w:styleId="367">
    <w:name w:val="文档正文1"/>
    <w:basedOn w:val="1"/>
    <w:link w:val="366"/>
    <w:qFormat/>
    <w:uiPriority w:val="0"/>
    <w:pPr>
      <w:spacing w:line="360" w:lineRule="auto"/>
      <w:ind w:firstLine="600"/>
    </w:pPr>
    <w:rPr>
      <w:rFonts w:ascii="仿宋_GB2312" w:hAnsi="仿宋" w:eastAsia="仿宋_GB2312"/>
      <w:sz w:val="30"/>
      <w:szCs w:val="30"/>
    </w:rPr>
  </w:style>
  <w:style w:type="character" w:customStyle="1" w:styleId="368">
    <w:name w:val="正文缩进 Char"/>
    <w:link w:val="17"/>
    <w:uiPriority w:val="0"/>
    <w:rPr>
      <w:rFonts w:eastAsia="宋体"/>
      <w:kern w:val="2"/>
      <w:sz w:val="21"/>
      <w:lang w:val="en-US" w:eastAsia="zh-CN" w:bidi="ar-SA"/>
    </w:rPr>
  </w:style>
  <w:style w:type="character" w:customStyle="1" w:styleId="369">
    <w:name w:val="Indent Normal Char Char"/>
    <w:uiPriority w:val="0"/>
    <w:rPr>
      <w:kern w:val="2"/>
      <w:sz w:val="21"/>
      <w:lang w:bidi="ar-SA"/>
    </w:rPr>
  </w:style>
  <w:style w:type="character" w:customStyle="1" w:styleId="370">
    <w:name w:val="标题 4 Char1"/>
    <w:uiPriority w:val="0"/>
    <w:rPr>
      <w:rFonts w:ascii="Cambria" w:hAnsi="Cambria" w:eastAsia="宋体" w:cs="Times New Roman"/>
      <w:b/>
      <w:bCs/>
      <w:kern w:val="2"/>
      <w:sz w:val="28"/>
      <w:szCs w:val="28"/>
    </w:rPr>
  </w:style>
  <w:style w:type="character" w:customStyle="1" w:styleId="371">
    <w:name w:val="列出段落 Char Char"/>
    <w:uiPriority w:val="0"/>
    <w:rPr>
      <w:rFonts w:ascii="Calibri" w:hAnsi="Calibri" w:eastAsia="宋体"/>
      <w:kern w:val="2"/>
      <w:sz w:val="21"/>
      <w:szCs w:val="24"/>
      <w:lang w:val="en-US" w:eastAsia="zh-CN" w:bidi="ar-SA"/>
    </w:rPr>
  </w:style>
  <w:style w:type="character" w:customStyle="1" w:styleId="372">
    <w:name w:val="mark8"/>
    <w:uiPriority w:val="0"/>
    <w:rPr>
      <w:b/>
      <w:bCs/>
      <w:sz w:val="21"/>
      <w:szCs w:val="21"/>
    </w:rPr>
  </w:style>
  <w:style w:type="character" w:customStyle="1" w:styleId="373">
    <w:name w:val="paragraph1 Char"/>
    <w:link w:val="374"/>
    <w:uiPriority w:val="0"/>
    <w:rPr>
      <w:rFonts w:eastAsia="楷体_GB2312"/>
      <w:kern w:val="2"/>
      <w:sz w:val="24"/>
      <w:lang w:val="en-US" w:eastAsia="zh-CN" w:bidi="ar-SA"/>
    </w:rPr>
  </w:style>
  <w:style w:type="paragraph" w:customStyle="1" w:styleId="374">
    <w:name w:val="paragraph1"/>
    <w:basedOn w:val="1"/>
    <w:link w:val="373"/>
    <w:uiPriority w:val="0"/>
    <w:pPr>
      <w:spacing w:afterLines="30" w:line="360" w:lineRule="auto"/>
      <w:ind w:firstLine="420" w:firstLineChars="200"/>
    </w:pPr>
    <w:rPr>
      <w:rFonts w:eastAsia="楷体_GB2312"/>
      <w:sz w:val="24"/>
      <w:szCs w:val="20"/>
    </w:rPr>
  </w:style>
  <w:style w:type="character" w:customStyle="1" w:styleId="375">
    <w:name w:val="页眉 Char1"/>
    <w:link w:val="39"/>
    <w:uiPriority w:val="0"/>
    <w:rPr>
      <w:kern w:val="2"/>
      <w:sz w:val="18"/>
      <w:szCs w:val="18"/>
    </w:rPr>
  </w:style>
  <w:style w:type="character" w:customStyle="1" w:styleId="376">
    <w:name w:val="纯文本 Char"/>
    <w:link w:val="31"/>
    <w:uiPriority w:val="0"/>
    <w:rPr>
      <w:rFonts w:ascii="宋体" w:hAnsi="Courier New"/>
      <w:kern w:val="2"/>
      <w:sz w:val="24"/>
      <w:szCs w:val="24"/>
    </w:rPr>
  </w:style>
  <w:style w:type="character" w:customStyle="1" w:styleId="377">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378">
    <w:name w:val="日期 Char"/>
    <w:link w:val="34"/>
    <w:uiPriority w:val="0"/>
    <w:rPr>
      <w:rFonts w:eastAsia="楷体_GB2312"/>
      <w:kern w:val="2"/>
      <w:sz w:val="32"/>
      <w:lang w:val="en-US" w:eastAsia="zh-CN" w:bidi="ar-SA"/>
    </w:rPr>
  </w:style>
  <w:style w:type="character" w:customStyle="1" w:styleId="379">
    <w:name w:val="正文文本 2 Char"/>
    <w:link w:val="50"/>
    <w:uiPriority w:val="0"/>
    <w:rPr>
      <w:rFonts w:ascii="宋体" w:hAnsi="宋体" w:eastAsia="宋体"/>
      <w:color w:val="000000"/>
      <w:kern w:val="2"/>
      <w:sz w:val="24"/>
      <w:szCs w:val="24"/>
      <w:lang w:val="en-US" w:eastAsia="zh-CN" w:bidi="ar-SA"/>
    </w:rPr>
  </w:style>
  <w:style w:type="character" w:customStyle="1" w:styleId="380">
    <w:name w:val="mark"/>
    <w:uiPriority w:val="0"/>
    <w:rPr>
      <w:rFonts w:cs="Times New Roman"/>
    </w:rPr>
  </w:style>
  <w:style w:type="character" w:customStyle="1" w:styleId="381">
    <w:name w:val="Char Char131"/>
    <w:uiPriority w:val="0"/>
    <w:rPr>
      <w:rFonts w:ascii="Calibri" w:hAnsi="Calibri" w:eastAsia="宋体" w:cs="Times New Roman"/>
      <w:sz w:val="18"/>
      <w:szCs w:val="18"/>
    </w:rPr>
  </w:style>
  <w:style w:type="character" w:customStyle="1" w:styleId="382">
    <w:name w:val="Char2 Char"/>
    <w:uiPriority w:val="0"/>
    <w:rPr>
      <w:rFonts w:ascii="Verdana" w:hAnsi="宋体" w:eastAsia="宋体" w:cs="Times New Roman"/>
      <w:sz w:val="28"/>
      <w:szCs w:val="28"/>
    </w:rPr>
  </w:style>
  <w:style w:type="character" w:customStyle="1" w:styleId="383">
    <w:name w:val="页眉 Char"/>
    <w:qFormat/>
    <w:uiPriority w:val="99"/>
    <w:rPr>
      <w:kern w:val="2"/>
      <w:sz w:val="18"/>
      <w:szCs w:val="18"/>
      <w:lang w:bidi="ar-SA"/>
    </w:rPr>
  </w:style>
  <w:style w:type="character" w:customStyle="1" w:styleId="384">
    <w:name w:val="正文 首行缩进:  2 字符 Char"/>
    <w:link w:val="385"/>
    <w:uiPriority w:val="0"/>
    <w:rPr>
      <w:rFonts w:cs="宋体"/>
      <w:sz w:val="24"/>
    </w:rPr>
  </w:style>
  <w:style w:type="paragraph" w:customStyle="1" w:styleId="385">
    <w:name w:val="正文 首行缩进:  2 字符"/>
    <w:basedOn w:val="1"/>
    <w:next w:val="1"/>
    <w:link w:val="384"/>
    <w:uiPriority w:val="0"/>
    <w:pPr>
      <w:spacing w:line="360" w:lineRule="auto"/>
      <w:ind w:firstLine="480" w:firstLineChars="200"/>
      <w:jc w:val="left"/>
    </w:pPr>
    <w:rPr>
      <w:kern w:val="0"/>
      <w:sz w:val="24"/>
      <w:szCs w:val="20"/>
    </w:rPr>
  </w:style>
  <w:style w:type="character" w:customStyle="1" w:styleId="386">
    <w:name w:val="paramname3"/>
    <w:uiPriority w:val="0"/>
    <w:rPr>
      <w:color w:val="999999"/>
    </w:rPr>
  </w:style>
  <w:style w:type="character" w:customStyle="1" w:styleId="387">
    <w:name w:val="Char Char41"/>
    <w:uiPriority w:val="0"/>
    <w:rPr>
      <w:rFonts w:ascii="Calibri" w:hAnsi="Calibri" w:eastAsia="宋体"/>
      <w:sz w:val="18"/>
      <w:szCs w:val="18"/>
      <w:lang w:bidi="ar-SA"/>
    </w:rPr>
  </w:style>
  <w:style w:type="character" w:customStyle="1" w:styleId="388">
    <w:name w:val="华电 正文 Char Char"/>
    <w:uiPriority w:val="0"/>
    <w:rPr>
      <w:rFonts w:ascii="宋体" w:hAnsi="宋体" w:eastAsia="宋体"/>
      <w:sz w:val="22"/>
      <w:lang w:bidi="ar-SA"/>
    </w:rPr>
  </w:style>
  <w:style w:type="character" w:customStyle="1" w:styleId="389">
    <w:name w:val="Char Char"/>
    <w:uiPriority w:val="0"/>
    <w:rPr>
      <w:rFonts w:ascii="Arial" w:hAnsi="Arial" w:eastAsia="黑体"/>
      <w:b/>
      <w:bCs/>
      <w:kern w:val="2"/>
      <w:sz w:val="28"/>
      <w:szCs w:val="28"/>
      <w:lang w:val="en-US" w:eastAsia="zh-CN" w:bidi="ar-SA"/>
    </w:rPr>
  </w:style>
  <w:style w:type="paragraph" w:customStyle="1" w:styleId="390">
    <w:name w:val="表文字"/>
    <w:uiPriority w:val="0"/>
    <w:rPr>
      <w:rFonts w:ascii="宋体" w:hAnsi="Times New Roman" w:eastAsia="宋体" w:cs="Times New Roman"/>
      <w:kern w:val="2"/>
      <w:lang w:val="en-US" w:eastAsia="zh-CN" w:bidi="ar-SA"/>
    </w:rPr>
  </w:style>
  <w:style w:type="paragraph" w:customStyle="1" w:styleId="391">
    <w:name w:val="样式 标题 2Chapter X.X. Statementh22Header 2l2Level 2 Headhea..."/>
    <w:basedOn w:val="3"/>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uiPriority w:val="0"/>
    <w:pPr>
      <w:keepNext w:val="0"/>
      <w:keepLines w:val="0"/>
      <w:tabs>
        <w:tab w:val="left" w:pos="864"/>
      </w:tabs>
      <w:spacing w:line="377" w:lineRule="auto"/>
    </w:pPr>
    <w:rPr>
      <w:rFonts w:ascii="Arial Narrow" w:hAnsi="Arial Narrow" w:eastAsia="方正姚体"/>
      <w:b w:val="0"/>
      <w:sz w:val="24"/>
      <w:szCs w:val="24"/>
    </w:rPr>
  </w:style>
  <w:style w:type="paragraph" w:customStyle="1" w:styleId="395">
    <w:name w:val="InfoBlue"/>
    <w:basedOn w:val="1"/>
    <w:next w:val="24"/>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15"/>
    <w:qFormat/>
    <w:uiPriority w:val="0"/>
    <w:pPr>
      <w:ind w:firstLine="480" w:firstLineChars="200"/>
    </w:pPr>
  </w:style>
  <w:style w:type="paragraph" w:customStyle="1" w:styleId="397">
    <w:name w:val="正文段"/>
    <w:basedOn w:val="1"/>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uiPriority w:val="0"/>
    <w:pPr>
      <w:ind w:firstLine="420" w:firstLineChars="200"/>
    </w:pPr>
  </w:style>
  <w:style w:type="paragraph" w:customStyle="1" w:styleId="400">
    <w:name w:val="15"/>
    <w:basedOn w:val="1"/>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uiPriority w:val="0"/>
    <w:pPr>
      <w:spacing w:line="288" w:lineRule="auto"/>
      <w:jc w:val="center"/>
    </w:pPr>
    <w:rPr>
      <w:rFonts w:ascii="新宋体" w:hAnsi="Times New Roman" w:eastAsia="新宋体"/>
      <w:sz w:val="24"/>
      <w:szCs w:val="24"/>
    </w:rPr>
  </w:style>
  <w:style w:type="paragraph" w:customStyle="1" w:styleId="402">
    <w:name w:val="xl76"/>
    <w:basedOn w:val="1"/>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uiPriority w:val="0"/>
    <w:pPr>
      <w:spacing w:afterLines="50"/>
      <w:ind w:left="720" w:hanging="432"/>
      <w:jc w:val="left"/>
    </w:pPr>
    <w:rPr>
      <w:rFonts w:ascii="宋体" w:hAnsi="Times New Roman"/>
      <w:snapToGrid w:val="0"/>
      <w:kern w:val="0"/>
      <w:szCs w:val="20"/>
    </w:rPr>
  </w:style>
  <w:style w:type="paragraph" w:customStyle="1" w:styleId="404">
    <w:name w:val="S4-I-L15-U"/>
    <w:basedOn w:val="1"/>
    <w:uiPriority w:val="0"/>
    <w:pPr>
      <w:spacing w:line="360" w:lineRule="auto"/>
    </w:pPr>
    <w:rPr>
      <w:rFonts w:ascii="Times New Roman" w:hAnsi="Times New Roman"/>
      <w:b/>
      <w:i/>
      <w:sz w:val="24"/>
      <w:szCs w:val="24"/>
      <w:u w:val="single"/>
    </w:rPr>
  </w:style>
  <w:style w:type="paragraph" w:customStyle="1" w:styleId="405">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uiPriority w:val="0"/>
    <w:pPr>
      <w:spacing w:after="120"/>
    </w:pPr>
    <w:rPr>
      <w:rFonts w:ascii="Times New Roman" w:hAnsi="Times New Roman"/>
      <w:sz w:val="28"/>
      <w:szCs w:val="24"/>
    </w:rPr>
  </w:style>
  <w:style w:type="paragraph" w:customStyle="1" w:styleId="407">
    <w:name w:val="xl70"/>
    <w:basedOn w:val="1"/>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uiPriority w:val="0"/>
    <w:rPr>
      <w:rFonts w:ascii="仿宋_GB2312" w:hAnsi="Times New Roman" w:eastAsia="仿宋_GB2312"/>
      <w:b/>
      <w:sz w:val="32"/>
      <w:szCs w:val="32"/>
    </w:rPr>
  </w:style>
  <w:style w:type="paragraph" w:customStyle="1" w:styleId="413">
    <w:name w:val="font11"/>
    <w:basedOn w:val="1"/>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15">
    <w:name w:val="图表"/>
    <w:basedOn w:val="1"/>
    <w:uiPriority w:val="0"/>
    <w:pPr>
      <w:adjustRightInd w:val="0"/>
      <w:snapToGrid w:val="0"/>
      <w:jc w:val="center"/>
    </w:pPr>
    <w:rPr>
      <w:rFonts w:ascii="宋体" w:hAnsi="宋体"/>
      <w:szCs w:val="21"/>
    </w:rPr>
  </w:style>
  <w:style w:type="paragraph" w:customStyle="1" w:styleId="416">
    <w:name w:val="正文浙江中烟安全"/>
    <w:basedOn w:val="1"/>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418">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19">
    <w:name w:val="样式 样式 正文文本缩进 + 仿宋_GB2312 小四 首行缩进:  0 厘米 行距: 1.5 倍行距 + (中文) 仿宋_GB..."/>
    <w:basedOn w:val="420"/>
    <w:uiPriority w:val="0"/>
    <w:pPr>
      <w:ind w:firstLine="480" w:firstLineChars="200"/>
    </w:pPr>
  </w:style>
  <w:style w:type="paragraph" w:customStyle="1" w:styleId="420">
    <w:name w:val="样式 正文文本缩进 + 仿宋_GB2312 小四 首行缩进:  0 厘米 行距: 1.5 倍行距"/>
    <w:basedOn w:val="25"/>
    <w:uiPriority w:val="0"/>
    <w:pPr>
      <w:spacing w:line="360" w:lineRule="auto"/>
      <w:ind w:firstLine="0"/>
    </w:pPr>
    <w:rPr>
      <w:rFonts w:ascii="仿宋_GB2312" w:hAnsi="Times New Roman" w:eastAsia="新宋体"/>
      <w:spacing w:val="0"/>
      <w:sz w:val="24"/>
    </w:rPr>
  </w:style>
  <w:style w:type="paragraph" w:customStyle="1" w:styleId="421">
    <w:name w:val="xl86"/>
    <w:basedOn w:val="1"/>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08"/>
    <w:qFormat/>
    <w:uiPriority w:val="0"/>
    <w:pPr>
      <w:ind w:firstLine="562"/>
    </w:pPr>
    <w:rPr>
      <w:rFonts w:ascii="仿宋_GB2312" w:eastAsia="仿宋_GB2312"/>
      <w:b/>
      <w:sz w:val="28"/>
      <w:szCs w:val="28"/>
    </w:rPr>
  </w:style>
  <w:style w:type="paragraph" w:customStyle="1" w:styleId="423">
    <w:name w:val="图名"/>
    <w:basedOn w:val="18"/>
    <w:qFormat/>
    <w:uiPriority w:val="0"/>
    <w:pPr>
      <w:spacing w:beforeLines="50" w:afterLines="50"/>
      <w:jc w:val="center"/>
    </w:pPr>
    <w:rPr>
      <w:rFonts w:ascii="Times New Roman" w:hAnsi="Times New Roman"/>
      <w:kern w:val="0"/>
      <w:sz w:val="24"/>
      <w:szCs w:val="24"/>
    </w:rPr>
  </w:style>
  <w:style w:type="paragraph" w:styleId="4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431">
    <w:name w:val="文档正文 Char"/>
    <w:basedOn w:val="1"/>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0"/>
    <w:pPr>
      <w:spacing w:beforeLines="50" w:afterLines="50"/>
      <w:jc w:val="center"/>
    </w:pPr>
    <w:rPr>
      <w:rFonts w:ascii="黑体"/>
      <w:kern w:val="0"/>
      <w:sz w:val="24"/>
      <w:szCs w:val="24"/>
    </w:rPr>
  </w:style>
  <w:style w:type="paragraph" w:customStyle="1" w:styleId="434">
    <w:name w:val="Char Char Char"/>
    <w:basedOn w:val="1"/>
    <w:uiPriority w:val="0"/>
    <w:rPr>
      <w:rFonts w:ascii="Tahoma" w:hAnsi="Tahoma"/>
      <w:sz w:val="24"/>
      <w:szCs w:val="20"/>
    </w:rPr>
  </w:style>
  <w:style w:type="paragraph" w:customStyle="1" w:styleId="435">
    <w:name w:val="样式 样式 标题 4 + 段后: 0.5 行1"/>
    <w:basedOn w:val="436"/>
    <w:next w:val="36"/>
    <w:uiPriority w:val="0"/>
    <w:pPr>
      <w:numPr>
        <w:ilvl w:val="1"/>
        <w:numId w:val="6"/>
      </w:numPr>
      <w:tabs>
        <w:tab w:val="left" w:pos="780"/>
      </w:tabs>
      <w:spacing w:after="120"/>
      <w:ind w:left="0" w:firstLine="0"/>
    </w:pPr>
  </w:style>
  <w:style w:type="paragraph" w:customStyle="1" w:styleId="436">
    <w:name w:val="样式 标题 4 + 段后: 0.5 行"/>
    <w:basedOn w:val="5"/>
    <w:uiPriority w:val="0"/>
    <w:pPr>
      <w:keepLines w:val="0"/>
      <w:numPr>
        <w:numId w:val="13"/>
      </w:numPr>
      <w:tabs>
        <w:tab w:val="left" w:pos="780"/>
      </w:tabs>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uiPriority w:val="0"/>
    <w:pPr>
      <w:tabs>
        <w:tab w:val="left" w:pos="709"/>
      </w:tabs>
      <w:spacing w:line="360" w:lineRule="auto"/>
    </w:pPr>
    <w:rPr>
      <w:rFonts w:ascii="Times New Roman" w:hAnsi="Times New Roman"/>
      <w:kern w:val="0"/>
      <w:sz w:val="28"/>
      <w:szCs w:val="28"/>
    </w:rPr>
  </w:style>
  <w:style w:type="paragraph" w:customStyle="1" w:styleId="43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uiPriority w:val="0"/>
    <w:pPr>
      <w:ind w:left="1890" w:leftChars="900"/>
    </w:pPr>
    <w:rPr>
      <w:rFonts w:ascii="Times New Roman" w:hAnsi="Times New Roman"/>
      <w:sz w:val="24"/>
      <w:szCs w:val="24"/>
    </w:rPr>
  </w:style>
  <w:style w:type="paragraph" w:customStyle="1" w:styleId="440">
    <w:name w:val="linyang-正文"/>
    <w:basedOn w:val="1"/>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uiPriority w:val="0"/>
    <w:pPr>
      <w:numPr>
        <w:numId w:val="14"/>
      </w:numPr>
      <w:tabs>
        <w:tab w:val="left" w:pos="0"/>
      </w:tabs>
      <w:spacing w:beforeLines="100" w:afterLines="100" w:line="360" w:lineRule="auto"/>
    </w:pPr>
    <w:rPr>
      <w:rFonts w:ascii="Times New Roman" w:hAnsi="Times New Roman"/>
      <w:sz w:val="30"/>
    </w:rPr>
  </w:style>
  <w:style w:type="paragraph" w:customStyle="1" w:styleId="442">
    <w:name w:val="text"/>
    <w:basedOn w:val="1"/>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uiPriority w:val="0"/>
    <w:pPr>
      <w:shd w:val="clear" w:color="auto" w:fill="000080"/>
    </w:pPr>
    <w:rPr>
      <w:rFonts w:ascii="Tahoma" w:hAnsi="Tahoma" w:cs="Tahoma"/>
      <w:kern w:val="0"/>
      <w:szCs w:val="24"/>
    </w:rPr>
  </w:style>
  <w:style w:type="paragraph" w:customStyle="1" w:styleId="444">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uiPriority w:val="0"/>
    <w:pPr>
      <w:spacing w:after="120" w:line="360" w:lineRule="auto"/>
      <w:jc w:val="center"/>
    </w:pPr>
    <w:rPr>
      <w:rFonts w:ascii="Times New Roman" w:hAnsi="Times New Roman"/>
      <w:szCs w:val="21"/>
    </w:rPr>
  </w:style>
  <w:style w:type="paragraph" w:customStyle="1" w:styleId="452">
    <w:name w:val="P2"/>
    <w:basedOn w:val="1"/>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uiPriority w:val="0"/>
    <w:pPr>
      <w:spacing w:beforeLines="0" w:afterLines="0" w:line="360" w:lineRule="auto"/>
    </w:pPr>
    <w:rPr>
      <w:b/>
      <w:sz w:val="30"/>
      <w:szCs w:val="20"/>
    </w:rPr>
  </w:style>
  <w:style w:type="paragraph" w:customStyle="1" w:styleId="455">
    <w:name w:val="Normal0"/>
    <w:uiPriority w:val="0"/>
    <w:rPr>
      <w:rFonts w:ascii="Times New Roman" w:hAnsi="Times New Roman" w:eastAsia="宋体" w:cs="Times New Roman"/>
      <w:lang w:val="en-US" w:eastAsia="en-US" w:bidi="ar-SA"/>
    </w:rPr>
  </w:style>
  <w:style w:type="paragraph" w:customStyle="1" w:styleId="456">
    <w:name w:val="Char6"/>
    <w:basedOn w:val="1"/>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uiPriority w:val="0"/>
    <w:rPr>
      <w:rFonts w:ascii="Arial" w:hAnsi="Arial"/>
      <w:sz w:val="30"/>
    </w:rPr>
  </w:style>
  <w:style w:type="paragraph" w:customStyle="1" w:styleId="458">
    <w:name w:val="书籍标题3"/>
    <w:basedOn w:val="1"/>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uiPriority w:val="0"/>
    <w:pPr>
      <w:spacing w:beforeLines="20" w:afterLines="20"/>
    </w:pPr>
    <w:rPr>
      <w:rFonts w:ascii="楷体_GB2312" w:hAnsi="宋体" w:eastAsia="楷体_GB2312" w:cs="Arial"/>
      <w:kern w:val="0"/>
      <w:sz w:val="24"/>
      <w:szCs w:val="24"/>
    </w:rPr>
  </w:style>
  <w:style w:type="paragraph" w:customStyle="1" w:styleId="460">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uiPriority w:val="0"/>
    <w:pPr>
      <w:ind w:firstLine="420"/>
    </w:pPr>
    <w:rPr>
      <w:rFonts w:ascii="Times New Roman" w:hAnsi="Times New Roman"/>
      <w:szCs w:val="20"/>
    </w:rPr>
  </w:style>
  <w:style w:type="paragraph" w:customStyle="1" w:styleId="469">
    <w:name w:val="pa-17"/>
    <w:basedOn w:val="1"/>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uiPriority w:val="0"/>
    <w:pPr>
      <w:spacing w:line="360" w:lineRule="auto"/>
      <w:ind w:firstLine="480" w:firstLineChars="200"/>
    </w:pPr>
    <w:rPr>
      <w:rFonts w:ascii="宋体" w:hAnsi="宋体"/>
      <w:sz w:val="24"/>
      <w:szCs w:val="24"/>
    </w:rPr>
  </w:style>
  <w:style w:type="paragraph" w:customStyle="1" w:styleId="471">
    <w:name w:val="Char9"/>
    <w:basedOn w:val="1"/>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
    <w:basedOn w:val="21"/>
    <w:next w:val="21"/>
    <w:uiPriority w:val="0"/>
    <w:rPr>
      <w:b/>
      <w:bCs/>
      <w:kern w:val="0"/>
      <w:sz w:val="20"/>
      <w:szCs w:val="20"/>
    </w:rPr>
  </w:style>
  <w:style w:type="paragraph" w:customStyle="1" w:styleId="474">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uiPriority w:val="0"/>
    <w:pPr>
      <w:tabs>
        <w:tab w:val="left" w:pos="1140"/>
      </w:tabs>
      <w:spacing w:after="120"/>
    </w:pPr>
    <w:rPr>
      <w:bCs/>
    </w:rPr>
  </w:style>
  <w:style w:type="paragraph" w:customStyle="1" w:styleId="476">
    <w:name w:val="样式 标题1"/>
    <w:basedOn w:val="477"/>
    <w:next w:val="478"/>
    <w:uiPriority w:val="0"/>
    <w:pPr>
      <w:tabs>
        <w:tab w:val="left" w:pos="1140"/>
      </w:tabs>
      <w:spacing w:after="50"/>
      <w:ind w:left="1140" w:hanging="720"/>
    </w:pPr>
    <w:rPr>
      <w:bCs w:val="0"/>
      <w:sz w:val="32"/>
    </w:rPr>
  </w:style>
  <w:style w:type="paragraph" w:customStyle="1" w:styleId="477">
    <w:name w:val="样式 标题 1 + 段后: 0.5 行"/>
    <w:basedOn w:val="2"/>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uiPriority w:val="0"/>
    <w:pPr>
      <w:spacing w:after="120"/>
    </w:pPr>
  </w:style>
  <w:style w:type="paragraph" w:customStyle="1" w:styleId="479">
    <w:name w:val="样式 标题 2"/>
    <w:basedOn w:val="3"/>
    <w:next w:val="480"/>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uiPriority w:val="0"/>
    <w:pPr>
      <w:spacing w:after="120"/>
    </w:pPr>
  </w:style>
  <w:style w:type="paragraph" w:customStyle="1" w:styleId="481">
    <w:name w:val="样式 标题 3"/>
    <w:basedOn w:val="4"/>
    <w:next w:val="482"/>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uiPriority w:val="0"/>
    <w:pPr>
      <w:tabs>
        <w:tab w:val="left" w:pos="780"/>
        <w:tab w:val="left" w:pos="864"/>
        <w:tab w:val="left" w:pos="2100"/>
      </w:tabs>
      <w:spacing w:after="120"/>
      <w:ind w:left="0" w:firstLine="0"/>
    </w:pPr>
  </w:style>
  <w:style w:type="paragraph" w:customStyle="1" w:styleId="483">
    <w:name w:val="样式 标题 4"/>
    <w:basedOn w:val="484"/>
    <w:next w:val="485"/>
    <w:uiPriority w:val="0"/>
    <w:pPr>
      <w:numPr>
        <w:ilvl w:val="0"/>
      </w:numPr>
      <w:tabs>
        <w:tab w:val="left" w:pos="780"/>
        <w:tab w:val="left" w:pos="864"/>
        <w:tab w:val="left" w:pos="2100"/>
      </w:tabs>
      <w:spacing w:after="50"/>
      <w:ind w:left="2100" w:hanging="420"/>
    </w:pPr>
  </w:style>
  <w:style w:type="paragraph" w:customStyle="1" w:styleId="484">
    <w:name w:val="样式 标题 4Chapter X.X.X.X. + 段后: 0.5 行1"/>
    <w:basedOn w:val="436"/>
    <w:uiPriority w:val="0"/>
    <w:pPr>
      <w:numPr>
        <w:numId w:val="0"/>
      </w:numPr>
      <w:tabs>
        <w:tab w:val="left" w:pos="864"/>
      </w:tabs>
      <w:spacing w:after="120"/>
      <w:ind w:left="864" w:hanging="864"/>
    </w:pPr>
  </w:style>
  <w:style w:type="paragraph" w:customStyle="1" w:styleId="485">
    <w:name w:val="样式 正文"/>
    <w:basedOn w:val="1"/>
    <w:next w:val="1"/>
    <w:uiPriority w:val="0"/>
    <w:pPr>
      <w:numPr>
        <w:ilvl w:val="2"/>
        <w:numId w:val="6"/>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uiPriority w:val="0"/>
    <w:pPr>
      <w:spacing w:before="80" w:afterLines="50"/>
    </w:pPr>
    <w:rPr>
      <w:rFonts w:ascii="宋体" w:hAnsi="Times New Roman"/>
      <w:snapToGrid w:val="0"/>
      <w:kern w:val="0"/>
      <w:szCs w:val="20"/>
    </w:rPr>
  </w:style>
  <w:style w:type="paragraph" w:customStyle="1" w:styleId="490">
    <w:name w:val="4"/>
    <w:basedOn w:val="1"/>
    <w:uiPriority w:val="0"/>
  </w:style>
  <w:style w:type="paragraph" w:customStyle="1" w:styleId="491">
    <w:name w:val="ZJGIS-一级标题"/>
    <w:basedOn w:val="2"/>
    <w:qFormat/>
    <w:uiPriority w:val="0"/>
    <w:pPr>
      <w:keepNext/>
      <w:keepLines/>
      <w:numPr>
        <w:numId w:val="11"/>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uiPriority w:val="99"/>
    <w:rPr>
      <w:rFonts w:ascii="Calibri" w:hAnsi="Calibri" w:eastAsia="宋体" w:cs="Times New Roman"/>
      <w:kern w:val="2"/>
      <w:sz w:val="21"/>
      <w:szCs w:val="22"/>
      <w:lang w:val="en-US" w:eastAsia="zh-CN" w:bidi="ar-SA"/>
    </w:rPr>
  </w:style>
  <w:style w:type="paragraph" w:customStyle="1" w:styleId="493">
    <w:name w:val="xl77"/>
    <w:basedOn w:val="1"/>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uiPriority w:val="0"/>
    <w:pPr>
      <w:tabs>
        <w:tab w:val="left" w:pos="432"/>
      </w:tabs>
      <w:ind w:left="432" w:hanging="432"/>
    </w:pPr>
    <w:rPr>
      <w:rFonts w:ascii="Times New Roman" w:hAnsi="Times New Roman"/>
      <w:sz w:val="24"/>
      <w:szCs w:val="24"/>
    </w:rPr>
  </w:style>
  <w:style w:type="paragraph" w:customStyle="1" w:styleId="500">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uiPriority w:val="0"/>
    <w:pPr>
      <w:spacing w:beforeLines="50" w:after="120" w:line="300" w:lineRule="auto"/>
      <w:ind w:firstLine="480"/>
    </w:pPr>
    <w:rPr>
      <w:rFonts w:ascii="Helvetica" w:hAnsi="Helvetica"/>
      <w:kern w:val="0"/>
      <w:sz w:val="24"/>
      <w:szCs w:val="24"/>
    </w:rPr>
  </w:style>
  <w:style w:type="paragraph" w:customStyle="1" w:styleId="502">
    <w:name w:val="xl9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504">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uiPriority w:val="0"/>
    <w:pPr>
      <w:widowControl/>
      <w:spacing w:before="360" w:after="360"/>
      <w:jc w:val="center"/>
    </w:pPr>
    <w:rPr>
      <w:rFonts w:ascii="宋体" w:hAnsi="宋体" w:cs="宋体"/>
      <w:kern w:val="0"/>
      <w:sz w:val="24"/>
      <w:szCs w:val="24"/>
    </w:rPr>
  </w:style>
  <w:style w:type="paragraph" w:customStyle="1" w:styleId="506">
    <w:name w:val="pbulletcmt"/>
    <w:basedOn w:val="1"/>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513">
    <w:name w:val="圆点"/>
    <w:basedOn w:val="1"/>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uiPriority w:val="0"/>
    <w:rPr>
      <w:rFonts w:ascii="仿宋_GB2312" w:hAnsi="Times New Roman" w:eastAsia="仿宋_GB2312"/>
      <w:b/>
      <w:sz w:val="32"/>
      <w:szCs w:val="32"/>
    </w:rPr>
  </w:style>
  <w:style w:type="paragraph" w:customStyle="1" w:styleId="519">
    <w:name w:val="样式6"/>
    <w:basedOn w:val="1"/>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6"/>
    <w:uiPriority w:val="0"/>
    <w:pPr>
      <w:spacing w:after="60"/>
      <w:ind w:left="420" w:firstLine="200" w:firstLineChars="200"/>
    </w:pPr>
    <w:rPr>
      <w:rFonts w:ascii="Times New Roman" w:hAnsi="Times New Roman"/>
      <w:szCs w:val="24"/>
    </w:rPr>
  </w:style>
  <w:style w:type="paragraph" w:customStyle="1" w:styleId="521">
    <w:name w:val="xl114"/>
    <w:basedOn w:val="1"/>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uiPriority w:val="0"/>
    <w:pPr>
      <w:numPr>
        <w:ilvl w:val="0"/>
        <w:numId w:val="15"/>
      </w:numPr>
      <w:spacing w:line="400" w:lineRule="exact"/>
    </w:pPr>
    <w:rPr>
      <w:rFonts w:ascii="Arial" w:hAnsi="Arial"/>
      <w:szCs w:val="24"/>
    </w:rPr>
  </w:style>
  <w:style w:type="paragraph" w:customStyle="1" w:styleId="523">
    <w:name w:val="GP有序编号2级"/>
    <w:basedOn w:val="1"/>
    <w:uiPriority w:val="0"/>
    <w:pPr>
      <w:numPr>
        <w:ilvl w:val="2"/>
        <w:numId w:val="16"/>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uiPriority w:val="0"/>
    <w:pPr>
      <w:spacing w:after="120"/>
    </w:pPr>
  </w:style>
  <w:style w:type="paragraph" w:customStyle="1" w:styleId="526">
    <w:name w:val="标题 3Chapter X.X.X. + 段后: 0.5 行 + 段后: 0.5 行 + 段后: 0.5 行1"/>
    <w:basedOn w:val="527"/>
    <w:uiPriority w:val="0"/>
  </w:style>
  <w:style w:type="paragraph" w:customStyle="1" w:styleId="527">
    <w:name w:val="样式 样式 标题 3Chapter X.X.X. + 段后: 0.5 行 + 段后: 0.5 行"/>
    <w:basedOn w:val="528"/>
    <w:uiPriority w:val="0"/>
  </w:style>
  <w:style w:type="paragraph" w:customStyle="1" w:styleId="528">
    <w:name w:val="样式 标题 3Chapter X.X.X. + 段后: 0.5 行"/>
    <w:basedOn w:val="4"/>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3">
    <w:name w:val="段(正文）"/>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4">
    <w:name w:val="S4-L15-No"/>
    <w:basedOn w:val="535"/>
    <w:uiPriority w:val="0"/>
    <w:pPr>
      <w:tabs>
        <w:tab w:val="left" w:pos="720"/>
      </w:tabs>
      <w:ind w:hanging="720"/>
    </w:pPr>
  </w:style>
  <w:style w:type="paragraph" w:customStyle="1" w:styleId="535">
    <w:name w:val="S4-L15"/>
    <w:basedOn w:val="1"/>
    <w:uiPriority w:val="0"/>
    <w:pPr>
      <w:spacing w:after="120" w:line="360" w:lineRule="auto"/>
      <w:ind w:left="720" w:firstLine="392"/>
    </w:pPr>
    <w:rPr>
      <w:rFonts w:ascii="Times New Roman" w:hAnsi="Times New Roman"/>
      <w:szCs w:val="21"/>
      <w:lang w:val="fr-FR"/>
    </w:rPr>
  </w:style>
  <w:style w:type="paragraph" w:customStyle="1" w:styleId="536">
    <w:name w:val="a1"/>
    <w:basedOn w:val="1"/>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4"/>
    <w:next w:val="1"/>
    <w:uiPriority w:val="0"/>
    <w:pPr>
      <w:pageBreakBefore/>
      <w:widowControl/>
      <w:numPr>
        <w:ilvl w:val="0"/>
        <w:numId w:val="17"/>
      </w:numPr>
      <w:spacing w:line="276" w:lineRule="auto"/>
      <w:jc w:val="left"/>
    </w:pPr>
    <w:rPr>
      <w:caps/>
      <w:color w:val="4F81BD"/>
      <w:spacing w:val="10"/>
      <w:kern w:val="28"/>
      <w:sz w:val="36"/>
      <w:szCs w:val="36"/>
      <w:lang w:eastAsia="en-US" w:bidi="en-US"/>
    </w:rPr>
  </w:style>
  <w:style w:type="paragraph" w:customStyle="1" w:styleId="539">
    <w:name w:val="二级项目符号"/>
    <w:basedOn w:val="1"/>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uiPriority w:val="0"/>
    <w:pPr>
      <w:numPr>
        <w:ilvl w:val="2"/>
        <w:numId w:val="18"/>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uiPriority w:val="0"/>
    <w:pPr>
      <w:tabs>
        <w:tab w:val="left" w:pos="432"/>
      </w:tabs>
      <w:ind w:left="432" w:hanging="432"/>
    </w:pPr>
    <w:rPr>
      <w:rFonts w:ascii="Tahoma" w:hAnsi="Tahoma"/>
      <w:sz w:val="24"/>
      <w:szCs w:val="20"/>
    </w:rPr>
  </w:style>
  <w:style w:type="paragraph" w:customStyle="1" w:styleId="542">
    <w:name w:val="Bullet2"/>
    <w:basedOn w:val="1"/>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uiPriority w:val="0"/>
    <w:pPr>
      <w:numPr>
        <w:ilvl w:val="3"/>
        <w:numId w:val="16"/>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uiPriority w:val="0"/>
    <w:pPr>
      <w:spacing w:line="360" w:lineRule="auto"/>
      <w:ind w:firstLine="480" w:firstLineChars="200"/>
    </w:pPr>
    <w:rPr>
      <w:rFonts w:ascii="宋体" w:hAnsi="宋体" w:cs="宋体"/>
      <w:sz w:val="24"/>
      <w:szCs w:val="20"/>
    </w:rPr>
  </w:style>
  <w:style w:type="paragraph" w:customStyle="1" w:styleId="546">
    <w:name w:val="文本框内文字"/>
    <w:basedOn w:val="1"/>
    <w:uiPriority w:val="0"/>
    <w:pPr>
      <w:spacing w:line="0" w:lineRule="atLeast"/>
    </w:pPr>
    <w:rPr>
      <w:rFonts w:ascii="Times New Roman" w:hAnsi="Times New Roman" w:eastAsia="仿宋_GB2312"/>
      <w:sz w:val="22"/>
      <w:szCs w:val="24"/>
    </w:rPr>
  </w:style>
  <w:style w:type="paragraph" w:customStyle="1" w:styleId="547">
    <w:name w:val="Char3"/>
    <w:basedOn w:val="1"/>
    <w:uiPriority w:val="0"/>
    <w:rPr>
      <w:rFonts w:ascii="仿宋_GB2312" w:hAnsi="Times New Roman" w:eastAsia="仿宋_GB2312"/>
      <w:b/>
      <w:sz w:val="32"/>
      <w:szCs w:val="20"/>
    </w:rPr>
  </w:style>
  <w:style w:type="paragraph" w:customStyle="1" w:styleId="548">
    <w:name w:val="此正文"/>
    <w:basedOn w:val="1"/>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
    <w:basedOn w:val="1"/>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uiPriority w:val="0"/>
    <w:pPr>
      <w:tabs>
        <w:tab w:val="left" w:pos="360"/>
      </w:tabs>
      <w:ind w:firstLine="420" w:firstLineChars="150"/>
    </w:pPr>
    <w:rPr>
      <w:rFonts w:ascii="Times New Roman" w:hAnsi="Times New Roman"/>
      <w:szCs w:val="20"/>
    </w:rPr>
  </w:style>
  <w:style w:type="paragraph" w:customStyle="1" w:styleId="551">
    <w:name w:val="Bullet 2"/>
    <w:basedOn w:val="24"/>
    <w:uiPriority w:val="0"/>
    <w:pPr>
      <w:numPr>
        <w:ilvl w:val="0"/>
        <w:numId w:val="19"/>
      </w:numPr>
      <w:spacing w:beforeLines="10" w:afterLines="10" w:line="264" w:lineRule="auto"/>
    </w:pPr>
    <w:rPr>
      <w:rFonts w:ascii="Arial" w:hAnsi="Arial"/>
      <w:sz w:val="21"/>
      <w:szCs w:val="21"/>
    </w:rPr>
  </w:style>
  <w:style w:type="paragraph" w:customStyle="1" w:styleId="552">
    <w:name w:val="默认段落字体 Para Char Char Char Char"/>
    <w:basedOn w:val="1"/>
    <w:uiPriority w:val="0"/>
    <w:pPr>
      <w:adjustRightInd w:val="0"/>
      <w:spacing w:line="360" w:lineRule="auto"/>
    </w:pPr>
    <w:rPr>
      <w:rFonts w:ascii="Times New Roman" w:hAnsi="Times New Roman"/>
      <w:kern w:val="0"/>
      <w:sz w:val="24"/>
      <w:szCs w:val="20"/>
    </w:rPr>
  </w:style>
  <w:style w:type="paragraph" w:customStyle="1" w:styleId="553">
    <w:name w:val="contentartic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uiPriority w:val="0"/>
    <w:pPr>
      <w:keepNext/>
      <w:widowControl/>
      <w:spacing w:before="80" w:after="80"/>
      <w:jc w:val="center"/>
    </w:pPr>
    <w:rPr>
      <w:rFonts w:ascii="Times New Roman" w:hAnsi="Times New Roman"/>
      <w:szCs w:val="20"/>
    </w:rPr>
  </w:style>
  <w:style w:type="paragraph" w:customStyle="1" w:styleId="556">
    <w:name w:val="Char Char1 Char11"/>
    <w:basedOn w:val="1"/>
    <w:uiPriority w:val="0"/>
    <w:rPr>
      <w:rFonts w:ascii="仿宋_GB2312" w:hAnsi="Times New Roman" w:eastAsia="仿宋_GB2312"/>
      <w:b/>
      <w:sz w:val="32"/>
      <w:szCs w:val="32"/>
    </w:rPr>
  </w:style>
  <w:style w:type="paragraph" w:customStyle="1" w:styleId="557">
    <w:name w:val="xl73"/>
    <w:basedOn w:val="1"/>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uiPriority w:val="0"/>
    <w:rPr>
      <w:rFonts w:ascii="Tahoma" w:hAnsi="Tahoma"/>
      <w:sz w:val="24"/>
      <w:szCs w:val="20"/>
    </w:rPr>
  </w:style>
  <w:style w:type="paragraph" w:customStyle="1" w:styleId="559">
    <w:name w:val="页面边线"/>
    <w:basedOn w:val="1"/>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3"/>
    <w:uiPriority w:val="0"/>
    <w:pPr>
      <w:tabs>
        <w:tab w:val="left" w:pos="576"/>
      </w:tabs>
      <w:spacing w:before="0" w:after="0" w:line="415" w:lineRule="auto"/>
    </w:pPr>
    <w:rPr>
      <w:rFonts w:ascii="宋体" w:hAnsi="宋体" w:eastAsia="仿宋_GB2312"/>
      <w:bCs w:val="0"/>
      <w:szCs w:val="20"/>
    </w:rPr>
  </w:style>
  <w:style w:type="paragraph" w:customStyle="1" w:styleId="561">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uiPriority w:val="0"/>
    <w:pPr>
      <w:wordWrap w:val="0"/>
      <w:spacing w:before="120" w:line="320" w:lineRule="exact"/>
      <w:ind w:firstLine="200" w:firstLineChars="200"/>
    </w:pPr>
    <w:rPr>
      <w:rFonts w:ascii="Arial" w:hAnsi="Arial"/>
      <w:szCs w:val="20"/>
    </w:rPr>
  </w:style>
  <w:style w:type="paragraph" w:customStyle="1" w:styleId="563">
    <w:name w:val="_Style 118"/>
    <w:basedOn w:val="1"/>
    <w:uiPriority w:val="0"/>
  </w:style>
  <w:style w:type="paragraph" w:customStyle="1" w:styleId="564">
    <w:name w:val="标准有序列表（L1）"/>
    <w:basedOn w:val="17"/>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uiPriority w:val="0"/>
    <w:pPr>
      <w:jc w:val="center"/>
    </w:pPr>
    <w:rPr>
      <w:rFonts w:ascii="Times New Roman" w:hAnsi="Times New Roman" w:eastAsia="幼圆" w:cs="宋体"/>
      <w:b/>
      <w:sz w:val="28"/>
      <w:szCs w:val="28"/>
    </w:rPr>
  </w:style>
  <w:style w:type="paragraph" w:customStyle="1" w:styleId="566">
    <w:name w:val="_Style 11811"/>
    <w:basedOn w:val="1"/>
    <w:uiPriority w:val="0"/>
  </w:style>
  <w:style w:type="paragraph" w:customStyle="1" w:styleId="567">
    <w:name w:val="Char Char Char Char Char Char Char Char"/>
    <w:basedOn w:val="1"/>
    <w:uiPriority w:val="0"/>
    <w:pPr>
      <w:tabs>
        <w:tab w:val="left" w:pos="360"/>
      </w:tabs>
    </w:pPr>
    <w:rPr>
      <w:rFonts w:ascii="Times New Roman" w:hAnsi="Times New Roman"/>
      <w:sz w:val="24"/>
      <w:szCs w:val="24"/>
    </w:rPr>
  </w:style>
  <w:style w:type="paragraph" w:customStyle="1" w:styleId="568">
    <w:name w:val="xl66"/>
    <w:basedOn w:val="1"/>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uiPriority w:val="0"/>
    <w:rPr>
      <w:rFonts w:ascii="Times New Roman" w:hAnsi="Times New Roman" w:eastAsia="仿宋_GB2312" w:cs="宋体"/>
      <w:sz w:val="24"/>
      <w:szCs w:val="20"/>
    </w:rPr>
  </w:style>
  <w:style w:type="paragraph" w:customStyle="1" w:styleId="570">
    <w:name w:val="样式 小四 行距: 1.5 倍行距 首行缩进:  2 字符"/>
    <w:basedOn w:val="1"/>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uiPriority w:val="0"/>
    <w:pPr>
      <w:ind w:firstLine="420" w:firstLineChars="200"/>
    </w:pPr>
    <w:rPr>
      <w:szCs w:val="24"/>
    </w:rPr>
  </w:style>
  <w:style w:type="paragraph" w:customStyle="1" w:styleId="576">
    <w:name w:val="样式 标题 2 + 五号"/>
    <w:basedOn w:val="3"/>
    <w:uiPriority w:val="0"/>
    <w:pPr>
      <w:spacing w:before="0" w:after="0" w:line="240" w:lineRule="auto"/>
    </w:pPr>
    <w:rPr>
      <w:rFonts w:ascii="宋体" w:hAnsi="宋体" w:eastAsia="宋体"/>
      <w:sz w:val="21"/>
    </w:rPr>
  </w:style>
  <w:style w:type="paragraph" w:customStyle="1" w:styleId="577">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uiPriority w:val="0"/>
    <w:pPr>
      <w:spacing w:line="360" w:lineRule="auto"/>
    </w:pPr>
    <w:rPr>
      <w:sz w:val="24"/>
      <w:szCs w:val="24"/>
    </w:rPr>
  </w:style>
  <w:style w:type="paragraph" w:customStyle="1" w:styleId="579">
    <w:name w:val="Style-正文"/>
    <w:basedOn w:val="1"/>
    <w:uiPriority w:val="0"/>
    <w:pPr>
      <w:spacing w:line="360" w:lineRule="auto"/>
      <w:ind w:firstLine="420"/>
    </w:pPr>
    <w:rPr>
      <w:rFonts w:ascii="宋体" w:hAnsi="宋体"/>
      <w:sz w:val="24"/>
      <w:szCs w:val="24"/>
    </w:rPr>
  </w:style>
  <w:style w:type="paragraph" w:customStyle="1" w:styleId="580">
    <w:name w:val="金保文档标准正文 Char"/>
    <w:basedOn w:val="1"/>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uiPriority w:val="0"/>
    <w:rPr>
      <w:rFonts w:ascii="Times New Roman" w:hAnsi="Times New Roman"/>
      <w:szCs w:val="24"/>
    </w:rPr>
  </w:style>
  <w:style w:type="paragraph" w:customStyle="1" w:styleId="583">
    <w:name w:val="样式 标题 1 + 五号"/>
    <w:basedOn w:val="2"/>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uiPriority w:val="0"/>
    <w:rPr>
      <w:rFonts w:ascii="宋体" w:hAnsi="Courier New"/>
      <w:szCs w:val="20"/>
    </w:rPr>
  </w:style>
  <w:style w:type="paragraph" w:customStyle="1" w:styleId="586">
    <w:name w:val="S4-I-U-L15-No-dot"/>
    <w:basedOn w:val="1"/>
    <w:uiPriority w:val="0"/>
    <w:pPr>
      <w:numPr>
        <w:ilvl w:val="1"/>
        <w:numId w:val="20"/>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uiPriority w:val="0"/>
    <w:rPr>
      <w:rFonts w:ascii="Tahoma" w:hAnsi="Tahoma"/>
      <w:sz w:val="24"/>
      <w:szCs w:val="20"/>
    </w:rPr>
  </w:style>
  <w:style w:type="paragraph" w:customStyle="1" w:styleId="590">
    <w:name w:val="样式 样式3 + 宋体 五号 Char Char Char"/>
    <w:basedOn w:val="1"/>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uiPriority w:val="0"/>
    <w:pPr>
      <w:spacing w:after="120"/>
    </w:pPr>
  </w:style>
  <w:style w:type="paragraph" w:customStyle="1" w:styleId="592">
    <w:name w:val="样式 标题 2 + 宋体 小四 段前: 0 磅 段后: 0 磅 行距: 1.5 倍行距"/>
    <w:basedOn w:val="3"/>
    <w:uiPriority w:val="0"/>
    <w:pPr>
      <w:numPr>
        <w:numId w:val="21"/>
      </w:numPr>
      <w:tabs>
        <w:tab w:val="left" w:pos="420"/>
      </w:tabs>
      <w:spacing w:before="0" w:after="0" w:line="360" w:lineRule="auto"/>
    </w:pPr>
    <w:rPr>
      <w:rFonts w:ascii="宋体" w:hAnsi="宋体" w:eastAsia="宋体" w:cs="宋体"/>
      <w:sz w:val="24"/>
      <w:szCs w:val="20"/>
    </w:rPr>
  </w:style>
  <w:style w:type="paragraph" w:customStyle="1" w:styleId="593">
    <w:name w:val="Char3 Char Char Char"/>
    <w:basedOn w:val="1"/>
    <w:uiPriority w:val="0"/>
    <w:pPr>
      <w:widowControl/>
      <w:spacing w:after="160" w:line="240" w:lineRule="exact"/>
      <w:jc w:val="left"/>
    </w:pPr>
    <w:rPr>
      <w:rFonts w:ascii="Times New Roman" w:hAnsi="Times New Roman"/>
      <w:szCs w:val="20"/>
    </w:rPr>
  </w:style>
  <w:style w:type="paragraph" w:customStyle="1" w:styleId="594">
    <w:name w:val="二级标题"/>
    <w:basedOn w:val="3"/>
    <w:qFormat/>
    <w:uiPriority w:val="0"/>
    <w:pPr>
      <w:tabs>
        <w:tab w:val="left" w:pos="1116"/>
      </w:tabs>
      <w:ind w:left="1116"/>
    </w:pPr>
    <w:rPr>
      <w:rFonts w:ascii="黑体" w:hAnsi="Cambria"/>
      <w:kern w:val="0"/>
    </w:rPr>
  </w:style>
  <w:style w:type="paragraph" w:customStyle="1" w:styleId="595">
    <w:name w:val="文档结构图1"/>
    <w:basedOn w:val="1"/>
    <w:uiPriority w:val="0"/>
    <w:rPr>
      <w:rFonts w:ascii="宋体"/>
      <w:kern w:val="0"/>
      <w:sz w:val="18"/>
      <w:szCs w:val="18"/>
    </w:rPr>
  </w:style>
  <w:style w:type="paragraph" w:customStyle="1" w:styleId="596">
    <w:name w:val="xl8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uiPriority w:val="0"/>
    <w:pPr>
      <w:tabs>
        <w:tab w:val="left" w:pos="432"/>
      </w:tabs>
      <w:ind w:left="432" w:hanging="432"/>
    </w:pPr>
    <w:rPr>
      <w:rFonts w:ascii="Tahoma" w:hAnsi="Tahoma"/>
      <w:sz w:val="24"/>
      <w:szCs w:val="20"/>
    </w:rPr>
  </w:style>
  <w:style w:type="paragraph" w:customStyle="1" w:styleId="598">
    <w:name w:val="正文文本 New New"/>
    <w:basedOn w:val="524"/>
    <w:uiPriority w:val="0"/>
    <w:pPr>
      <w:spacing w:after="120"/>
    </w:pPr>
    <w:rPr>
      <w:sz w:val="28"/>
      <w:szCs w:val="24"/>
    </w:rPr>
  </w:style>
  <w:style w:type="paragraph" w:customStyle="1" w:styleId="599">
    <w:name w:val="xl118"/>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uiPriority w:val="0"/>
    <w:rPr>
      <w:rFonts w:ascii="宋体" w:hAnsi="宋体" w:eastAsia="宋体" w:cs="Times New Roman"/>
      <w:sz w:val="24"/>
      <w:lang w:val="zh-CN" w:eastAsia="zh-CN" w:bidi="ar-SA"/>
    </w:rPr>
  </w:style>
  <w:style w:type="paragraph" w:customStyle="1" w:styleId="603">
    <w:name w:val="SZF表"/>
    <w:basedOn w:val="604"/>
    <w:uiPriority w:val="0"/>
    <w:rPr>
      <w:rFonts w:ascii="宋体" w:hAnsi="宋体"/>
      <w:bCs/>
      <w:szCs w:val="21"/>
    </w:rPr>
  </w:style>
  <w:style w:type="paragraph" w:customStyle="1" w:styleId="604">
    <w:name w:val="SZF图"/>
    <w:basedOn w:val="1"/>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uiPriority w:val="0"/>
    <w:pPr>
      <w:numPr>
        <w:ilvl w:val="4"/>
        <w:numId w:val="22"/>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606">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uiPriority w:val="0"/>
    <w:rPr>
      <w:rFonts w:ascii="Tahoma" w:hAnsi="Tahoma"/>
      <w:sz w:val="24"/>
      <w:szCs w:val="20"/>
    </w:rPr>
  </w:style>
  <w:style w:type="paragraph" w:customStyle="1" w:styleId="608">
    <w:name w:val="文档结构图2"/>
    <w:basedOn w:val="1"/>
    <w:uiPriority w:val="0"/>
    <w:rPr>
      <w:rFonts w:ascii="宋体"/>
      <w:kern w:val="0"/>
      <w:sz w:val="18"/>
      <w:szCs w:val="18"/>
    </w:rPr>
  </w:style>
  <w:style w:type="paragraph" w:customStyle="1" w:styleId="609">
    <w:name w:val="xl72"/>
    <w:basedOn w:val="1"/>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uiPriority w:val="0"/>
    <w:pPr>
      <w:ind w:firstLine="480" w:firstLineChars="200"/>
    </w:pPr>
  </w:style>
  <w:style w:type="paragraph" w:customStyle="1" w:styleId="611">
    <w:name w:val="大汉正文"/>
    <w:basedOn w:val="1"/>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uiPriority w:val="0"/>
    <w:rPr>
      <w:sz w:val="18"/>
    </w:rPr>
  </w:style>
  <w:style w:type="paragraph" w:customStyle="1" w:styleId="613">
    <w:name w:val="IBM 正文"/>
    <w:basedOn w:val="1"/>
    <w:uiPriority w:val="0"/>
    <w:pPr>
      <w:spacing w:line="360" w:lineRule="atLeast"/>
    </w:pPr>
    <w:rPr>
      <w:rFonts w:ascii="Times New Roman" w:hAnsi="Times New Roman"/>
      <w:sz w:val="24"/>
      <w:szCs w:val="20"/>
    </w:rPr>
  </w:style>
  <w:style w:type="paragraph" w:customStyle="1" w:styleId="614">
    <w:name w:val="Char Char1 Char1"/>
    <w:basedOn w:val="1"/>
    <w:uiPriority w:val="0"/>
    <w:rPr>
      <w:rFonts w:ascii="仿宋_GB2312" w:hAnsi="Times New Roman" w:eastAsia="仿宋_GB2312"/>
      <w:b/>
      <w:sz w:val="32"/>
      <w:szCs w:val="32"/>
    </w:rPr>
  </w:style>
  <w:style w:type="paragraph" w:customStyle="1" w:styleId="615">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
    <w:basedOn w:val="1"/>
    <w:uiPriority w:val="0"/>
    <w:pPr>
      <w:tabs>
        <w:tab w:val="left" w:pos="432"/>
      </w:tabs>
      <w:ind w:left="432" w:hanging="432"/>
    </w:pPr>
    <w:rPr>
      <w:rFonts w:ascii="Tahoma" w:hAnsi="Tahoma"/>
      <w:sz w:val="24"/>
      <w:szCs w:val="20"/>
    </w:rPr>
  </w:style>
  <w:style w:type="paragraph" w:customStyle="1" w:styleId="617">
    <w:name w:val="页眉1"/>
    <w:basedOn w:val="1"/>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uiPriority w:val="0"/>
    <w:pPr>
      <w:tabs>
        <w:tab w:val="left" w:pos="432"/>
      </w:tabs>
      <w:ind w:left="432" w:hanging="432"/>
    </w:pPr>
    <w:rPr>
      <w:rFonts w:ascii="Tahoma" w:hAnsi="Tahoma"/>
      <w:sz w:val="24"/>
      <w:szCs w:val="20"/>
    </w:rPr>
  </w:style>
  <w:style w:type="paragraph" w:customStyle="1" w:styleId="619">
    <w:name w:val="Tabletext"/>
    <w:basedOn w:val="1"/>
    <w:uiPriority w:val="0"/>
    <w:pPr>
      <w:keepLines/>
      <w:spacing w:afterLines="50"/>
      <w:jc w:val="left"/>
    </w:pPr>
    <w:rPr>
      <w:rFonts w:ascii="宋体" w:hAnsi="Times New Roman"/>
      <w:snapToGrid w:val="0"/>
      <w:kern w:val="0"/>
      <w:szCs w:val="20"/>
    </w:rPr>
  </w:style>
  <w:style w:type="paragraph" w:customStyle="1" w:styleId="620">
    <w:name w:val="P3"/>
    <w:basedOn w:val="1"/>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uiPriority w:val="0"/>
    <w:pPr>
      <w:tabs>
        <w:tab w:val="left" w:pos="1050"/>
      </w:tabs>
      <w:spacing w:line="240" w:lineRule="auto"/>
      <w:ind w:left="-258" w:leftChars="-258"/>
    </w:pPr>
    <w:rPr>
      <w:rFonts w:eastAsia="仿宋_GB2312"/>
      <w:sz w:val="28"/>
    </w:rPr>
  </w:style>
  <w:style w:type="paragraph" w:customStyle="1" w:styleId="622">
    <w:name w:val="大表 mt"/>
    <w:basedOn w:val="1"/>
    <w:uiPriority w:val="0"/>
    <w:pPr>
      <w:widowControl/>
      <w:jc w:val="left"/>
    </w:pPr>
    <w:rPr>
      <w:rFonts w:ascii="宋体" w:hAnsi="宋体" w:cs="宋体"/>
      <w:kern w:val="0"/>
      <w:szCs w:val="21"/>
    </w:rPr>
  </w:style>
  <w:style w:type="paragraph" w:customStyle="1" w:styleId="623">
    <w:name w:val="Char Char Char11"/>
    <w:basedOn w:val="1"/>
    <w:uiPriority w:val="0"/>
  </w:style>
  <w:style w:type="paragraph" w:customStyle="1" w:styleId="624">
    <w:name w:val="段落正文"/>
    <w:basedOn w:val="1"/>
    <w:uiPriority w:val="0"/>
    <w:pPr>
      <w:spacing w:line="360" w:lineRule="auto"/>
      <w:ind w:firstLine="560" w:firstLineChars="200"/>
    </w:pPr>
    <w:rPr>
      <w:rFonts w:ascii="Times New Roman" w:hAnsi="Times New Roman"/>
      <w:sz w:val="28"/>
      <w:szCs w:val="28"/>
    </w:rPr>
  </w:style>
  <w:style w:type="paragraph" w:customStyle="1" w:styleId="625">
    <w:name w:val="footnote"/>
    <w:basedOn w:val="1"/>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uiPriority w:val="0"/>
    <w:pPr>
      <w:numPr>
        <w:ilvl w:val="0"/>
        <w:numId w:val="23"/>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2"/>
    <w:uiPriority w:val="0"/>
    <w:pPr>
      <w:spacing w:line="360" w:lineRule="auto"/>
      <w:ind w:firstLine="0"/>
    </w:pPr>
    <w:rPr>
      <w:rFonts w:ascii="宋体" w:hAnsi="宋体" w:cs="宋体"/>
      <w:kern w:val="0"/>
    </w:rPr>
  </w:style>
  <w:style w:type="paragraph" w:customStyle="1" w:styleId="631">
    <w:name w:val="graytext"/>
    <w:basedOn w:val="1"/>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uiPriority w:val="0"/>
    <w:pPr>
      <w:widowControl/>
      <w:spacing w:after="160" w:line="240" w:lineRule="exact"/>
      <w:jc w:val="left"/>
    </w:pPr>
    <w:rPr>
      <w:rFonts w:ascii="Times New Roman" w:hAnsi="Times New Roman"/>
      <w:szCs w:val="20"/>
    </w:rPr>
  </w:style>
  <w:style w:type="paragraph" w:customStyle="1" w:styleId="636">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uiPriority w:val="0"/>
    <w:pPr>
      <w:numPr>
        <w:numId w:val="0"/>
      </w:numPr>
      <w:tabs>
        <w:tab w:val="left" w:pos="864"/>
      </w:tabs>
      <w:ind w:left="425" w:hanging="425"/>
    </w:pPr>
    <w:rPr>
      <w:szCs w:val="21"/>
    </w:rPr>
  </w:style>
  <w:style w:type="paragraph" w:customStyle="1" w:styleId="643">
    <w:name w:val="样式 标题 4Chapter X.X.X. + 段后: 0.5 行1"/>
    <w:basedOn w:val="5"/>
    <w:next w:val="5"/>
    <w:uiPriority w:val="0"/>
    <w:pPr>
      <w:keepLines w:val="0"/>
      <w:numPr>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
    <w:basedOn w:val="1"/>
    <w:uiPriority w:val="0"/>
    <w:rPr>
      <w:rFonts w:ascii="仿宋_GB2312" w:hAnsi="Times New Roman" w:eastAsia="仿宋_GB2312"/>
      <w:b/>
      <w:sz w:val="32"/>
      <w:szCs w:val="32"/>
    </w:rPr>
  </w:style>
  <w:style w:type="paragraph" w:customStyle="1" w:styleId="650">
    <w:name w:val="正文文本 21"/>
    <w:basedOn w:val="1"/>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uiPriority w:val="0"/>
    <w:pPr>
      <w:ind w:firstLine="420" w:firstLineChars="200"/>
    </w:pPr>
  </w:style>
  <w:style w:type="paragraph" w:customStyle="1" w:styleId="655">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4"/>
      </w:numPr>
      <w:spacing w:beforeLines="25" w:line="300" w:lineRule="auto"/>
      <w:jc w:val="left"/>
    </w:pPr>
    <w:rPr>
      <w:rFonts w:ascii="Arial" w:hAnsi="Arial"/>
      <w:kern w:val="0"/>
      <w:szCs w:val="21"/>
    </w:rPr>
  </w:style>
  <w:style w:type="paragraph" w:customStyle="1" w:styleId="657">
    <w:name w:val="强调点"/>
    <w:basedOn w:val="1"/>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uiPriority w:val="0"/>
    <w:pPr>
      <w:suppressLineNumbers/>
      <w:suppressAutoHyphens/>
    </w:pPr>
    <w:rPr>
      <w:kern w:val="1"/>
      <w:sz w:val="21"/>
      <w:lang w:eastAsia="ar-SA"/>
    </w:rPr>
  </w:style>
  <w:style w:type="paragraph" w:customStyle="1" w:styleId="661">
    <w:name w:val="样式　标题4"/>
    <w:basedOn w:val="643"/>
    <w:next w:val="1"/>
    <w:uiPriority w:val="0"/>
    <w:pPr>
      <w:numPr>
        <w:ilvl w:val="0"/>
        <w:numId w:val="0"/>
      </w:numPr>
      <w:ind w:left="425" w:hanging="425"/>
    </w:pPr>
  </w:style>
  <w:style w:type="paragraph" w:customStyle="1" w:styleId="662">
    <w:name w:val="Char2 Char Char Char"/>
    <w:basedOn w:val="1"/>
    <w:uiPriority w:val="0"/>
    <w:rPr>
      <w:rFonts w:ascii="仿宋_GB2312" w:hAnsi="Times New Roman" w:eastAsia="仿宋_GB2312"/>
      <w:b/>
      <w:sz w:val="32"/>
      <w:szCs w:val="32"/>
    </w:rPr>
  </w:style>
  <w:style w:type="paragraph" w:customStyle="1" w:styleId="663">
    <w:name w:val="Paragraph4"/>
    <w:basedOn w:val="1"/>
    <w:uiPriority w:val="0"/>
    <w:pPr>
      <w:spacing w:before="80" w:afterLines="50"/>
      <w:ind w:left="2250"/>
    </w:pPr>
    <w:rPr>
      <w:rFonts w:ascii="宋体" w:hAnsi="Times New Roman"/>
      <w:snapToGrid w:val="0"/>
      <w:kern w:val="0"/>
      <w:szCs w:val="20"/>
    </w:rPr>
  </w:style>
  <w:style w:type="paragraph" w:customStyle="1" w:styleId="664">
    <w:name w:val="xl8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
    <w:basedOn w:val="1"/>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uiPriority w:val="0"/>
    <w:pPr>
      <w:adjustRightInd w:val="0"/>
      <w:spacing w:line="360" w:lineRule="auto"/>
      <w:ind w:firstLine="480"/>
    </w:pPr>
    <w:rPr>
      <w:rFonts w:ascii="宋体" w:hAnsi="宋体"/>
      <w:kern w:val="0"/>
      <w:sz w:val="24"/>
      <w:szCs w:val="20"/>
    </w:rPr>
  </w:style>
  <w:style w:type="paragraph" w:customStyle="1" w:styleId="671">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675">
    <w:name w:val="Char1 Char Char Char"/>
    <w:basedOn w:val="1"/>
    <w:uiPriority w:val="0"/>
    <w:rPr>
      <w:rFonts w:ascii="Tahoma" w:hAnsi="Tahoma"/>
      <w:sz w:val="24"/>
      <w:szCs w:val="20"/>
    </w:rPr>
  </w:style>
  <w:style w:type="paragraph" w:customStyle="1" w:styleId="676">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677">
    <w:name w:val="Char31"/>
    <w:basedOn w:val="1"/>
    <w:uiPriority w:val="0"/>
    <w:rPr>
      <w:rFonts w:ascii="仿宋_GB2312" w:hAnsi="Times New Roman" w:eastAsia="仿宋_GB2312"/>
      <w:b/>
      <w:sz w:val="32"/>
      <w:szCs w:val="32"/>
    </w:rPr>
  </w:style>
  <w:style w:type="paragraph" w:customStyle="1" w:styleId="678">
    <w:name w:val="要点2"/>
    <w:basedOn w:val="1"/>
    <w:uiPriority w:val="0"/>
    <w:pPr>
      <w:spacing w:line="360" w:lineRule="auto"/>
      <w:ind w:left="420" w:hanging="420"/>
    </w:pPr>
    <w:rPr>
      <w:rFonts w:ascii="Times New Roman" w:hAnsi="Times New Roman"/>
      <w:b/>
      <w:szCs w:val="21"/>
      <w:shd w:val="pct10" w:color="auto" w:fill="FFFFFF"/>
    </w:rPr>
  </w:style>
  <w:style w:type="paragraph" w:customStyle="1" w:styleId="679">
    <w:name w:val="Table - Text"/>
    <w:basedOn w:val="1"/>
    <w:uiPriority w:val="0"/>
    <w:pPr>
      <w:widowControl/>
      <w:spacing w:before="60" w:afterLines="50"/>
      <w:jc w:val="left"/>
    </w:pPr>
    <w:rPr>
      <w:rFonts w:ascii="Times New Roman" w:hAnsi="Times New Roman"/>
      <w:kern w:val="0"/>
      <w:szCs w:val="20"/>
      <w:lang w:eastAsia="en-US"/>
    </w:rPr>
  </w:style>
  <w:style w:type="paragraph" w:customStyle="1" w:styleId="680">
    <w:name w:val="Item Lis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681">
    <w:name w:val="样式 模板描述"/>
    <w:basedOn w:val="1"/>
    <w:next w:val="485"/>
    <w:uiPriority w:val="0"/>
    <w:pPr>
      <w:spacing w:afterLines="50"/>
      <w:jc w:val="left"/>
    </w:pPr>
    <w:rPr>
      <w:rFonts w:ascii="宋体" w:hAnsi="Times New Roman" w:cs="宋体"/>
      <w:i/>
      <w:iCs/>
      <w:snapToGrid w:val="0"/>
      <w:color w:val="0000FF"/>
      <w:kern w:val="0"/>
      <w:szCs w:val="21"/>
    </w:rPr>
  </w:style>
  <w:style w:type="paragraph" w:customStyle="1" w:styleId="682">
    <w:name w:val="Main Title"/>
    <w:basedOn w:val="1"/>
    <w:uiPriority w:val="0"/>
    <w:pPr>
      <w:spacing w:before="480" w:afterLines="50"/>
      <w:jc w:val="center"/>
    </w:pPr>
    <w:rPr>
      <w:rFonts w:ascii="宋体" w:hAnsi="Times New Roman"/>
      <w:b/>
      <w:snapToGrid w:val="0"/>
      <w:kern w:val="28"/>
      <w:sz w:val="32"/>
      <w:szCs w:val="20"/>
    </w:rPr>
  </w:style>
  <w:style w:type="paragraph" w:customStyle="1" w:styleId="683">
    <w:name w:val="font12"/>
    <w:basedOn w:val="1"/>
    <w:uiPriority w:val="0"/>
    <w:pPr>
      <w:widowControl/>
      <w:spacing w:before="100" w:beforeAutospacing="1" w:after="100" w:afterAutospacing="1"/>
      <w:jc w:val="left"/>
    </w:pPr>
    <w:rPr>
      <w:rFonts w:ascii="宋体" w:hAnsi="宋体" w:cs="宋体"/>
      <w:color w:val="333333"/>
      <w:kern w:val="0"/>
      <w:sz w:val="22"/>
    </w:rPr>
  </w:style>
  <w:style w:type="paragraph" w:customStyle="1" w:styleId="684">
    <w:name w:val="正文文本缩进11"/>
    <w:basedOn w:val="1"/>
    <w:uiPriority w:val="0"/>
    <w:pPr>
      <w:spacing w:after="120"/>
      <w:ind w:left="420" w:leftChars="200"/>
    </w:pPr>
    <w:rPr>
      <w:rFonts w:cs="黑体"/>
    </w:rPr>
  </w:style>
  <w:style w:type="paragraph" w:customStyle="1" w:styleId="685">
    <w:name w:val="font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686">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7">
    <w:name w:val="标书_正文"/>
    <w:basedOn w:val="1"/>
    <w:uiPriority w:val="0"/>
    <w:pPr>
      <w:spacing w:line="360" w:lineRule="auto"/>
    </w:pPr>
    <w:rPr>
      <w:rFonts w:ascii="宋体" w:hAnsi="Times New Roman"/>
      <w:b/>
      <w:kern w:val="0"/>
      <w:sz w:val="32"/>
      <w:szCs w:val="32"/>
    </w:rPr>
  </w:style>
  <w:style w:type="paragraph" w:customStyle="1" w:styleId="688">
    <w:name w:val="样式 正文段落 + (西文) 仿宋_GB2312 行距: 1.5 倍行距"/>
    <w:basedOn w:val="342"/>
    <w:uiPriority w:val="0"/>
    <w:pPr>
      <w:spacing w:line="360" w:lineRule="auto"/>
      <w:ind w:firstLine="560" w:firstLineChars="200"/>
    </w:pPr>
    <w:rPr>
      <w:rFonts w:ascii="仿宋" w:hAnsi="宋体" w:eastAsia="仿宋" w:cs="宋体"/>
      <w:kern w:val="0"/>
      <w:sz w:val="28"/>
    </w:rPr>
  </w:style>
  <w:style w:type="paragraph" w:customStyle="1" w:styleId="689">
    <w:name w:val="样式 三号 加粗 段后: 0.5 行"/>
    <w:basedOn w:val="1"/>
    <w:uiPriority w:val="0"/>
    <w:pPr>
      <w:spacing w:afterLines="50"/>
      <w:jc w:val="left"/>
    </w:pPr>
    <w:rPr>
      <w:rFonts w:ascii="宋体" w:hAnsi="Times New Roman" w:cs="宋体"/>
      <w:b/>
      <w:bCs/>
      <w:snapToGrid w:val="0"/>
      <w:kern w:val="0"/>
      <w:sz w:val="32"/>
      <w:szCs w:val="20"/>
    </w:rPr>
  </w:style>
  <w:style w:type="paragraph" w:customStyle="1" w:styleId="690">
    <w:name w:val="Blockquote"/>
    <w:basedOn w:val="1"/>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1">
    <w:name w:val="GP有序编号1级"/>
    <w:basedOn w:val="1"/>
    <w:uiPriority w:val="0"/>
    <w:pPr>
      <w:numPr>
        <w:ilvl w:val="1"/>
        <w:numId w:val="16"/>
      </w:numPr>
      <w:tabs>
        <w:tab w:val="left" w:pos="903"/>
      </w:tabs>
      <w:spacing w:line="360" w:lineRule="auto"/>
      <w:ind w:left="900" w:hanging="420"/>
      <w:jc w:val="left"/>
    </w:pPr>
    <w:rPr>
      <w:rFonts w:ascii="Times New Roman" w:hAnsi="Times New Roman"/>
      <w:sz w:val="24"/>
      <w:szCs w:val="21"/>
    </w:rPr>
  </w:style>
  <w:style w:type="paragraph" w:customStyle="1" w:styleId="692">
    <w:name w:val="样式 纯文本 + 首行缩进:  2 字符 Char Char Char Char Char Char Char Char Char Char Char Char Char Char Char Char Char Char Char Char Char Char Char Char"/>
    <w:basedOn w:val="31"/>
    <w:uiPriority w:val="0"/>
    <w:pPr>
      <w:spacing w:beforeLines="0" w:afterLines="0" w:line="360" w:lineRule="auto"/>
      <w:jc w:val="left"/>
    </w:pPr>
    <w:rPr>
      <w:rFonts w:eastAsia="仿宋_GB2312" w:cs="Arial"/>
      <w:sz w:val="28"/>
      <w:szCs w:val="20"/>
    </w:rPr>
  </w:style>
  <w:style w:type="paragraph" w:customStyle="1" w:styleId="693">
    <w:name w:val="msoaccenttext2"/>
    <w:uiPriority w:val="0"/>
    <w:rPr>
      <w:rFonts w:ascii="Century Schoolbook" w:hAnsi="Century Schoolbook" w:eastAsia="宋体" w:cs="宋体"/>
      <w:color w:val="000000"/>
      <w:kern w:val="28"/>
      <w:sz w:val="15"/>
      <w:szCs w:val="15"/>
      <w:lang w:val="en-US" w:eastAsia="zh-CN" w:bidi="ar-SA"/>
    </w:rPr>
  </w:style>
  <w:style w:type="paragraph" w:customStyle="1" w:styleId="694">
    <w:name w:val="Char Char Char Char Char Char Char Char Char Char1"/>
    <w:basedOn w:val="1"/>
    <w:uiPriority w:val="0"/>
    <w:pPr>
      <w:tabs>
        <w:tab w:val="left" w:pos="360"/>
      </w:tabs>
      <w:ind w:left="480" w:hanging="480" w:hangingChars="200"/>
    </w:pPr>
    <w:rPr>
      <w:rFonts w:ascii="仿宋_GB2312" w:hAnsi="Times New Roman" w:eastAsia="仿宋_GB2312"/>
      <w:b/>
      <w:sz w:val="24"/>
      <w:szCs w:val="24"/>
    </w:rPr>
  </w:style>
  <w:style w:type="paragraph" w:customStyle="1" w:styleId="695">
    <w:name w:val="FA正文+标号"/>
    <w:basedOn w:val="1"/>
    <w:uiPriority w:val="0"/>
    <w:pPr>
      <w:numPr>
        <w:ilvl w:val="0"/>
        <w:numId w:val="25"/>
      </w:numPr>
      <w:tabs>
        <w:tab w:val="left" w:pos="3375"/>
        <w:tab w:val="clear" w:pos="840"/>
      </w:tabs>
      <w:spacing w:line="400" w:lineRule="exact"/>
      <w:ind w:left="0" w:firstLine="0"/>
    </w:pPr>
    <w:rPr>
      <w:rFonts w:ascii="仿宋_GB2312" w:hAnsi="宋体" w:eastAsia="仿宋_GB2312"/>
      <w:sz w:val="24"/>
      <w:szCs w:val="24"/>
    </w:rPr>
  </w:style>
  <w:style w:type="paragraph" w:customStyle="1" w:styleId="696">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7">
    <w:name w:val="样式 标题 3Chapter X.X.X. + 段后: 0.5 行1"/>
    <w:basedOn w:val="4"/>
    <w:next w:val="1"/>
    <w:uiPriority w:val="0"/>
    <w:pPr>
      <w:keepLines w:val="0"/>
      <w:spacing w:before="120" w:afterLines="50" w:line="240" w:lineRule="auto"/>
      <w:jc w:val="left"/>
    </w:pPr>
    <w:rPr>
      <w:rFonts w:ascii="宋体" w:cs="宋体"/>
      <w:snapToGrid w:val="0"/>
      <w:kern w:val="0"/>
      <w:sz w:val="24"/>
      <w:szCs w:val="20"/>
    </w:rPr>
  </w:style>
  <w:style w:type="paragraph" w:customStyle="1" w:styleId="698">
    <w:name w:val="公司名"/>
    <w:basedOn w:val="1"/>
    <w:next w:val="1"/>
    <w:uiPriority w:val="0"/>
    <w:pPr>
      <w:widowControl/>
      <w:spacing w:before="420" w:after="60" w:line="320" w:lineRule="exact"/>
      <w:jc w:val="left"/>
    </w:pPr>
    <w:rPr>
      <w:rFonts w:ascii="Garamond" w:hAnsi="Garamond"/>
      <w:caps/>
      <w:kern w:val="36"/>
      <w:sz w:val="38"/>
      <w:szCs w:val="20"/>
      <w:lang w:bidi="he-IL"/>
    </w:rPr>
  </w:style>
  <w:style w:type="paragraph" w:customStyle="1" w:styleId="699">
    <w:name w:val="xl67"/>
    <w:basedOn w:val="1"/>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0">
    <w:name w:val="正文样式1"/>
    <w:basedOn w:val="1"/>
    <w:uiPriority w:val="0"/>
    <w:pPr>
      <w:spacing w:line="360" w:lineRule="auto"/>
      <w:ind w:firstLine="200" w:firstLineChars="200"/>
    </w:pPr>
    <w:rPr>
      <w:rFonts w:ascii="Times New Roman" w:hAnsi="Times New Roman" w:cs="宋体"/>
      <w:sz w:val="24"/>
      <w:szCs w:val="20"/>
    </w:rPr>
  </w:style>
  <w:style w:type="paragraph" w:customStyle="1" w:styleId="701">
    <w:name w:val="mod_selection1"/>
    <w:basedOn w:val="1"/>
    <w:uiPriority w:val="0"/>
    <w:pPr>
      <w:widowControl/>
      <w:ind w:left="75"/>
      <w:jc w:val="left"/>
    </w:pPr>
    <w:rPr>
      <w:rFonts w:ascii="Arial" w:hAnsi="Arial" w:cs="Arial"/>
      <w:b/>
      <w:bCs/>
      <w:kern w:val="0"/>
      <w:sz w:val="20"/>
      <w:szCs w:val="20"/>
    </w:rPr>
  </w:style>
  <w:style w:type="paragraph" w:customStyle="1" w:styleId="702">
    <w:name w:val="itemlis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03">
    <w:name w:val="Char5"/>
    <w:basedOn w:val="1"/>
    <w:uiPriority w:val="0"/>
    <w:pPr>
      <w:tabs>
        <w:tab w:val="left" w:pos="432"/>
      </w:tabs>
      <w:ind w:left="432" w:hanging="432"/>
    </w:pPr>
    <w:rPr>
      <w:rFonts w:ascii="Times New Roman" w:hAnsi="Times New Roman"/>
      <w:sz w:val="24"/>
      <w:szCs w:val="24"/>
    </w:rPr>
  </w:style>
  <w:style w:type="paragraph" w:customStyle="1" w:styleId="704">
    <w:name w:val="二级."/>
    <w:basedOn w:val="3"/>
    <w:uiPriority w:val="0"/>
    <w:pPr>
      <w:tabs>
        <w:tab w:val="left" w:pos="0"/>
      </w:tabs>
      <w:spacing w:before="0" w:after="0" w:line="528" w:lineRule="auto"/>
      <w:ind w:left="181" w:hanging="181"/>
    </w:pPr>
    <w:rPr>
      <w:bCs w:val="0"/>
      <w:kern w:val="0"/>
      <w:sz w:val="36"/>
      <w:szCs w:val="20"/>
    </w:rPr>
  </w:style>
  <w:style w:type="paragraph" w:customStyle="1" w:styleId="705">
    <w:name w:val="标准小四"/>
    <w:basedOn w:val="1"/>
    <w:uiPriority w:val="0"/>
    <w:pPr>
      <w:spacing w:line="360" w:lineRule="auto"/>
      <w:ind w:firstLine="480" w:firstLineChars="200"/>
    </w:pPr>
    <w:rPr>
      <w:rFonts w:ascii="Arial" w:hAnsi="Arial"/>
      <w:sz w:val="24"/>
      <w:szCs w:val="21"/>
    </w:rPr>
  </w:style>
  <w:style w:type="paragraph" w:customStyle="1" w:styleId="706">
    <w:name w:val="xl65"/>
    <w:basedOn w:val="1"/>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7">
    <w:name w:val="Char Char Char Char Char Char Char Char1"/>
    <w:basedOn w:val="1"/>
    <w:uiPriority w:val="0"/>
    <w:rPr>
      <w:rFonts w:ascii="仿宋_GB2312" w:hAnsi="Times New Roman" w:eastAsia="仿宋_GB2312"/>
      <w:b/>
      <w:sz w:val="32"/>
      <w:szCs w:val="32"/>
    </w:rPr>
  </w:style>
  <w:style w:type="paragraph" w:customStyle="1" w:styleId="708">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09">
    <w:name w:val="列出段落12"/>
    <w:basedOn w:val="1"/>
    <w:qFormat/>
    <w:uiPriority w:val="0"/>
    <w:pPr>
      <w:ind w:firstLine="420" w:firstLineChars="200"/>
    </w:pPr>
  </w:style>
  <w:style w:type="paragraph" w:customStyle="1" w:styleId="710">
    <w:name w:val="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711">
    <w:name w:val="列出段落2"/>
    <w:basedOn w:val="1"/>
    <w:qFormat/>
    <w:uiPriority w:val="34"/>
    <w:pPr>
      <w:ind w:firstLine="420" w:firstLineChars="200"/>
    </w:pPr>
    <w:rPr>
      <w:szCs w:val="24"/>
    </w:rPr>
  </w:style>
  <w:style w:type="paragraph" w:customStyle="1" w:styleId="712">
    <w:name w:val="正文首行缩进 21"/>
    <w:basedOn w:val="684"/>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3">
    <w:name w:val="psubhead2cmt"/>
    <w:basedOn w:val="1"/>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4">
    <w:name w:val="Table Description"/>
    <w:next w:val="1"/>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15">
    <w:name w:val="表格内文"/>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716">
    <w:name w:val="日期1"/>
    <w:basedOn w:val="1"/>
    <w:next w:val="1"/>
    <w:uiPriority w:val="0"/>
    <w:pPr>
      <w:adjustRightInd w:val="0"/>
      <w:spacing w:line="312" w:lineRule="atLeast"/>
      <w:textAlignment w:val="baseline"/>
    </w:pPr>
    <w:rPr>
      <w:rFonts w:ascii="Times New Roman" w:hAnsi="Times New Roman"/>
      <w:kern w:val="0"/>
      <w:sz w:val="24"/>
      <w:szCs w:val="20"/>
    </w:rPr>
  </w:style>
  <w:style w:type="paragraph" w:customStyle="1" w:styleId="717">
    <w:name w:val="p1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18">
    <w:name w:val="左对齐的表内文字"/>
    <w:basedOn w:val="1"/>
    <w:uiPriority w:val="0"/>
    <w:rPr>
      <w:rFonts w:ascii="Times New Roman" w:hAnsi="Times New Roman" w:eastAsia="仿宋_GB2312" w:cs="宋体"/>
      <w:szCs w:val="20"/>
    </w:rPr>
  </w:style>
  <w:style w:type="paragraph" w:customStyle="1" w:styleId="719">
    <w:name w:val="样式 标题 2Chapter X.X. Statementh22Header 2l2Level 2 Headhea...1"/>
    <w:basedOn w:val="4"/>
    <w:uiPriority w:val="0"/>
    <w:pPr>
      <w:keepLines w:val="0"/>
      <w:spacing w:before="120" w:afterLines="50" w:line="240" w:lineRule="auto"/>
      <w:jc w:val="left"/>
    </w:pPr>
    <w:rPr>
      <w:rFonts w:ascii="宋体" w:cs="宋体"/>
      <w:snapToGrid w:val="0"/>
      <w:kern w:val="0"/>
      <w:sz w:val="24"/>
      <w:szCs w:val="20"/>
    </w:rPr>
  </w:style>
  <w:style w:type="paragraph" w:customStyle="1" w:styleId="720">
    <w:name w:val="样式 Arial 小四 首行缩进:  0.85 厘米"/>
    <w:basedOn w:val="1"/>
    <w:uiPriority w:val="0"/>
    <w:pPr>
      <w:spacing w:line="360" w:lineRule="auto"/>
      <w:ind w:left="-2" w:leftChars="-1" w:firstLine="479" w:firstLineChars="228"/>
    </w:pPr>
    <w:rPr>
      <w:rFonts w:ascii="Times New Roman" w:hAnsi="Arial" w:cs="宋体"/>
      <w:szCs w:val="21"/>
    </w:rPr>
  </w:style>
  <w:style w:type="paragraph" w:customStyle="1" w:styleId="721">
    <w:name w:val="样式 左侧:  1 厘米 段后: 0.5 行"/>
    <w:basedOn w:val="1"/>
    <w:uiPriority w:val="0"/>
    <w:pPr>
      <w:spacing w:afterLines="50"/>
      <w:ind w:firstLine="425"/>
      <w:jc w:val="left"/>
    </w:pPr>
    <w:rPr>
      <w:rFonts w:ascii="宋体" w:hAnsi="Times New Roman" w:cs="宋体"/>
      <w:snapToGrid w:val="0"/>
      <w:kern w:val="0"/>
      <w:szCs w:val="20"/>
    </w:rPr>
  </w:style>
  <w:style w:type="paragraph" w:customStyle="1" w:styleId="722">
    <w:name w:val="首行缩进"/>
    <w:basedOn w:val="1"/>
    <w:uiPriority w:val="0"/>
    <w:pPr>
      <w:widowControl/>
      <w:numPr>
        <w:ilvl w:val="6"/>
        <w:numId w:val="17"/>
      </w:numPr>
      <w:tabs>
        <w:tab w:val="left" w:pos="822"/>
      </w:tabs>
      <w:snapToGrid w:val="0"/>
      <w:spacing w:before="40" w:after="40" w:line="300" w:lineRule="atLeast"/>
    </w:pPr>
    <w:rPr>
      <w:rFonts w:ascii="Arial" w:hAnsi="Arial"/>
      <w:kern w:val="0"/>
      <w:szCs w:val="20"/>
    </w:rPr>
  </w:style>
  <w:style w:type="paragraph" w:customStyle="1" w:styleId="723">
    <w:name w:val="样式 标题 5 + 五号 居中 段前: 1.5 磅 段后: 1.5 磅 行距: 多倍行距 1.57 字行"/>
    <w:basedOn w:val="6"/>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4">
    <w:name w:val="xl28"/>
    <w:basedOn w:val="1"/>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5">
    <w:name w:val="插图"/>
    <w:next w:val="56"/>
    <w:qFormat/>
    <w:uiPriority w:val="0"/>
    <w:pPr>
      <w:numPr>
        <w:ilvl w:val="0"/>
        <w:numId w:val="26"/>
      </w:numPr>
      <w:jc w:val="center"/>
    </w:pPr>
    <w:rPr>
      <w:rFonts w:ascii="Tahoma" w:hAnsi="Tahoma" w:eastAsia="楷体_GB2312" w:cs="Times New Roman"/>
      <w:kern w:val="2"/>
      <w:sz w:val="21"/>
      <w:szCs w:val="24"/>
      <w:lang w:val="en-US" w:eastAsia="zh-CN" w:bidi="ar-SA"/>
    </w:rPr>
  </w:style>
  <w:style w:type="paragraph" w:customStyle="1" w:styleId="726">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7">
    <w:name w:val="S4-B-L15"/>
    <w:basedOn w:val="1"/>
    <w:uiPriority w:val="0"/>
    <w:pPr>
      <w:spacing w:line="360" w:lineRule="auto"/>
    </w:pPr>
    <w:rPr>
      <w:rFonts w:ascii="Times New Roman" w:hAnsi="Times New Roman"/>
      <w:b/>
      <w:bCs/>
      <w:sz w:val="24"/>
      <w:szCs w:val="24"/>
    </w:rPr>
  </w:style>
  <w:style w:type="paragraph" w:customStyle="1" w:styleId="728">
    <w:name w:val="GP标题1"/>
    <w:basedOn w:val="1"/>
    <w:next w:val="1"/>
    <w:uiPriority w:val="0"/>
    <w:pPr>
      <w:numPr>
        <w:ilvl w:val="0"/>
        <w:numId w:val="16"/>
      </w:numPr>
      <w:spacing w:beforeLines="100" w:afterLines="100" w:line="360" w:lineRule="auto"/>
      <w:jc w:val="center"/>
      <w:outlineLvl w:val="0"/>
    </w:pPr>
    <w:rPr>
      <w:rFonts w:ascii="黑体" w:hAnsi="黑体" w:eastAsia="黑体"/>
      <w:b/>
      <w:sz w:val="36"/>
      <w:szCs w:val="21"/>
    </w:rPr>
  </w:style>
  <w:style w:type="paragraph" w:customStyle="1" w:styleId="729">
    <w:name w:val="Char11"/>
    <w:basedOn w:val="1"/>
    <w:uiPriority w:val="0"/>
    <w:pPr>
      <w:spacing w:beforeLines="20" w:afterLines="20"/>
    </w:pPr>
    <w:rPr>
      <w:rFonts w:ascii="楷体_GB2312" w:hAnsi="宋体" w:eastAsia="楷体_GB2312" w:cs="Arial"/>
      <w:kern w:val="0"/>
      <w:sz w:val="24"/>
      <w:szCs w:val="24"/>
    </w:rPr>
  </w:style>
  <w:style w:type="paragraph" w:customStyle="1" w:styleId="730">
    <w:name w:val="正文文本缩进 21"/>
    <w:basedOn w:val="1"/>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1">
    <w:name w:val="Char1 Char Char Char2"/>
    <w:basedOn w:val="1"/>
    <w:uiPriority w:val="0"/>
    <w:rPr>
      <w:rFonts w:ascii="Tahoma" w:hAnsi="Tahoma"/>
      <w:sz w:val="24"/>
      <w:szCs w:val="20"/>
    </w:rPr>
  </w:style>
  <w:style w:type="paragraph" w:customStyle="1" w:styleId="732">
    <w:name w:val="列表（编号二级）（绿盟科技）"/>
    <w:basedOn w:val="656"/>
    <w:qFormat/>
    <w:uiPriority w:val="0"/>
    <w:pPr>
      <w:numPr>
        <w:ilvl w:val="1"/>
      </w:numPr>
      <w:spacing w:beforeLines="0"/>
      <w:ind w:left="1260"/>
    </w:pPr>
  </w:style>
  <w:style w:type="paragraph" w:customStyle="1" w:styleId="733">
    <w:name w:val="huide00"/>
    <w:basedOn w:val="1"/>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4">
    <w:name w:val="xl117"/>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5">
    <w:name w:val="Paragraph3"/>
    <w:basedOn w:val="1"/>
    <w:uiPriority w:val="0"/>
    <w:pPr>
      <w:spacing w:before="80" w:afterLines="50"/>
      <w:ind w:left="1530"/>
    </w:pPr>
    <w:rPr>
      <w:rFonts w:ascii="宋体" w:hAnsi="Times New Roman"/>
      <w:snapToGrid w:val="0"/>
      <w:kern w:val="0"/>
      <w:szCs w:val="20"/>
    </w:rPr>
  </w:style>
  <w:style w:type="paragraph" w:customStyle="1" w:styleId="736">
    <w:name w:val="正文样式"/>
    <w:basedOn w:val="1"/>
    <w:uiPriority w:val="0"/>
    <w:pPr>
      <w:spacing w:line="360" w:lineRule="auto"/>
      <w:ind w:firstLine="200" w:firstLineChars="200"/>
    </w:pPr>
    <w:rPr>
      <w:rFonts w:ascii="宋体" w:hAnsi="Times New Roman"/>
      <w:sz w:val="24"/>
      <w:szCs w:val="24"/>
    </w:rPr>
  </w:style>
  <w:style w:type="paragraph" w:customStyle="1" w:styleId="737">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8">
    <w:name w:val="标书_标题2"/>
    <w:basedOn w:val="3"/>
    <w:uiPriority w:val="0"/>
    <w:pPr>
      <w:spacing w:after="0" w:line="415" w:lineRule="auto"/>
    </w:pPr>
    <w:rPr>
      <w:sz w:val="28"/>
      <w:szCs w:val="20"/>
    </w:rPr>
  </w:style>
  <w:style w:type="paragraph" w:customStyle="1" w:styleId="739">
    <w:name w:val="表格标题"/>
    <w:basedOn w:val="660"/>
    <w:uiPriority w:val="0"/>
    <w:pPr>
      <w:numPr>
        <w:ilvl w:val="0"/>
        <w:numId w:val="27"/>
      </w:numPr>
      <w:tabs>
        <w:tab w:val="clear" w:pos="360"/>
      </w:tabs>
      <w:ind w:left="0" w:firstLine="0"/>
      <w:jc w:val="center"/>
    </w:pPr>
    <w:rPr>
      <w:b/>
      <w:bCs/>
      <w:i/>
      <w:iCs/>
    </w:rPr>
  </w:style>
  <w:style w:type="paragraph" w:customStyle="1" w:styleId="740">
    <w:name w:val="_Style 1181"/>
    <w:basedOn w:val="1"/>
    <w:uiPriority w:val="0"/>
  </w:style>
  <w:style w:type="paragraph" w:customStyle="1" w:styleId="741">
    <w:name w:val="Char2"/>
    <w:basedOn w:val="1"/>
    <w:uiPriority w:val="0"/>
    <w:rPr>
      <w:rFonts w:ascii="仿宋_GB2312" w:hAnsi="Times New Roman" w:eastAsia="仿宋_GB2312"/>
      <w:b/>
      <w:sz w:val="32"/>
      <w:szCs w:val="20"/>
    </w:rPr>
  </w:style>
  <w:style w:type="paragraph" w:customStyle="1" w:styleId="742">
    <w:name w:val="ZJGIS-三级标题"/>
    <w:basedOn w:val="4"/>
    <w:qFormat/>
    <w:uiPriority w:val="0"/>
    <w:pPr>
      <w:numPr>
        <w:numId w:val="11"/>
      </w:numPr>
      <w:spacing w:before="120" w:after="120" w:line="240" w:lineRule="auto"/>
    </w:pPr>
    <w:rPr>
      <w:rFonts w:ascii="Times New Roman" w:hAnsi="Times New Roman" w:eastAsia="黑体"/>
      <w:sz w:val="28"/>
      <w:szCs w:val="28"/>
    </w:rPr>
  </w:style>
  <w:style w:type="paragraph" w:customStyle="1" w:styleId="743">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4">
    <w:name w:val="Char Char1 Char Char Char Char1 Char Char Char1"/>
    <w:basedOn w:val="1"/>
    <w:uiPriority w:val="0"/>
    <w:pPr>
      <w:adjustRightInd w:val="0"/>
      <w:spacing w:line="360" w:lineRule="atLeast"/>
      <w:textAlignment w:val="baseline"/>
    </w:pPr>
    <w:rPr>
      <w:rFonts w:ascii="Tahoma" w:hAnsi="Tahoma"/>
      <w:sz w:val="24"/>
      <w:szCs w:val="20"/>
    </w:rPr>
  </w:style>
  <w:style w:type="paragraph" w:customStyle="1" w:styleId="745">
    <w:name w:val="Char Char10"/>
    <w:basedOn w:val="1"/>
    <w:uiPriority w:val="0"/>
    <w:rPr>
      <w:rFonts w:ascii="Tahoma" w:hAnsi="Tahoma"/>
      <w:sz w:val="24"/>
      <w:szCs w:val="20"/>
    </w:rPr>
  </w:style>
  <w:style w:type="paragraph" w:customStyle="1" w:styleId="746">
    <w:name w:val="Table Contents"/>
    <w:basedOn w:val="1"/>
    <w:uiPriority w:val="0"/>
    <w:pPr>
      <w:suppressAutoHyphens/>
      <w:autoSpaceDE w:val="0"/>
      <w:spacing w:after="120"/>
      <w:jc w:val="left"/>
    </w:pPr>
    <w:rPr>
      <w:rFonts w:ascii="Helvetica" w:hAnsi="Helvetica"/>
      <w:kern w:val="1"/>
      <w:sz w:val="20"/>
      <w:szCs w:val="20"/>
    </w:rPr>
  </w:style>
  <w:style w:type="paragraph" w:customStyle="1" w:styleId="747">
    <w:name w:val="样式7"/>
    <w:basedOn w:val="1"/>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8">
    <w:name w:val="列表内容"/>
    <w:basedOn w:val="1"/>
    <w:next w:val="1"/>
    <w:uiPriority w:val="0"/>
    <w:pPr>
      <w:widowControl/>
      <w:numPr>
        <w:ilvl w:val="0"/>
        <w:numId w:val="28"/>
      </w:numPr>
      <w:jc w:val="left"/>
    </w:pPr>
    <w:rPr>
      <w:rFonts w:ascii="Times New Roman" w:hAnsi="Times New Roman"/>
      <w:kern w:val="0"/>
      <w:sz w:val="18"/>
      <w:szCs w:val="24"/>
    </w:rPr>
  </w:style>
  <w:style w:type="paragraph" w:customStyle="1" w:styleId="749">
    <w:name w:val="正文样式 首行缩进:  0.74 厘米"/>
    <w:basedOn w:val="1"/>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0">
    <w:name w:val="一级项目符号"/>
    <w:basedOn w:val="1"/>
    <w:uiPriority w:val="0"/>
    <w:pPr>
      <w:widowControl/>
      <w:numPr>
        <w:ilvl w:val="0"/>
        <w:numId w:val="29"/>
      </w:numPr>
      <w:spacing w:line="360" w:lineRule="auto"/>
    </w:pPr>
    <w:rPr>
      <w:rFonts w:ascii="Times New Roman" w:hAnsi="Times New Roman"/>
      <w:kern w:val="0"/>
      <w:sz w:val="24"/>
      <w:szCs w:val="20"/>
    </w:rPr>
  </w:style>
  <w:style w:type="paragraph" w:customStyle="1" w:styleId="751">
    <w:name w:val="pa-30"/>
    <w:basedOn w:val="1"/>
    <w:uiPriority w:val="0"/>
    <w:pPr>
      <w:widowControl/>
      <w:spacing w:before="150" w:after="150"/>
      <w:jc w:val="left"/>
    </w:pPr>
    <w:rPr>
      <w:rFonts w:ascii="宋体" w:hAnsi="宋体" w:cs="宋体"/>
      <w:kern w:val="0"/>
      <w:sz w:val="24"/>
      <w:szCs w:val="24"/>
    </w:rPr>
  </w:style>
  <w:style w:type="paragraph" w:customStyle="1" w:styleId="752">
    <w:name w:val="表格_内容"/>
    <w:basedOn w:val="1"/>
    <w:qFormat/>
    <w:uiPriority w:val="0"/>
    <w:rPr>
      <w:rFonts w:ascii="宋体" w:hAnsi="宋体"/>
      <w:szCs w:val="21"/>
    </w:rPr>
  </w:style>
  <w:style w:type="paragraph" w:customStyle="1" w:styleId="753">
    <w:name w:val="MM Title"/>
    <w:basedOn w:val="54"/>
    <w:uiPriority w:val="0"/>
    <w:rPr>
      <w:rFonts w:ascii="Calibri" w:hAnsi="Calibri" w:cs="Arial"/>
      <w:b w:val="0"/>
      <w:sz w:val="18"/>
    </w:rPr>
  </w:style>
  <w:style w:type="paragraph" w:customStyle="1" w:styleId="754">
    <w:name w:val="样式 正文 段落文字 + 宋体 小四 左侧:  0 厘米 首行缩进:  2 字符 段后: 0 磅 行距: 固定值 24..."/>
    <w:basedOn w:val="1"/>
    <w:uiPriority w:val="0"/>
    <w:pPr>
      <w:spacing w:line="480" w:lineRule="exact"/>
      <w:ind w:firstLine="480" w:firstLineChars="200"/>
    </w:pPr>
    <w:rPr>
      <w:rFonts w:ascii="宋体" w:hAnsi="宋体" w:cs="宋体"/>
      <w:sz w:val="24"/>
      <w:szCs w:val="20"/>
    </w:rPr>
  </w:style>
  <w:style w:type="paragraph" w:customStyle="1" w:styleId="755">
    <w:name w:val="xl79"/>
    <w:basedOn w:val="1"/>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6">
    <w:name w:val="表格"/>
    <w:basedOn w:val="1"/>
    <w:uiPriority w:val="0"/>
    <w:pPr>
      <w:adjustRightInd w:val="0"/>
      <w:spacing w:beforeLines="25" w:afterLines="25"/>
      <w:textAlignment w:val="baseline"/>
    </w:pPr>
    <w:rPr>
      <w:rFonts w:ascii="Arial" w:hAnsi="Arial" w:eastAsia="仿宋_GB2312"/>
      <w:kern w:val="0"/>
      <w:sz w:val="24"/>
      <w:szCs w:val="28"/>
    </w:rPr>
  </w:style>
  <w:style w:type="paragraph" w:customStyle="1" w:styleId="757">
    <w:name w:val="修订1"/>
    <w:semiHidden/>
    <w:uiPriority w:val="99"/>
    <w:rPr>
      <w:rFonts w:ascii="Calibri" w:hAnsi="Calibri" w:eastAsia="宋体" w:cs="Times New Roman"/>
      <w:kern w:val="2"/>
      <w:sz w:val="21"/>
      <w:szCs w:val="22"/>
      <w:lang w:val="en-US" w:eastAsia="zh-CN" w:bidi="ar-SA"/>
    </w:rPr>
  </w:style>
  <w:style w:type="paragraph" w:customStyle="1" w:styleId="758">
    <w:name w:val="封面1级标题"/>
    <w:basedOn w:val="1"/>
    <w:next w:val="1"/>
    <w:uiPriority w:val="0"/>
    <w:pPr>
      <w:spacing w:beforeLines="800"/>
      <w:jc w:val="center"/>
    </w:pPr>
    <w:rPr>
      <w:rFonts w:ascii="Arial" w:hAnsi="Arial" w:eastAsia="黑体" w:cs="宋体"/>
      <w:b/>
      <w:sz w:val="72"/>
      <w:szCs w:val="72"/>
    </w:rPr>
  </w:style>
  <w:style w:type="paragraph" w:customStyle="1" w:styleId="759">
    <w:name w:val="xl122"/>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0">
    <w:name w:val="表格标题栏"/>
    <w:basedOn w:val="1"/>
    <w:uiPriority w:val="0"/>
    <w:pPr>
      <w:shd w:val="pct5" w:color="auto" w:fill="auto"/>
      <w:jc w:val="center"/>
      <w:textAlignment w:val="center"/>
    </w:pPr>
    <w:rPr>
      <w:rFonts w:ascii="新宋体" w:hAnsi="新宋体" w:eastAsia="华文中宋"/>
      <w:b/>
      <w:sz w:val="28"/>
      <w:szCs w:val="28"/>
    </w:rPr>
  </w:style>
  <w:style w:type="paragraph" w:customStyle="1" w:styleId="761">
    <w:name w:val="5级"/>
    <w:basedOn w:val="1"/>
    <w:next w:val="17"/>
    <w:uiPriority w:val="0"/>
    <w:pPr>
      <w:numPr>
        <w:ilvl w:val="4"/>
        <w:numId w:val="30"/>
      </w:numPr>
    </w:pPr>
    <w:rPr>
      <w:rFonts w:eastAsia="黑体"/>
      <w:kern w:val="0"/>
      <w:sz w:val="24"/>
      <w:szCs w:val="20"/>
    </w:rPr>
  </w:style>
  <w:style w:type="paragraph" w:customStyle="1" w:styleId="762">
    <w:name w:val="Body"/>
    <w:basedOn w:val="1"/>
    <w:uiPriority w:val="0"/>
    <w:pPr>
      <w:widowControl/>
      <w:spacing w:before="120" w:afterLines="50"/>
    </w:pPr>
    <w:rPr>
      <w:rFonts w:ascii="宋体" w:hAnsi="Times New Roman"/>
      <w:snapToGrid w:val="0"/>
      <w:kern w:val="0"/>
      <w:szCs w:val="20"/>
    </w:rPr>
  </w:style>
  <w:style w:type="paragraph" w:customStyle="1" w:styleId="763">
    <w:name w:val="标准标题2"/>
    <w:basedOn w:val="3"/>
    <w:uiPriority w:val="0"/>
    <w:pPr>
      <w:spacing w:line="360" w:lineRule="auto"/>
    </w:pPr>
    <w:rPr>
      <w:rFonts w:eastAsia="仿宋_GB2312"/>
      <w:bCs w:val="0"/>
      <w:sz w:val="28"/>
    </w:rPr>
  </w:style>
  <w:style w:type="paragraph" w:customStyle="1" w:styleId="764">
    <w:name w:val="xl83"/>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5">
    <w:name w:val="img"/>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766">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7">
    <w:name w:val="一"/>
    <w:basedOn w:val="157"/>
    <w:uiPriority w:val="0"/>
    <w:pPr>
      <w:widowControl/>
      <w:spacing w:line="560" w:lineRule="exact"/>
      <w:ind w:left="720" w:firstLine="0" w:firstLineChars="0"/>
      <w:jc w:val="left"/>
      <w:outlineLvl w:val="0"/>
    </w:pPr>
    <w:rPr>
      <w:rFonts w:ascii="宋体" w:hAnsi="宋体"/>
      <w:b/>
      <w:bCs/>
      <w:sz w:val="30"/>
      <w:szCs w:val="30"/>
    </w:rPr>
  </w:style>
  <w:style w:type="paragraph" w:customStyle="1" w:styleId="768">
    <w:name w:val="font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69">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0">
    <w:name w:val="样式 标题 3h33rd levelHeading 3 - oldH3Fab-3level_3PIM 3Leve..."/>
    <w:basedOn w:val="4"/>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1">
    <w:name w:val="Char Char Char Char3"/>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2">
    <w:name w:val="样式 四号 行距: 1.5 倍行距"/>
    <w:basedOn w:val="1"/>
    <w:uiPriority w:val="0"/>
    <w:pPr>
      <w:spacing w:line="312" w:lineRule="auto"/>
      <w:ind w:firstLine="202" w:firstLineChars="202"/>
    </w:pPr>
    <w:rPr>
      <w:rFonts w:ascii="Times New Roman" w:hAnsi="Times New Roman" w:cs="宋体"/>
      <w:sz w:val="24"/>
      <w:szCs w:val="20"/>
    </w:rPr>
  </w:style>
  <w:style w:type="paragraph" w:customStyle="1" w:styleId="773">
    <w:name w:val="浅色列表 - 强调文字颜色 31"/>
    <w:uiPriority w:val="71"/>
    <w:rPr>
      <w:rFonts w:ascii="Calibri" w:hAnsi="Calibri" w:eastAsia="宋体" w:cs="Times New Roman"/>
      <w:kern w:val="2"/>
      <w:sz w:val="21"/>
      <w:szCs w:val="22"/>
      <w:lang w:val="en-US" w:eastAsia="zh-CN" w:bidi="ar-SA"/>
    </w:rPr>
  </w:style>
  <w:style w:type="paragraph" w:customStyle="1" w:styleId="774">
    <w:name w:val="_Style 164"/>
    <w:basedOn w:val="1"/>
    <w:uiPriority w:val="0"/>
    <w:rPr>
      <w:rFonts w:ascii="Times New Roman" w:hAnsi="Times New Roman"/>
      <w:szCs w:val="20"/>
    </w:rPr>
  </w:style>
  <w:style w:type="paragraph" w:customStyle="1" w:styleId="775">
    <w:name w:val="GP公文标题1"/>
    <w:basedOn w:val="1"/>
    <w:next w:val="1"/>
    <w:uiPriority w:val="0"/>
    <w:pPr>
      <w:numPr>
        <w:ilvl w:val="4"/>
        <w:numId w:val="16"/>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6">
    <w:name w:val="paracharcharcharcharcharcharcharcharchar1charcharcharch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77">
    <w:name w:val="Char Char Char Char Char Char Char1"/>
    <w:basedOn w:val="1"/>
    <w:uiPriority w:val="0"/>
    <w:pPr>
      <w:tabs>
        <w:tab w:val="left" w:pos="432"/>
      </w:tabs>
      <w:ind w:left="432" w:hanging="432"/>
    </w:pPr>
    <w:rPr>
      <w:rFonts w:ascii="Tahoma" w:hAnsi="Tahoma"/>
      <w:sz w:val="24"/>
      <w:szCs w:val="20"/>
    </w:rPr>
  </w:style>
  <w:style w:type="paragraph" w:customStyle="1" w:styleId="778">
    <w:name w:val="Table Text"/>
    <w:basedOn w:val="1"/>
    <w:uiPriority w:val="0"/>
    <w:pPr>
      <w:widowControl/>
      <w:spacing w:before="60" w:after="60"/>
      <w:jc w:val="left"/>
    </w:pPr>
    <w:rPr>
      <w:rFonts w:ascii="Times New Roman" w:hAnsi="Times New Roman"/>
      <w:kern w:val="0"/>
      <w:sz w:val="24"/>
      <w:szCs w:val="24"/>
    </w:rPr>
  </w:style>
  <w:style w:type="paragraph" w:customStyle="1" w:styleId="779">
    <w:name w:val="button"/>
    <w:basedOn w:val="1"/>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0">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1">
    <w:name w:val="xl75"/>
    <w:basedOn w:val="1"/>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2">
    <w:name w:val="彩色列表1"/>
    <w:basedOn w:val="1"/>
    <w:uiPriority w:val="0"/>
    <w:pPr>
      <w:tabs>
        <w:tab w:val="left" w:pos="1200"/>
      </w:tabs>
      <w:ind w:left="1200" w:hanging="360"/>
    </w:pPr>
  </w:style>
  <w:style w:type="paragraph" w:customStyle="1" w:styleId="783">
    <w:name w:val="封面2级标题"/>
    <w:basedOn w:val="1"/>
    <w:next w:val="270"/>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4">
    <w:name w:val="彩色列表 - 强调文字颜色 11"/>
    <w:basedOn w:val="1"/>
    <w:qFormat/>
    <w:uiPriority w:val="34"/>
    <w:pPr>
      <w:ind w:firstLine="420" w:firstLineChars="200"/>
    </w:pPr>
  </w:style>
  <w:style w:type="paragraph" w:customStyle="1" w:styleId="785">
    <w:name w:val="样式 标题 3Chapter X.X.X. + 五号 段后: 0.5 行"/>
    <w:basedOn w:val="4"/>
    <w:uiPriority w:val="0"/>
    <w:pPr>
      <w:keepLines w:val="0"/>
      <w:spacing w:before="120" w:afterLines="50" w:line="240" w:lineRule="auto"/>
      <w:jc w:val="left"/>
    </w:pPr>
    <w:rPr>
      <w:rFonts w:ascii="宋体" w:cs="宋体"/>
      <w:snapToGrid w:val="0"/>
      <w:kern w:val="0"/>
      <w:sz w:val="21"/>
      <w:szCs w:val="20"/>
    </w:rPr>
  </w:style>
  <w:style w:type="paragraph" w:customStyle="1" w:styleId="786">
    <w:name w:val="ZJGIS-二级标题"/>
    <w:basedOn w:val="3"/>
    <w:qFormat/>
    <w:uiPriority w:val="0"/>
    <w:pPr>
      <w:numPr>
        <w:numId w:val="11"/>
      </w:numPr>
      <w:spacing w:before="240" w:after="240" w:line="240" w:lineRule="auto"/>
    </w:pPr>
    <w:rPr>
      <w:rFonts w:ascii="Times New Roman" w:hAnsi="Times New Roman" w:eastAsia="楷体_GB2312"/>
      <w:sz w:val="30"/>
      <w:szCs w:val="30"/>
    </w:rPr>
  </w:style>
  <w:style w:type="paragraph" w:customStyle="1" w:styleId="787">
    <w:name w:val="pa-7"/>
    <w:basedOn w:val="1"/>
    <w:uiPriority w:val="0"/>
    <w:pPr>
      <w:widowControl/>
      <w:spacing w:before="150" w:after="150"/>
      <w:jc w:val="left"/>
    </w:pPr>
    <w:rPr>
      <w:rFonts w:ascii="宋体" w:hAnsi="宋体" w:cs="宋体"/>
      <w:kern w:val="0"/>
      <w:sz w:val="24"/>
      <w:szCs w:val="24"/>
    </w:rPr>
  </w:style>
  <w:style w:type="paragraph" w:customStyle="1" w:styleId="788">
    <w:name w:val="注意事项"/>
    <w:basedOn w:val="1"/>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89">
    <w:name w:val="标书正文格式"/>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0">
    <w:name w:val="Char Char1 Char Char Char Char Char Char Char Char Char Char Char Char Char Char1"/>
    <w:basedOn w:val="1"/>
    <w:uiPriority w:val="0"/>
    <w:pPr>
      <w:widowControl/>
      <w:spacing w:after="160" w:line="240" w:lineRule="exact"/>
      <w:jc w:val="left"/>
    </w:pPr>
    <w:rPr>
      <w:rFonts w:ascii="Times New Roman" w:hAnsi="Times New Roman"/>
      <w:szCs w:val="20"/>
    </w:rPr>
  </w:style>
  <w:style w:type="paragraph" w:customStyle="1" w:styleId="791">
    <w:name w:val="CM12"/>
    <w:basedOn w:val="674"/>
    <w:next w:val="674"/>
    <w:uiPriority w:val="0"/>
    <w:pPr>
      <w:spacing w:line="468" w:lineRule="atLeast"/>
    </w:pPr>
    <w:rPr>
      <w:rFonts w:ascii="宋体" w:hAnsi="Times New Roman" w:eastAsia="宋体" w:cs="Times New Roman"/>
      <w:color w:val="auto"/>
    </w:rPr>
  </w:style>
  <w:style w:type="paragraph" w:customStyle="1" w:styleId="792">
    <w:name w:val="样式 楷体_GB2312 四号 行距: 多倍行距 1.25 字行"/>
    <w:basedOn w:val="1"/>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3">
    <w:name w:val="四级"/>
    <w:basedOn w:val="5"/>
    <w:uiPriority w:val="0"/>
    <w:pPr>
      <w:tabs>
        <w:tab w:val="left" w:pos="284"/>
      </w:tabs>
      <w:spacing w:before="160" w:after="170" w:line="240" w:lineRule="auto"/>
      <w:ind w:left="828" w:hanging="544"/>
    </w:pPr>
    <w:rPr>
      <w:bCs w:val="0"/>
      <w:sz w:val="30"/>
      <w:szCs w:val="20"/>
    </w:rPr>
  </w:style>
  <w:style w:type="paragraph" w:customStyle="1" w:styleId="794">
    <w:name w:val="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795">
    <w:name w:val="图表引用"/>
    <w:basedOn w:val="1"/>
    <w:qFormat/>
    <w:uiPriority w:val="0"/>
    <w:pPr>
      <w:spacing w:line="360" w:lineRule="auto"/>
      <w:jc w:val="center"/>
    </w:pPr>
    <w:rPr>
      <w:rFonts w:ascii="仿宋_GB2312" w:eastAsia="仿宋_GB2312"/>
      <w:b/>
      <w:sz w:val="24"/>
      <w:szCs w:val="28"/>
    </w:rPr>
  </w:style>
  <w:style w:type="paragraph" w:customStyle="1" w:styleId="796">
    <w:name w:val="样式 正文段落 + 首行缩进:  0 字符"/>
    <w:basedOn w:val="342"/>
    <w:uiPriority w:val="0"/>
    <w:pPr>
      <w:spacing w:line="360" w:lineRule="auto"/>
      <w:ind w:firstLine="0"/>
    </w:pPr>
    <w:rPr>
      <w:rFonts w:ascii="宋体" w:hAnsi="宋体" w:cs="宋体"/>
      <w:kern w:val="0"/>
    </w:rPr>
  </w:style>
  <w:style w:type="paragraph" w:customStyle="1" w:styleId="797">
    <w:name w:val="Char8"/>
    <w:basedOn w:val="1"/>
    <w:uiPriority w:val="0"/>
    <w:pPr>
      <w:tabs>
        <w:tab w:val="left" w:pos="432"/>
      </w:tabs>
      <w:ind w:left="432" w:hanging="432"/>
    </w:pPr>
    <w:rPr>
      <w:rFonts w:ascii="Times New Roman" w:hAnsi="Times New Roman"/>
      <w:sz w:val="24"/>
      <w:szCs w:val="24"/>
    </w:rPr>
  </w:style>
  <w:style w:type="paragraph" w:customStyle="1" w:styleId="798">
    <w:name w:val="Char Char Char1"/>
    <w:basedOn w:val="1"/>
    <w:uiPriority w:val="0"/>
    <w:rPr>
      <w:rFonts w:ascii="Times New Roman" w:hAnsi="Times New Roman" w:eastAsia="仿宋_GB2312" w:cs="宋体"/>
      <w:sz w:val="24"/>
      <w:szCs w:val="20"/>
    </w:rPr>
  </w:style>
  <w:style w:type="paragraph" w:customStyle="1" w:styleId="799">
    <w:name w:val="ZJGIS-五级标题"/>
    <w:basedOn w:val="6"/>
    <w:qFormat/>
    <w:uiPriority w:val="0"/>
    <w:pPr>
      <w:numPr>
        <w:numId w:val="11"/>
      </w:numPr>
      <w:spacing w:before="120" w:after="120" w:line="240" w:lineRule="auto"/>
    </w:pPr>
    <w:rPr>
      <w:rFonts w:ascii="Times New Roman" w:hAnsi="Times New Roman"/>
      <w:sz w:val="24"/>
      <w:szCs w:val="24"/>
    </w:rPr>
  </w:style>
  <w:style w:type="paragraph" w:customStyle="1" w:styleId="800">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1">
    <w:name w:val="ZJGIS表格表头"/>
    <w:basedOn w:val="1"/>
    <w:qFormat/>
    <w:uiPriority w:val="0"/>
    <w:pPr>
      <w:jc w:val="center"/>
    </w:pPr>
    <w:rPr>
      <w:rFonts w:ascii="Arial" w:hAnsi="Arial" w:eastAsia="黑体"/>
      <w:b/>
    </w:rPr>
  </w:style>
  <w:style w:type="paragraph" w:customStyle="1" w:styleId="802">
    <w:name w:val="吉奥封面(黑体小初)"/>
    <w:basedOn w:val="168"/>
    <w:uiPriority w:val="0"/>
    <w:pPr>
      <w:spacing w:before="480"/>
      <w:ind w:firstLine="0" w:firstLineChars="0"/>
      <w:jc w:val="center"/>
    </w:pPr>
    <w:rPr>
      <w:rFonts w:eastAsia="黑体"/>
      <w:sz w:val="72"/>
      <w:szCs w:val="72"/>
    </w:rPr>
  </w:style>
  <w:style w:type="paragraph" w:customStyle="1" w:styleId="803">
    <w:name w:val="样式 标题 3 + 首行缩进:  2 字符1"/>
    <w:basedOn w:val="4"/>
    <w:uiPriority w:val="0"/>
    <w:pPr>
      <w:spacing w:line="360" w:lineRule="auto"/>
    </w:pPr>
    <w:rPr>
      <w:rFonts w:ascii="Times New Roman" w:hAnsi="Times New Roman" w:cs="宋体"/>
      <w:szCs w:val="20"/>
    </w:rPr>
  </w:style>
  <w:style w:type="character" w:customStyle="1" w:styleId="804">
    <w:name w:val="一级标题 Char"/>
    <w:link w:val="805"/>
    <w:locked/>
    <w:uiPriority w:val="0"/>
    <w:rPr>
      <w:rFonts w:ascii="宋体" w:hAnsi="宋体"/>
      <w:b/>
      <w:kern w:val="2"/>
      <w:sz w:val="36"/>
      <w:szCs w:val="36"/>
    </w:rPr>
  </w:style>
  <w:style w:type="paragraph" w:customStyle="1" w:styleId="805">
    <w:name w:val="一级标题"/>
    <w:basedOn w:val="31"/>
    <w:link w:val="804"/>
    <w:qFormat/>
    <w:uiPriority w:val="0"/>
    <w:pPr>
      <w:spacing w:line="360" w:lineRule="auto"/>
      <w:jc w:val="center"/>
    </w:pPr>
    <w:rPr>
      <w:rFonts w:hAnsi="宋体"/>
      <w:b/>
      <w:sz w:val="36"/>
      <w:szCs w:val="36"/>
    </w:rPr>
  </w:style>
  <w:style w:type="character" w:customStyle="1" w:styleId="806">
    <w:name w:val="纯文本 Char1"/>
    <w:uiPriority w:val="0"/>
    <w:rPr>
      <w:rFonts w:ascii="宋体" w:hAnsi="Courier New"/>
      <w:kern w:val="2"/>
      <w:sz w:val="24"/>
      <w:szCs w:val="24"/>
    </w:rPr>
  </w:style>
  <w:style w:type="paragraph" w:customStyle="1" w:styleId="807">
    <w:name w:val="正文5"/>
    <w:uiPriority w:val="0"/>
    <w:pPr>
      <w:widowControl w:val="0"/>
      <w:jc w:val="both"/>
    </w:pPr>
    <w:rPr>
      <w:rFonts w:ascii="Times New Roman" w:hAnsi="Times New Roman" w:eastAsia="宋体" w:cs="Times New Roman"/>
      <w:kern w:val="2"/>
      <w:sz w:val="21"/>
      <w:lang w:val="en-US" w:eastAsia="zh-CN" w:bidi="ar-SA"/>
    </w:rPr>
  </w:style>
  <w:style w:type="paragraph" w:customStyle="1" w:styleId="808">
    <w:name w:val="纯文本2"/>
    <w:basedOn w:val="807"/>
    <w:uiPriority w:val="0"/>
    <w:pPr>
      <w:widowControl/>
      <w:jc w:val="left"/>
    </w:pPr>
    <w:rPr>
      <w:rFonts w:ascii="宋体" w:hAnsi="Courier New"/>
    </w:rPr>
  </w:style>
  <w:style w:type="character" w:customStyle="1" w:styleId="809">
    <w:name w:val="正文文本 Char1"/>
    <w:basedOn w:val="63"/>
    <w:semiHidden/>
    <w:uiPriority w:val="0"/>
  </w:style>
  <w:style w:type="character" w:customStyle="1" w:styleId="810">
    <w:name w:val="正文文本 字符1"/>
    <w:basedOn w:val="63"/>
    <w:semiHidden/>
    <w:qFormat/>
    <w:uiPriority w:val="99"/>
  </w:style>
  <w:style w:type="paragraph" w:customStyle="1" w:styleId="811">
    <w:name w:val="修订2"/>
    <w:hidden/>
    <w:semiHidden/>
    <w:uiPriority w:val="99"/>
    <w:rPr>
      <w:rFonts w:ascii="Calibri" w:hAnsi="Calibri" w:eastAsia="宋体" w:cs="Times New Roman"/>
      <w:kern w:val="2"/>
      <w:sz w:val="21"/>
      <w:szCs w:val="22"/>
      <w:lang w:val="en-US" w:eastAsia="zh-CN" w:bidi="ar-SA"/>
    </w:rPr>
  </w:style>
  <w:style w:type="character" w:customStyle="1" w:styleId="812">
    <w:name w:val="列表段落 字符"/>
    <w:qFormat/>
    <w:uiPriority w:val="99"/>
    <w:rPr>
      <w:rFonts w:ascii="Calibri" w:hAnsi="Calibri"/>
      <w:sz w:val="24"/>
      <w:szCs w:val="24"/>
      <w:lang w:eastAsia="en-US" w:bidi="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F447E5-7BD9-4992-9757-C0390043ABBE}">
  <ds:schemaRefs/>
</ds:datastoreItem>
</file>

<file path=docProps/app.xml><?xml version="1.0" encoding="utf-8"?>
<Properties xmlns="http://schemas.openxmlformats.org/officeDocument/2006/extended-properties" xmlns:vt="http://schemas.openxmlformats.org/officeDocument/2006/docPropsVTypes">
  <Template>Normal</Template>
  <Company>上海上海远瞩计算机技术有限公司</Company>
  <Pages>100</Pages>
  <Words>9821</Words>
  <Characters>55985</Characters>
  <Lines>466</Lines>
  <Paragraphs>131</Paragraphs>
  <TotalTime>3658</TotalTime>
  <ScaleCrop>false</ScaleCrop>
  <LinksUpToDate>false</LinksUpToDate>
  <CharactersWithSpaces>65675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2020-10-19T03:11:00Z</dcterms:created>
  <dc:creator>NTKO</dc:creator>
  <cp:lastModifiedBy>map</cp:lastModifiedBy>
  <cp:lastPrinted>2020-11-02T06:18:00Z</cp:lastPrinted>
  <dcterms:modified xsi:type="dcterms:W3CDTF">2020-11-09T13:42:31Z</dcterms:modified>
  <dc:title>浙江省政府采购中心关于浙江省</dc:title>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