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国家体育总局体育信息中心竞赛视频信息系统服务采购招标文件</w:t>
      </w:r>
      <w:bookmarkEnd w:id="0"/>
    </w:p>
    <w:p>
      <w:pPr>
        <w:spacing w:before="312" w:beforeLines="100" w:line="360" w:lineRule="auto"/>
        <w:ind w:right="-108"/>
        <w:jc w:val="center"/>
        <w:rPr>
          <w:rFonts w:ascii="宋体" w:hAnsi="宋体"/>
          <w:b/>
          <w:color w:val="000000" w:themeColor="text1"/>
          <w:spacing w:val="40"/>
          <w:sz w:val="84"/>
          <w:szCs w:val="84"/>
          <w14:textFill>
            <w14:solidFill>
              <w14:schemeClr w14:val="tx1"/>
            </w14:solidFill>
          </w14:textFill>
        </w:rPr>
      </w:pP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项目编号：</w:t>
      </w:r>
      <w:bookmarkStart w:id="1" w:name="PO_15528_PM001"/>
      <w:r>
        <w:rPr>
          <w:rFonts w:ascii="宋体" w:hAnsi="宋体"/>
          <w:color w:val="000000" w:themeColor="text1"/>
          <w:sz w:val="36"/>
          <w:szCs w:val="36"/>
          <w14:textFill>
            <w14:solidFill>
              <w14:schemeClr w14:val="tx1"/>
            </w14:solidFill>
          </w14:textFill>
        </w:rPr>
        <w:t>ZB2020</w:t>
      </w:r>
      <w:r>
        <w:rPr>
          <w:rFonts w:hint="eastAsia" w:ascii="宋体" w:hAnsi="宋体"/>
          <w:color w:val="000000" w:themeColor="text1"/>
          <w:sz w:val="36"/>
          <w:szCs w:val="36"/>
          <w14:textFill>
            <w14:solidFill>
              <w14:schemeClr w14:val="tx1"/>
            </w14:solidFill>
          </w14:textFill>
        </w:rPr>
        <w:t>-</w:t>
      </w:r>
      <w:bookmarkEnd w:id="1"/>
      <w:r>
        <w:rPr>
          <w:rFonts w:hint="eastAsia" w:ascii="宋体" w:hAnsi="宋体"/>
          <w:color w:val="000000" w:themeColor="text1"/>
          <w:sz w:val="36"/>
          <w:szCs w:val="36"/>
          <w14:textFill>
            <w14:solidFill>
              <w14:schemeClr w14:val="tx1"/>
            </w14:solidFill>
          </w14:textFill>
        </w:rPr>
        <w:t>39</w:t>
      </w:r>
    </w:p>
    <w:p>
      <w:pPr>
        <w:spacing w:before="312" w:beforeLines="100"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pPr>
        <w:wordWrap w:val="0"/>
        <w:spacing w:line="500" w:lineRule="exact"/>
        <w:ind w:right="-108" w:firstLine="663" w:firstLineChars="150"/>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44"/>
          <w:szCs w:val="44"/>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目    录</w:t>
      </w:r>
    </w:p>
    <w:p>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"_Toc51935127" </w:instrText>
      </w:r>
      <w:r>
        <w:fldChar w:fldCharType="separate"/>
      </w:r>
      <w:r>
        <w:rPr>
          <w:rStyle w:val="68"/>
          <w:rFonts w:hint="eastAsia" w:hAnsi="宋体"/>
          <w:b/>
          <w:color w:val="000000" w:themeColor="text1"/>
          <w14:textFill>
            <w14:solidFill>
              <w14:schemeClr w14:val="tx1"/>
            </w14:solidFill>
          </w14:textFill>
        </w:rPr>
        <w:t>第一章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"_Toc51935128" </w:instrText>
      </w:r>
      <w:r>
        <w:fldChar w:fldCharType="separate"/>
      </w:r>
      <w:r>
        <w:rPr>
          <w:rStyle w:val="68"/>
          <w:rFonts w:hint="eastAsia" w:ascii="仿宋" w:hAnsi="仿宋"/>
          <w:b/>
          <w:color w:val="000000" w:themeColor="text1"/>
          <w14:textFill>
            <w14:solidFill>
              <w14:schemeClr w14:val="tx1"/>
            </w14:solidFill>
          </w14:textFill>
        </w:rPr>
        <w:t>第二章</w:t>
      </w:r>
      <w:r>
        <w:rPr>
          <w:rStyle w:val="68"/>
          <w:rFonts w:ascii="仿宋" w:hAnsi="仿宋"/>
          <w:b/>
          <w:color w:val="000000" w:themeColor="text1"/>
          <w14:textFill>
            <w14:solidFill>
              <w14:schemeClr w14:val="tx1"/>
            </w14:solidFill>
          </w14:textFill>
        </w:rPr>
        <w:t xml:space="preserve">  </w:t>
      </w:r>
      <w:r>
        <w:rPr>
          <w:rStyle w:val="68"/>
          <w:rFonts w:hint="eastAsia" w:ascii="仿宋" w:hAnsi="仿宋"/>
          <w:b/>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"_Toc51935129" </w:instrText>
      </w:r>
      <w:r>
        <w:fldChar w:fldCharType="separate"/>
      </w:r>
      <w:r>
        <w:rPr>
          <w:rStyle w:val="68"/>
          <w:rFonts w:hint="eastAsia" w:hAnsi="宋体"/>
          <w:b/>
          <w:color w:val="000000" w:themeColor="text1"/>
          <w14:textFill>
            <w14:solidFill>
              <w14:schemeClr w14:val="tx1"/>
            </w14:solidFill>
          </w14:textFill>
        </w:rPr>
        <w:t>第三章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"_Toc51935130" </w:instrText>
      </w:r>
      <w:r>
        <w:fldChar w:fldCharType="separate"/>
      </w:r>
      <w:r>
        <w:rPr>
          <w:rStyle w:val="68"/>
          <w:rFonts w:hint="eastAsia" w:hAnsi="宋体"/>
          <w:b/>
          <w:color w:val="000000" w:themeColor="text1"/>
          <w14:textFill>
            <w14:solidFill>
              <w14:schemeClr w14:val="tx1"/>
            </w14:solidFill>
          </w14:textFill>
        </w:rPr>
        <w:t>第四章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b/>
          <w:color w:val="000000" w:themeColor="text1"/>
          <w:sz w:val="21"/>
          <w:szCs w:val="22"/>
          <w14:textFill>
            <w14:solidFill>
              <w14:schemeClr w14:val="tx1"/>
            </w14:solidFill>
          </w14:textFill>
        </w:rPr>
      </w:pPr>
      <w:r>
        <w:fldChar w:fldCharType="begin"/>
      </w:r>
      <w:r>
        <w:instrText xml:space="preserve"> HYPERLINK \l "_Toc51935132" </w:instrText>
      </w:r>
      <w:r>
        <w:fldChar w:fldCharType="separate"/>
      </w:r>
      <w:r>
        <w:rPr>
          <w:rStyle w:val="68"/>
          <w:rFonts w:hint="eastAsia" w:ascii="仿宋" w:hAnsi="仿宋"/>
          <w:b/>
          <w:color w:val="000000" w:themeColor="text1"/>
          <w14:textFill>
            <w14:solidFill>
              <w14:schemeClr w14:val="tx1"/>
            </w14:solidFill>
          </w14:textFill>
        </w:rPr>
        <w:t>第五章</w:t>
      </w:r>
      <w:r>
        <w:rPr>
          <w:rStyle w:val="68"/>
          <w:rFonts w:ascii="仿宋" w:hAnsi="仿宋"/>
          <w:b/>
          <w:color w:val="000000" w:themeColor="text1"/>
          <w14:textFill>
            <w14:solidFill>
              <w14:schemeClr w14:val="tx1"/>
            </w14:solidFill>
          </w14:textFill>
        </w:rPr>
        <w:t xml:space="preserve">  </w:t>
      </w:r>
      <w:r>
        <w:rPr>
          <w:rStyle w:val="68"/>
          <w:rFonts w:hint="eastAsia" w:ascii="宋体" w:hAnsi="宋体"/>
          <w:b/>
          <w:color w:val="000000" w:themeColor="text1"/>
          <w14:textFill>
            <w14:solidFill>
              <w14:schemeClr w14:val="tx1"/>
            </w14:solidFill>
          </w14:textFill>
        </w:rPr>
        <w:t>采购合同（模板）</w:t>
      </w:r>
      <w:r>
        <w:rPr>
          <w:b/>
          <w:color w:val="000000" w:themeColor="text1"/>
          <w14:textFill>
            <w14:solidFill>
              <w14:schemeClr w14:val="tx1"/>
            </w14:solidFill>
          </w14:textFill>
        </w:rPr>
        <w:tab/>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PAGEREF _Toc51935132 \h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43</w:t>
      </w:r>
      <w:r>
        <w:rPr>
          <w:b/>
          <w:color w:val="000000" w:themeColor="text1"/>
          <w14:textFill>
            <w14:solidFill>
              <w14:schemeClr w14:val="tx1"/>
            </w14:solidFill>
          </w14:textFill>
        </w:rPr>
        <w:fldChar w:fldCharType="end"/>
      </w:r>
      <w:r>
        <w:rPr>
          <w:b/>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"_Toc51935133" </w:instrText>
      </w:r>
      <w:r>
        <w:fldChar w:fldCharType="separate"/>
      </w:r>
      <w:r>
        <w:rPr>
          <w:rStyle w:val="68"/>
          <w:rFonts w:hint="eastAsia" w:hAnsi="宋体"/>
          <w:b/>
          <w:color w:val="000000" w:themeColor="text1"/>
          <w14:textFill>
            <w14:solidFill>
              <w14:schemeClr w14:val="tx1"/>
            </w14:solidFill>
          </w14:textFill>
        </w:rPr>
        <w:t>第六章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投标文件格式附件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end"/>
      </w:r>
    </w:p>
    <w:p>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2" w:name="_Toc51935127"/>
      <w:r>
        <w:rPr>
          <w:rFonts w:hint="eastAsia" w:hAnsi="宋体"/>
          <w:b/>
          <w:color w:val="000000" w:themeColor="text1"/>
          <w:sz w:val="36"/>
          <w:szCs w:val="36"/>
          <w14:textFill>
            <w14:solidFill>
              <w14:schemeClr w14:val="tx1"/>
            </w14:solidFill>
          </w14:textFill>
        </w:rPr>
        <w:t>第一章  公开招标采购公告</w:t>
      </w:r>
      <w:bookmarkEnd w:id="2"/>
    </w:p>
    <w:p>
      <w:pPr>
        <w:pStyle w:val="397"/>
        <w:widowControl w:val="0"/>
        <w:spacing w:afterLines="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276" w:lineRule="auto"/>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一、项目编号：</w:t>
      </w:r>
      <w:bookmarkStart w:id="3" w:name="PO_15528_PM001_1"/>
      <w:r>
        <w:rPr>
          <w:rFonts w:ascii="仿宋" w:hAnsi="仿宋" w:eastAsia="仿宋" w:cs="Arial"/>
          <w:b/>
          <w:color w:val="000000" w:themeColor="text1"/>
          <w:sz w:val="30"/>
          <w:szCs w:val="30"/>
          <w14:textFill>
            <w14:solidFill>
              <w14:schemeClr w14:val="tx1"/>
            </w14:solidFill>
          </w14:textFill>
        </w:rPr>
        <w:t>ZB2020</w:t>
      </w:r>
      <w:r>
        <w:rPr>
          <w:rFonts w:hint="eastAsia" w:ascii="仿宋" w:hAnsi="仿宋" w:eastAsia="仿宋" w:cs="Arial"/>
          <w:b/>
          <w:color w:val="000000" w:themeColor="text1"/>
          <w:sz w:val="30"/>
          <w:szCs w:val="30"/>
          <w14:textFill>
            <w14:solidFill>
              <w14:schemeClr w14:val="tx1"/>
            </w14:solidFill>
          </w14:textFill>
        </w:rPr>
        <w:t>-</w:t>
      </w:r>
      <w:bookmarkEnd w:id="3"/>
      <w:r>
        <w:rPr>
          <w:rFonts w:hint="eastAsia" w:ascii="仿宋" w:hAnsi="仿宋" w:eastAsia="仿宋" w:cs="Arial"/>
          <w:b/>
          <w:color w:val="000000" w:themeColor="text1"/>
          <w:sz w:val="30"/>
          <w:szCs w:val="30"/>
          <w14:textFill>
            <w14:solidFill>
              <w14:schemeClr w14:val="tx1"/>
            </w14:solidFill>
          </w14:textFill>
        </w:rPr>
        <w:t>39</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二、公告期限：5个工作日</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三、采购项目内容、数量及预算</w:t>
      </w:r>
      <w:bookmarkStart w:id="4" w:name="PO_15528_PM004"/>
      <w:r>
        <w:rPr>
          <w:rFonts w:ascii="仿宋" w:hAnsi="仿宋" w:eastAsia="仿宋" w:cs="Arial"/>
          <w:b/>
          <w:color w:val="000000" w:themeColor="text1"/>
          <w:sz w:val="30"/>
          <w:szCs w:val="30"/>
          <w14:textFill>
            <w14:solidFill>
              <w14:schemeClr w14:val="tx1"/>
            </w14:solidFill>
          </w14:textFill>
        </w:rPr>
        <w:t xml:space="preserve"> </w:t>
      </w:r>
    </w:p>
    <w:tbl>
      <w:tblPr>
        <w:tblStyle w:val="5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690"/>
        <w:gridCol w:w="1475"/>
        <w:gridCol w:w="1564"/>
        <w:gridCol w:w="1163"/>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62"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024"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894"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w:t>
            </w:r>
            <w:r>
              <w:rPr>
                <w:rFonts w:ascii="仿宋" w:hAnsi="仿宋" w:eastAsia="仿宋" w:cs="Arial"/>
                <w:b/>
                <w:color w:val="000000" w:themeColor="text1"/>
                <w:sz w:val="28"/>
                <w:szCs w:val="28"/>
                <w14:textFill>
                  <w14:solidFill>
                    <w14:schemeClr w14:val="tx1"/>
                  </w14:solidFill>
                </w14:textFill>
              </w:rPr>
              <w:t>(万元)</w:t>
            </w:r>
          </w:p>
        </w:tc>
        <w:tc>
          <w:tcPr>
            <w:tcW w:w="948"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705"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w:t>
            </w:r>
            <w:r>
              <w:rPr>
                <w:rFonts w:ascii="仿宋" w:hAnsi="仿宋" w:eastAsia="仿宋" w:cs="Arial"/>
                <w:b/>
                <w:color w:val="000000" w:themeColor="text1"/>
                <w:sz w:val="28"/>
                <w:szCs w:val="28"/>
                <w14:textFill>
                  <w14:solidFill>
                    <w14:schemeClr w14:val="tx1"/>
                  </w14:solidFill>
                </w14:textFill>
              </w:rPr>
              <w:t>(万元)</w:t>
            </w:r>
          </w:p>
        </w:tc>
        <w:tc>
          <w:tcPr>
            <w:tcW w:w="568"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62"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p>
        </w:tc>
        <w:tc>
          <w:tcPr>
            <w:tcW w:w="102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竞赛视频信息系统服务</w:t>
            </w:r>
          </w:p>
        </w:tc>
        <w:tc>
          <w:tcPr>
            <w:tcW w:w="89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412.2147</w:t>
            </w:r>
          </w:p>
        </w:tc>
        <w:tc>
          <w:tcPr>
            <w:tcW w:w="94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70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56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本项目共1个标项</w:t>
            </w:r>
          </w:p>
        </w:tc>
      </w:tr>
    </w:tbl>
    <w:p>
      <w:pPr>
        <w:snapToGrid w:val="0"/>
        <w:spacing w:after="156" w:afterLines="50" w:line="460" w:lineRule="exact"/>
        <w:ind w:firstLine="56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 xml:space="preserve"> </w:t>
      </w:r>
      <w:bookmarkEnd w:id="4"/>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符合《中华人民共和国政府采购法》第二十二条的规定；</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bCs/>
          <w:color w:val="000000" w:themeColor="text1"/>
          <w:sz w:val="28"/>
          <w:szCs w:val="28"/>
          <w14:textFill>
            <w14:solidFill>
              <w14:schemeClr w14:val="tx1"/>
            </w14:solidFill>
          </w14:textFill>
        </w:rPr>
        <w:t>单位负责人为同一人或者存在</w:t>
      </w:r>
      <w:r>
        <w:rPr>
          <w:rFonts w:hint="eastAsia" w:ascii="仿宋" w:hAnsi="仿宋" w:eastAsia="仿宋" w:cs="Arial"/>
          <w:bCs/>
          <w:color w:val="000000" w:themeColor="text1"/>
          <w:sz w:val="28"/>
          <w:szCs w:val="28"/>
          <w14:textFill>
            <w14:solidFill>
              <w14:schemeClr w14:val="tx1"/>
            </w14:solidFill>
          </w14:textFill>
        </w:rPr>
        <w:t>直接</w:t>
      </w:r>
      <w:r>
        <w:rPr>
          <w:rFonts w:ascii="仿宋" w:hAnsi="仿宋" w:eastAsia="仿宋" w:cs="Arial"/>
          <w:bCs/>
          <w:color w:val="000000" w:themeColor="text1"/>
          <w:sz w:val="28"/>
          <w:szCs w:val="28"/>
          <w14:textFill>
            <w14:solidFill>
              <w14:schemeClr w14:val="tx1"/>
            </w14:solidFill>
          </w14:textFill>
        </w:rPr>
        <w:t>控股、管理关系的不同供应商，不得参加同一分包的政府采购活动。</w:t>
      </w:r>
    </w:p>
    <w:p>
      <w:pPr>
        <w:numPr>
          <w:ilvl w:val="0"/>
          <w:numId w:val="30"/>
        </w:numPr>
        <w:tabs>
          <w:tab w:val="clear" w:pos="786"/>
        </w:tabs>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pPr>
        <w:numPr>
          <w:ilvl w:val="0"/>
          <w:numId w:val="30"/>
        </w:numPr>
        <w:tabs>
          <w:tab w:val="clear" w:pos="786"/>
        </w:tabs>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本项目不接受联合体投标。</w:t>
      </w:r>
    </w:p>
    <w:p>
      <w:pPr>
        <w:tabs>
          <w:tab w:val="left" w:pos="786"/>
        </w:tabs>
        <w:snapToGrid w:val="0"/>
        <w:spacing w:line="460" w:lineRule="exact"/>
        <w:ind w:left="1388"/>
        <w:rPr>
          <w:rFonts w:ascii="仿宋" w:hAnsi="仿宋" w:eastAsia="仿宋" w:cs="Arial"/>
          <w:bCs/>
          <w:color w:val="000000" w:themeColor="text1"/>
          <w:sz w:val="28"/>
          <w:szCs w:val="28"/>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五、投标报名：</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1、报名时间：</w:t>
      </w:r>
      <w:r>
        <w:rPr>
          <w:rFonts w:ascii="仿宋" w:hAnsi="仿宋" w:eastAsia="仿宋"/>
          <w:color w:val="000000" w:themeColor="text1"/>
          <w:kern w:val="0"/>
          <w:sz w:val="30"/>
          <w:szCs w:val="30"/>
          <w14:textFill>
            <w14:solidFill>
              <w14:schemeClr w14:val="tx1"/>
            </w14:solidFill>
          </w14:textFill>
        </w:rPr>
        <w:t>2020年1</w:t>
      </w:r>
      <w:r>
        <w:rPr>
          <w:rFonts w:hint="eastAsia" w:ascii="仿宋" w:hAnsi="仿宋" w:eastAsia="仿宋"/>
          <w:color w:val="000000" w:themeColor="text1"/>
          <w:kern w:val="0"/>
          <w:sz w:val="30"/>
          <w:szCs w:val="30"/>
          <w14:textFill>
            <w14:solidFill>
              <w14:schemeClr w14:val="tx1"/>
            </w14:solidFill>
          </w14:textFill>
        </w:rPr>
        <w:t>1</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14:textFill>
            <w14:solidFill>
              <w14:schemeClr w14:val="tx1"/>
            </w14:solidFill>
          </w14:textFill>
        </w:rPr>
        <w:t>26</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 xml:space="preserve"> 至 2020年12月2 日上</w:t>
      </w:r>
      <w:r>
        <w:rPr>
          <w:rFonts w:hint="eastAsia" w:ascii="仿宋" w:hAnsi="仿宋" w:eastAsia="仿宋"/>
          <w:color w:val="000000" w:themeColor="text1"/>
          <w:kern w:val="0"/>
          <w:sz w:val="28"/>
          <w:szCs w:val="28"/>
          <w14:textFill>
            <w14:solidFill>
              <w14:schemeClr w14:val="tx1"/>
            </w14:solidFill>
          </w14:textFill>
        </w:rPr>
        <w:t>午08:30-12:00；下午13:00-17:00（节假日除外）。</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2、报名方式：本项目需通过政采云平台网上报名。</w:t>
      </w:r>
    </w:p>
    <w:p>
      <w:pPr>
        <w:snapToGrid w:val="0"/>
        <w:spacing w:line="440" w:lineRule="exact"/>
        <w:ind w:firstLine="6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政采云平台供应商注册链接：</w:t>
      </w:r>
    </w:p>
    <w:p>
      <w:pPr>
        <w:snapToGrid w:val="0"/>
        <w:spacing w:line="440" w:lineRule="exact"/>
        <w:ind w:firstLine="420" w:firstLineChars="200"/>
        <w:rPr>
          <w:rFonts w:ascii="仿宋" w:hAnsi="仿宋" w:eastAsia="仿宋"/>
          <w:color w:val="000000" w:themeColor="text1"/>
          <w:kern w:val="0"/>
          <w:sz w:val="30"/>
          <w:szCs w:val="30"/>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68"/>
          <w:rFonts w:ascii="仿宋" w:hAnsi="仿宋" w:eastAsia="仿宋"/>
          <w:color w:val="000000" w:themeColor="text1"/>
          <w:kern w:val="0"/>
          <w:sz w:val="30"/>
          <w:szCs w:val="30"/>
          <w14:textFill>
            <w14:solidFill>
              <w14:schemeClr w14:val="tx1"/>
            </w14:solidFill>
          </w14:textFill>
        </w:rPr>
        <w:t>https://middle.zcygov.cn/v-settle-front/enter/account?entranceType=1&amp;settleCategory=1&amp;isLoginAdd=true</w:t>
      </w:r>
      <w:r>
        <w:rPr>
          <w:rStyle w:val="68"/>
          <w:rFonts w:ascii="仿宋" w:hAnsi="仿宋" w:eastAsia="仿宋"/>
          <w:color w:val="000000" w:themeColor="text1"/>
          <w:kern w:val="0"/>
          <w:sz w:val="30"/>
          <w:szCs w:val="30"/>
          <w14:textFill>
            <w14:solidFill>
              <w14:schemeClr w14:val="tx1"/>
            </w14:solidFill>
          </w14:textFill>
        </w:rPr>
        <w:fldChar w:fldCharType="end"/>
      </w:r>
      <w:r>
        <w:rPr>
          <w:rFonts w:hint="eastAsia" w:ascii="仿宋" w:hAnsi="仿宋" w:eastAsia="仿宋"/>
          <w:color w:val="000000" w:themeColor="text1"/>
          <w:kern w:val="0"/>
          <w:sz w:val="30"/>
          <w:szCs w:val="30"/>
          <w14:textFill>
            <w14:solidFill>
              <w14:schemeClr w14:val="tx1"/>
            </w14:solidFill>
          </w14:textFill>
        </w:rPr>
        <w:t>注册成功后，用账号密码登录后台界面；</w:t>
      </w:r>
    </w:p>
    <w:p>
      <w:pPr>
        <w:snapToGrid w:val="0"/>
        <w:spacing w:line="440" w:lineRule="exact"/>
        <w:ind w:firstLine="602" w:firstLineChars="2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3、供应商报名路径：项目管理-项目采购-获取采购文件，找到本项目的项目名称申请获取采购文件，按照系统界面要求填写供应商相关信息，同时将以下文件扫描件作为附件上传。</w:t>
      </w:r>
    </w:p>
    <w:p>
      <w:pPr>
        <w:snapToGrid w:val="0"/>
        <w:spacing w:line="440" w:lineRule="exact"/>
        <w:ind w:left="630" w:leftChars="3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（1）法定代表人授权委托书扫描件（法定代表人手写签字或盖章，并加盖单位公章）；</w:t>
      </w:r>
    </w:p>
    <w:p>
      <w:pPr>
        <w:snapToGrid w:val="0"/>
        <w:spacing w:line="440" w:lineRule="exact"/>
        <w:ind w:firstLine="6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（2）授权代表身份证扫描件</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jc w:val="center"/>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法定代表人的授权委托书</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国家体育总局体育器材装备中心：</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本授权书于 年 月 日 签字生效，特此声明。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法定代表人印刷体姓名： 签字：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授权代表印刷体姓名： 签字： 职务：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授权代表身份证号： （身份证扫描件附后）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公司全称（公章）：</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4</w:t>
      </w:r>
      <w:r>
        <w:rPr>
          <w:rFonts w:hint="eastAsia" w:ascii="仿宋" w:hAnsi="仿宋" w:eastAsia="仿宋"/>
          <w:color w:val="000000" w:themeColor="text1"/>
          <w:kern w:val="0"/>
          <w:sz w:val="28"/>
          <w:szCs w:val="28"/>
          <w14:textFill>
            <w14:solidFill>
              <w14:schemeClr w14:val="tx1"/>
            </w14:solidFill>
          </w14:textFill>
        </w:rPr>
        <w:t>、招标文件售价：0元，招标文件请至公告附件处下载。</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六、投标保证金：</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投标保证金（人民币）：60000元;</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如需缴纳保证金，</w:t>
      </w:r>
      <w:r>
        <w:rPr>
          <w:rFonts w:hint="eastAsia" w:ascii="仿宋" w:hAnsi="仿宋" w:eastAsia="仿宋" w:cs="Arial"/>
          <w:color w:val="000000" w:themeColor="text1"/>
          <w:sz w:val="30"/>
          <w:szCs w:val="30"/>
          <w14:textFill>
            <w14:solidFill>
              <w14:schemeClr w14:val="tx1"/>
            </w14:solidFill>
          </w14:textFill>
        </w:rPr>
        <w:t>投标人应于</w:t>
      </w:r>
      <w:r>
        <w:rPr>
          <w:rFonts w:ascii="仿宋" w:hAnsi="仿宋" w:eastAsia="仿宋" w:cs="Arial"/>
          <w:color w:val="000000" w:themeColor="text1"/>
          <w:sz w:val="30"/>
          <w:szCs w:val="30"/>
          <w14:textFill>
            <w14:solidFill>
              <w14:schemeClr w14:val="tx1"/>
            </w14:solidFill>
          </w14:textFill>
        </w:rPr>
        <w:t>2020</w:t>
      </w:r>
      <w:r>
        <w:rPr>
          <w:rFonts w:hint="eastAsia" w:ascii="仿宋" w:hAnsi="仿宋" w:eastAsia="仿宋" w:cs="Arial"/>
          <w:color w:val="000000" w:themeColor="text1"/>
          <w:sz w:val="30"/>
          <w:szCs w:val="30"/>
          <w14:textFill>
            <w14:solidFill>
              <w14:schemeClr w14:val="tx1"/>
            </w14:solidFill>
          </w14:textFill>
        </w:rPr>
        <w:t>年12月 17 日9:30时</w:t>
      </w:r>
      <w:r>
        <w:rPr>
          <w:rFonts w:hint="eastAsia" w:ascii="仿宋" w:hAnsi="仿宋" w:eastAsia="仿宋" w:cs="Arial"/>
          <w:color w:val="000000" w:themeColor="text1"/>
          <w:sz w:val="28"/>
          <w:szCs w:val="28"/>
          <w14:textFill>
            <w14:solidFill>
              <w14:schemeClr w14:val="tx1"/>
            </w14:solidFill>
          </w14:textFill>
        </w:rPr>
        <w:t>前将投标保证金以网银、汇票、电汇、转帐支票、银行保函方式（</w:t>
      </w:r>
      <w:r>
        <w:rPr>
          <w:rFonts w:hint="eastAsia" w:ascii="仿宋" w:hAnsi="仿宋" w:eastAsia="仿宋"/>
          <w:color w:val="000000" w:themeColor="text1"/>
          <w:sz w:val="28"/>
          <w:szCs w:val="28"/>
          <w14:textFill>
            <w14:solidFill>
              <w14:schemeClr w14:val="tx1"/>
            </w14:solidFill>
          </w14:textFill>
        </w:rPr>
        <w:t>招标方不接受以现金支票、现金、支付宝、微信及个人转账方式交纳的保证金</w:t>
      </w:r>
      <w:r>
        <w:rPr>
          <w:rFonts w:hint="eastAsia" w:ascii="仿宋" w:hAnsi="仿宋" w:eastAsia="仿宋" w:cs="Arial"/>
          <w:color w:val="000000" w:themeColor="text1"/>
          <w:sz w:val="28"/>
          <w:szCs w:val="28"/>
          <w14:textFill>
            <w14:solidFill>
              <w14:schemeClr w14:val="tx1"/>
            </w14:solidFill>
          </w14:textFill>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开户名：  国家体育总局体育器材装备中心</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开户银行：工行北京体育馆路支行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银行账号：0200008109089053553</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投标人递交投标保证金时需提供投标人全称、开户行、银行帐号等银行信息, 并加盖投标人公章，以便招标方退还投标保证金</w:t>
      </w:r>
      <w:r>
        <w:rPr>
          <w:rFonts w:ascii="仿宋" w:hAnsi="仿宋" w:eastAsia="仿宋" w:cs="Arial"/>
          <w:b/>
          <w:bCs/>
          <w:color w:val="000000" w:themeColor="text1"/>
          <w:sz w:val="28"/>
          <w:szCs w:val="28"/>
          <w14:textFill>
            <w14:solidFill>
              <w14:schemeClr w14:val="tx1"/>
            </w14:solidFill>
          </w14:textFill>
        </w:rPr>
        <w:t>。</w:t>
      </w:r>
    </w:p>
    <w:p>
      <w:pPr>
        <w:snapToGrid w:val="0"/>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1、在投标文件有效期内撤回投标文件的；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投标人在投标过程中弄虚作假，提供虚假材料的；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3、中标人无正当理由未能按本文件规定签订采购合同；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r>
        <w:rPr>
          <w:rFonts w:ascii="仿宋" w:hAnsi="仿宋" w:eastAsia="仿宋" w:cs="Arial"/>
          <w:color w:val="000000" w:themeColor="text1"/>
          <w:sz w:val="28"/>
          <w:szCs w:val="28"/>
          <w14:textFill>
            <w14:solidFill>
              <w14:schemeClr w14:val="tx1"/>
            </w14:solidFill>
          </w14:textFill>
        </w:rPr>
        <w:t>投标人拒绝在开标记录上签字确认，经</w:t>
      </w:r>
      <w:r>
        <w:rPr>
          <w:rFonts w:hint="eastAsia" w:ascii="仿宋" w:hAnsi="仿宋" w:eastAsia="仿宋" w:cs="Arial"/>
          <w:color w:val="000000" w:themeColor="text1"/>
          <w:sz w:val="28"/>
          <w:szCs w:val="28"/>
          <w14:textFill>
            <w14:solidFill>
              <w14:schemeClr w14:val="tx1"/>
            </w14:solidFill>
          </w14:textFill>
        </w:rPr>
        <w:t>相关</w:t>
      </w:r>
      <w:r>
        <w:rPr>
          <w:rFonts w:ascii="仿宋" w:hAnsi="仿宋" w:eastAsia="仿宋" w:cs="Arial"/>
          <w:color w:val="000000" w:themeColor="text1"/>
          <w:sz w:val="28"/>
          <w:szCs w:val="28"/>
          <w14:textFill>
            <w14:solidFill>
              <w14:schemeClr w14:val="tx1"/>
            </w14:solidFill>
          </w14:textFill>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将中标项目转让给他人的；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w:t>
      </w:r>
      <w:r>
        <w:rPr>
          <w:rFonts w:ascii="仿宋" w:hAnsi="仿宋" w:eastAsia="仿宋" w:cs="Arial"/>
          <w:color w:val="000000" w:themeColor="text1"/>
          <w:sz w:val="28"/>
          <w:szCs w:val="28"/>
          <w14:textFill>
            <w14:solidFill>
              <w14:schemeClr w14:val="tx1"/>
            </w14:solidFill>
          </w14:textFill>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7、其他严重扰乱招投标程序的；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七、投标截止时间和地点：</w:t>
      </w:r>
    </w:p>
    <w:p>
      <w:pPr>
        <w:snapToGrid w:val="0"/>
        <w:spacing w:line="440" w:lineRule="exact"/>
        <w:ind w:firstLine="600"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投标人应于</w:t>
      </w:r>
      <w:bookmarkStart w:id="5" w:name="PO_15528_PM015"/>
      <w:r>
        <w:rPr>
          <w:rFonts w:hint="eastAsia" w:ascii="仿宋" w:hAnsi="仿宋" w:eastAsia="仿宋" w:cs="Arial"/>
          <w:color w:val="000000" w:themeColor="text1"/>
          <w:sz w:val="30"/>
          <w:szCs w:val="30"/>
          <w14:textFill>
            <w14:solidFill>
              <w14:schemeClr w14:val="tx1"/>
            </w14:solidFill>
          </w14:textFill>
        </w:rPr>
        <w:t>2020年12月17日9：30</w:t>
      </w:r>
      <w:bookmarkEnd w:id="5"/>
      <w:r>
        <w:rPr>
          <w:rFonts w:hint="eastAsia" w:ascii="仿宋" w:hAnsi="仿宋" w:eastAsia="仿宋" w:cs="Arial"/>
          <w:color w:val="000000" w:themeColor="text1"/>
          <w:sz w:val="30"/>
          <w:szCs w:val="30"/>
          <w14:textFill>
            <w14:solidFill>
              <w14:schemeClr w14:val="tx1"/>
            </w14:solidFill>
          </w14:textFill>
        </w:rPr>
        <w:t>前</w:t>
      </w:r>
      <w:r>
        <w:rPr>
          <w:rFonts w:hint="eastAsia" w:ascii="仿宋" w:hAnsi="仿宋" w:eastAsia="仿宋" w:cs="Arial"/>
          <w:color w:val="000000" w:themeColor="text1"/>
          <w:sz w:val="28"/>
          <w:szCs w:val="28"/>
          <w14:textFill>
            <w14:solidFill>
              <w14:schemeClr w14:val="tx1"/>
            </w14:solidFill>
          </w14:textFill>
        </w:rPr>
        <w:t>派授权代表</w:t>
      </w:r>
      <w:r>
        <w:rPr>
          <w:rFonts w:hint="eastAsia" w:ascii="仿宋" w:hAnsi="仿宋" w:eastAsia="仿宋" w:cs="Arial"/>
          <w:color w:val="000000" w:themeColor="text1"/>
          <w:sz w:val="30"/>
          <w:szCs w:val="30"/>
          <w14:textFill>
            <w14:solidFill>
              <w14:schemeClr w14:val="tx1"/>
            </w14:solidFill>
          </w14:textFill>
        </w:rPr>
        <w:t>将投标文件密封送交到</w:t>
      </w:r>
      <w:bookmarkStart w:id="6" w:name="PO_15528_PM016"/>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r>
        <w:rPr>
          <w:rFonts w:ascii="仿宋" w:hAnsi="仿宋" w:eastAsia="仿宋" w:cs="Arial"/>
          <w:color w:val="000000" w:themeColor="text1"/>
          <w:sz w:val="30"/>
          <w:szCs w:val="30"/>
          <w14:textFill>
            <w14:solidFill>
              <w14:schemeClr w14:val="tx1"/>
            </w14:solidFill>
          </w14:textFill>
        </w:rPr>
        <w:t xml:space="preserve"> </w:t>
      </w:r>
      <w:bookmarkEnd w:id="6"/>
      <w:r>
        <w:rPr>
          <w:rFonts w:hint="eastAsia" w:ascii="仿宋" w:hAnsi="仿宋" w:eastAsia="仿宋" w:cs="Arial"/>
          <w:color w:val="000000" w:themeColor="text1"/>
          <w:sz w:val="30"/>
          <w:szCs w:val="30"/>
          <w14:textFill>
            <w14:solidFill>
              <w14:schemeClr w14:val="tx1"/>
            </w14:solidFill>
          </w14:textFill>
        </w:rPr>
        <w:t>，逾期送达或未密封将予以拒收。</w:t>
      </w:r>
      <w:r>
        <w:rPr>
          <w:rFonts w:hint="eastAsia" w:ascii="仿宋" w:hAnsi="仿宋" w:eastAsia="仿宋" w:cs="Arial"/>
          <w:color w:val="000000" w:themeColor="text1"/>
          <w:sz w:val="28"/>
          <w:szCs w:val="28"/>
          <w14:textFill>
            <w14:solidFill>
              <w14:schemeClr w14:val="tx1"/>
            </w14:solidFill>
          </w14:textFill>
        </w:rPr>
        <w:t>（授权代表应当是投标人的在职正式职工，并携带身份证及法定代表人授权书有效证明出席）</w:t>
      </w:r>
      <w:r>
        <w:rPr>
          <w:rFonts w:hint="eastAsia" w:ascii="仿宋" w:hAnsi="仿宋" w:eastAsia="仿宋" w:cs="Arial"/>
          <w:b/>
          <w:color w:val="000000" w:themeColor="text1"/>
          <w:sz w:val="28"/>
          <w:szCs w:val="28"/>
          <w14:textFill>
            <w14:solidFill>
              <w14:schemeClr w14:val="tx1"/>
            </w14:solidFill>
          </w14:textFill>
        </w:rPr>
        <w:t>投标人在递交投标文件时另行提供投标文件送达回执、政府采购活动现场确认声明书（格式详见附件，不密封进投标文件）。</w:t>
      </w:r>
    </w:p>
    <w:p>
      <w:pPr>
        <w:snapToGrid w:val="0"/>
        <w:spacing w:line="440" w:lineRule="exact"/>
        <w:ind w:firstLine="600" w:firstLineChars="200"/>
        <w:rPr>
          <w:rFonts w:ascii="仿宋" w:hAnsi="仿宋" w:eastAsia="仿宋" w:cs="Arial"/>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八、开标时间及地点：</w:t>
      </w:r>
      <w:r>
        <w:rPr>
          <w:rFonts w:hint="eastAsia" w:ascii="仿宋" w:hAnsi="仿宋" w:eastAsia="仿宋" w:cs="Arial"/>
          <w:b/>
          <w:bCs/>
          <w:color w:val="000000" w:themeColor="text1"/>
          <w:sz w:val="30"/>
          <w:szCs w:val="30"/>
          <w14:textFill>
            <w14:solidFill>
              <w14:schemeClr w14:val="tx1"/>
            </w14:solidFill>
          </w14:textFill>
        </w:rPr>
        <w:tab/>
      </w:r>
    </w:p>
    <w:p>
      <w:pPr>
        <w:snapToGrid w:val="0"/>
        <w:spacing w:line="440" w:lineRule="exact"/>
        <w:ind w:firstLine="60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本次招标将于</w:t>
      </w:r>
      <w:r>
        <w:rPr>
          <w:rFonts w:ascii="仿宋" w:hAnsi="仿宋" w:eastAsia="仿宋" w:cs="Arial"/>
          <w:color w:val="000000" w:themeColor="text1"/>
          <w:sz w:val="30"/>
          <w:szCs w:val="30"/>
          <w14:textFill>
            <w14:solidFill>
              <w14:schemeClr w14:val="tx1"/>
            </w14:solidFill>
          </w14:textFill>
        </w:rPr>
        <w:t>2020</w:t>
      </w:r>
      <w:r>
        <w:rPr>
          <w:rFonts w:hint="eastAsia" w:ascii="仿宋" w:hAnsi="仿宋" w:eastAsia="仿宋" w:cs="Arial"/>
          <w:color w:val="000000" w:themeColor="text1"/>
          <w:sz w:val="30"/>
          <w:szCs w:val="30"/>
          <w14:textFill>
            <w14:solidFill>
              <w14:schemeClr w14:val="tx1"/>
            </w14:solidFill>
          </w14:textFill>
        </w:rPr>
        <w:t>年12月17 日 9:30 在</w:t>
      </w:r>
      <w:bookmarkStart w:id="7" w:name="PO_15528_PM016_1"/>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bookmarkEnd w:id="7"/>
      <w:r>
        <w:rPr>
          <w:rFonts w:hint="eastAsia" w:ascii="仿宋" w:hAnsi="仿宋" w:eastAsia="仿宋" w:cs="Arial"/>
          <w:color w:val="000000" w:themeColor="text1"/>
          <w:sz w:val="30"/>
          <w:szCs w:val="30"/>
          <w14:textFill>
            <w14:solidFill>
              <w14:schemeClr w14:val="tx1"/>
            </w14:solidFill>
          </w14:textFill>
        </w:rPr>
        <w:t>开标，</w:t>
      </w:r>
      <w:r>
        <w:rPr>
          <w:rFonts w:hint="eastAsia" w:ascii="仿宋" w:hAnsi="仿宋" w:eastAsia="仿宋" w:cs="Arial"/>
          <w:color w:val="000000" w:themeColor="text1"/>
          <w:sz w:val="28"/>
          <w:szCs w:val="28"/>
          <w14:textFill>
            <w14:solidFill>
              <w14:schemeClr w14:val="tx1"/>
            </w14:solidFill>
          </w14:textFill>
        </w:rPr>
        <w:t>投标人可以派授权代表出席开标会议。</w:t>
      </w:r>
    </w:p>
    <w:p>
      <w:pPr>
        <w:snapToGrid w:val="0"/>
        <w:spacing w:line="440" w:lineRule="exact"/>
        <w:ind w:firstLine="600" w:firstLineChars="200"/>
        <w:rPr>
          <w:rFonts w:ascii="仿宋" w:hAnsi="仿宋" w:eastAsia="仿宋" w:cs="Arial"/>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九、业务咨询</w:t>
      </w:r>
    </w:p>
    <w:tbl>
      <w:tblPr>
        <w:tblStyle w:val="58"/>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俞冠男</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8" w:name="PO_15528_PM033"/>
            <w:r>
              <w:rPr>
                <w:rFonts w:ascii="仿宋" w:hAnsi="仿宋" w:eastAsia="仿宋" w:cs="仿宋"/>
                <w:color w:val="000000" w:themeColor="text1"/>
                <w:sz w:val="28"/>
                <w:szCs w:val="28"/>
                <w14:textFill>
                  <w14:solidFill>
                    <w14:schemeClr w14:val="tx1"/>
                  </w14:solidFill>
                </w14:textFill>
              </w:rPr>
              <w:t>010-8718</w:t>
            </w:r>
            <w:bookmarkEnd w:id="8"/>
            <w:r>
              <w:rPr>
                <w:rFonts w:hint="eastAsia" w:ascii="仿宋" w:hAnsi="仿宋" w:eastAsia="仿宋" w:cs="仿宋"/>
                <w:color w:val="000000" w:themeColor="text1"/>
                <w:sz w:val="28"/>
                <w:szCs w:val="28"/>
                <w14:textFill>
                  <w14:solidFill>
                    <w14:schemeClr w14:val="tx1"/>
                  </w14:solidFill>
                </w14:textFill>
              </w:rPr>
              <w:t>2681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w:t>
            </w:r>
            <w:bookmarkStart w:id="9" w:name="PO_409_PM001385"/>
            <w:r>
              <w:rPr>
                <w:rFonts w:hint="eastAsia" w:ascii="仿宋" w:hAnsi="仿宋" w:eastAsia="仿宋" w:cs="仿宋"/>
                <w:color w:val="000000" w:themeColor="text1"/>
                <w:sz w:val="28"/>
                <w:szCs w:val="28"/>
                <w14:textFill>
                  <w14:solidFill>
                    <w14:schemeClr w14:val="tx1"/>
                  </w14:solidFill>
                </w14:textFill>
              </w:rPr>
              <w:t>集中采购处</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 同</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周立泉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其他问题</w:t>
            </w:r>
          </w:p>
        </w:tc>
      </w:tr>
    </w:tbl>
    <w:p>
      <w:pPr>
        <w:snapToGrid w:val="0"/>
        <w:spacing w:line="440" w:lineRule="exact"/>
        <w:ind w:left="23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 xml:space="preserve">                            </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十、采购需求咨询</w:t>
      </w:r>
      <w:bookmarkStart w:id="10" w:name="PO_TDCUS_ITEM_PRC_TABLE_1_1"/>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国家体育总局体育信息中心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北京市东城区体育馆路1</w:t>
            </w:r>
            <w:r>
              <w:rPr>
                <w:rFonts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联系人及联系方式</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刘硕</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13581680211</w:t>
            </w:r>
          </w:p>
        </w:tc>
      </w:tr>
      <w:bookmarkEnd w:id="10"/>
    </w:tbl>
    <w:p>
      <w:pPr>
        <w:pStyle w:val="31"/>
        <w:spacing w:before="156" w:after="156" w:line="360" w:lineRule="auto"/>
        <w:outlineLvl w:val="0"/>
        <w:rPr>
          <w:rFonts w:ascii="仿宋" w:hAnsi="仿宋" w:eastAsia="仿宋"/>
          <w:b/>
          <w:color w:val="000000" w:themeColor="text1"/>
          <w:sz w:val="36"/>
          <w:szCs w:val="36"/>
          <w14:textFill>
            <w14:solidFill>
              <w14:schemeClr w14:val="tx1"/>
            </w14:solidFill>
          </w14:textFill>
        </w:rPr>
      </w:pPr>
      <w:bookmarkStart w:id="11" w:name="_Toc51935128"/>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第二章  投标人须知</w:t>
      </w:r>
      <w:bookmarkEnd w:id="11"/>
      <w:r>
        <w:rPr>
          <w:rFonts w:hint="eastAsia" w:hAnsi="宋体"/>
          <w:b/>
          <w:color w:val="000000" w:themeColor="text1"/>
          <w:sz w:val="36"/>
          <w:szCs w:val="36"/>
          <w14:textFill>
            <w14:solidFill>
              <w14:schemeClr w14:val="tx1"/>
            </w14:solidFill>
          </w14:textFill>
        </w:rPr>
        <w:t xml:space="preserve"> </w:t>
      </w:r>
    </w:p>
    <w:p>
      <w:pPr>
        <w:pStyle w:val="31"/>
        <w:spacing w:before="156" w:after="156" w:line="360" w:lineRule="auto"/>
        <w:outlineLvl w:val="0"/>
        <w:rPr>
          <w:rFonts w:hAnsi="宋体"/>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前附表</w:t>
      </w:r>
    </w:p>
    <w:tbl>
      <w:tblPr>
        <w:tblStyle w:val="5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themeColor="text1"/>
                <w:sz w:val="24"/>
                <w:szCs w:val="24"/>
                <w14:textFill>
                  <w14:solidFill>
                    <w14:schemeClr w14:val="tx1"/>
                  </w14:solidFill>
                </w14:textFill>
              </w:rPr>
              <w:t>其投标将作无效标处理</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1、根据财库〔2011〕181号的相关规定，在评审时对小型和微型企业的投标报价给予</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[小微企业价格扣除比例6]</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2" w:name="PO_15528_PM007_1"/>
            <w:r>
              <w:rPr>
                <w:rFonts w:ascii="仿宋" w:hAnsi="仿宋" w:eastAsia="仿宋"/>
                <w:color w:val="000000" w:themeColor="text1"/>
                <w:sz w:val="24"/>
                <w:szCs w:val="24"/>
                <w14:textFill>
                  <w14:solidFill>
                    <w14:schemeClr w14:val="tx1"/>
                  </w14:solidFill>
                </w14:textFill>
              </w:rPr>
              <w:t>不允许联合体投标</w:t>
            </w:r>
            <w:bookmarkEnd w:id="12"/>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bookmarkStart w:id="13" w:name="PO_15528_PM040"/>
            <w:r>
              <w:rPr>
                <w:rFonts w:hint="eastAsia" w:ascii="仿宋" w:hAnsi="仿宋" w:eastAsia="仿宋"/>
                <w:color w:val="000000" w:themeColor="text1"/>
                <w:sz w:val="24"/>
                <w:szCs w:val="24"/>
                <w14:textFill>
                  <w14:solidFill>
                    <w14:schemeClr w14:val="tx1"/>
                  </w14:solidFill>
                </w14:textFill>
              </w:rPr>
              <w:t>不组织现场踏勘</w:t>
            </w:r>
            <w:bookmarkEnd w:id="13"/>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4" w:name="PO_15528_PM041"/>
            <w:r>
              <w:rPr>
                <w:rFonts w:hint="eastAsia" w:ascii="仿宋" w:hAnsi="仿宋" w:eastAsia="仿宋"/>
                <w:color w:val="000000" w:themeColor="text1"/>
                <w:sz w:val="24"/>
                <w:szCs w:val="24"/>
                <w14:textFill>
                  <w14:solidFill>
                    <w14:schemeClr w14:val="tx1"/>
                  </w14:solidFill>
                </w14:textFill>
              </w:rPr>
              <w:t>不进行演示</w:t>
            </w:r>
            <w:bookmarkEnd w:id="14"/>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5" w:name="PO_15528_PM043"/>
            <w:r>
              <w:rPr>
                <w:rFonts w:hint="eastAsia" w:ascii="仿宋" w:hAnsi="仿宋" w:eastAsia="仿宋"/>
                <w:color w:val="000000" w:themeColor="text1"/>
                <w:sz w:val="24"/>
                <w:szCs w:val="24"/>
                <w14:textFill>
                  <w14:solidFill>
                    <w14:schemeClr w14:val="tx1"/>
                  </w14:solidFill>
                </w14:textFill>
              </w:rPr>
              <w:t>不要求提供样品</w:t>
            </w:r>
            <w:bookmarkEnd w:id="15"/>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投标文件由开标一览表、资质文件、技术及商务文件、报价文件正本</w:t>
            </w:r>
            <w:r>
              <w:rPr>
                <w:rFonts w:hint="eastAsia" w:ascii="仿宋" w:hAnsi="仿宋" w:eastAsia="仿宋"/>
                <w:b/>
                <w:color w:val="000000" w:themeColor="text1"/>
                <w:sz w:val="24"/>
                <w:szCs w:val="24"/>
                <w14:textFill>
                  <w14:solidFill>
                    <w14:schemeClr w14:val="tx1"/>
                  </w14:solidFill>
                </w14:textFill>
              </w:rPr>
              <w:t>各</w:t>
            </w:r>
            <w:r>
              <w:rPr>
                <w:rFonts w:hint="eastAsia" w:ascii="仿宋" w:hAnsi="仿宋" w:eastAsia="仿宋" w:cs="Arial"/>
                <w:b/>
                <w:color w:val="000000" w:themeColor="text1"/>
                <w:sz w:val="24"/>
                <w:szCs w:val="24"/>
                <w:u w:val="single"/>
                <w14:textFill>
                  <w14:solidFill>
                    <w14:schemeClr w14:val="tx1"/>
                  </w14:solidFill>
                </w14:textFill>
              </w:rPr>
              <w:t xml:space="preserve"> 1 </w:t>
            </w:r>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；资质文件、技术及商务文件、报价文件副本</w:t>
            </w:r>
            <w:r>
              <w:rPr>
                <w:rFonts w:hint="eastAsia" w:ascii="仿宋" w:hAnsi="仿宋" w:eastAsia="仿宋"/>
                <w:b/>
                <w:color w:val="000000" w:themeColor="text1"/>
                <w:sz w:val="24"/>
                <w:szCs w:val="24"/>
                <w14:textFill>
                  <w14:solidFill>
                    <w14:schemeClr w14:val="tx1"/>
                  </w14:solidFill>
                </w14:textFill>
              </w:rPr>
              <w:t>各</w:t>
            </w:r>
            <w:bookmarkStart w:id="16" w:name="PO_15528_PM045"/>
            <w:r>
              <w:rPr>
                <w:rFonts w:ascii="仿宋" w:hAnsi="仿宋" w:eastAsia="仿宋"/>
                <w:b/>
                <w:color w:val="000000" w:themeColor="text1"/>
                <w:sz w:val="24"/>
                <w:szCs w:val="24"/>
                <w14:textFill>
                  <w14:solidFill>
                    <w14:schemeClr w14:val="tx1"/>
                  </w14:solidFill>
                </w14:textFill>
              </w:rPr>
              <w:t>3</w:t>
            </w:r>
            <w:bookmarkEnd w:id="16"/>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rPr>
                <w:rFonts w:hint="eastAsia" w:ascii="仿宋" w:hAnsi="仿宋" w:eastAsia="仿宋"/>
                <w:color w:val="000000" w:themeColor="text1"/>
                <w:sz w:val="24"/>
                <w:szCs w:val="24"/>
                <w14:textFill>
                  <w14:solidFill>
                    <w14:schemeClr w14:val="tx1"/>
                  </w14:solidFill>
                </w14:textFill>
              </w:rPr>
              <w:t xml:space="preserve"> </w:t>
            </w:r>
            <w:r>
              <w:fldChar w:fldCharType="begin"/>
            </w:r>
            <w:r>
              <w:instrText xml:space="preserve"> HYPERLINK "http://www.ccgp.gov.cn" </w:instrText>
            </w:r>
            <w:r>
              <w:fldChar w:fldCharType="separate"/>
            </w:r>
            <w:r>
              <w:rPr>
                <w:rStyle w:val="68"/>
                <w:rFonts w:hint="eastAsia" w:ascii="仿宋" w:hAnsi="仿宋" w:eastAsia="仿宋"/>
                <w:color w:val="000000" w:themeColor="text1"/>
                <w:sz w:val="24"/>
                <w:szCs w:val="24"/>
                <w14:textFill>
                  <w14:solidFill>
                    <w14:schemeClr w14:val="tx1"/>
                  </w14:solidFill>
                </w14:textFill>
              </w:rPr>
              <w:t>http://www.ccgp.gov.cn</w:t>
            </w:r>
            <w:r>
              <w:rPr>
                <w:rStyle w:val="6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交纳：投标保证金应按《招标采购公告》六规定交纳。</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招标方于投标截止时间前半小时内接收投标文件，投标文件送达回执、政府采购活动现场确认声明书（格式详见附件）应单独提供，如投标人递交投标文件时未提供回执，视同不需要回执。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投标人递交投标文件时</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如出现下列情况之一的，投标文件将被拒收：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3、仅以非纸制文本形式的投标文件；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4、未成功办理投标人报名手续的；</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5、超过投标截止时间送达的投标文件。</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本次招标收取中标服务费，中标服务费按照差额定率累进计费方式计取，由中标人在收到中标通知书后7个工作日内以汇款方式向招标单位一次支付。收费标准：</w:t>
            </w:r>
          </w:p>
          <w:tbl>
            <w:tblPr>
              <w:tblStyle w:val="58"/>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b/>
                      <w:bCs/>
                      <w:color w:val="000000" w:themeColor="text1"/>
                      <w:kern w:val="0"/>
                      <w:sz w:val="18"/>
                      <w:szCs w:val="18"/>
                      <w14:textFill>
                        <w14:solidFill>
                          <w14:schemeClr w14:val="tx1"/>
                        </w14:solidFill>
                      </w14:textFill>
                    </w:rPr>
                    <w:t>中标金额（万元）</w:t>
                  </w:r>
                </w:p>
              </w:tc>
              <w:tc>
                <w:tcPr>
                  <w:tcW w:w="3143" w:type="dxa"/>
                  <w:shd w:val="clear" w:color="auto" w:fill="F0E7B4"/>
                  <w:vAlign w:val="center"/>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b/>
                      <w:bCs/>
                      <w:color w:val="000000" w:themeColor="text1"/>
                      <w:kern w:val="0"/>
                      <w:sz w:val="18"/>
                      <w:szCs w:val="18"/>
                      <w14:textFill>
                        <w14:solidFill>
                          <w14:schemeClr w14:val="tx1"/>
                        </w14:solidFill>
                      </w14:textFill>
                    </w:rPr>
                    <w:t>货物</w:t>
                  </w:r>
                  <w:r>
                    <w:rPr>
                      <w:rFonts w:ascii="Verdana" w:hAnsi="Verdana" w:cs="宋体"/>
                      <w:b/>
                      <w:bCs/>
                      <w:color w:val="000000" w:themeColor="text1"/>
                      <w:kern w:val="0"/>
                      <w:sz w:val="18"/>
                      <w:szCs w:val="18"/>
                      <w14:textFill>
                        <w14:solidFill>
                          <w14:schemeClr w14:val="tx1"/>
                        </w14:solidFill>
                      </w14:textFill>
                    </w:rPr>
                    <w:t>招标</w:t>
                  </w:r>
                  <w:r>
                    <w:rPr>
                      <w:rFonts w:hint="eastAsia" w:ascii="Verdana" w:hAnsi="Verdana" w:cs="宋体"/>
                      <w:b/>
                      <w:bCs/>
                      <w:color w:val="000000" w:themeColor="text1"/>
                      <w:kern w:val="0"/>
                      <w:sz w:val="18"/>
                      <w:szCs w:val="18"/>
                      <w14:textFill>
                        <w14:solidFill>
                          <w14:schemeClr w14:val="tx1"/>
                        </w14:solidFill>
                      </w14:textFill>
                    </w:rPr>
                    <w:t xml:space="preserve">       服务招标</w:t>
                  </w:r>
                </w:p>
              </w:tc>
            </w:tr>
            <w:tr>
              <w:tblPrEx>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100以下</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1.5%</w:t>
                  </w:r>
                  <w:r>
                    <w:rPr>
                      <w:rFonts w:hint="eastAsia" w:ascii="Verdana" w:hAnsi="Verdana" w:cs="宋体"/>
                      <w:color w:val="000000" w:themeColor="text1"/>
                      <w:kern w:val="0"/>
                      <w:sz w:val="18"/>
                      <w:szCs w:val="18"/>
                      <w14:textFill>
                        <w14:solidFill>
                          <w14:schemeClr w14:val="tx1"/>
                        </w14:solidFill>
                      </w14:textFill>
                    </w:rPr>
                    <w:t xml:space="preserve">          1</w:t>
                  </w:r>
                  <w:r>
                    <w:rPr>
                      <w:rFonts w:ascii="Verdana" w:hAnsi="Verdana" w:cs="宋体"/>
                      <w:color w:val="000000" w:themeColor="text1"/>
                      <w:kern w:val="0"/>
                      <w:sz w:val="18"/>
                      <w:szCs w:val="18"/>
                      <w14:textFill>
                        <w14:solidFill>
                          <w14:schemeClr w14:val="tx1"/>
                        </w14:solidFill>
                      </w14:textFill>
                    </w:rPr>
                    <w:t>.5%</w:t>
                  </w:r>
                  <w:r>
                    <w:rPr>
                      <w:rFonts w:hint="eastAsia" w:ascii="Verdana" w:hAnsi="Verdana" w:cs="宋体"/>
                      <w:color w:val="000000" w:themeColor="text1"/>
                      <w:kern w:val="0"/>
                      <w:sz w:val="18"/>
                      <w:szCs w:val="18"/>
                      <w14:textFill>
                        <w14:solidFill>
                          <w14:schemeClr w14:val="tx1"/>
                        </w14:solidFill>
                      </w14:textFill>
                    </w:rPr>
                    <w:t xml:space="preserve">        </w:t>
                  </w:r>
                </w:p>
              </w:tc>
            </w:tr>
            <w:tr>
              <w:tblPrEx>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100-500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500-1000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1000—5000</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1.1</w:t>
                  </w:r>
                  <w:r>
                    <w:rPr>
                      <w:rFonts w:ascii="Verdana" w:hAnsi="Verdana" w:cs="宋体"/>
                      <w:color w:val="000000" w:themeColor="text1"/>
                      <w:kern w:val="0"/>
                      <w:sz w:val="18"/>
                      <w:szCs w:val="18"/>
                      <w14:textFill>
                        <w14:solidFill>
                          <w14:schemeClr w14:val="tx1"/>
                        </w14:solidFill>
                      </w14:textFill>
                    </w:rPr>
                    <w:t>%</w:t>
                  </w:r>
                  <w:r>
                    <w:rPr>
                      <w:rFonts w:hint="eastAsia" w:ascii="Verdana" w:hAnsi="Verdana" w:cs="宋体"/>
                      <w:color w:val="000000" w:themeColor="text1"/>
                      <w:kern w:val="0"/>
                      <w:sz w:val="18"/>
                      <w:szCs w:val="18"/>
                      <w14:textFill>
                        <w14:solidFill>
                          <w14:schemeClr w14:val="tx1"/>
                        </w14:solidFill>
                      </w14:textFill>
                    </w:rPr>
                    <w:t xml:space="preserve">          0.8%    </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0.8%          0.45%</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0.5%</w:t>
                  </w:r>
                  <w:r>
                    <w:rPr>
                      <w:rFonts w:hint="eastAsia" w:ascii="Verdana" w:hAnsi="Verdana" w:cs="宋体"/>
                      <w:color w:val="000000" w:themeColor="text1"/>
                      <w:kern w:val="0"/>
                      <w:sz w:val="18"/>
                      <w:szCs w:val="18"/>
                      <w14:textFill>
                        <w14:solidFill>
                          <w14:schemeClr w14:val="tx1"/>
                        </w14:solidFill>
                      </w14:textFill>
                    </w:rPr>
                    <w:t xml:space="preserve">          0.25%</w:t>
                  </w:r>
                </w:p>
              </w:tc>
            </w:tr>
          </w:tbl>
          <w:p>
            <w:pPr>
              <w:snapToGrid w:val="0"/>
              <w:ind w:firstLine="720" w:firstLineChars="3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1、“招标方”系指组织本项目采购的国家体育总局体育器材装备中心。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2、“投标人”系指向招标方提交投标文件的单位或个人。</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1、授权代表须携带有效身份证件。如授权代表不是法定代表人，须有法定代表人出具的授权委托书（投标文件正本用原件，副本用复印件，格式见附件）。</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4、单位负责人为同一人或者存在直接控股、管理关系的不同供应商，不得参加同一合同项下的政府采购活动。</w:t>
      </w:r>
    </w:p>
    <w:p>
      <w:pPr>
        <w:pStyle w:val="31"/>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Pr>
          <w:rFonts w:ascii="仿宋" w:hAnsi="仿宋" w:eastAsia="仿宋" w:cs="Arial"/>
          <w:color w:val="000000" w:themeColor="text1"/>
          <w:sz w:val="28"/>
          <w:szCs w:val="28"/>
          <w14:textFill>
            <w14:solidFill>
              <w14:schemeClr w14:val="tx1"/>
            </w14:solidFill>
          </w14:textFill>
        </w:rPr>
        <w:t>010-87182681</w:t>
      </w:r>
      <w:r>
        <w:rPr>
          <w:rFonts w:hint="eastAsia" w:ascii="仿宋" w:hAnsi="仿宋" w:eastAsia="仿宋" w:cs="Arial"/>
          <w:color w:val="000000" w:themeColor="text1"/>
          <w:sz w:val="28"/>
          <w:szCs w:val="28"/>
          <w14:textFill>
            <w14:solidFill>
              <w14:schemeClr w14:val="tx1"/>
            </w14:solidFill>
          </w14:textFill>
        </w:rPr>
        <w:t>。</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a供应商的姓名或者名称、地址、邮编、联系人及联系电话；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4、招标方将在收到书面质疑后7个工作日内审查质疑事项，做出答复或相关处理决定，并以书面形式通知质疑供应商和其他有关供应商，但答复的内容不涉及商业秘密。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5、质疑供应商对招标方的答复不满意以及招标方未在规定的时间内做出答复的，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投标文件由开标一览表、资质文件、技术及商务文件、投标报价文件四部份组成。</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 (格式见附件，含重大违法记录声明)；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（4）提供有效的依法缴纳税收证明（至投标文件递交截止日一年内连续三个月的完税凭证或税务部门出具的证明）；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（5）提供有效的依法缴纳社会保障资金证明（至投标文件递交截止日一年内连续三个月的缴纳凭证或人社部门出具的证明）；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（7）联合投标协议书（若需要）;</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（8）联合投标授权委托书（若需要）;</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（9）提供采购公告中符合</w:t>
      </w:r>
      <w:r>
        <w:rPr>
          <w:rFonts w:hint="eastAsia" w:ascii="仿宋" w:hAnsi="仿宋" w:eastAsia="仿宋"/>
          <w:bCs/>
          <w:color w:val="000000" w:themeColor="text1"/>
          <w:sz w:val="28"/>
          <w:szCs w:val="28"/>
          <w14:textFill>
            <w14:solidFill>
              <w14:schemeClr w14:val="tx1"/>
            </w14:solidFill>
          </w14:textFill>
        </w:rPr>
        <w:t>投标人特定条件要求的有效的</w:t>
      </w:r>
      <w:r>
        <w:rPr>
          <w:rFonts w:hint="eastAsia" w:ascii="仿宋" w:hAnsi="仿宋" w:eastAsia="仿宋"/>
          <w:color w:val="000000" w:themeColor="text1"/>
          <w:sz w:val="28"/>
          <w:szCs w:val="28"/>
          <w14:textFill>
            <w14:solidFill>
              <w14:schemeClr w14:val="tx1"/>
            </w14:solidFill>
          </w14:textFill>
        </w:rPr>
        <w:t>其他资质复印件并加盖公司公章及需要说明的资料。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（3）小微企业声明函、网页证明资料（若有，格式见附件）；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pPr>
        <w:pStyle w:val="50"/>
        <w:widowControl w:val="0"/>
        <w:spacing w:after="156" w:line="460" w:lineRule="exact"/>
        <w:ind w:firstLine="562"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pPr>
        <w:pStyle w:val="16"/>
        <w:widowControl w:val="0"/>
        <w:tabs>
          <w:tab w:val="clear" w:pos="454"/>
        </w:tabs>
        <w:snapToGrid w:val="0"/>
        <w:spacing w:before="156"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pPr>
        <w:pStyle w:val="16"/>
        <w:widowControl w:val="0"/>
        <w:tabs>
          <w:tab w:val="clear" w:pos="454"/>
        </w:tabs>
        <w:snapToGrid w:val="0"/>
        <w:spacing w:after="156"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（四）投标文件的签署和份数、包装</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2、投标人应按开标一览表、资质文件、技术及商务文件、报价文件正本、副本规定的份数分别编制并按A4纸规格分别竖面单独装订成册，投标文件的封面应注明“正本”、“副本”字样。</w:t>
      </w:r>
      <w:r>
        <w:rPr>
          <w:rFonts w:hint="eastAsia" w:ascii="仿宋" w:hAnsi="仿宋" w:eastAsia="仿宋"/>
          <w:b/>
          <w:color w:val="000000" w:themeColor="text1"/>
          <w:sz w:val="28"/>
          <w:szCs w:val="28"/>
          <w14:textFill>
            <w14:solidFill>
              <w14:schemeClr w14:val="tx1"/>
            </w14:solidFill>
          </w14:textFill>
        </w:rPr>
        <w:t>活页装订（是指用卡条、抽杆夹、订书机等形式装订，使标书可以拆卸或者在翻动过程中易脱落的一种装订方式）的投标文件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4" w:firstLineChars="19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w:t>
      </w:r>
      <w:r>
        <w:rPr>
          <w:rFonts w:hint="eastAsia" w:ascii="仿宋" w:hAnsi="仿宋" w:eastAsia="仿宋"/>
          <w:b/>
          <w:color w:val="000000" w:themeColor="text1"/>
          <w:sz w:val="28"/>
          <w:szCs w:val="28"/>
          <w14:textFill>
            <w14:solidFill>
              <w14:schemeClr w14:val="tx1"/>
            </w14:solidFill>
          </w14:textFill>
        </w:rPr>
        <w:t>不允许出现报价优惠等字样（明细出现“0”元，视同赠送）</w:t>
      </w:r>
      <w:r>
        <w:rPr>
          <w:rFonts w:hint="eastAsia" w:ascii="仿宋" w:hAnsi="仿宋" w:eastAsia="仿宋"/>
          <w:color w:val="000000" w:themeColor="text1"/>
          <w:sz w:val="28"/>
          <w:szCs w:val="28"/>
          <w14:textFill>
            <w14:solidFill>
              <w14:schemeClr w14:val="tx1"/>
            </w14:solidFill>
          </w14:textFill>
        </w:rPr>
        <w:t>。</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应包含项目所需全部货物、服务，不得缺漏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3、投标报价总价金额到元为止，如投标报价总价出现角、分，将被抹除。</w:t>
      </w:r>
    </w:p>
    <w:p>
      <w:pPr>
        <w:snapToGrid w:val="0"/>
        <w:spacing w:before="156" w:beforeLines="50" w:line="460" w:lineRule="exact"/>
        <w:ind w:left="569" w:leftChars="271" w:firstLine="17" w:firstLineChars="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（六）投标保证金</w:t>
      </w:r>
    </w:p>
    <w:p>
      <w:pPr>
        <w:tabs>
          <w:tab w:val="left" w:pos="525"/>
        </w:tabs>
        <w:snapToGrid w:val="0"/>
        <w:spacing w:line="460" w:lineRule="exact"/>
        <w:ind w:firstLine="560"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 xml:space="preserve"> </w:t>
      </w:r>
      <w:r>
        <w:rPr>
          <w:rFonts w:ascii="仿宋" w:hAnsi="仿宋" w:eastAsia="仿宋"/>
          <w:b/>
          <w:color w:val="000000" w:themeColor="text1"/>
          <w:sz w:val="28"/>
          <w:szCs w:val="28"/>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人需按招标文件要求的金额、时间向</w:t>
      </w:r>
      <w:r>
        <w:rPr>
          <w:rFonts w:ascii="仿宋" w:hAnsi="仿宋" w:eastAsia="仿宋"/>
          <w:b/>
          <w:color w:val="000000" w:themeColor="text1"/>
          <w:sz w:val="28"/>
          <w:szCs w:val="28"/>
          <w14:textFill>
            <w14:solidFill>
              <w14:schemeClr w14:val="tx1"/>
            </w14:solidFill>
          </w14:textFill>
        </w:rPr>
        <w:t>招标方</w:t>
      </w:r>
      <w:r>
        <w:rPr>
          <w:rFonts w:hint="eastAsia" w:ascii="仿宋" w:hAnsi="仿宋" w:eastAsia="仿宋"/>
          <w:b/>
          <w:color w:val="000000" w:themeColor="text1"/>
          <w:sz w:val="28"/>
          <w:szCs w:val="28"/>
          <w14:textFill>
            <w14:solidFill>
              <w14:schemeClr w14:val="tx1"/>
            </w14:solidFill>
          </w14:textFill>
        </w:rPr>
        <w:t>递交投标保证金。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2、 </w:t>
      </w:r>
      <w:r>
        <w:rPr>
          <w:rFonts w:hint="eastAsia" w:ascii="仿宋" w:hAnsi="仿宋" w:eastAsia="仿宋"/>
          <w:b/>
          <w:bCs/>
          <w:color w:val="000000" w:themeColor="text1"/>
          <w:sz w:val="28"/>
          <w:szCs w:val="28"/>
          <w14:textFill>
            <w14:solidFill>
              <w14:schemeClr w14:val="tx1"/>
            </w14:solidFill>
          </w14:textFill>
        </w:rPr>
        <w:t>投标保证金金额（人民币）：</w:t>
      </w:r>
      <w:r>
        <w:rPr>
          <w:rFonts w:hint="eastAsia" w:ascii="仿宋" w:hAnsi="仿宋" w:eastAsia="仿宋"/>
          <w:color w:val="000000" w:themeColor="text1"/>
          <w:sz w:val="28"/>
          <w:szCs w:val="28"/>
          <w:u w:val="single"/>
          <w14:textFill>
            <w14:solidFill>
              <w14:schemeClr w14:val="tx1"/>
            </w14:solidFill>
          </w14:textFill>
        </w:rPr>
        <w:t>详见本招标文件第一章“公开招标采购公告”部分。</w:t>
      </w:r>
      <w:r>
        <w:rPr>
          <w:rFonts w:hint="eastAsia" w:ascii="仿宋" w:hAnsi="仿宋" w:eastAsia="仿宋"/>
          <w:b/>
          <w:color w:val="000000" w:themeColor="text1"/>
          <w:sz w:val="28"/>
          <w:szCs w:val="28"/>
          <w14:textFill>
            <w14:solidFill>
              <w14:schemeClr w14:val="tx1"/>
            </w14:solidFill>
          </w14:textFill>
        </w:rPr>
        <w:t xml:space="preserve">   </w:t>
      </w:r>
    </w:p>
    <w:p>
      <w:pPr>
        <w:tabs>
          <w:tab w:val="left" w:pos="525"/>
        </w:tabs>
        <w:snapToGrid w:val="0"/>
        <w:spacing w:line="460" w:lineRule="exact"/>
        <w:ind w:firstLine="562" w:firstLineChars="200"/>
        <w:jc w:val="left"/>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投标保证金可采用支票、银行汇票、银行保函或汇款的方式，</w:t>
      </w:r>
      <w:r>
        <w:rPr>
          <w:rFonts w:hint="eastAsia" w:ascii="仿宋" w:hAnsi="仿宋" w:eastAsia="仿宋"/>
          <w:b/>
          <w:bCs/>
          <w:color w:val="000000" w:themeColor="text1"/>
          <w:sz w:val="28"/>
          <w:szCs w:val="28"/>
          <w:u w:val="single"/>
          <w14:textFill>
            <w14:solidFill>
              <w14:schemeClr w14:val="tx1"/>
            </w14:solidFill>
          </w14:textFill>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 户 行：工行北京体育馆路支行</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银行账号：0200008109089053553</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5、投标人递交投标文件时须提供投标人全称、开户行、银行帐号等银行信息, 并加盖投标人公章，以便招标方退还投标保证金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5、与招标文件有重大偏离、未满足带“▲”号实质性指标的投标文件；</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p>
    <w:p>
      <w:pPr>
        <w:pStyle w:val="31"/>
        <w:snapToGrid w:val="0"/>
        <w:spacing w:before="156" w:after="156"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1、开标会由招标方主持，主持人介绍开标现场的人员情况，宣读递交投标文件的投标人名单、开标纪律、应当回避的情形等注意事项，评标委员会成员不得参加开标活动。投标人不足3家的，不得开标。</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hAnsi="宋体"/>
          <w:b/>
          <w:color w:val="000000" w:themeColor="text1"/>
          <w14:textFill>
            <w14:solidFill>
              <w14:schemeClr w14:val="tx1"/>
            </w14:solidFill>
          </w14:textFill>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3、在开标会上，由投标人代表检查投标文件、开标一览表的密封情况，确认无误后，由招标方工作人员当场拆封唱标。对不符合装订要求的投标文件，由现场工作人员退还供应商代表。</w:t>
      </w:r>
    </w:p>
    <w:p>
      <w:pPr>
        <w:pStyle w:val="31"/>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投标人代表对开标过程和开标记录有疑义，以及认为采购人、招标方相关工作人员有需要回避的情形的，应当场提出询问或者回避申请。</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3、宣读提交投标文件的供应商名单，组织评标委员会各位成员签订《政府采购评审人员廉洁自律承诺书》。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对投标人“信用中国”网站（www.creditchina.gov.cn）、中国政府采购网（www.ccgp.gov.cn）信用记录情况进行核实，资格不符合的，应视为未通过资格初审。</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1、项目由评标委员会根据详细评审结果确定一至三人为中标候选人，并标明排列顺序。</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themeColor="text1"/>
          <w:sz w:val="28"/>
          <w:szCs w:val="28"/>
          <w14:textFill>
            <w14:solidFill>
              <w14:schemeClr w14:val="tx1"/>
            </w14:solidFill>
          </w14:textFill>
        </w:rPr>
        <w:t>中标通知书。</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2、中标人拖延、拒签合同的,将被扣罚投标保证金并取消中标资格。</w:t>
      </w:r>
    </w:p>
    <w:p>
      <w:pPr>
        <w:pStyle w:val="31"/>
        <w:snapToGrid w:val="0"/>
        <w:spacing w:before="156" w:after="156" w:line="240" w:lineRule="auto"/>
        <w:ind w:firstLine="600" w:firstLineChars="200"/>
        <w:rPr>
          <w:rFonts w:ascii="仿宋_GB2312" w:hAnsi="仿宋" w:eastAsia="仿宋_GB2312"/>
          <w:color w:val="000000" w:themeColor="text1"/>
          <w:sz w:val="30"/>
          <w:szCs w:val="30"/>
          <w14:textFill>
            <w14:solidFill>
              <w14:schemeClr w14:val="tx1"/>
            </w14:solidFill>
          </w14:textFill>
        </w:rPr>
      </w:pP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bookmarkStart w:id="17" w:name="_Toc51935129"/>
      <w:r>
        <w:rPr>
          <w:rFonts w:hint="eastAsia" w:hAnsi="宋体"/>
          <w:b/>
          <w:color w:val="000000" w:themeColor="text1"/>
          <w:sz w:val="36"/>
          <w:szCs w:val="36"/>
          <w14:textFill>
            <w14:solidFill>
              <w14:schemeClr w14:val="tx1"/>
            </w14:solidFill>
          </w14:textFill>
        </w:rPr>
        <w:t>第三章  评标办法及评分标准</w:t>
      </w:r>
      <w:bookmarkEnd w:id="17"/>
    </w:p>
    <w:p>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themeColor="text1"/>
          <w:sz w:val="30"/>
          <w:szCs w:val="30"/>
          <w14:textFill>
            <w14:solidFill>
              <w14:schemeClr w14:val="tx1"/>
            </w14:solidFill>
          </w14:textFill>
        </w:rPr>
        <w:t>评分过程中采用四舍五入法，并保留小数2位。</w:t>
      </w:r>
    </w:p>
    <w:p>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156" w:afterLines="50" w:line="320" w:lineRule="exact"/>
        <w:ind w:firstLine="600" w:firstLineChars="200"/>
        <w:rPr>
          <w:rFonts w:ascii="仿宋_GB2312" w:hAnsi="宋体" w:eastAsia="仿宋_GB2312"/>
          <w:b/>
          <w:color w:val="000000" w:themeColor="text1"/>
          <w:sz w:val="32"/>
          <w:szCs w:val="32"/>
          <w14:textFill>
            <w14:solidFill>
              <w14:schemeClr w14:val="tx1"/>
            </w14:solidFill>
          </w14:textFill>
        </w:rPr>
      </w:pPr>
      <w:r>
        <w:rPr>
          <w:rFonts w:ascii="仿宋" w:hAnsi="仿宋" w:eastAsia="仿宋_GB2312"/>
          <w:bCs/>
          <w:color w:val="000000" w:themeColor="text1"/>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18" w:name="PO_TDCUS_ITEM_SM_TABLE_1"/>
      <w:r>
        <w:rPr>
          <w:rFonts w:ascii="仿宋_GB2312" w:hAnsi="宋体" w:eastAsia="仿宋_GB2312"/>
          <w:b/>
          <w:color w:val="000000" w:themeColor="text1"/>
          <w:sz w:val="32"/>
          <w:szCs w:val="32"/>
          <w14:textFill>
            <w14:solidFill>
              <w14:schemeClr w14:val="tx1"/>
            </w14:solidFill>
          </w14:textFill>
        </w:rPr>
        <w:t xml:space="preserve"> </w:t>
      </w:r>
      <w:bookmarkEnd w:id="18"/>
    </w:p>
    <w:tbl>
      <w:tblPr>
        <w:tblStyle w:val="5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924"/>
        <w:gridCol w:w="6342"/>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Align w:val="center"/>
          </w:tcPr>
          <w:p>
            <w:pPr>
              <w:rPr>
                <w:rFonts w:ascii="仿宋" w:hAnsi="仿宋" w:eastAsia="仿宋"/>
              </w:rPr>
            </w:pPr>
            <w:r>
              <w:rPr>
                <w:rFonts w:hint="eastAsia" w:ascii="仿宋" w:hAnsi="仿宋" w:eastAsia="仿宋"/>
              </w:rPr>
              <w:t>投标</w:t>
            </w:r>
          </w:p>
          <w:p>
            <w:pPr>
              <w:rPr>
                <w:rFonts w:ascii="仿宋" w:hAnsi="仿宋" w:eastAsia="仿宋"/>
              </w:rPr>
            </w:pPr>
            <w:r>
              <w:rPr>
                <w:rFonts w:hint="eastAsia" w:ascii="仿宋" w:hAnsi="仿宋" w:eastAsia="仿宋"/>
              </w:rPr>
              <w:t>报价</w:t>
            </w:r>
          </w:p>
          <w:p>
            <w:pPr>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0分）</w:t>
            </w:r>
          </w:p>
        </w:tc>
        <w:tc>
          <w:tcPr>
            <w:tcW w:w="4263" w:type="pct"/>
            <w:gridSpan w:val="2"/>
            <w:vAlign w:val="center"/>
          </w:tcPr>
          <w:p>
            <w:pPr>
              <w:rPr>
                <w:rFonts w:ascii="仿宋" w:hAnsi="仿宋" w:eastAsia="仿宋"/>
              </w:rPr>
            </w:pPr>
            <w:r>
              <w:rPr>
                <w:rFonts w:hint="eastAsia" w:ascii="仿宋" w:hAnsi="仿宋" w:eastAsia="仿宋"/>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rPr>
            </w:pPr>
            <w:r>
              <w:rPr>
                <w:rFonts w:hint="eastAsia" w:ascii="仿宋" w:hAnsi="仿宋" w:eastAsia="仿宋"/>
              </w:rPr>
              <w:t xml:space="preserve">投标报价得分=(评标基准价／投标报价)×价格权值×100               </w:t>
            </w:r>
          </w:p>
          <w:p>
            <w:pPr>
              <w:rPr>
                <w:rFonts w:ascii="仿宋" w:hAnsi="仿宋" w:eastAsia="仿宋"/>
              </w:rPr>
            </w:pPr>
            <w:r>
              <w:rPr>
                <w:rFonts w:hint="eastAsia" w:ascii="仿宋" w:hAnsi="仿宋" w:eastAsia="仿宋"/>
              </w:rPr>
              <w:t>计算分数时四舍五入取小数点后两位</w:t>
            </w:r>
          </w:p>
          <w:p>
            <w:pPr>
              <w:rPr>
                <w:rFonts w:ascii="仿宋" w:hAnsi="仿宋" w:eastAsia="仿宋"/>
              </w:rPr>
            </w:pPr>
            <w:r>
              <w:rPr>
                <w:rFonts w:hint="eastAsia" w:ascii="仿宋" w:hAnsi="仿宋" w:eastAsia="仿宋"/>
              </w:rPr>
              <w:t>注：（1）根据《政府采购促进中小企业发展暂行办法》的相关规定，对小型和微型企业的价格给予6%的扣除，用扣除后的价格参与评审。</w:t>
            </w:r>
          </w:p>
          <w:p>
            <w:pPr>
              <w:rPr>
                <w:rFonts w:ascii="仿宋" w:hAnsi="仿宋" w:eastAsia="仿宋"/>
              </w:rPr>
            </w:pPr>
            <w:r>
              <w:rPr>
                <w:rFonts w:hint="eastAsia" w:ascii="仿宋" w:hAnsi="仿宋" w:eastAsia="仿宋"/>
              </w:rPr>
              <w:t>（2）根据《财政部民政部中国残疾人联合会关于促进残疾人就业政府采购政策的通知》（财库〔2017〕141号）的规定，对符合条件的残疾人福利性单位设备的价格给予6%的扣除，用扣除后的价格参与评审。</w:t>
            </w:r>
          </w:p>
          <w:p>
            <w:pPr>
              <w:rPr>
                <w:rFonts w:ascii="仿宋" w:hAnsi="仿宋" w:eastAsia="仿宋"/>
              </w:rPr>
            </w:pPr>
            <w:r>
              <w:rPr>
                <w:rFonts w:hint="eastAsia" w:ascii="仿宋" w:hAnsi="仿宋" w:eastAsia="仿宋"/>
              </w:rPr>
              <w:t>小型、微型企业和监狱企业级符合财政部、民政部、中国残疾人联合会关于促进残疾人就业政府采购政策的通知，以上政策同时具备的仅对其进行一次6%的价格扣除，不重复扣除。</w:t>
            </w:r>
          </w:p>
        </w:tc>
        <w:tc>
          <w:tcPr>
            <w:tcW w:w="362" w:type="pct"/>
          </w:tcPr>
          <w:p>
            <w:pPr>
              <w:rPr>
                <w:rFonts w:ascii="仿宋" w:hAnsi="仿宋" w:eastAsia="仿宋"/>
              </w:rPr>
            </w:pPr>
            <w:r>
              <w:rPr>
                <w:rFonts w:hint="eastAsia" w:ascii="仿宋" w:hAnsi="仿宋" w:eastAsia="仿宋"/>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restart"/>
            <w:vAlign w:val="center"/>
          </w:tcPr>
          <w:p>
            <w:pPr>
              <w:rPr>
                <w:rFonts w:ascii="仿宋" w:hAnsi="仿宋" w:eastAsia="仿宋"/>
              </w:rPr>
            </w:pPr>
            <w:r>
              <w:rPr>
                <w:rFonts w:ascii="仿宋" w:hAnsi="仿宋" w:eastAsia="仿宋"/>
              </w:rPr>
              <w:t>商务</w:t>
            </w:r>
          </w:p>
          <w:p>
            <w:pPr>
              <w:rPr>
                <w:rFonts w:ascii="仿宋" w:hAnsi="仿宋" w:eastAsia="仿宋"/>
              </w:rPr>
            </w:pPr>
            <w:r>
              <w:rPr>
                <w:rFonts w:ascii="仿宋" w:hAnsi="仿宋" w:eastAsia="仿宋"/>
              </w:rPr>
              <w:t>评审</w:t>
            </w:r>
          </w:p>
          <w:p>
            <w:pPr>
              <w:rPr>
                <w:rFonts w:ascii="仿宋" w:hAnsi="仿宋" w:eastAsia="仿宋"/>
              </w:rPr>
            </w:pPr>
            <w:r>
              <w:rPr>
                <w:rFonts w:ascii="仿宋" w:hAnsi="仿宋" w:eastAsia="仿宋"/>
              </w:rPr>
              <w:t>（2</w:t>
            </w:r>
            <w:r>
              <w:rPr>
                <w:rFonts w:hint="eastAsia" w:ascii="仿宋" w:hAnsi="仿宋" w:eastAsia="仿宋"/>
              </w:rPr>
              <w:t>0</w:t>
            </w:r>
            <w:r>
              <w:rPr>
                <w:rFonts w:ascii="仿宋" w:hAnsi="仿宋" w:eastAsia="仿宋"/>
              </w:rPr>
              <w:t>分）</w:t>
            </w:r>
          </w:p>
        </w:tc>
        <w:tc>
          <w:tcPr>
            <w:tcW w:w="542" w:type="pct"/>
            <w:vAlign w:val="center"/>
          </w:tcPr>
          <w:p>
            <w:pPr>
              <w:rPr>
                <w:rFonts w:ascii="仿宋" w:hAnsi="仿宋" w:eastAsia="仿宋"/>
              </w:rPr>
            </w:pPr>
            <w:r>
              <w:rPr>
                <w:rFonts w:ascii="仿宋" w:hAnsi="仿宋" w:eastAsia="仿宋"/>
              </w:rPr>
              <w:t>投标</w:t>
            </w:r>
            <w:r>
              <w:rPr>
                <w:rFonts w:hint="eastAsia" w:ascii="仿宋" w:hAnsi="仿宋" w:eastAsia="仿宋"/>
              </w:rPr>
              <w:t>人</w:t>
            </w:r>
            <w:r>
              <w:rPr>
                <w:rFonts w:ascii="仿宋" w:hAnsi="仿宋" w:eastAsia="仿宋"/>
              </w:rPr>
              <w:t>业绩</w:t>
            </w:r>
          </w:p>
          <w:p>
            <w:pPr>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2分）</w:t>
            </w:r>
          </w:p>
        </w:tc>
        <w:tc>
          <w:tcPr>
            <w:tcW w:w="3721" w:type="pct"/>
            <w:vAlign w:val="center"/>
          </w:tcPr>
          <w:p>
            <w:pPr>
              <w:rPr>
                <w:rFonts w:ascii="仿宋" w:hAnsi="仿宋" w:eastAsia="仿宋"/>
              </w:rPr>
            </w:pPr>
            <w:r>
              <w:rPr>
                <w:rFonts w:hint="eastAsia" w:ascii="仿宋" w:hAnsi="仿宋" w:eastAsia="仿宋"/>
              </w:rPr>
              <w:t>投标人提供</w:t>
            </w:r>
            <w:r>
              <w:rPr>
                <w:rFonts w:ascii="仿宋" w:hAnsi="仿宋" w:eastAsia="仿宋"/>
              </w:rPr>
              <w:t>2008 年1 月1 日起至本次投标截止日期</w:t>
            </w:r>
            <w:r>
              <w:rPr>
                <w:rFonts w:hint="eastAsia" w:ascii="仿宋" w:hAnsi="仿宋" w:eastAsia="仿宋"/>
              </w:rPr>
              <w:t>（</w:t>
            </w:r>
            <w:r>
              <w:rPr>
                <w:rFonts w:ascii="仿宋" w:hAnsi="仿宋" w:eastAsia="仿宋"/>
              </w:rPr>
              <w:t>以合同签署日期为准</w:t>
            </w:r>
            <w:r>
              <w:rPr>
                <w:rFonts w:hint="eastAsia" w:ascii="仿宋" w:hAnsi="仿宋" w:eastAsia="仿宋"/>
              </w:rPr>
              <w:t>）内</w:t>
            </w:r>
            <w:r>
              <w:rPr>
                <w:rFonts w:ascii="仿宋" w:hAnsi="仿宋" w:eastAsia="仿宋"/>
              </w:rPr>
              <w:t>完成的全国性或国际级（多国参与）综合性运动会竞赛信息化成功案例情况进行评分，</w:t>
            </w:r>
            <w:r>
              <w:rPr>
                <w:rFonts w:hint="eastAsia" w:ascii="仿宋" w:hAnsi="仿宋" w:eastAsia="仿宋"/>
              </w:rPr>
              <w:t>每提供一个至少包含中央视频管理平台、竞赛监控系统、仲裁录像系统、竞赛闭路系统、视频直播系统中两个系统的成功案例得6分</w:t>
            </w:r>
            <w:r>
              <w:rPr>
                <w:rFonts w:ascii="仿宋" w:hAnsi="仿宋" w:eastAsia="仿宋"/>
              </w:rPr>
              <w:t>，</w:t>
            </w:r>
            <w:r>
              <w:rPr>
                <w:rFonts w:hint="eastAsia" w:ascii="仿宋" w:hAnsi="仿宋" w:eastAsia="仿宋"/>
              </w:rPr>
              <w:t>满分12分。</w:t>
            </w:r>
            <w:r>
              <w:rPr>
                <w:rFonts w:ascii="仿宋" w:hAnsi="仿宋" w:eastAsia="仿宋"/>
              </w:rPr>
              <w:t>须同时提供以下证明文件，否则不得分。</w:t>
            </w:r>
          </w:p>
          <w:p>
            <w:pPr>
              <w:rPr>
                <w:rFonts w:ascii="仿宋" w:hAnsi="仿宋" w:eastAsia="仿宋"/>
              </w:rPr>
            </w:pPr>
            <w:r>
              <w:rPr>
                <w:rFonts w:ascii="仿宋" w:hAnsi="仿宋" w:eastAsia="仿宋"/>
              </w:rPr>
              <w:t>1）合同扫描件或复印件，至少包括买卖双方名称、服务内容</w:t>
            </w:r>
            <w:r>
              <w:rPr>
                <w:rFonts w:hint="eastAsia" w:ascii="仿宋" w:hAnsi="仿宋" w:eastAsia="仿宋"/>
              </w:rPr>
              <w:t>、</w:t>
            </w:r>
            <w:r>
              <w:rPr>
                <w:rFonts w:ascii="仿宋" w:hAnsi="仿宋" w:eastAsia="仿宋"/>
              </w:rPr>
              <w:t>签署盖章页。</w:t>
            </w:r>
          </w:p>
          <w:p>
            <w:pPr>
              <w:rPr>
                <w:rFonts w:ascii="仿宋" w:hAnsi="仿宋" w:eastAsia="仿宋"/>
              </w:rPr>
            </w:pPr>
            <w:r>
              <w:rPr>
                <w:rFonts w:ascii="仿宋" w:hAnsi="仿宋" w:eastAsia="仿宋"/>
              </w:rPr>
              <w:t>2）</w:t>
            </w:r>
            <w:r>
              <w:rPr>
                <w:rFonts w:hint="eastAsia" w:ascii="仿宋" w:hAnsi="仿宋" w:eastAsia="仿宋"/>
              </w:rPr>
              <w:t>合同</w:t>
            </w:r>
            <w:r>
              <w:rPr>
                <w:rFonts w:ascii="仿宋" w:hAnsi="仿宋" w:eastAsia="仿宋"/>
              </w:rPr>
              <w:t>甲方盖章或</w:t>
            </w:r>
            <w:r>
              <w:rPr>
                <w:rFonts w:hint="eastAsia" w:ascii="仿宋" w:hAnsi="仿宋" w:eastAsia="仿宋"/>
              </w:rPr>
              <w:t>合同甲方单位相关</w:t>
            </w:r>
            <w:r>
              <w:rPr>
                <w:rFonts w:ascii="仿宋" w:hAnsi="仿宋" w:eastAsia="仿宋"/>
              </w:rPr>
              <w:t>负责人签字的成功履行合同的证明材料扫描件或</w:t>
            </w:r>
            <w:r>
              <w:rPr>
                <w:rFonts w:hint="eastAsia" w:ascii="仿宋" w:hAnsi="仿宋" w:eastAsia="仿宋"/>
              </w:rPr>
              <w:t>复印件</w:t>
            </w:r>
            <w:r>
              <w:rPr>
                <w:rFonts w:ascii="仿宋" w:hAnsi="仿宋" w:eastAsia="仿宋"/>
              </w:rPr>
              <w:t>。</w:t>
            </w:r>
          </w:p>
        </w:tc>
        <w:tc>
          <w:tcPr>
            <w:tcW w:w="362" w:type="pct"/>
          </w:tcPr>
          <w:p>
            <w:pPr>
              <w:rPr>
                <w:rFonts w:ascii="仿宋" w:hAnsi="仿宋" w:eastAsia="仿宋"/>
              </w:rPr>
            </w:pPr>
            <w:r>
              <w:rPr>
                <w:rFonts w:hint="eastAsia" w:ascii="仿宋" w:hAnsi="仿宋" w:eastAsia="仿宋"/>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ascii="仿宋" w:hAnsi="仿宋" w:eastAsia="仿宋"/>
              </w:rPr>
              <w:t>项目负责人</w:t>
            </w:r>
          </w:p>
          <w:p>
            <w:pPr>
              <w:rPr>
                <w:rFonts w:ascii="仿宋" w:hAnsi="仿宋" w:eastAsia="仿宋"/>
              </w:rPr>
            </w:pPr>
            <w:r>
              <w:rPr>
                <w:rFonts w:hint="eastAsia" w:ascii="仿宋" w:hAnsi="仿宋" w:eastAsia="仿宋"/>
              </w:rPr>
              <w:t>（4分）</w:t>
            </w:r>
          </w:p>
        </w:tc>
        <w:tc>
          <w:tcPr>
            <w:tcW w:w="3721" w:type="pct"/>
            <w:vAlign w:val="center"/>
          </w:tcPr>
          <w:p>
            <w:pPr>
              <w:rPr>
                <w:rFonts w:ascii="仿宋" w:hAnsi="仿宋" w:eastAsia="仿宋"/>
              </w:rPr>
            </w:pPr>
            <w:r>
              <w:rPr>
                <w:rFonts w:ascii="仿宋" w:hAnsi="仿宋" w:eastAsia="仿宋"/>
              </w:rPr>
              <w:t>项目负责人具有</w:t>
            </w:r>
            <w:r>
              <w:rPr>
                <w:rFonts w:hint="eastAsia" w:ascii="仿宋" w:hAnsi="仿宋" w:eastAsia="仿宋"/>
              </w:rPr>
              <w:t>负责</w:t>
            </w:r>
            <w:r>
              <w:rPr>
                <w:rFonts w:ascii="仿宋" w:hAnsi="仿宋" w:eastAsia="仿宋"/>
              </w:rPr>
              <w:t>全国性或国际级（多国参与）综合性运动会竞赛信息化</w:t>
            </w:r>
            <w:r>
              <w:rPr>
                <w:rFonts w:hint="eastAsia" w:ascii="仿宋" w:hAnsi="仿宋" w:eastAsia="仿宋"/>
              </w:rPr>
              <w:t>管理经验，</w:t>
            </w:r>
            <w:r>
              <w:rPr>
                <w:rFonts w:ascii="仿宋" w:hAnsi="仿宋" w:eastAsia="仿宋"/>
              </w:rPr>
              <w:t>每</w:t>
            </w:r>
            <w:r>
              <w:rPr>
                <w:rFonts w:hint="eastAsia" w:ascii="仿宋" w:hAnsi="仿宋" w:eastAsia="仿宋"/>
              </w:rPr>
              <w:t>参加1个得1分，满分4分。须提供相关证书或证件和该人员在本项目投标企业自2020年6月至2020年11月内任意一个月的社保证明复印件加盖公章。</w:t>
            </w:r>
          </w:p>
        </w:tc>
        <w:tc>
          <w:tcPr>
            <w:tcW w:w="362" w:type="pct"/>
          </w:tcPr>
          <w:p>
            <w:pPr>
              <w:rPr>
                <w:rFonts w:ascii="仿宋" w:hAnsi="仿宋" w:eastAsia="仿宋"/>
              </w:rPr>
            </w:pPr>
            <w:r>
              <w:rPr>
                <w:rFonts w:hint="eastAsia" w:ascii="仿宋" w:hAnsi="仿宋" w:eastAsia="仿宋"/>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Merge w:val="restart"/>
            <w:vAlign w:val="center"/>
          </w:tcPr>
          <w:p>
            <w:pPr>
              <w:rPr>
                <w:rFonts w:ascii="仿宋" w:hAnsi="仿宋" w:eastAsia="仿宋"/>
              </w:rPr>
            </w:pPr>
            <w:r>
              <w:rPr>
                <w:rFonts w:hint="eastAsia" w:ascii="仿宋" w:hAnsi="仿宋" w:eastAsia="仿宋"/>
              </w:rPr>
              <w:t>项目</w:t>
            </w:r>
            <w:r>
              <w:rPr>
                <w:rFonts w:ascii="仿宋" w:hAnsi="仿宋" w:eastAsia="仿宋"/>
              </w:rPr>
              <w:t>团队</w:t>
            </w:r>
            <w:r>
              <w:rPr>
                <w:rFonts w:hint="eastAsia" w:ascii="仿宋" w:hAnsi="仿宋" w:eastAsia="仿宋"/>
              </w:rPr>
              <w:t>（4分）</w:t>
            </w:r>
          </w:p>
        </w:tc>
        <w:tc>
          <w:tcPr>
            <w:tcW w:w="3721" w:type="pct"/>
            <w:vAlign w:val="center"/>
          </w:tcPr>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拟派驻场</w:t>
            </w:r>
            <w:r>
              <w:rPr>
                <w:rFonts w:ascii="仿宋" w:hAnsi="仿宋" w:eastAsia="仿宋"/>
              </w:rPr>
              <w:t>团队人数</w:t>
            </w:r>
            <w:r>
              <w:rPr>
                <w:rFonts w:hint="eastAsia" w:ascii="仿宋" w:hAnsi="仿宋" w:eastAsia="仿宋"/>
              </w:rPr>
              <w:t>（含项目负责人和工程师）</w:t>
            </w:r>
            <w:r>
              <w:rPr>
                <w:rFonts w:ascii="仿宋" w:hAnsi="仿宋" w:eastAsia="仿宋"/>
              </w:rPr>
              <w:t>1</w:t>
            </w:r>
            <w:r>
              <w:rPr>
                <w:rFonts w:hint="eastAsia" w:ascii="仿宋" w:hAnsi="仿宋" w:eastAsia="仿宋"/>
              </w:rPr>
              <w:t>2</w:t>
            </w:r>
            <w:r>
              <w:rPr>
                <w:rFonts w:ascii="仿宋" w:hAnsi="仿宋" w:eastAsia="仿宋"/>
              </w:rPr>
              <w:t>人及以上得</w:t>
            </w:r>
            <w:r>
              <w:rPr>
                <w:rFonts w:hint="eastAsia" w:ascii="仿宋" w:hAnsi="仿宋" w:eastAsia="仿宋"/>
              </w:rPr>
              <w:t>2分， 6</w:t>
            </w:r>
            <w:r>
              <w:rPr>
                <w:rFonts w:ascii="仿宋" w:hAnsi="仿宋" w:eastAsia="仿宋"/>
              </w:rPr>
              <w:t>-1</w:t>
            </w:r>
            <w:r>
              <w:rPr>
                <w:rFonts w:hint="eastAsia" w:ascii="仿宋" w:hAnsi="仿宋" w:eastAsia="仿宋"/>
              </w:rPr>
              <w:t>1</w:t>
            </w:r>
            <w:r>
              <w:rPr>
                <w:rFonts w:ascii="仿宋" w:hAnsi="仿宋" w:eastAsia="仿宋"/>
              </w:rPr>
              <w:t>人得</w:t>
            </w:r>
            <w:r>
              <w:rPr>
                <w:rFonts w:hint="eastAsia" w:ascii="仿宋" w:hAnsi="仿宋" w:eastAsia="仿宋"/>
              </w:rPr>
              <w:t>1分，6</w:t>
            </w:r>
            <w:r>
              <w:rPr>
                <w:rFonts w:ascii="仿宋" w:hAnsi="仿宋" w:eastAsia="仿宋"/>
              </w:rPr>
              <w:t>人以下</w:t>
            </w:r>
            <w:r>
              <w:rPr>
                <w:rFonts w:hint="eastAsia" w:ascii="仿宋" w:hAnsi="仿宋" w:eastAsia="仿宋"/>
              </w:rPr>
              <w:t>不得</w:t>
            </w:r>
            <w:r>
              <w:rPr>
                <w:rFonts w:ascii="仿宋" w:hAnsi="仿宋" w:eastAsia="仿宋"/>
              </w:rPr>
              <w:t>分</w:t>
            </w:r>
            <w:r>
              <w:rPr>
                <w:rFonts w:hint="eastAsia" w:ascii="仿宋" w:hAnsi="仿宋" w:eastAsia="仿宋"/>
              </w:rPr>
              <w:t>。须相应人员提供在本项目投标企业自2020年6月至2020年11月内任意一个月的社保证明复印件加盖公章。</w:t>
            </w:r>
          </w:p>
        </w:tc>
        <w:tc>
          <w:tcPr>
            <w:tcW w:w="362" w:type="pct"/>
          </w:tcPr>
          <w:p>
            <w:pPr>
              <w:rPr>
                <w:rFonts w:ascii="仿宋" w:hAnsi="仿宋" w:eastAsia="仿宋"/>
              </w:rPr>
            </w:pPr>
            <w:r>
              <w:rPr>
                <w:rFonts w:hint="eastAsia" w:ascii="仿宋" w:hAnsi="仿宋" w:eastAsia="仿宋"/>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Merge w:val="continue"/>
            <w:vAlign w:val="center"/>
          </w:tcPr>
          <w:p>
            <w:pPr>
              <w:rPr>
                <w:rFonts w:ascii="仿宋" w:hAnsi="仿宋" w:eastAsia="仿宋"/>
              </w:rPr>
            </w:pPr>
          </w:p>
        </w:tc>
        <w:tc>
          <w:tcPr>
            <w:tcW w:w="3721" w:type="pct"/>
            <w:vAlign w:val="center"/>
          </w:tcPr>
          <w:p>
            <w:pPr>
              <w:rPr>
                <w:rFonts w:ascii="仿宋" w:hAnsi="仿宋" w:eastAsia="仿宋"/>
              </w:rPr>
            </w:pPr>
            <w:r>
              <w:rPr>
                <w:rFonts w:hint="eastAsia" w:ascii="仿宋" w:hAnsi="仿宋" w:eastAsia="仿宋"/>
              </w:rPr>
              <w:t>2</w:t>
            </w:r>
            <w:r>
              <w:rPr>
                <w:rFonts w:ascii="仿宋" w:hAnsi="仿宋" w:eastAsia="仿宋"/>
              </w:rPr>
              <w:t>、拟派驻场人员</w:t>
            </w:r>
            <w:r>
              <w:rPr>
                <w:rFonts w:hint="eastAsia" w:ascii="仿宋" w:hAnsi="仿宋" w:eastAsia="仿宋"/>
              </w:rPr>
              <w:t>（项目负责人除外）</w:t>
            </w:r>
            <w:r>
              <w:rPr>
                <w:rFonts w:ascii="仿宋" w:hAnsi="仿宋" w:eastAsia="仿宋"/>
              </w:rPr>
              <w:t>具</w:t>
            </w:r>
            <w:r>
              <w:rPr>
                <w:rFonts w:hint="eastAsia" w:ascii="仿宋" w:hAnsi="仿宋" w:eastAsia="仿宋"/>
              </w:rPr>
              <w:t>有全国性或国际级（多国参与）综合性运动会竞赛信息化工作经验，10人以上得2分，5-10人得1分，5人以下不得分。须提供相应人员的相关证书或证件和在本项目投标企业自2020年6月至2020年11月内任意一个月的社保证明复印件加盖公章。</w:t>
            </w:r>
          </w:p>
        </w:tc>
        <w:tc>
          <w:tcPr>
            <w:tcW w:w="362" w:type="pct"/>
          </w:tcPr>
          <w:p>
            <w:pPr>
              <w:rPr>
                <w:rFonts w:ascii="仿宋" w:hAnsi="仿宋" w:eastAsia="仿宋"/>
              </w:rPr>
            </w:pPr>
            <w:r>
              <w:rPr>
                <w:rFonts w:hint="eastAsia" w:ascii="仿宋" w:hAnsi="仿宋" w:eastAsia="仿宋"/>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trPr>
        <w:tc>
          <w:tcPr>
            <w:tcW w:w="375" w:type="pct"/>
            <w:vMerge w:val="restart"/>
            <w:vAlign w:val="center"/>
          </w:tcPr>
          <w:p>
            <w:pPr>
              <w:rPr>
                <w:rFonts w:ascii="仿宋" w:hAnsi="仿宋" w:eastAsia="仿宋"/>
              </w:rPr>
            </w:pPr>
            <w:r>
              <w:rPr>
                <w:rFonts w:ascii="仿宋" w:hAnsi="仿宋" w:eastAsia="仿宋"/>
              </w:rPr>
              <w:t>技术</w:t>
            </w:r>
          </w:p>
          <w:p>
            <w:pPr>
              <w:rPr>
                <w:rFonts w:ascii="仿宋" w:hAnsi="仿宋" w:eastAsia="仿宋"/>
              </w:rPr>
            </w:pPr>
            <w:r>
              <w:rPr>
                <w:rFonts w:ascii="仿宋" w:hAnsi="仿宋" w:eastAsia="仿宋"/>
              </w:rPr>
              <w:t>评审</w:t>
            </w:r>
          </w:p>
          <w:p>
            <w:pPr>
              <w:rPr>
                <w:rFonts w:ascii="仿宋" w:hAnsi="仿宋" w:eastAsia="仿宋"/>
              </w:rPr>
            </w:pPr>
            <w:r>
              <w:rPr>
                <w:rFonts w:ascii="仿宋" w:hAnsi="仿宋" w:eastAsia="仿宋"/>
              </w:rPr>
              <w:t>（</w:t>
            </w:r>
            <w:r>
              <w:rPr>
                <w:rFonts w:hint="eastAsia" w:ascii="仿宋" w:hAnsi="仿宋" w:eastAsia="仿宋"/>
              </w:rPr>
              <w:t>7</w:t>
            </w:r>
            <w:r>
              <w:rPr>
                <w:rFonts w:ascii="仿宋" w:hAnsi="仿宋" w:eastAsia="仿宋"/>
              </w:rPr>
              <w:t>0分）</w:t>
            </w:r>
          </w:p>
        </w:tc>
        <w:tc>
          <w:tcPr>
            <w:tcW w:w="542" w:type="pct"/>
            <w:vMerge w:val="restart"/>
            <w:vAlign w:val="center"/>
          </w:tcPr>
          <w:p>
            <w:pPr>
              <w:rPr>
                <w:rFonts w:ascii="仿宋" w:hAnsi="仿宋" w:eastAsia="仿宋"/>
              </w:rPr>
            </w:pPr>
          </w:p>
          <w:p>
            <w:pPr>
              <w:rPr>
                <w:rFonts w:ascii="仿宋" w:hAnsi="仿宋" w:eastAsia="仿宋"/>
              </w:rPr>
            </w:pPr>
            <w:r>
              <w:rPr>
                <w:rFonts w:hint="eastAsia" w:ascii="仿宋" w:hAnsi="仿宋" w:eastAsia="仿宋"/>
              </w:rPr>
              <w:t>整体服务方案（15分）</w:t>
            </w:r>
          </w:p>
        </w:tc>
        <w:tc>
          <w:tcPr>
            <w:tcW w:w="3721" w:type="pct"/>
            <w:vAlign w:val="center"/>
          </w:tcPr>
          <w:p>
            <w:pPr>
              <w:rPr>
                <w:rFonts w:ascii="仿宋" w:hAnsi="仿宋" w:eastAsia="仿宋"/>
              </w:rPr>
            </w:pPr>
            <w:r>
              <w:rPr>
                <w:rFonts w:ascii="仿宋" w:hAnsi="仿宋" w:eastAsia="仿宋"/>
              </w:rPr>
              <w:t>根据投标人提供的建设、测试、运行服务3个阶段服务方案进行评分。</w:t>
            </w:r>
          </w:p>
          <w:p>
            <w:pPr>
              <w:rPr>
                <w:rFonts w:ascii="仿宋" w:hAnsi="仿宋" w:eastAsia="仿宋"/>
              </w:rPr>
            </w:pPr>
            <w:r>
              <w:rPr>
                <w:rFonts w:hint="eastAsia" w:ascii="仿宋" w:hAnsi="仿宋" w:eastAsia="仿宋"/>
              </w:rPr>
              <w:t>1、建设阶段服务方案（5分）</w:t>
            </w:r>
          </w:p>
          <w:p>
            <w:pPr>
              <w:rPr>
                <w:rFonts w:ascii="仿宋" w:hAnsi="仿宋" w:eastAsia="仿宋"/>
              </w:rPr>
            </w:pPr>
            <w:r>
              <w:rPr>
                <w:rFonts w:hint="eastAsia" w:ascii="仿宋" w:hAnsi="仿宋" w:eastAsia="仿宋"/>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完全满足建设阶段服务的各项要求得5分，基本满足得3分，否则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atLeast"/>
        </w:trPr>
        <w:tc>
          <w:tcPr>
            <w:tcW w:w="375" w:type="pct"/>
            <w:vMerge w:val="continue"/>
            <w:vAlign w:val="center"/>
          </w:tcPr>
          <w:p>
            <w:pPr>
              <w:rPr>
                <w:rFonts w:ascii="仿宋" w:hAnsi="仿宋" w:eastAsia="仿宋"/>
              </w:rPr>
            </w:pPr>
          </w:p>
        </w:tc>
        <w:tc>
          <w:tcPr>
            <w:tcW w:w="542" w:type="pct"/>
            <w:vMerge w:val="continue"/>
            <w:vAlign w:val="center"/>
          </w:tcPr>
          <w:p>
            <w:pPr>
              <w:rPr>
                <w:rFonts w:ascii="仿宋" w:hAnsi="仿宋" w:eastAsia="仿宋"/>
              </w:rPr>
            </w:pPr>
          </w:p>
        </w:tc>
        <w:tc>
          <w:tcPr>
            <w:tcW w:w="3721" w:type="pct"/>
            <w:vAlign w:val="center"/>
          </w:tcPr>
          <w:p>
            <w:pPr>
              <w:rPr>
                <w:rFonts w:ascii="仿宋" w:hAnsi="仿宋" w:eastAsia="仿宋"/>
              </w:rPr>
            </w:pPr>
            <w:r>
              <w:rPr>
                <w:rFonts w:ascii="仿宋" w:hAnsi="仿宋" w:eastAsia="仿宋"/>
              </w:rPr>
              <w:t>2、测试阶段服务方案（</w:t>
            </w:r>
            <w:r>
              <w:rPr>
                <w:rFonts w:hint="eastAsia" w:ascii="仿宋" w:hAnsi="仿宋" w:eastAsia="仿宋"/>
              </w:rPr>
              <w:t>5</w:t>
            </w:r>
            <w:r>
              <w:rPr>
                <w:rFonts w:ascii="仿宋" w:hAnsi="仿宋" w:eastAsia="仿宋"/>
              </w:rPr>
              <w:t>分）</w:t>
            </w:r>
          </w:p>
          <w:p>
            <w:pPr>
              <w:rPr>
                <w:rFonts w:ascii="仿宋" w:hAnsi="仿宋" w:eastAsia="仿宋"/>
              </w:rPr>
            </w:pPr>
            <w:r>
              <w:rPr>
                <w:rFonts w:ascii="仿宋" w:hAnsi="仿宋" w:eastAsia="仿宋"/>
              </w:rPr>
              <w:t>从服务方案的完整性、服务内容的完备性，是否符合工期要求，是否满足测试阶段的各项服务要求与验收要求，服务保障、成本、质量、风险控制措施是否完善，人力资源和设备调配是否合理，对于重叠子阶段是否有响应措施等方面，进行综合评分，</w:t>
            </w:r>
            <w:r>
              <w:rPr>
                <w:rFonts w:hint="eastAsia" w:ascii="仿宋" w:hAnsi="仿宋" w:eastAsia="仿宋"/>
              </w:rPr>
              <w:t>完全满足建设阶段服务的各项要求得5分，基本满足得3分，否则得0分。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1" w:hRule="atLeast"/>
        </w:trPr>
        <w:tc>
          <w:tcPr>
            <w:tcW w:w="375" w:type="pct"/>
            <w:vMerge w:val="continue"/>
            <w:vAlign w:val="center"/>
          </w:tcPr>
          <w:p>
            <w:pPr>
              <w:rPr>
                <w:rFonts w:ascii="仿宋" w:hAnsi="仿宋" w:eastAsia="仿宋"/>
              </w:rPr>
            </w:pPr>
          </w:p>
        </w:tc>
        <w:tc>
          <w:tcPr>
            <w:tcW w:w="542" w:type="pct"/>
            <w:vMerge w:val="continue"/>
            <w:vAlign w:val="center"/>
          </w:tcPr>
          <w:p>
            <w:pPr>
              <w:rPr>
                <w:rFonts w:ascii="仿宋" w:hAnsi="仿宋" w:eastAsia="仿宋"/>
              </w:rPr>
            </w:pPr>
          </w:p>
        </w:tc>
        <w:tc>
          <w:tcPr>
            <w:tcW w:w="3721" w:type="pct"/>
            <w:vAlign w:val="center"/>
          </w:tcPr>
          <w:p>
            <w:pPr>
              <w:rPr>
                <w:rFonts w:ascii="仿宋" w:hAnsi="仿宋" w:eastAsia="仿宋"/>
              </w:rPr>
            </w:pPr>
            <w:r>
              <w:rPr>
                <w:rFonts w:ascii="仿宋" w:hAnsi="仿宋" w:eastAsia="仿宋"/>
              </w:rPr>
              <w:t>3、运行服务阶段服务方案（</w:t>
            </w:r>
            <w:r>
              <w:rPr>
                <w:rFonts w:hint="eastAsia" w:ascii="仿宋" w:hAnsi="仿宋" w:eastAsia="仿宋"/>
              </w:rPr>
              <w:t>5</w:t>
            </w:r>
            <w:r>
              <w:rPr>
                <w:rFonts w:ascii="仿宋" w:hAnsi="仿宋" w:eastAsia="仿宋"/>
              </w:rPr>
              <w:t>分）</w:t>
            </w:r>
          </w:p>
          <w:p>
            <w:pPr>
              <w:rPr>
                <w:rFonts w:ascii="仿宋" w:hAnsi="仿宋" w:eastAsia="仿宋"/>
              </w:rPr>
            </w:pPr>
            <w:r>
              <w:rPr>
                <w:rFonts w:ascii="仿宋" w:hAnsi="仿宋" w:eastAsia="仿宋"/>
              </w:rPr>
              <w:t>从服务方案的完整性、服务内容的完备性，是否符合工期要求，是否满足运行服务阶段的各项服务要求与验收要求，服务保障、成本、质量、风险控制措施是否完善，人力资源和设备调配是否合理等方面，进行综合评分，</w:t>
            </w:r>
            <w:r>
              <w:rPr>
                <w:rFonts w:hint="eastAsia" w:ascii="仿宋" w:hAnsi="仿宋" w:eastAsia="仿宋"/>
              </w:rPr>
              <w:t>完全满足建设阶段服务的各项要求得5分，基本满足得3分，否则得0分。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1" w:hRule="atLeast"/>
        </w:trPr>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hint="eastAsia" w:ascii="仿宋" w:hAnsi="仿宋" w:eastAsia="仿宋"/>
              </w:rPr>
              <w:t>赛事运行保障管理服务（5分）</w:t>
            </w:r>
          </w:p>
        </w:tc>
        <w:tc>
          <w:tcPr>
            <w:tcW w:w="3721" w:type="pct"/>
            <w:vAlign w:val="center"/>
          </w:tcPr>
          <w:p>
            <w:pPr>
              <w:rPr>
                <w:rFonts w:ascii="仿宋" w:hAnsi="仿宋" w:eastAsia="仿宋"/>
              </w:rPr>
            </w:pPr>
            <w:r>
              <w:rPr>
                <w:rFonts w:ascii="仿宋" w:hAnsi="仿宋" w:eastAsia="仿宋"/>
              </w:rPr>
              <w:t>根据投标人对十四运会和残特奥会</w:t>
            </w:r>
            <w:r>
              <w:rPr>
                <w:rFonts w:hint="eastAsia" w:ascii="仿宋" w:hAnsi="仿宋" w:eastAsia="仿宋"/>
              </w:rPr>
              <w:t>赛事运行保障管理</w:t>
            </w:r>
            <w:r>
              <w:rPr>
                <w:rFonts w:ascii="仿宋" w:hAnsi="仿宋" w:eastAsia="仿宋"/>
              </w:rPr>
              <w:t>服务需求的理解程度，提供的</w:t>
            </w:r>
            <w:r>
              <w:rPr>
                <w:rFonts w:hint="eastAsia" w:ascii="仿宋" w:hAnsi="仿宋" w:eastAsia="仿宋"/>
              </w:rPr>
              <w:t>运行服务方案</w:t>
            </w:r>
            <w:r>
              <w:rPr>
                <w:rFonts w:ascii="仿宋" w:hAnsi="仿宋" w:eastAsia="仿宋"/>
              </w:rPr>
              <w:t>的合理性、可行性等方面，进行综合评分。</w:t>
            </w:r>
            <w:r>
              <w:rPr>
                <w:rFonts w:hint="eastAsia" w:ascii="仿宋" w:hAnsi="仿宋" w:eastAsia="仿宋"/>
              </w:rPr>
              <w:t>本项满分5分。</w:t>
            </w:r>
          </w:p>
          <w:p>
            <w:pPr>
              <w:widowControl/>
              <w:contextualSpacing/>
              <w:rPr>
                <w:rFonts w:ascii="仿宋" w:hAnsi="仿宋" w:eastAsia="仿宋"/>
                <w:szCs w:val="21"/>
                <w:lang w:bidi="en-US"/>
              </w:rPr>
            </w:pPr>
            <w:r>
              <w:rPr>
                <w:rFonts w:hint="eastAsia" w:ascii="仿宋" w:hAnsi="仿宋" w:eastAsia="仿宋"/>
                <w:szCs w:val="21"/>
                <w:lang w:bidi="en-US"/>
              </w:rPr>
              <w:t>1）提交的服务方案内容完整、合理、可行，得5分；</w:t>
            </w:r>
          </w:p>
          <w:p>
            <w:pPr>
              <w:widowControl/>
              <w:contextualSpacing/>
              <w:rPr>
                <w:rFonts w:ascii="仿宋" w:hAnsi="仿宋" w:eastAsia="仿宋"/>
                <w:szCs w:val="21"/>
                <w:lang w:bidi="en-US"/>
              </w:rPr>
            </w:pPr>
            <w:r>
              <w:rPr>
                <w:rFonts w:hint="eastAsia" w:ascii="仿宋" w:hAnsi="仿宋" w:eastAsia="仿宋"/>
                <w:szCs w:val="21"/>
                <w:lang w:bidi="en-US"/>
              </w:rPr>
              <w:t>2）提交的服务方案内容较完整、较合理、较为可行，得3分；</w:t>
            </w:r>
          </w:p>
          <w:p>
            <w:pPr>
              <w:widowControl/>
              <w:contextualSpacing/>
              <w:rPr>
                <w:rFonts w:ascii="仿宋" w:hAnsi="仿宋" w:eastAsia="仿宋"/>
                <w:szCs w:val="21"/>
                <w:lang w:bidi="en-US"/>
              </w:rPr>
            </w:pPr>
            <w:r>
              <w:rPr>
                <w:rFonts w:hint="eastAsia" w:ascii="仿宋" w:hAnsi="仿宋" w:eastAsia="仿宋"/>
                <w:szCs w:val="21"/>
                <w:lang w:bidi="en-US"/>
              </w:rPr>
              <w:t>3）提交的服务方案内容不够完整，功能欠完善，需要进行调整才能满足采购人使用需求，得1分；</w:t>
            </w:r>
          </w:p>
          <w:p>
            <w:pPr>
              <w:rPr>
                <w:rFonts w:ascii="仿宋" w:hAnsi="仿宋" w:eastAsia="仿宋"/>
              </w:rPr>
            </w:pPr>
            <w:r>
              <w:rPr>
                <w:rFonts w:hint="eastAsia" w:ascii="仿宋" w:hAnsi="仿宋" w:eastAsia="仿宋"/>
                <w:szCs w:val="21"/>
                <w:lang w:bidi="en-US"/>
              </w:rPr>
              <w:t>4）提交的服务方案内容不完整、不合理、可行性差，得0分。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hint="eastAsia" w:ascii="仿宋" w:hAnsi="仿宋" w:eastAsia="仿宋"/>
              </w:rPr>
              <w:t>中央视频管理平台（8分）</w:t>
            </w:r>
          </w:p>
        </w:tc>
        <w:tc>
          <w:tcPr>
            <w:tcW w:w="3721" w:type="pct"/>
            <w:vAlign w:val="center"/>
          </w:tcPr>
          <w:p>
            <w:pPr>
              <w:rPr>
                <w:rFonts w:ascii="仿宋" w:hAnsi="仿宋" w:eastAsia="仿宋"/>
              </w:rPr>
            </w:pPr>
            <w:r>
              <w:rPr>
                <w:rFonts w:ascii="仿宋" w:hAnsi="仿宋" w:eastAsia="仿宋"/>
              </w:rPr>
              <w:t>根据投标人对</w:t>
            </w:r>
            <w:r>
              <w:rPr>
                <w:rFonts w:hint="eastAsia" w:ascii="仿宋" w:hAnsi="仿宋" w:eastAsia="仿宋"/>
              </w:rPr>
              <w:t>中央视频管理平台</w:t>
            </w:r>
            <w:r>
              <w:rPr>
                <w:rFonts w:ascii="仿宋" w:hAnsi="仿宋" w:eastAsia="仿宋"/>
              </w:rPr>
              <w:t>服务需求的理解程度，技术架构的先进性、技术指标的合理性、技术指标测算的科学性，设计方案的亮点与特色等方面，进行综合评分</w:t>
            </w:r>
            <w:r>
              <w:rPr>
                <w:rFonts w:hint="eastAsia" w:ascii="仿宋" w:hAnsi="仿宋" w:eastAsia="仿宋"/>
              </w:rPr>
              <w:t>。本项满分</w:t>
            </w:r>
            <w:r>
              <w:rPr>
                <w:rFonts w:ascii="仿宋" w:hAnsi="仿宋" w:eastAsia="仿宋"/>
              </w:rPr>
              <w:t>8</w:t>
            </w:r>
            <w:r>
              <w:rPr>
                <w:rFonts w:hint="eastAsia" w:ascii="仿宋" w:hAnsi="仿宋" w:eastAsia="仿宋"/>
              </w:rPr>
              <w:t>分。</w:t>
            </w:r>
          </w:p>
          <w:p>
            <w:pPr>
              <w:rPr>
                <w:rFonts w:ascii="仿宋" w:hAnsi="仿宋" w:eastAsia="仿宋"/>
              </w:rPr>
            </w:pPr>
            <w:r>
              <w:rPr>
                <w:rFonts w:hint="eastAsia" w:ascii="仿宋" w:hAnsi="仿宋" w:eastAsia="仿宋"/>
              </w:rPr>
              <w:t>1）提交的服务方案内容完整、合理、可行，得</w:t>
            </w:r>
            <w:r>
              <w:rPr>
                <w:rFonts w:ascii="仿宋" w:hAnsi="仿宋" w:eastAsia="仿宋"/>
              </w:rPr>
              <w:t>8</w:t>
            </w:r>
            <w:r>
              <w:rPr>
                <w:rFonts w:hint="eastAsia" w:ascii="仿宋" w:hAnsi="仿宋" w:eastAsia="仿宋"/>
              </w:rPr>
              <w:t>分；</w:t>
            </w:r>
          </w:p>
          <w:p>
            <w:pPr>
              <w:rPr>
                <w:rFonts w:ascii="仿宋" w:hAnsi="仿宋" w:eastAsia="仿宋"/>
              </w:rPr>
            </w:pPr>
            <w:r>
              <w:rPr>
                <w:rFonts w:hint="eastAsia" w:ascii="仿宋" w:hAnsi="仿宋" w:eastAsia="仿宋"/>
              </w:rPr>
              <w:t>2）提交的服务方案内容较完整、较合理、较为可行，得</w:t>
            </w:r>
            <w:r>
              <w:rPr>
                <w:rFonts w:ascii="仿宋" w:hAnsi="仿宋" w:eastAsia="仿宋"/>
              </w:rPr>
              <w:t>5</w:t>
            </w:r>
            <w:r>
              <w:rPr>
                <w:rFonts w:hint="eastAsia" w:ascii="仿宋" w:hAnsi="仿宋" w:eastAsia="仿宋"/>
              </w:rPr>
              <w:t>分；</w:t>
            </w:r>
          </w:p>
          <w:p>
            <w:pPr>
              <w:rPr>
                <w:rFonts w:ascii="仿宋" w:hAnsi="仿宋" w:eastAsia="仿宋"/>
              </w:rPr>
            </w:pPr>
            <w:r>
              <w:rPr>
                <w:rFonts w:hint="eastAsia" w:ascii="仿宋" w:hAnsi="仿宋" w:eastAsia="仿宋"/>
              </w:rPr>
              <w:t>3）提交的服务方案内容不够完整，功能欠完善，需要进行调整才能满足采购人使用需求，得</w:t>
            </w:r>
            <w:r>
              <w:rPr>
                <w:rFonts w:ascii="仿宋" w:hAnsi="仿宋" w:eastAsia="仿宋"/>
              </w:rPr>
              <w:t>3</w:t>
            </w:r>
            <w:r>
              <w:rPr>
                <w:rFonts w:hint="eastAsia" w:ascii="仿宋" w:hAnsi="仿宋" w:eastAsia="仿宋"/>
              </w:rPr>
              <w:t>分；</w:t>
            </w:r>
          </w:p>
          <w:p>
            <w:pPr>
              <w:rPr>
                <w:rFonts w:ascii="仿宋" w:hAnsi="仿宋" w:eastAsia="仿宋"/>
              </w:rPr>
            </w:pPr>
            <w:r>
              <w:rPr>
                <w:rFonts w:hint="eastAsia" w:ascii="仿宋" w:hAnsi="仿宋" w:eastAsia="仿宋"/>
              </w:rPr>
              <w:t>4）提交的服务方案内容不完整、不合理、可行性差，得0分。</w:t>
            </w:r>
          </w:p>
        </w:tc>
        <w:tc>
          <w:tcPr>
            <w:tcW w:w="362" w:type="pct"/>
          </w:tcPr>
          <w:p>
            <w:pPr>
              <w:rPr>
                <w:rFonts w:ascii="仿宋" w:hAnsi="仿宋" w:eastAsia="仿宋"/>
              </w:rPr>
            </w:pPr>
            <w:r>
              <w:rPr>
                <w:rFonts w:hint="eastAsia" w:ascii="仿宋" w:hAnsi="仿宋" w:eastAsia="仿宋"/>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hint="eastAsia" w:ascii="仿宋" w:hAnsi="仿宋" w:eastAsia="仿宋"/>
              </w:rPr>
              <w:t>竞赛监控子系统（6分）</w:t>
            </w:r>
          </w:p>
        </w:tc>
        <w:tc>
          <w:tcPr>
            <w:tcW w:w="3721" w:type="pct"/>
            <w:vAlign w:val="center"/>
          </w:tcPr>
          <w:p>
            <w:pPr>
              <w:rPr>
                <w:rFonts w:ascii="仿宋" w:hAnsi="仿宋" w:eastAsia="仿宋"/>
              </w:rPr>
            </w:pPr>
            <w:r>
              <w:rPr>
                <w:rFonts w:ascii="仿宋" w:hAnsi="仿宋" w:eastAsia="仿宋"/>
              </w:rPr>
              <w:t>根据投标人对</w:t>
            </w:r>
            <w:r>
              <w:rPr>
                <w:rFonts w:hint="eastAsia" w:ascii="仿宋" w:hAnsi="仿宋" w:eastAsia="仿宋"/>
              </w:rPr>
              <w:t>竞赛监控子系统</w:t>
            </w:r>
            <w:r>
              <w:rPr>
                <w:rFonts w:ascii="仿宋" w:hAnsi="仿宋" w:eastAsia="仿宋"/>
              </w:rPr>
              <w:t>服务需求的理解程度，技术架构的先进性、技术指标的合理性、技术指标测算的科学性，设计方案的亮点与特色等方面，进行综合评分</w:t>
            </w:r>
            <w:r>
              <w:rPr>
                <w:rFonts w:hint="eastAsia" w:ascii="仿宋" w:hAnsi="仿宋" w:eastAsia="仿宋"/>
              </w:rPr>
              <w:t>。本项满分</w:t>
            </w:r>
            <w:r>
              <w:rPr>
                <w:rFonts w:ascii="仿宋" w:hAnsi="仿宋" w:eastAsia="仿宋"/>
              </w:rPr>
              <w:t>6</w:t>
            </w:r>
            <w:r>
              <w:rPr>
                <w:rFonts w:hint="eastAsia" w:ascii="仿宋" w:hAnsi="仿宋" w:eastAsia="仿宋"/>
              </w:rPr>
              <w:t>分。</w:t>
            </w:r>
          </w:p>
          <w:p>
            <w:pPr>
              <w:rPr>
                <w:rFonts w:ascii="仿宋" w:hAnsi="仿宋" w:eastAsia="仿宋"/>
              </w:rPr>
            </w:pPr>
            <w:r>
              <w:rPr>
                <w:rFonts w:hint="eastAsia" w:ascii="仿宋" w:hAnsi="仿宋" w:eastAsia="仿宋"/>
              </w:rPr>
              <w:t>1）提交的服务方案内容完整、合理、可行，得</w:t>
            </w:r>
            <w:r>
              <w:rPr>
                <w:rFonts w:ascii="仿宋" w:hAnsi="仿宋" w:eastAsia="仿宋"/>
              </w:rPr>
              <w:t>6</w:t>
            </w:r>
            <w:r>
              <w:rPr>
                <w:rFonts w:hint="eastAsia" w:ascii="仿宋" w:hAnsi="仿宋" w:eastAsia="仿宋"/>
              </w:rPr>
              <w:t>分；</w:t>
            </w:r>
          </w:p>
          <w:p>
            <w:pPr>
              <w:rPr>
                <w:rFonts w:ascii="仿宋" w:hAnsi="仿宋" w:eastAsia="仿宋"/>
              </w:rPr>
            </w:pPr>
            <w:r>
              <w:rPr>
                <w:rFonts w:hint="eastAsia" w:ascii="仿宋" w:hAnsi="仿宋" w:eastAsia="仿宋"/>
              </w:rPr>
              <w:t>2）提交的服务方案内容较完整、较合理、较为可行，得</w:t>
            </w:r>
            <w:r>
              <w:rPr>
                <w:rFonts w:ascii="仿宋" w:hAnsi="仿宋" w:eastAsia="仿宋"/>
              </w:rPr>
              <w:t>3</w:t>
            </w:r>
            <w:r>
              <w:rPr>
                <w:rFonts w:hint="eastAsia" w:ascii="仿宋" w:hAnsi="仿宋" w:eastAsia="仿宋"/>
              </w:rPr>
              <w:t>分；</w:t>
            </w:r>
          </w:p>
          <w:p>
            <w:pPr>
              <w:rPr>
                <w:rFonts w:ascii="仿宋" w:hAnsi="仿宋" w:eastAsia="仿宋"/>
              </w:rPr>
            </w:pPr>
            <w:r>
              <w:rPr>
                <w:rFonts w:hint="eastAsia" w:ascii="仿宋" w:hAnsi="仿宋" w:eastAsia="仿宋"/>
              </w:rPr>
              <w:t>3）提交的服务方案内容不够完整，功能欠完善，需要进行调整才能满足采购人使用需求，得1分；</w:t>
            </w:r>
          </w:p>
          <w:p>
            <w:pPr>
              <w:rPr>
                <w:rFonts w:ascii="仿宋" w:hAnsi="仿宋" w:eastAsia="仿宋"/>
              </w:rPr>
            </w:pPr>
            <w:r>
              <w:rPr>
                <w:rFonts w:hint="eastAsia" w:ascii="仿宋" w:hAnsi="仿宋" w:eastAsia="仿宋"/>
              </w:rPr>
              <w:t>4）提交的服务方案内容不完整、不合理、可行性差，得0分。</w:t>
            </w:r>
          </w:p>
        </w:tc>
        <w:tc>
          <w:tcPr>
            <w:tcW w:w="362" w:type="pct"/>
          </w:tcPr>
          <w:p>
            <w:pPr>
              <w:rPr>
                <w:rFonts w:ascii="仿宋" w:hAnsi="仿宋" w:eastAsia="仿宋"/>
              </w:rPr>
            </w:pPr>
            <w:r>
              <w:rPr>
                <w:rFonts w:hint="eastAsia" w:ascii="仿宋" w:hAnsi="仿宋" w:eastAsia="仿宋"/>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hint="eastAsia" w:ascii="仿宋" w:hAnsi="仿宋" w:eastAsia="仿宋"/>
              </w:rPr>
              <w:t>竞赛闭路子系统（7分）</w:t>
            </w:r>
          </w:p>
        </w:tc>
        <w:tc>
          <w:tcPr>
            <w:tcW w:w="3721" w:type="pct"/>
            <w:vAlign w:val="center"/>
          </w:tcPr>
          <w:p>
            <w:pPr>
              <w:rPr>
                <w:rFonts w:ascii="仿宋" w:hAnsi="仿宋" w:eastAsia="仿宋"/>
              </w:rPr>
            </w:pPr>
            <w:r>
              <w:rPr>
                <w:rFonts w:ascii="仿宋" w:hAnsi="仿宋" w:eastAsia="仿宋"/>
              </w:rPr>
              <w:t>根据投标人对</w:t>
            </w:r>
            <w:r>
              <w:rPr>
                <w:rFonts w:hint="eastAsia" w:ascii="仿宋" w:hAnsi="仿宋" w:eastAsia="仿宋"/>
              </w:rPr>
              <w:t>竞赛闭路子系统</w:t>
            </w:r>
            <w:r>
              <w:rPr>
                <w:rFonts w:ascii="仿宋" w:hAnsi="仿宋" w:eastAsia="仿宋"/>
              </w:rPr>
              <w:t>服务需求的理解程度，技术架构的先进性、技术指标的合理性、技术指标测算的科学性，设计方案的亮点与特色等方面，进行综合评分</w:t>
            </w:r>
            <w:r>
              <w:rPr>
                <w:rFonts w:hint="eastAsia" w:ascii="仿宋" w:hAnsi="仿宋" w:eastAsia="仿宋"/>
              </w:rPr>
              <w:t>。本项满分</w:t>
            </w:r>
            <w:r>
              <w:rPr>
                <w:rFonts w:ascii="仿宋" w:hAnsi="仿宋" w:eastAsia="仿宋"/>
              </w:rPr>
              <w:t>7</w:t>
            </w:r>
            <w:r>
              <w:rPr>
                <w:rFonts w:hint="eastAsia" w:ascii="仿宋" w:hAnsi="仿宋" w:eastAsia="仿宋"/>
              </w:rPr>
              <w:t>分。</w:t>
            </w:r>
          </w:p>
          <w:p>
            <w:pPr>
              <w:rPr>
                <w:rFonts w:ascii="仿宋" w:hAnsi="仿宋" w:eastAsia="仿宋"/>
              </w:rPr>
            </w:pPr>
            <w:r>
              <w:rPr>
                <w:rFonts w:hint="eastAsia" w:ascii="仿宋" w:hAnsi="仿宋" w:eastAsia="仿宋"/>
              </w:rPr>
              <w:t>1）提交的服务方案内容完整、合理、可行，得</w:t>
            </w:r>
            <w:r>
              <w:rPr>
                <w:rFonts w:ascii="仿宋" w:hAnsi="仿宋" w:eastAsia="仿宋"/>
              </w:rPr>
              <w:t>7</w:t>
            </w:r>
            <w:r>
              <w:rPr>
                <w:rFonts w:hint="eastAsia" w:ascii="仿宋" w:hAnsi="仿宋" w:eastAsia="仿宋"/>
              </w:rPr>
              <w:t>分；</w:t>
            </w:r>
          </w:p>
          <w:p>
            <w:pPr>
              <w:rPr>
                <w:rFonts w:ascii="仿宋" w:hAnsi="仿宋" w:eastAsia="仿宋"/>
              </w:rPr>
            </w:pPr>
            <w:r>
              <w:rPr>
                <w:rFonts w:hint="eastAsia" w:ascii="仿宋" w:hAnsi="仿宋" w:eastAsia="仿宋"/>
              </w:rPr>
              <w:t>2）提交的服务方案内容较完整、较合理、较为可行，得</w:t>
            </w:r>
            <w:r>
              <w:rPr>
                <w:rFonts w:ascii="仿宋" w:hAnsi="仿宋" w:eastAsia="仿宋"/>
              </w:rPr>
              <w:t>4</w:t>
            </w:r>
            <w:r>
              <w:rPr>
                <w:rFonts w:hint="eastAsia" w:ascii="仿宋" w:hAnsi="仿宋" w:eastAsia="仿宋"/>
              </w:rPr>
              <w:t>分；</w:t>
            </w:r>
          </w:p>
          <w:p>
            <w:pPr>
              <w:rPr>
                <w:rFonts w:ascii="仿宋" w:hAnsi="仿宋" w:eastAsia="仿宋"/>
              </w:rPr>
            </w:pPr>
            <w:r>
              <w:rPr>
                <w:rFonts w:hint="eastAsia" w:ascii="仿宋" w:hAnsi="仿宋" w:eastAsia="仿宋"/>
              </w:rPr>
              <w:t>3）提交的服务方案内容不够完整，功能欠完善，需要进行调整才能满足采购人使用需求，得1分；</w:t>
            </w:r>
          </w:p>
          <w:p>
            <w:pPr>
              <w:rPr>
                <w:rFonts w:ascii="仿宋" w:hAnsi="仿宋" w:eastAsia="仿宋"/>
              </w:rPr>
            </w:pPr>
            <w:r>
              <w:rPr>
                <w:rFonts w:hint="eastAsia" w:ascii="仿宋" w:hAnsi="仿宋" w:eastAsia="仿宋"/>
              </w:rPr>
              <w:t>4）提交的服务方案内容不完整、不合理、可行性差，得0分。</w:t>
            </w:r>
          </w:p>
        </w:tc>
        <w:tc>
          <w:tcPr>
            <w:tcW w:w="362" w:type="pct"/>
          </w:tcPr>
          <w:p>
            <w:pPr>
              <w:rPr>
                <w:rFonts w:ascii="仿宋" w:hAnsi="仿宋" w:eastAsia="仿宋"/>
              </w:rPr>
            </w:pPr>
            <w:r>
              <w:rPr>
                <w:rFonts w:hint="eastAsia" w:ascii="仿宋" w:hAnsi="仿宋" w:eastAsia="仿宋"/>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hint="eastAsia" w:ascii="仿宋" w:hAnsi="仿宋" w:eastAsia="仿宋"/>
              </w:rPr>
              <w:t>视频直播子系统（9分）</w:t>
            </w:r>
          </w:p>
        </w:tc>
        <w:tc>
          <w:tcPr>
            <w:tcW w:w="3721" w:type="pct"/>
            <w:vAlign w:val="center"/>
          </w:tcPr>
          <w:p>
            <w:pPr>
              <w:rPr>
                <w:rFonts w:ascii="仿宋" w:hAnsi="仿宋" w:eastAsia="仿宋"/>
              </w:rPr>
            </w:pPr>
            <w:r>
              <w:rPr>
                <w:rFonts w:ascii="仿宋" w:hAnsi="仿宋" w:eastAsia="仿宋"/>
              </w:rPr>
              <w:t>根据投标人对</w:t>
            </w:r>
            <w:r>
              <w:rPr>
                <w:rFonts w:hint="eastAsia" w:ascii="仿宋" w:hAnsi="仿宋" w:eastAsia="仿宋"/>
              </w:rPr>
              <w:t>视频直播子系统</w:t>
            </w:r>
            <w:r>
              <w:rPr>
                <w:rFonts w:ascii="仿宋" w:hAnsi="仿宋" w:eastAsia="仿宋"/>
              </w:rPr>
              <w:t>服务需求的理解程度，服务内容和技术方案的创新性、对智慧体验的支持程度，技术架构的先进性，设计方案的亮点与特色等方面，进行综合评分</w:t>
            </w:r>
            <w:r>
              <w:rPr>
                <w:rFonts w:hint="eastAsia" w:ascii="仿宋" w:hAnsi="仿宋" w:eastAsia="仿宋"/>
              </w:rPr>
              <w:t>。本项满分</w:t>
            </w:r>
            <w:r>
              <w:rPr>
                <w:rFonts w:ascii="仿宋" w:hAnsi="仿宋" w:eastAsia="仿宋"/>
              </w:rPr>
              <w:t>9</w:t>
            </w:r>
            <w:r>
              <w:rPr>
                <w:rFonts w:hint="eastAsia" w:ascii="仿宋" w:hAnsi="仿宋" w:eastAsia="仿宋"/>
              </w:rPr>
              <w:t>分。</w:t>
            </w:r>
          </w:p>
          <w:p>
            <w:pPr>
              <w:rPr>
                <w:rFonts w:ascii="仿宋" w:hAnsi="仿宋" w:eastAsia="仿宋"/>
              </w:rPr>
            </w:pPr>
            <w:r>
              <w:rPr>
                <w:rFonts w:hint="eastAsia" w:ascii="仿宋" w:hAnsi="仿宋" w:eastAsia="仿宋"/>
              </w:rPr>
              <w:t>1）提交的服务方案内容完整、合理、可行，得</w:t>
            </w:r>
            <w:r>
              <w:rPr>
                <w:rFonts w:ascii="仿宋" w:hAnsi="仿宋" w:eastAsia="仿宋"/>
              </w:rPr>
              <w:t>9</w:t>
            </w:r>
            <w:r>
              <w:rPr>
                <w:rFonts w:hint="eastAsia" w:ascii="仿宋" w:hAnsi="仿宋" w:eastAsia="仿宋"/>
              </w:rPr>
              <w:t>分；</w:t>
            </w:r>
          </w:p>
          <w:p>
            <w:pPr>
              <w:rPr>
                <w:rFonts w:ascii="仿宋" w:hAnsi="仿宋" w:eastAsia="仿宋"/>
              </w:rPr>
            </w:pPr>
            <w:r>
              <w:rPr>
                <w:rFonts w:hint="eastAsia" w:ascii="仿宋" w:hAnsi="仿宋" w:eastAsia="仿宋"/>
              </w:rPr>
              <w:t>2）提交的服务方案内容较完整、较合理、较为可行，得</w:t>
            </w:r>
            <w:r>
              <w:rPr>
                <w:rFonts w:ascii="仿宋" w:hAnsi="仿宋" w:eastAsia="仿宋"/>
              </w:rPr>
              <w:t>5</w:t>
            </w:r>
            <w:r>
              <w:rPr>
                <w:rFonts w:hint="eastAsia" w:ascii="仿宋" w:hAnsi="仿宋" w:eastAsia="仿宋"/>
              </w:rPr>
              <w:t>分；</w:t>
            </w:r>
          </w:p>
          <w:p>
            <w:pPr>
              <w:rPr>
                <w:rFonts w:ascii="仿宋" w:hAnsi="仿宋" w:eastAsia="仿宋"/>
              </w:rPr>
            </w:pPr>
            <w:r>
              <w:rPr>
                <w:rFonts w:hint="eastAsia" w:ascii="仿宋" w:hAnsi="仿宋" w:eastAsia="仿宋"/>
              </w:rPr>
              <w:t>3）提交的服务方案内容不够完整，功能欠完善，需要进行调整才能满足采购人使用需求，得1分；</w:t>
            </w:r>
          </w:p>
          <w:p>
            <w:pPr>
              <w:rPr>
                <w:rFonts w:ascii="仿宋" w:hAnsi="仿宋" w:eastAsia="仿宋"/>
              </w:rPr>
            </w:pPr>
            <w:r>
              <w:rPr>
                <w:rFonts w:hint="eastAsia" w:ascii="仿宋" w:hAnsi="仿宋" w:eastAsia="仿宋"/>
              </w:rPr>
              <w:t>4）提交的服务方案内容不完整、不合理、可行性差，得0分。</w:t>
            </w:r>
          </w:p>
        </w:tc>
        <w:tc>
          <w:tcPr>
            <w:tcW w:w="362" w:type="pct"/>
          </w:tcPr>
          <w:p>
            <w:pPr>
              <w:rPr>
                <w:rFonts w:ascii="仿宋" w:hAnsi="仿宋" w:eastAsia="仿宋"/>
              </w:rPr>
            </w:pPr>
            <w:r>
              <w:rPr>
                <w:rFonts w:hint="eastAsia" w:ascii="仿宋" w:hAnsi="仿宋" w:eastAsia="仿宋"/>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ascii="仿宋" w:hAnsi="仿宋" w:eastAsia="仿宋"/>
              </w:rPr>
              <w:t>应急预案</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3721" w:type="pct"/>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根据投标人所提供的应急预案完整性、合理性、可行性等方面，进行综合评分，本</w:t>
            </w:r>
            <w:r>
              <w:rPr>
                <w:rFonts w:hint="eastAsia" w:ascii="仿宋" w:hAnsi="仿宋" w:eastAsia="仿宋"/>
                <w:szCs w:val="21"/>
                <w:lang w:bidi="en-US"/>
              </w:rPr>
              <w:t>项满分5分。</w:t>
            </w:r>
          </w:p>
          <w:p>
            <w:pPr>
              <w:widowControl/>
              <w:ind w:firstLine="0"/>
              <w:contextualSpacing/>
              <w:rPr>
                <w:rFonts w:ascii="仿宋" w:hAnsi="仿宋" w:eastAsia="仿宋"/>
                <w:szCs w:val="21"/>
                <w:lang w:bidi="en-US"/>
              </w:rPr>
            </w:pPr>
            <w:r>
              <w:rPr>
                <w:rFonts w:hint="eastAsia" w:ascii="仿宋" w:hAnsi="仿宋" w:eastAsia="仿宋"/>
                <w:szCs w:val="21"/>
                <w:lang w:bidi="en-US"/>
              </w:rPr>
              <w:t>1）提交的应急预案内容完整、合理、可行，得5分；</w:t>
            </w:r>
          </w:p>
          <w:p>
            <w:pPr>
              <w:widowControl/>
              <w:ind w:firstLine="0"/>
              <w:contextualSpacing/>
              <w:rPr>
                <w:rFonts w:ascii="仿宋" w:hAnsi="仿宋" w:eastAsia="仿宋"/>
                <w:szCs w:val="21"/>
                <w:lang w:bidi="en-US"/>
              </w:rPr>
            </w:pPr>
            <w:r>
              <w:rPr>
                <w:rFonts w:hint="eastAsia" w:ascii="仿宋" w:hAnsi="仿宋" w:eastAsia="仿宋"/>
                <w:szCs w:val="21"/>
                <w:lang w:bidi="en-US"/>
              </w:rPr>
              <w:t>2）提交的应急预案内容较完整、较合理、较为可行，得3分；</w:t>
            </w:r>
          </w:p>
          <w:p>
            <w:pPr>
              <w:widowControl/>
              <w:ind w:firstLine="0"/>
              <w:contextualSpacing/>
              <w:rPr>
                <w:rFonts w:ascii="仿宋" w:hAnsi="仿宋" w:eastAsia="仿宋"/>
                <w:szCs w:val="21"/>
                <w:lang w:bidi="en-US"/>
              </w:rPr>
            </w:pPr>
            <w:r>
              <w:rPr>
                <w:rFonts w:hint="eastAsia" w:ascii="仿宋" w:hAnsi="仿宋" w:eastAsia="仿宋"/>
                <w:szCs w:val="21"/>
                <w:lang w:bidi="en-US"/>
              </w:rPr>
              <w:t>3）提交的应急预案内容不够完整，功能欠完善，需要进行调整才能满足采购人使用需求，得1分；</w:t>
            </w:r>
          </w:p>
          <w:p>
            <w:pPr>
              <w:ind w:firstLine="0" w:firstLineChars="0"/>
              <w:rPr>
                <w:rFonts w:ascii="仿宋" w:hAnsi="仿宋" w:eastAsia="仿宋"/>
              </w:rPr>
            </w:pPr>
            <w:r>
              <w:rPr>
                <w:rFonts w:hint="eastAsia" w:ascii="仿宋" w:hAnsi="仿宋" w:eastAsia="仿宋"/>
                <w:szCs w:val="21"/>
                <w:lang w:bidi="en-US"/>
              </w:rPr>
              <w:t>4）提交的应急预案内容不完整、不合理、可行性差，得0分。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ascii="仿宋" w:hAnsi="仿宋" w:eastAsia="仿宋"/>
              </w:rPr>
              <w:t>质量保证计划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3721" w:type="pct"/>
            <w:vAlign w:val="center"/>
          </w:tcPr>
          <w:p>
            <w:pPr>
              <w:widowControl/>
              <w:ind w:firstLine="420"/>
              <w:contextualSpacing/>
              <w:rPr>
                <w:rFonts w:ascii="仿宋" w:hAnsi="仿宋" w:eastAsia="仿宋"/>
                <w:szCs w:val="21"/>
                <w:lang w:bidi="en-US"/>
              </w:rPr>
            </w:pPr>
            <w:r>
              <w:rPr>
                <w:rFonts w:ascii="仿宋" w:hAnsi="仿宋" w:eastAsia="仿宋"/>
                <w:szCs w:val="21"/>
                <w:lang w:bidi="en-US"/>
              </w:rPr>
              <w:t>从质量保证范围、质量保证措施、服务水平定义，服务水平保证措施等方面对投标人提供的质量保证计划进行综合评分，按</w:t>
            </w:r>
            <w:r>
              <w:rPr>
                <w:rFonts w:hint="eastAsia" w:ascii="仿宋" w:hAnsi="仿宋" w:eastAsia="仿宋"/>
                <w:szCs w:val="21"/>
                <w:lang w:bidi="en-US"/>
              </w:rPr>
              <w:t>本项满分5分。</w:t>
            </w:r>
          </w:p>
          <w:p>
            <w:pPr>
              <w:widowControl/>
              <w:ind w:firstLine="0"/>
              <w:contextualSpacing/>
              <w:rPr>
                <w:rFonts w:ascii="仿宋" w:hAnsi="仿宋" w:eastAsia="仿宋"/>
                <w:szCs w:val="21"/>
                <w:lang w:bidi="en-US"/>
              </w:rPr>
            </w:pPr>
            <w:r>
              <w:rPr>
                <w:rFonts w:hint="eastAsia" w:ascii="仿宋" w:hAnsi="仿宋" w:eastAsia="仿宋"/>
                <w:szCs w:val="21"/>
                <w:lang w:bidi="en-US"/>
              </w:rPr>
              <w:t>1）提交的质量保证计划内容完整、合理、可行，得5分；</w:t>
            </w:r>
          </w:p>
          <w:p>
            <w:pPr>
              <w:widowControl/>
              <w:ind w:firstLine="0"/>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）提交的质量保证计划内容一般完整、一般合理、可行性一般，得3分；</w:t>
            </w:r>
          </w:p>
          <w:p>
            <w:pPr>
              <w:ind w:firstLine="0" w:firstLineChars="0"/>
              <w:rPr>
                <w:rFonts w:ascii="仿宋" w:hAnsi="仿宋" w:eastAsia="仿宋"/>
              </w:rPr>
            </w:pPr>
            <w:r>
              <w:rPr>
                <w:rFonts w:ascii="仿宋" w:hAnsi="仿宋" w:eastAsia="仿宋"/>
                <w:szCs w:val="21"/>
                <w:lang w:bidi="en-US"/>
              </w:rPr>
              <w:t>3</w:t>
            </w:r>
            <w:r>
              <w:rPr>
                <w:rFonts w:hint="eastAsia" w:ascii="仿宋" w:hAnsi="仿宋" w:eastAsia="仿宋"/>
                <w:szCs w:val="21"/>
                <w:lang w:bidi="en-US"/>
              </w:rPr>
              <w:t>）提交的质量保证计划内容不完整、不合理、可行性差，得0分。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ascii="仿宋" w:hAnsi="仿宋" w:eastAsia="仿宋"/>
              </w:rPr>
              <w:t>人员管理计划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3721" w:type="pct"/>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szCs w:val="21"/>
                <w:lang w:bidi="en-US"/>
              </w:rPr>
              <w:t>本项满分5分</w:t>
            </w:r>
            <w:r>
              <w:rPr>
                <w:rFonts w:ascii="仿宋" w:hAnsi="仿宋" w:eastAsia="仿宋"/>
                <w:szCs w:val="21"/>
                <w:lang w:bidi="en-US"/>
              </w:rPr>
              <w:t>。</w:t>
            </w:r>
          </w:p>
          <w:p>
            <w:pPr>
              <w:widowControl/>
              <w:ind w:firstLine="0"/>
              <w:contextualSpacing/>
              <w:rPr>
                <w:rFonts w:ascii="仿宋" w:hAnsi="仿宋" w:eastAsia="仿宋"/>
                <w:szCs w:val="21"/>
                <w:lang w:bidi="en-US"/>
              </w:rPr>
            </w:pPr>
            <w:r>
              <w:rPr>
                <w:rFonts w:hint="eastAsia" w:ascii="仿宋" w:hAnsi="仿宋" w:eastAsia="仿宋"/>
                <w:szCs w:val="21"/>
                <w:lang w:bidi="en-US"/>
              </w:rPr>
              <w:t>1）所配备的人员岗位明确、数量合理，能够很好的满足采购人使用需要，得5分；</w:t>
            </w:r>
          </w:p>
          <w:p>
            <w:pPr>
              <w:widowControl/>
              <w:ind w:firstLine="0"/>
              <w:contextualSpacing/>
              <w:rPr>
                <w:rFonts w:ascii="仿宋" w:hAnsi="仿宋" w:eastAsia="仿宋"/>
                <w:szCs w:val="21"/>
                <w:lang w:bidi="en-US"/>
              </w:rPr>
            </w:pPr>
            <w:r>
              <w:rPr>
                <w:rFonts w:hint="eastAsia" w:ascii="仿宋" w:hAnsi="仿宋" w:eastAsia="仿宋"/>
                <w:szCs w:val="21"/>
                <w:lang w:bidi="en-US"/>
              </w:rPr>
              <w:t>2）提供了人员计划，但所提供人员岗位设置欠合理或和数量不足，与采购人使用需要存在一定偏差，得</w:t>
            </w:r>
            <w:r>
              <w:rPr>
                <w:rFonts w:ascii="仿宋" w:hAnsi="仿宋" w:eastAsia="仿宋"/>
                <w:szCs w:val="21"/>
                <w:lang w:bidi="en-US"/>
              </w:rPr>
              <w:t>2</w:t>
            </w:r>
            <w:r>
              <w:rPr>
                <w:rFonts w:hint="eastAsia" w:ascii="仿宋" w:hAnsi="仿宋" w:eastAsia="仿宋"/>
                <w:szCs w:val="21"/>
                <w:lang w:bidi="en-US"/>
              </w:rPr>
              <w:t>分；</w:t>
            </w:r>
          </w:p>
          <w:p>
            <w:pPr>
              <w:rPr>
                <w:rFonts w:ascii="仿宋" w:hAnsi="仿宋" w:eastAsia="仿宋"/>
              </w:rPr>
            </w:pPr>
            <w:r>
              <w:rPr>
                <w:rFonts w:hint="eastAsia" w:ascii="仿宋" w:hAnsi="仿宋" w:eastAsia="仿宋"/>
                <w:szCs w:val="21"/>
                <w:lang w:bidi="en-US"/>
              </w:rPr>
              <w:t>3）未提交人员计划或提交的人员计划与采购人使用需要有较大偏差的，得0分。</w:t>
            </w:r>
          </w:p>
        </w:tc>
        <w:tc>
          <w:tcPr>
            <w:tcW w:w="362" w:type="pct"/>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vMerge w:val="continue"/>
            <w:vAlign w:val="center"/>
          </w:tcPr>
          <w:p>
            <w:pPr>
              <w:rPr>
                <w:rFonts w:ascii="仿宋" w:hAnsi="仿宋" w:eastAsia="仿宋"/>
              </w:rPr>
            </w:pPr>
          </w:p>
        </w:tc>
        <w:tc>
          <w:tcPr>
            <w:tcW w:w="542" w:type="pct"/>
            <w:vAlign w:val="center"/>
          </w:tcPr>
          <w:p>
            <w:pPr>
              <w:rPr>
                <w:rFonts w:ascii="仿宋" w:hAnsi="仿宋" w:eastAsia="仿宋"/>
              </w:rPr>
            </w:pPr>
            <w:r>
              <w:rPr>
                <w:rFonts w:ascii="仿宋" w:hAnsi="仿宋" w:eastAsia="仿宋"/>
              </w:rPr>
              <w:t>进度管理计划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3721" w:type="pct"/>
            <w:vAlign w:val="center"/>
          </w:tcPr>
          <w:p>
            <w:pPr>
              <w:widowControl/>
              <w:ind w:firstLine="420"/>
              <w:contextualSpacing/>
              <w:rPr>
                <w:rFonts w:ascii="仿宋" w:hAnsi="仿宋" w:eastAsia="仿宋"/>
                <w:szCs w:val="21"/>
                <w:lang w:bidi="en-US"/>
              </w:rPr>
            </w:pPr>
            <w:r>
              <w:rPr>
                <w:rFonts w:ascii="仿宋" w:hAnsi="仿宋" w:eastAsia="仿宋"/>
                <w:szCs w:val="21"/>
                <w:lang w:bidi="en-US"/>
              </w:rPr>
              <w:t>从进度计划与十四运会和残特奥会整体时间安排的一致程度，进度管理措施的完备性、合理性，是否充分考虑到风险与不确定因素等方面，对投标人所提供的进度管理计划进行综合评分，</w:t>
            </w:r>
            <w:r>
              <w:rPr>
                <w:rFonts w:hint="eastAsia" w:ascii="仿宋" w:hAnsi="仿宋" w:eastAsia="仿宋"/>
                <w:szCs w:val="21"/>
                <w:lang w:bidi="en-US"/>
              </w:rPr>
              <w:t>本项满分5分。</w:t>
            </w:r>
          </w:p>
          <w:p>
            <w:pPr>
              <w:widowControl/>
              <w:ind w:firstLine="0"/>
              <w:contextualSpacing/>
              <w:rPr>
                <w:rFonts w:ascii="仿宋" w:hAnsi="仿宋" w:eastAsia="仿宋"/>
                <w:szCs w:val="21"/>
                <w:lang w:bidi="en-US"/>
              </w:rPr>
            </w:pPr>
            <w:r>
              <w:rPr>
                <w:rFonts w:hint="eastAsia" w:ascii="仿宋" w:hAnsi="仿宋" w:eastAsia="仿宋"/>
                <w:szCs w:val="21"/>
                <w:lang w:bidi="en-US"/>
              </w:rPr>
              <w:t>1）所提供的进度管理计划内容完整、合理、可行，得5分；</w:t>
            </w:r>
          </w:p>
          <w:p>
            <w:pPr>
              <w:widowControl/>
              <w:ind w:firstLine="0"/>
              <w:contextualSpacing/>
              <w:rPr>
                <w:rFonts w:ascii="仿宋" w:hAnsi="仿宋" w:eastAsia="仿宋"/>
                <w:szCs w:val="21"/>
                <w:lang w:bidi="en-US"/>
              </w:rPr>
            </w:pPr>
            <w:bookmarkStart w:id="85" w:name="_GoBack"/>
            <w:bookmarkEnd w:id="85"/>
            <w:r>
              <w:rPr>
                <w:rFonts w:hint="eastAsia" w:ascii="仿宋" w:hAnsi="仿宋" w:eastAsia="仿宋"/>
                <w:szCs w:val="21"/>
                <w:lang w:bidi="en-US"/>
              </w:rPr>
              <w:t>2）所提供的进度管理计划内容欠合理，与采购人使用需要存在一定偏差，得2分；</w:t>
            </w:r>
          </w:p>
          <w:p>
            <w:pPr>
              <w:rPr>
                <w:rFonts w:ascii="仿宋" w:hAnsi="仿宋" w:eastAsia="仿宋"/>
              </w:rPr>
            </w:pPr>
            <w:r>
              <w:rPr>
                <w:rFonts w:ascii="仿宋" w:hAnsi="仿宋" w:eastAsia="仿宋"/>
                <w:szCs w:val="21"/>
                <w:lang w:bidi="en-US"/>
              </w:rPr>
              <w:t>3</w:t>
            </w:r>
            <w:r>
              <w:rPr>
                <w:rFonts w:hint="eastAsia" w:ascii="仿宋" w:hAnsi="仿宋" w:eastAsia="仿宋"/>
                <w:szCs w:val="21"/>
                <w:lang w:bidi="en-US"/>
              </w:rPr>
              <w:t>）所提供的进度管理计划内容不完整、不合理、可行性差，得0分。</w:t>
            </w:r>
          </w:p>
        </w:tc>
        <w:tc>
          <w:tcPr>
            <w:tcW w:w="362" w:type="pct"/>
          </w:tcPr>
          <w:p>
            <w:pPr>
              <w:rPr>
                <w:rFonts w:ascii="仿宋" w:hAnsi="仿宋" w:eastAsia="仿宋"/>
              </w:rPr>
            </w:pPr>
            <w:r>
              <w:rPr>
                <w:rFonts w:hint="eastAsia" w:ascii="仿宋" w:hAnsi="仿宋" w:eastAsia="仿宋"/>
              </w:rPr>
              <w:t>5分</w:t>
            </w:r>
          </w:p>
        </w:tc>
      </w:tr>
    </w:tbl>
    <w:p>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bookmarkStart w:id="19" w:name="_Toc51935130"/>
      <w:r>
        <w:rPr>
          <w:rFonts w:hint="eastAsia" w:hAnsi="宋体"/>
          <w:b/>
          <w:color w:val="000000" w:themeColor="text1"/>
          <w:sz w:val="36"/>
          <w:szCs w:val="36"/>
          <w14:textFill>
            <w14:solidFill>
              <w14:schemeClr w14:val="tx1"/>
            </w14:solidFill>
          </w14:textFill>
        </w:rPr>
        <w:t>第四章  招标需求</w:t>
      </w:r>
      <w:bookmarkEnd w:id="19"/>
      <w:r>
        <w:rPr>
          <w:rFonts w:hint="eastAsia" w:ascii="仿宋" w:hAnsi="仿宋" w:eastAsia="仿宋"/>
          <w:b/>
          <w:color w:val="000000" w:themeColor="text1"/>
          <w:sz w:val="28"/>
          <w:szCs w:val="28"/>
          <w14:textFill>
            <w14:solidFill>
              <w14:schemeClr w14:val="tx1"/>
            </w14:solidFill>
          </w14:textFill>
        </w:rPr>
        <w:t>▲</w:t>
      </w:r>
    </w:p>
    <w:p>
      <w:pPr>
        <w:snapToGrid w:val="0"/>
        <w:spacing w:before="156" w:beforeLines="50" w:after="156" w:afterLines="50"/>
        <w:jc w:val="center"/>
        <w:rPr>
          <w:rFonts w:ascii="宋体" w:hAnsi="宋体" w:eastAsia="仿宋_GB2312"/>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1、招标需求中如果涉及具体品牌或型号，仅供参考，可报同档次或更优产品。</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4</w:t>
      </w:r>
      <w:r>
        <w:rPr>
          <w:rFonts w:hint="eastAsia" w:ascii="仿宋" w:hAnsi="仿宋" w:eastAsia="仿宋"/>
          <w:b/>
          <w:color w:val="000000" w:themeColor="text1"/>
          <w:sz w:val="28"/>
          <w:szCs w:val="28"/>
          <w14:textFill>
            <w14:solidFill>
              <w14:schemeClr w14:val="tx1"/>
            </w14:solidFill>
          </w14:textFill>
        </w:rPr>
        <w:t>、采购人拟采购的产品属于</w:t>
      </w:r>
      <w:r>
        <w:rPr>
          <w:rFonts w:hint="eastAsia" w:ascii="仿宋" w:hAnsi="仿宋" w:eastAsia="仿宋"/>
          <w:b/>
          <w:bCs/>
          <w:color w:val="000000" w:themeColor="text1"/>
          <w:sz w:val="28"/>
          <w:szCs w:val="28"/>
          <w14:textFill>
            <w14:solidFill>
              <w14:schemeClr w14:val="tx1"/>
            </w14:solidFill>
          </w14:textFill>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20" w:name="_Toc53212221"/>
      <w:r>
        <w:rPr>
          <w:rFonts w:hint="eastAsia" w:ascii="仿宋" w:hAnsi="仿宋" w:eastAsia="仿宋"/>
          <w:sz w:val="24"/>
          <w:szCs w:val="24"/>
        </w:rPr>
        <w:t>采购背景</w:t>
      </w:r>
      <w:bookmarkEnd w:id="20"/>
    </w:p>
    <w:p>
      <w:pPr>
        <w:pStyle w:val="24"/>
        <w:ind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全国运动会（简称“全运会”），是由国家体育总局主办的国内最高级别的大型综合性运动会。全运会每四年举办一次，前九届由北京、上海、广州三地轮流举办，此后四届由江苏、山东、辽宁、天津相继举办。2015年12月29日，国务院批复同意陕西省承办2021年第十四届全国运动会（以下简称“十四运会”）。十四运会是首届由中西部省份承办的全运会，是国家在陕西举办的一次重大标志性活动，也是建党一百周年、全面建成小康社会的重要历史节点，具有十分重要的历史意义。根据国家体育总局办公厅印发的《中华人民共和国第十四届运动会竞赛规程总则》要求，十四运会共设置34个比赛大项，387个小项。竞赛及非竞赛场馆共计53个，分布在陕西省13个市（区）。参赛运动员、教练员预计将达到2万人以上，工作人员、志愿者30万人以上，重大活动及各项赛事观众人数将达20万人次。</w:t>
      </w:r>
    </w:p>
    <w:p>
      <w:pPr>
        <w:pStyle w:val="24"/>
        <w:ind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第十一届残疾人运动会暨第八届特殊奥林匹克运动会（简称“残特奥会”）是由中国残疾人联合会、国家体育总局主办，国内规格最高、规模最大、竞技水平最高、辐射带动作用最强的综合性残疾人运动会,每四年举办一次。2018年5月，国务院批复同意陕西省承办2021年残特奥会，这是国内首次同城同期举办的全运会和残特奥会，也是党中央赋予陕西省无比光荣的政治任务。根据中国残疾人联合会、国家体育总局印发的《中华人民共和国第十一届残疾人运动会暨第八届特殊奥林匹克运动会竞赛规程总则》要求，本届残特奥会共设28个比赛大项，比赛将在西安、杨凌、宝鸡、铜川、渭南等地举行。残特奥会原则上使用与全运会相同的比赛场馆，部分项目使用新场馆。</w:t>
      </w:r>
    </w:p>
    <w:p>
      <w:pPr>
        <w:pStyle w:val="24"/>
        <w:ind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按照十四运会和残特奥会陕西省筹委会关于信息化建设“同步规划、同步实施、同步推进”的要求，确保十四运会建设成果最大程度延续服务于残特奥会，为同城同期举办两个运动会做好信息化保障，为实现“办一届精彩圆满的体育盛会”的目标，提供强有力的信息化保障。</w:t>
      </w:r>
    </w:p>
    <w:p>
      <w:pPr>
        <w:pStyle w:val="24"/>
        <w:ind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 xml:space="preserve"> “竞赛视频信息系统服务项目”项目是为了完成十四运会和残特奥会的实现竞赛视频服务的系统，主要服务包括中央视频管理平台、竞赛监控子系统、竞赛闭路子系统、视频直播子系统等，完成5</w:t>
      </w:r>
      <w:r>
        <w:rPr>
          <w:rFonts w:ascii="仿宋" w:hAnsi="仿宋" w:eastAsia="仿宋"/>
          <w:color w:val="000000"/>
          <w:kern w:val="0"/>
          <w:sz w:val="24"/>
          <w:lang w:bidi="en-US"/>
        </w:rPr>
        <w:t>9</w:t>
      </w:r>
      <w:r>
        <w:rPr>
          <w:rFonts w:hint="eastAsia" w:ascii="仿宋" w:hAnsi="仿宋" w:eastAsia="仿宋"/>
          <w:color w:val="000000"/>
          <w:kern w:val="0"/>
          <w:sz w:val="24"/>
          <w:lang w:bidi="en-US"/>
        </w:rPr>
        <w:t>个竞赛场馆和非竞赛场馆的竞赛视频服务服务。</w:t>
      </w:r>
    </w:p>
    <w:p>
      <w:pPr>
        <w:pStyle w:val="24"/>
        <w:ind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本项目以购买服务方式采购，合同履行期限从合同生效之日起至赛事收尾验收审计结束。</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21" w:name="_Toc53212222"/>
      <w:r>
        <w:rPr>
          <w:rFonts w:hint="eastAsia" w:ascii="仿宋" w:hAnsi="仿宋" w:eastAsia="仿宋"/>
          <w:sz w:val="24"/>
          <w:szCs w:val="24"/>
        </w:rPr>
        <w:t>服务内容</w:t>
      </w:r>
      <w:bookmarkEnd w:id="21"/>
    </w:p>
    <w:p>
      <w:pPr>
        <w:ind w:firstLine="480" w:firstLineChars="200"/>
        <w:rPr>
          <w:rFonts w:ascii="仿宋" w:hAnsi="仿宋" w:eastAsia="仿宋"/>
          <w:sz w:val="24"/>
          <w:szCs w:val="24"/>
        </w:rPr>
      </w:pPr>
      <w:r>
        <w:rPr>
          <w:rFonts w:hint="eastAsia" w:ascii="仿宋" w:hAnsi="仿宋" w:eastAsia="仿宋"/>
          <w:sz w:val="24"/>
          <w:szCs w:val="24"/>
        </w:rPr>
        <w:t>竞赛视频系统是实现竞赛视频服务的系统。竞赛视频系统建立在安全、高效的有线专网上实现竞赛视频服务，根据比赛项目、比赛场馆和比赛类型的不同，为运动员、教练员、裁判员等提供更加直观的竞赛视频信息和比赛进程，以便其更好了解赛事进程。竞赛视频系统包括中央视频管理平台、竞赛监控子系统、竞赛闭路子系统、视频直播子系统等。</w:t>
      </w:r>
    </w:p>
    <w:p>
      <w:pPr>
        <w:ind w:firstLine="480" w:firstLineChars="200"/>
        <w:rPr>
          <w:rFonts w:ascii="仿宋" w:hAnsi="仿宋" w:eastAsia="仿宋"/>
          <w:color w:val="000000"/>
          <w:sz w:val="24"/>
          <w:szCs w:val="24"/>
        </w:rPr>
      </w:pPr>
      <w:r>
        <w:rPr>
          <w:rFonts w:hint="eastAsia" w:ascii="仿宋" w:hAnsi="仿宋" w:eastAsia="仿宋"/>
          <w:color w:val="000000"/>
          <w:sz w:val="24"/>
          <w:szCs w:val="24"/>
        </w:rPr>
        <w:t>本节仅规定了本项目</w:t>
      </w:r>
      <w:r>
        <w:rPr>
          <w:rFonts w:ascii="仿宋" w:hAnsi="仿宋" w:eastAsia="仿宋"/>
          <w:color w:val="000000"/>
          <w:sz w:val="24"/>
          <w:szCs w:val="24"/>
        </w:rPr>
        <w:t>最基本的服务内容</w:t>
      </w:r>
      <w:r>
        <w:rPr>
          <w:rFonts w:hint="eastAsia" w:ascii="仿宋" w:hAnsi="仿宋" w:eastAsia="仿宋"/>
          <w:color w:val="000000"/>
          <w:sz w:val="24"/>
          <w:szCs w:val="24"/>
        </w:rPr>
        <w:t>，并未规定所有的服务内容和适用的标准。投标人应根据自身</w:t>
      </w:r>
      <w:r>
        <w:rPr>
          <w:rFonts w:ascii="仿宋" w:hAnsi="仿宋" w:eastAsia="仿宋"/>
          <w:color w:val="000000"/>
          <w:sz w:val="24"/>
          <w:szCs w:val="24"/>
        </w:rPr>
        <w:t>的经验和能力，</w:t>
      </w:r>
      <w:r>
        <w:rPr>
          <w:rFonts w:hint="eastAsia" w:ascii="仿宋" w:hAnsi="仿宋" w:eastAsia="仿宋"/>
          <w:color w:val="000000"/>
          <w:sz w:val="24"/>
          <w:szCs w:val="24"/>
        </w:rPr>
        <w:t>在</w:t>
      </w:r>
      <w:r>
        <w:rPr>
          <w:rFonts w:ascii="仿宋" w:hAnsi="仿宋" w:eastAsia="仿宋"/>
          <w:color w:val="000000"/>
          <w:sz w:val="24"/>
          <w:szCs w:val="24"/>
        </w:rPr>
        <w:t>充分</w:t>
      </w:r>
      <w:r>
        <w:rPr>
          <w:rFonts w:hint="eastAsia" w:ascii="仿宋" w:hAnsi="仿宋" w:eastAsia="仿宋"/>
          <w:color w:val="000000"/>
          <w:sz w:val="24"/>
          <w:szCs w:val="24"/>
        </w:rPr>
        <w:t>理解十四运会和残特奥会所有</w:t>
      </w:r>
      <w:r>
        <w:rPr>
          <w:rFonts w:ascii="仿宋" w:hAnsi="仿宋" w:eastAsia="仿宋"/>
          <w:color w:val="000000"/>
          <w:sz w:val="24"/>
          <w:szCs w:val="24"/>
        </w:rPr>
        <w:t>参与者需求</w:t>
      </w:r>
      <w:r>
        <w:rPr>
          <w:rFonts w:hint="eastAsia" w:ascii="仿宋" w:hAnsi="仿宋" w:eastAsia="仿宋"/>
          <w:color w:val="000000"/>
          <w:sz w:val="24"/>
          <w:szCs w:val="24"/>
        </w:rPr>
        <w:t>的</w:t>
      </w:r>
      <w:r>
        <w:rPr>
          <w:rFonts w:ascii="仿宋" w:hAnsi="仿宋" w:eastAsia="仿宋"/>
          <w:color w:val="000000"/>
          <w:sz w:val="24"/>
          <w:szCs w:val="24"/>
        </w:rPr>
        <w:t>基础上，</w:t>
      </w:r>
      <w:r>
        <w:rPr>
          <w:rFonts w:hint="eastAsia" w:ascii="仿宋" w:hAnsi="仿宋" w:eastAsia="仿宋"/>
          <w:color w:val="000000"/>
          <w:sz w:val="24"/>
          <w:szCs w:val="24"/>
        </w:rPr>
        <w:t>提供全面</w:t>
      </w:r>
      <w:r>
        <w:rPr>
          <w:rFonts w:ascii="仿宋" w:hAnsi="仿宋" w:eastAsia="仿宋"/>
          <w:color w:val="000000"/>
          <w:sz w:val="24"/>
          <w:szCs w:val="24"/>
        </w:rPr>
        <w:t>、</w:t>
      </w:r>
      <w:r>
        <w:rPr>
          <w:rFonts w:hint="eastAsia" w:ascii="仿宋" w:hAnsi="仿宋" w:eastAsia="仿宋"/>
          <w:color w:val="000000"/>
          <w:sz w:val="24"/>
          <w:szCs w:val="24"/>
        </w:rPr>
        <w:t>便捷</w:t>
      </w:r>
      <w:r>
        <w:rPr>
          <w:rFonts w:ascii="仿宋" w:hAnsi="仿宋" w:eastAsia="仿宋"/>
          <w:color w:val="000000"/>
          <w:sz w:val="24"/>
          <w:szCs w:val="24"/>
        </w:rPr>
        <w:t>、安全</w:t>
      </w:r>
      <w:r>
        <w:rPr>
          <w:rFonts w:hint="eastAsia" w:ascii="仿宋" w:hAnsi="仿宋" w:eastAsia="仿宋"/>
          <w:color w:val="000000"/>
          <w:sz w:val="24"/>
          <w:szCs w:val="24"/>
        </w:rPr>
        <w:t>、</w:t>
      </w:r>
      <w:r>
        <w:rPr>
          <w:rFonts w:ascii="仿宋" w:hAnsi="仿宋" w:eastAsia="仿宋"/>
          <w:color w:val="000000"/>
          <w:sz w:val="24"/>
          <w:szCs w:val="24"/>
        </w:rPr>
        <w:t>可靠的服务</w:t>
      </w:r>
      <w:r>
        <w:rPr>
          <w:rFonts w:hint="eastAsia" w:ascii="仿宋" w:hAnsi="仿宋" w:eastAsia="仿宋"/>
          <w:color w:val="000000"/>
          <w:sz w:val="24"/>
          <w:szCs w:val="24"/>
        </w:rPr>
        <w:t>。</w:t>
      </w:r>
    </w:p>
    <w:p>
      <w:pPr>
        <w:pStyle w:val="3"/>
        <w:numPr>
          <w:ilvl w:val="1"/>
          <w:numId w:val="31"/>
        </w:numPr>
        <w:rPr>
          <w:rFonts w:ascii="仿宋" w:hAnsi="仿宋" w:eastAsia="仿宋"/>
          <w:sz w:val="24"/>
          <w:szCs w:val="24"/>
        </w:rPr>
      </w:pPr>
      <w:bookmarkStart w:id="22" w:name="_Toc53212223"/>
      <w:r>
        <w:rPr>
          <w:rFonts w:hint="eastAsia" w:ascii="仿宋" w:hAnsi="仿宋" w:eastAsia="仿宋"/>
          <w:sz w:val="24"/>
          <w:szCs w:val="24"/>
        </w:rPr>
        <w:t>中央视频管理平台</w:t>
      </w:r>
      <w:bookmarkEnd w:id="22"/>
    </w:p>
    <w:p>
      <w:pPr>
        <w:ind w:firstLine="480" w:firstLineChars="200"/>
        <w:rPr>
          <w:rFonts w:ascii="仿宋" w:hAnsi="仿宋" w:eastAsia="仿宋"/>
          <w:sz w:val="24"/>
          <w:szCs w:val="24"/>
        </w:rPr>
      </w:pPr>
      <w:r>
        <w:rPr>
          <w:rFonts w:hint="eastAsia" w:ascii="仿宋" w:hAnsi="仿宋" w:eastAsia="仿宋"/>
          <w:sz w:val="24"/>
          <w:szCs w:val="24"/>
        </w:rPr>
        <w:t>中央视频管理平台是部署在主数据中心，对场馆竞赛视频统一管理的系统，主要功能包括视频直播点播服务、竞赛视频直播综合管理、CDN加速发布、竞赛视频内容储存、系统运行监控、视频直播发布、系统内部通信服务、平台接口服务等。</w:t>
      </w:r>
    </w:p>
    <w:p>
      <w:pPr>
        <w:pStyle w:val="3"/>
        <w:numPr>
          <w:ilvl w:val="1"/>
          <w:numId w:val="31"/>
        </w:numPr>
        <w:rPr>
          <w:rFonts w:ascii="仿宋" w:hAnsi="仿宋" w:eastAsia="仿宋"/>
          <w:sz w:val="24"/>
          <w:szCs w:val="24"/>
        </w:rPr>
      </w:pPr>
      <w:bookmarkStart w:id="23" w:name="_Toc53212224"/>
      <w:r>
        <w:rPr>
          <w:rFonts w:hint="eastAsia" w:ascii="仿宋" w:hAnsi="仿宋" w:eastAsia="仿宋"/>
          <w:sz w:val="24"/>
          <w:szCs w:val="24"/>
        </w:rPr>
        <w:t>竞赛监控子系统</w:t>
      </w:r>
      <w:bookmarkEnd w:id="23"/>
    </w:p>
    <w:p>
      <w:pPr>
        <w:ind w:firstLine="480" w:firstLineChars="200"/>
        <w:rPr>
          <w:rFonts w:ascii="仿宋" w:hAnsi="仿宋" w:eastAsia="仿宋"/>
          <w:sz w:val="24"/>
          <w:szCs w:val="24"/>
        </w:rPr>
      </w:pPr>
      <w:r>
        <w:rPr>
          <w:rFonts w:hint="eastAsia" w:ascii="仿宋" w:hAnsi="仿宋" w:eastAsia="仿宋"/>
          <w:sz w:val="24"/>
          <w:szCs w:val="24"/>
        </w:rPr>
        <w:t>竞赛监控子系统是赛事指挥管理服务体系中的重要组成部分，为满足不同人群对赛事整体情况的了解和监控服务，也为技术运行中心的管理、指挥、决策提供服务。该系统通过对现场视音频信号进行收集以数字信号的形式传输至本地服务器进行信号存储、处理。主要包括视频监控管理系统1套、数字矩阵管理系统1套、智能存储系统1套、前端高清视频采集系统51套以及需要的线缆及辅材等。</w:t>
      </w:r>
    </w:p>
    <w:p>
      <w:pPr>
        <w:pStyle w:val="3"/>
        <w:numPr>
          <w:ilvl w:val="1"/>
          <w:numId w:val="31"/>
        </w:numPr>
        <w:rPr>
          <w:rFonts w:ascii="仿宋" w:hAnsi="仿宋" w:eastAsia="仿宋"/>
          <w:sz w:val="24"/>
          <w:szCs w:val="24"/>
        </w:rPr>
      </w:pPr>
      <w:bookmarkStart w:id="24" w:name="_Toc53212225"/>
      <w:r>
        <w:rPr>
          <w:rFonts w:hint="eastAsia" w:ascii="仿宋" w:hAnsi="仿宋" w:eastAsia="仿宋"/>
          <w:sz w:val="24"/>
          <w:szCs w:val="24"/>
        </w:rPr>
        <w:t>竞赛闭路子系统</w:t>
      </w:r>
      <w:bookmarkEnd w:id="24"/>
    </w:p>
    <w:p>
      <w:pPr>
        <w:spacing w:line="360" w:lineRule="auto"/>
        <w:ind w:firstLine="480" w:firstLineChars="200"/>
        <w:rPr>
          <w:rFonts w:ascii="仿宋" w:hAnsi="仿宋" w:eastAsia="仿宋"/>
          <w:sz w:val="24"/>
          <w:szCs w:val="24"/>
        </w:rPr>
      </w:pPr>
      <w:r>
        <w:rPr>
          <w:rFonts w:hint="eastAsia" w:ascii="仿宋" w:hAnsi="仿宋" w:eastAsia="仿宋"/>
          <w:sz w:val="24"/>
          <w:szCs w:val="24"/>
        </w:rPr>
        <w:t>竞赛闭路子系统是汇总本场馆视频直播信号、仲裁录像信号、大屏成绩显示信号等多路信息，为后场准备区、热身区、竞赛官员休息室、裁判员休息室等位置提供信息服务。主要功能包括视频直播画面的发布、仲裁录像信息的发布、成绩显示信息的发布、与其他子系统的数据交换、多路信号源的切换等。具体如下表所示：</w:t>
      </w:r>
    </w:p>
    <w:tbl>
      <w:tblPr>
        <w:tblStyle w:val="58"/>
        <w:tblW w:w="8296" w:type="dxa"/>
        <w:tblInd w:w="0" w:type="dxa"/>
        <w:tblLayout w:type="fixed"/>
        <w:tblCellMar>
          <w:top w:w="0" w:type="dxa"/>
          <w:left w:w="108" w:type="dxa"/>
          <w:bottom w:w="0" w:type="dxa"/>
          <w:right w:w="108" w:type="dxa"/>
        </w:tblCellMar>
      </w:tblPr>
      <w:tblGrid>
        <w:gridCol w:w="971"/>
        <w:gridCol w:w="4175"/>
        <w:gridCol w:w="971"/>
        <w:gridCol w:w="936"/>
        <w:gridCol w:w="1243"/>
      </w:tblGrid>
      <w:tr>
        <w:tblPrEx>
          <w:tblCellMar>
            <w:top w:w="0" w:type="dxa"/>
            <w:left w:w="108" w:type="dxa"/>
            <w:bottom w:w="0" w:type="dxa"/>
            <w:right w:w="108" w:type="dxa"/>
          </w:tblCellMar>
        </w:tblPrEx>
        <w:trPr>
          <w:trHeight w:val="270" w:hRule="atLeast"/>
          <w:tblHeader/>
        </w:trPr>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41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9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124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田径竞赛闭路子系统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游泳场馆竞赛闭路子系统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跳水竞赛闭路子系统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花样游泳竞赛闭路子系统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水球场馆竞赛闭路子系统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公开水域竞赛闭路子系统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足球场馆竞赛闭路子系统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8</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射击竞赛闭路子系统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飞碟竞赛闭路子系统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射箭竞赛闭路子系统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羽毛球竞赛闭路子系统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篮球竞赛闭路子系统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拳击竞赛闭路子系统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赛艇竞赛闭路子系统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皮划艇竞赛闭路子系统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公路自行车竞赛闭路子系统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山地自行车竞赛闭路子系统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小轮车自行车竞赛闭路子系统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马术竞赛闭路子系统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击剑竞赛闭路子系统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高尔夫竞赛闭路子系统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体操竞赛闭路子系统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蹦床竞赛闭路子系统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艺术体操竞赛闭路子系统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手球竞赛闭路子系统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曲棍球竞赛闭路子系统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柔道竞赛闭路子系统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vMerge w:val="restart"/>
            <w:tcBorders>
              <w:top w:val="nil"/>
              <w:left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现代五项（马术）</w:t>
            </w:r>
          </w:p>
        </w:tc>
        <w:tc>
          <w:tcPr>
            <w:tcW w:w="971"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vMerge w:val="continue"/>
            <w:tcBorders>
              <w:left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现代五项（跑射联项）</w:t>
            </w:r>
          </w:p>
        </w:tc>
        <w:tc>
          <w:tcPr>
            <w:tcW w:w="971"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vMerge w:val="continue"/>
            <w:tcBorders>
              <w:left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现代五项（击剑）</w:t>
            </w:r>
          </w:p>
        </w:tc>
        <w:tc>
          <w:tcPr>
            <w:tcW w:w="971"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vMerge w:val="continue"/>
            <w:tcBorders>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现代五项（游泳）</w:t>
            </w:r>
          </w:p>
        </w:tc>
        <w:tc>
          <w:tcPr>
            <w:tcW w:w="971"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橄榄球竞赛闭路子系统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乒乓球竞赛闭路子系统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跆拳道竞赛闭路子系统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网球竞赛闭路子系统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铁人三项竞赛闭路子系统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排球竞赛闭路子系统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沙滩排球竞赛闭路子系统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举重竞赛闭路子系统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摔跤竞赛闭路子系统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棒球竞赛闭路子系统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垒球竞赛闭路子系统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空手道竞赛闭路子系统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滑板竞赛闭路子系统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攀岩竞赛闭路子系统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武术套路竞赛闭路子系统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武术散打竞赛闭路子系统</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936"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43" w:type="dxa"/>
            <w:tcBorders>
              <w:top w:val="nil"/>
              <w:left w:val="nil"/>
              <w:bottom w:val="single" w:color="auto" w:sz="4" w:space="0"/>
              <w:right w:val="single" w:color="auto" w:sz="4"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场地自行车</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43"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帆船</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43"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帆板</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43"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皮划艇（激流回旋）</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43"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971"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417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冲浪</w:t>
            </w:r>
          </w:p>
        </w:tc>
        <w:tc>
          <w:tcPr>
            <w:tcW w:w="97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43" w:type="dxa"/>
            <w:tcBorders>
              <w:top w:val="nil"/>
              <w:left w:val="nil"/>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省外项目</w:t>
            </w:r>
          </w:p>
        </w:tc>
      </w:tr>
    </w:tbl>
    <w:p>
      <w:pPr>
        <w:pStyle w:val="3"/>
        <w:numPr>
          <w:ilvl w:val="1"/>
          <w:numId w:val="31"/>
        </w:numPr>
        <w:rPr>
          <w:rFonts w:ascii="仿宋" w:hAnsi="仿宋" w:eastAsia="仿宋"/>
          <w:sz w:val="24"/>
          <w:szCs w:val="24"/>
        </w:rPr>
      </w:pPr>
      <w:bookmarkStart w:id="25" w:name="_Toc53212226"/>
      <w:r>
        <w:rPr>
          <w:rFonts w:hint="eastAsia" w:ascii="仿宋" w:hAnsi="仿宋" w:eastAsia="仿宋"/>
          <w:sz w:val="24"/>
          <w:szCs w:val="24"/>
        </w:rPr>
        <w:t>视频直播子系统</w:t>
      </w:r>
      <w:bookmarkEnd w:id="25"/>
    </w:p>
    <w:p>
      <w:pPr>
        <w:ind w:firstLine="480" w:firstLineChars="200"/>
        <w:rPr>
          <w:rFonts w:ascii="仿宋" w:hAnsi="仿宋" w:eastAsia="仿宋"/>
          <w:sz w:val="24"/>
          <w:szCs w:val="24"/>
        </w:rPr>
      </w:pPr>
      <w:r>
        <w:rPr>
          <w:rFonts w:hint="eastAsia" w:ascii="仿宋" w:hAnsi="仿宋" w:eastAsia="仿宋"/>
          <w:sz w:val="24"/>
          <w:szCs w:val="24"/>
        </w:rPr>
        <w:t>视频直播子系统向竞赛视频处理中心、技术运行中心的指挥管理人员以及其他授权用户提供全项目、全场馆、全场次的竞赛视频直播服务。主要功能包括摄像、视频处理、视频发布等。具体如下表所示：</w:t>
      </w:r>
    </w:p>
    <w:tbl>
      <w:tblPr>
        <w:tblStyle w:val="58"/>
        <w:tblW w:w="8296" w:type="dxa"/>
        <w:tblInd w:w="0" w:type="dxa"/>
        <w:tblLayout w:type="fixed"/>
        <w:tblCellMar>
          <w:top w:w="0" w:type="dxa"/>
          <w:left w:w="108" w:type="dxa"/>
          <w:bottom w:w="0" w:type="dxa"/>
          <w:right w:w="108" w:type="dxa"/>
        </w:tblCellMar>
      </w:tblPr>
      <w:tblGrid>
        <w:gridCol w:w="1006"/>
        <w:gridCol w:w="4211"/>
        <w:gridCol w:w="1005"/>
        <w:gridCol w:w="718"/>
        <w:gridCol w:w="1356"/>
      </w:tblGrid>
      <w:tr>
        <w:tblPrEx>
          <w:tblCellMar>
            <w:top w:w="0" w:type="dxa"/>
            <w:left w:w="108" w:type="dxa"/>
            <w:bottom w:w="0" w:type="dxa"/>
            <w:right w:w="108" w:type="dxa"/>
          </w:tblCellMar>
        </w:tblPrEx>
        <w:trPr>
          <w:trHeight w:val="270" w:hRule="atLeast"/>
          <w:tblHeader/>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42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10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718" w:type="dxa"/>
            <w:tcBorders>
              <w:top w:val="single" w:color="auto" w:sz="4" w:space="0"/>
              <w:left w:val="nil"/>
              <w:bottom w:val="single" w:color="auto" w:sz="4" w:space="0"/>
              <w:right w:val="single" w:color="auto" w:sz="4" w:space="0"/>
            </w:tcBorders>
            <w:vAlign w:val="center"/>
          </w:tcPr>
          <w:p>
            <w:pPr>
              <w:widowControl/>
              <w:spacing w:line="400" w:lineRule="exact"/>
              <w:jc w:val="center"/>
            </w:pPr>
            <w:r>
              <w:rPr>
                <w:rFonts w:hint="eastAsia" w:ascii="仿宋" w:hAnsi="仿宋" w:eastAsia="仿宋" w:cs="宋体"/>
                <w:b/>
                <w:bCs/>
                <w:kern w:val="0"/>
                <w:sz w:val="24"/>
                <w:szCs w:val="24"/>
              </w:rPr>
              <w:t>单位</w:t>
            </w:r>
          </w:p>
        </w:tc>
        <w:tc>
          <w:tcPr>
            <w:tcW w:w="13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田径视频直播子系统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游泳场馆视频直播子系统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跳水视频直播子系统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花样游泳视频直播子系统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水球场馆视频直播子系统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公开水域视频直播子系统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足球场馆视频直播子系统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8</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射击视频直播子系统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飞碟视频直播子系统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射箭视频直播子系统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羽毛球视频直播子系统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篮球视频直播子系统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拳击视频直播子系统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赛艇视频直播子系统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皮划艇视频直播子系统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公路自行车视频直播子系统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山地自行车视频直播子系统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小轮车自行车视频直播子系统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马术视频直播子系统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击剑视频直播子系统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高尔夫视频直播子系统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体操视频直播子系统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蹦床视频直播子系统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艺术体操视频直播子系统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手球视频直播子系统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曲棍球视频直播子系统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柔道视频直播子系统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现代五项（马术）</w:t>
            </w:r>
          </w:p>
        </w:tc>
        <w:tc>
          <w:tcPr>
            <w:tcW w:w="1005"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vMerge w:val="restart"/>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现代五项（跑射联项）</w:t>
            </w: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71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现代五项（击剑）</w:t>
            </w: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71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现代五项（游泳）</w:t>
            </w: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p>
        </w:tc>
        <w:tc>
          <w:tcPr>
            <w:tcW w:w="71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橄榄球视频直播子系统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乒乓球视频直播子系统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跆拳道视频直播子系统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网球视频直播子系统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铁人三项视频直播子系统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排球视频直播子系统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沙滩排球视频直播子系统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举重视频直播子系统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摔跤视频直播子系统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棒球视频直播子系统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垒球视频直播子系统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空手道视频直播子系统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滑板视频直播子系统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攀岩视频直播子系统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武术套路视频直播子系统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武术散打视频直播子系统</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套</w:t>
            </w:r>
          </w:p>
        </w:tc>
        <w:tc>
          <w:tcPr>
            <w:tcW w:w="1356"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场地自行车</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w:t>
            </w:r>
          </w:p>
        </w:tc>
        <w:tc>
          <w:tcPr>
            <w:tcW w:w="1356"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帆船</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w:t>
            </w:r>
          </w:p>
        </w:tc>
        <w:tc>
          <w:tcPr>
            <w:tcW w:w="1356"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帆板</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w:t>
            </w:r>
          </w:p>
        </w:tc>
        <w:tc>
          <w:tcPr>
            <w:tcW w:w="1356"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皮划艇（激流回旋）</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718" w:type="dxa"/>
            <w:tcBorders>
              <w:top w:val="nil"/>
              <w:left w:val="nil"/>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w:t>
            </w:r>
          </w:p>
        </w:tc>
        <w:tc>
          <w:tcPr>
            <w:tcW w:w="1356"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省外项目</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4211"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冲浪</w:t>
            </w:r>
          </w:p>
        </w:tc>
        <w:tc>
          <w:tcPr>
            <w:tcW w:w="1005" w:type="dxa"/>
            <w:tcBorders>
              <w:top w:val="nil"/>
              <w:left w:val="nil"/>
              <w:bottom w:val="single" w:color="auto" w:sz="4" w:space="0"/>
              <w:right w:val="single" w:color="auto" w:sz="4" w:space="0"/>
            </w:tcBorders>
            <w:vAlign w:val="center"/>
          </w:tcPr>
          <w:p>
            <w:pPr>
              <w:widowControl/>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718"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w:t>
            </w:r>
          </w:p>
        </w:tc>
        <w:tc>
          <w:tcPr>
            <w:tcW w:w="1356" w:type="dxa"/>
            <w:tcBorders>
              <w:top w:val="nil"/>
              <w:left w:val="nil"/>
              <w:bottom w:val="single" w:color="auto" w:sz="4" w:space="0"/>
              <w:right w:val="single" w:color="auto" w:sz="4" w:space="0"/>
            </w:tcBorders>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省外项目</w:t>
            </w:r>
          </w:p>
        </w:tc>
      </w:tr>
    </w:tbl>
    <w:p>
      <w:pPr>
        <w:pStyle w:val="3"/>
        <w:numPr>
          <w:ilvl w:val="1"/>
          <w:numId w:val="31"/>
        </w:numPr>
        <w:rPr>
          <w:rFonts w:ascii="仿宋" w:hAnsi="仿宋" w:eastAsia="仿宋"/>
          <w:sz w:val="24"/>
          <w:szCs w:val="24"/>
        </w:rPr>
      </w:pPr>
      <w:bookmarkStart w:id="26" w:name="_Toc53212227"/>
      <w:r>
        <w:rPr>
          <w:rFonts w:hint="eastAsia" w:ascii="仿宋" w:hAnsi="仿宋" w:eastAsia="仿宋"/>
          <w:sz w:val="24"/>
          <w:szCs w:val="24"/>
        </w:rPr>
        <w:t>残特奥会延续服务内容</w:t>
      </w:r>
      <w:bookmarkEnd w:id="26"/>
    </w:p>
    <w:p>
      <w:pPr>
        <w:spacing w:line="480" w:lineRule="exact"/>
        <w:ind w:firstLine="480" w:firstLineChars="200"/>
        <w:rPr>
          <w:rFonts w:ascii="仿宋" w:hAnsi="仿宋" w:eastAsia="仿宋"/>
          <w:sz w:val="24"/>
          <w:szCs w:val="24"/>
        </w:rPr>
      </w:pPr>
      <w:r>
        <w:rPr>
          <w:rFonts w:hint="eastAsia" w:ascii="仿宋" w:hAnsi="仿宋" w:eastAsia="仿宋"/>
          <w:sz w:val="24"/>
          <w:szCs w:val="24"/>
        </w:rPr>
        <w:t>残特奥会延续复用十四运会竞赛视频系统服务，具体服务功能要求与十四运会相同，服务范围覆盖残特奥会各场馆。</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可直接复用的竞赛视频系统见下表：</w:t>
      </w:r>
    </w:p>
    <w:tbl>
      <w:tblPr>
        <w:tblStyle w:val="58"/>
        <w:tblW w:w="8286" w:type="dxa"/>
        <w:tblInd w:w="0" w:type="dxa"/>
        <w:tblLayout w:type="fixed"/>
        <w:tblCellMar>
          <w:top w:w="0" w:type="dxa"/>
          <w:left w:w="108" w:type="dxa"/>
          <w:bottom w:w="0" w:type="dxa"/>
          <w:right w:w="108" w:type="dxa"/>
        </w:tblCellMar>
      </w:tblPr>
      <w:tblGrid>
        <w:gridCol w:w="675"/>
        <w:gridCol w:w="993"/>
        <w:gridCol w:w="3969"/>
        <w:gridCol w:w="641"/>
        <w:gridCol w:w="641"/>
        <w:gridCol w:w="1367"/>
      </w:tblGrid>
      <w:tr>
        <w:tblPrEx>
          <w:tblCellMar>
            <w:top w:w="0" w:type="dxa"/>
            <w:left w:w="108" w:type="dxa"/>
            <w:bottom w:w="0" w:type="dxa"/>
            <w:right w:w="108" w:type="dxa"/>
          </w:tblCellMar>
        </w:tblPrEx>
        <w:trPr>
          <w:trHeight w:val="435" w:hRule="atLeast"/>
          <w:tblHeader/>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993"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可复用十四运会系统或服务内容</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kern w:val="0"/>
                <w:sz w:val="24"/>
                <w:szCs w:val="24"/>
              </w:rPr>
              <w:t>数量</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kern w:val="0"/>
                <w:sz w:val="24"/>
                <w:szCs w:val="24"/>
              </w:rPr>
              <w:t>单位</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93" w:type="dxa"/>
            <w:vMerge w:val="restart"/>
            <w:tcBorders>
              <w:top w:val="nil"/>
              <w:left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仲裁录像子系统</w:t>
            </w: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1残运会-田径仲裁录像子系统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2残运会-游泳仲裁录像子系统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3残运会-乒乓球仲裁录像子系统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4残运会-轮椅击剑仲裁录像子系统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5残运会-羽毛球仲裁录像子系统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6残运会-射击仲裁录像子系统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7残运会-射箭仲裁录像子系统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8残运会-盲人柔道仲裁录像子系统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9残运会-跆拳道仲裁录像子系统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10残运会-硬地滚球仲裁录像子系统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11残运会-盲人门球仲裁录像子系统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12残运会-轮椅篮球仲裁录像子系统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13残运会-坐式排球仲裁录像子系统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14残运会-聋人篮球仲裁录像子系统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15残运会-盲人足球仲裁录像子系统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16残运会-赛艇仲裁录像子系统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17残运会-皮划艇仲裁录像子系统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18特奥会-田径仲裁录像子系统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993" w:type="dxa"/>
            <w:vMerge w:val="continue"/>
            <w:tcBorders>
              <w:left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19特奥会-游泳仲裁录像子系统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993" w:type="dxa"/>
            <w:vMerge w:val="continue"/>
            <w:tcBorders>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 大众体育-盲人跳绳</w:t>
            </w:r>
            <w:r>
              <w:rPr>
                <w:rFonts w:hint="eastAsia" w:ascii="仿宋" w:hAnsi="仿宋" w:eastAsia="仿宋"/>
                <w:sz w:val="24"/>
                <w:szCs w:val="24"/>
              </w:rPr>
              <w:t>仲裁录像子系统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993" w:type="dxa"/>
            <w:vMerge w:val="restart"/>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竞赛闭路子系统</w:t>
            </w: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1残运会-田径竞赛闭路子系统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2残运会-游泳竞赛闭路子系统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3残运会-乒乓球竞赛闭路子系统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4残运会-轮椅击剑竞赛闭路子系统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tabs>
                <w:tab w:val="left" w:pos="290"/>
              </w:tabs>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5残运会-羽毛球竞赛闭路子系统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6残运会-射击竞赛闭路子系统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7残运会-射箭竞赛闭路子系统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8残运会-盲人柔道竞赛闭路子系统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9残运会-跆拳道竞赛闭路子系统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10残运会-硬地滚球竞赛闭路子系统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11残运会-盲人门球竞赛闭路子系统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12残运会-轮椅篮球竞赛闭路子系统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13残运会-坐式排球竞赛闭路子系统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14残运会-聋人篮球竞赛闭路子系统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15残运会-盲人足球竞赛闭路子系统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16残运会-赛艇竞赛闭路子系统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17残运会-皮划艇竞赛闭路子系统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18特奥会-田径竞赛闭路子系统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sz w:val="24"/>
                <w:szCs w:val="24"/>
              </w:rPr>
            </w:pPr>
            <w:r>
              <w:rPr>
                <w:rFonts w:hint="eastAsia" w:ascii="仿宋" w:hAnsi="仿宋" w:eastAsia="仿宋"/>
                <w:sz w:val="24"/>
                <w:szCs w:val="24"/>
              </w:rPr>
              <w:t>19特奥会-游泳竞赛闭路子系统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20 大众体育-盲人跳绳竞赛闭路子系统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993" w:type="dxa"/>
            <w:vMerge w:val="restart"/>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视频直播子系统</w:t>
            </w: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1残运会-田径视频直播子系统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2残运会-游泳视频直播子系统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3残运会-乒乓球视频直播子系统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4残运会-轮椅击剑视频直播子系统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5残运会-羽毛球视频直播子系统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6残运会-射击视频直播子系统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7残运会-射箭视频直播子系统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8残运会-盲人柔道视频直播子系统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9残运会-跆拳道视频直播子系统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10残运会-硬地滚球视频直播子系统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11残运会-盲人门球视频直播子系统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12残运会-轮椅篮球视频直播子系统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13残运会-坐式排球视频直播子系统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14残运会-聋人篮球视频直播子系统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15残运会-盲人足球视频直播子系统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16残运会-赛艇视频直播子系统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17残运会-皮划艇视频直播子系统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18特奥会-田径视频直播子系统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9</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sz w:val="24"/>
                <w:szCs w:val="24"/>
              </w:rPr>
            </w:pPr>
            <w:r>
              <w:rPr>
                <w:rFonts w:hint="eastAsia" w:ascii="仿宋" w:hAnsi="仿宋" w:eastAsia="仿宋"/>
                <w:sz w:val="24"/>
                <w:szCs w:val="24"/>
              </w:rPr>
              <w:t>19特奥会-游泳视频直播子系统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r>
              <w:rPr>
                <w:rFonts w:ascii="仿宋" w:hAnsi="仿宋" w:eastAsia="仿宋" w:cs="宋体"/>
                <w:color w:val="000000"/>
                <w:kern w:val="0"/>
                <w:sz w:val="24"/>
                <w:szCs w:val="24"/>
              </w:rPr>
              <w:t>0</w:t>
            </w:r>
          </w:p>
        </w:tc>
        <w:tc>
          <w:tcPr>
            <w:tcW w:w="993"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nil"/>
              <w:left w:val="nil"/>
              <w:bottom w:val="single" w:color="auto" w:sz="8" w:space="0"/>
              <w:right w:val="single" w:color="auto" w:sz="8" w:space="0"/>
            </w:tcBorders>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z w:val="24"/>
                <w:szCs w:val="24"/>
              </w:rPr>
              <w:t>20 大众体育-盲人跳绳视频直播子系统</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nil"/>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nil"/>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r>
              <w:rPr>
                <w:rFonts w:ascii="仿宋" w:hAnsi="仿宋" w:eastAsia="仿宋" w:cs="宋体"/>
                <w:color w:val="000000"/>
                <w:kern w:val="0"/>
                <w:sz w:val="24"/>
                <w:szCs w:val="24"/>
              </w:rPr>
              <w:t>1</w:t>
            </w:r>
          </w:p>
        </w:tc>
        <w:tc>
          <w:tcPr>
            <w:tcW w:w="993" w:type="dxa"/>
            <w:vMerge w:val="restart"/>
            <w:tcBorders>
              <w:top w:val="single" w:color="auto" w:sz="8" w:space="0"/>
              <w:left w:val="nil"/>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竞赛监控子系统</w:t>
            </w: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视频监控管理系统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r>
              <w:rPr>
                <w:rFonts w:ascii="仿宋" w:hAnsi="仿宋" w:eastAsia="仿宋" w:cs="宋体"/>
                <w:color w:val="000000"/>
                <w:kern w:val="0"/>
                <w:sz w:val="24"/>
                <w:szCs w:val="24"/>
              </w:rPr>
              <w:t>2</w:t>
            </w:r>
          </w:p>
        </w:tc>
        <w:tc>
          <w:tcPr>
            <w:tcW w:w="993" w:type="dxa"/>
            <w:vMerge w:val="continue"/>
            <w:tcBorders>
              <w:left w:val="nil"/>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数字矩阵管理系统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r>
              <w:rPr>
                <w:rFonts w:ascii="仿宋" w:hAnsi="仿宋" w:eastAsia="仿宋" w:cs="宋体"/>
                <w:color w:val="000000"/>
                <w:kern w:val="0"/>
                <w:sz w:val="24"/>
                <w:szCs w:val="24"/>
              </w:rPr>
              <w:t>3</w:t>
            </w:r>
          </w:p>
        </w:tc>
        <w:tc>
          <w:tcPr>
            <w:tcW w:w="993" w:type="dxa"/>
            <w:vMerge w:val="continue"/>
            <w:tcBorders>
              <w:left w:val="nil"/>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智能存储系统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64</w:t>
            </w:r>
          </w:p>
        </w:tc>
        <w:tc>
          <w:tcPr>
            <w:tcW w:w="993" w:type="dxa"/>
            <w:vMerge w:val="continue"/>
            <w:tcBorders>
              <w:left w:val="nil"/>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前端高清视频采集系统</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7</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个复用场馆</w:t>
            </w: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65</w:t>
            </w:r>
          </w:p>
        </w:tc>
        <w:tc>
          <w:tcPr>
            <w:tcW w:w="993" w:type="dxa"/>
            <w:vMerge w:val="continue"/>
            <w:tcBorders>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线缆及辅材</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个复用场馆</w:t>
            </w:r>
          </w:p>
        </w:tc>
      </w:tr>
      <w:tr>
        <w:tblPrEx>
          <w:tblCellMar>
            <w:top w:w="0" w:type="dxa"/>
            <w:left w:w="108" w:type="dxa"/>
            <w:bottom w:w="0" w:type="dxa"/>
            <w:right w:w="108" w:type="dxa"/>
          </w:tblCellMar>
        </w:tblPrEx>
        <w:trPr>
          <w:trHeight w:val="28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66</w:t>
            </w:r>
          </w:p>
        </w:tc>
        <w:tc>
          <w:tcPr>
            <w:tcW w:w="993"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中央视频管理平台</w:t>
            </w:r>
          </w:p>
        </w:tc>
        <w:tc>
          <w:tcPr>
            <w:tcW w:w="3969"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复用十四运会中央视频管理平台</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1"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67" w:type="dxa"/>
            <w:tcBorders>
              <w:top w:val="single" w:color="auto" w:sz="8" w:space="0"/>
              <w:left w:val="nil"/>
              <w:bottom w:val="single" w:color="auto" w:sz="8" w:space="0"/>
              <w:right w:val="single" w:color="auto" w:sz="8" w:space="0"/>
            </w:tcBorders>
            <w:vAlign w:val="center"/>
          </w:tcPr>
          <w:p>
            <w:pPr>
              <w:widowControl/>
              <w:spacing w:line="400" w:lineRule="exact"/>
              <w:ind w:firstLine="480" w:firstLineChars="200"/>
              <w:jc w:val="center"/>
              <w:rPr>
                <w:rFonts w:ascii="仿宋" w:hAnsi="仿宋" w:eastAsia="仿宋" w:cs="宋体"/>
                <w:color w:val="000000"/>
                <w:kern w:val="0"/>
                <w:sz w:val="24"/>
                <w:szCs w:val="24"/>
              </w:rPr>
            </w:pPr>
          </w:p>
        </w:tc>
      </w:tr>
    </w:tbl>
    <w:p>
      <w:pPr>
        <w:spacing w:line="480" w:lineRule="exact"/>
        <w:ind w:firstLine="480" w:firstLineChars="200"/>
        <w:rPr>
          <w:rFonts w:ascii="仿宋" w:hAnsi="仿宋" w:eastAsia="仿宋"/>
          <w:sz w:val="24"/>
          <w:szCs w:val="24"/>
        </w:rPr>
      </w:pPr>
    </w:p>
    <w:p>
      <w:pPr>
        <w:spacing w:line="480" w:lineRule="exact"/>
        <w:ind w:firstLine="480" w:firstLineChars="200"/>
        <w:rPr>
          <w:rFonts w:ascii="仿宋" w:hAnsi="仿宋" w:eastAsia="仿宋"/>
          <w:sz w:val="24"/>
          <w:szCs w:val="24"/>
        </w:rPr>
      </w:pPr>
      <w:r>
        <w:rPr>
          <w:rFonts w:hint="eastAsia" w:ascii="仿宋" w:hAnsi="仿宋" w:eastAsia="仿宋"/>
          <w:sz w:val="24"/>
          <w:szCs w:val="24"/>
        </w:rPr>
        <w:t>需转场复用的竞赛视频系统见下表：</w:t>
      </w:r>
    </w:p>
    <w:tbl>
      <w:tblPr>
        <w:tblStyle w:val="58"/>
        <w:tblW w:w="8286" w:type="dxa"/>
        <w:tblInd w:w="0" w:type="dxa"/>
        <w:tblLayout w:type="fixed"/>
        <w:tblCellMar>
          <w:top w:w="0" w:type="dxa"/>
          <w:left w:w="108" w:type="dxa"/>
          <w:bottom w:w="0" w:type="dxa"/>
          <w:right w:w="108" w:type="dxa"/>
        </w:tblCellMar>
      </w:tblPr>
      <w:tblGrid>
        <w:gridCol w:w="1118"/>
        <w:gridCol w:w="2652"/>
        <w:gridCol w:w="4516"/>
      </w:tblGrid>
      <w:tr>
        <w:tblPrEx>
          <w:tblCellMar>
            <w:top w:w="0" w:type="dxa"/>
            <w:left w:w="108" w:type="dxa"/>
            <w:bottom w:w="0" w:type="dxa"/>
            <w:right w:w="108" w:type="dxa"/>
          </w:tblCellMar>
        </w:tblPrEx>
        <w:trPr>
          <w:trHeight w:val="419" w:hRule="atLeast"/>
          <w:tblHeader/>
        </w:trPr>
        <w:tc>
          <w:tcPr>
            <w:tcW w:w="111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652"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系统名称</w:t>
            </w:r>
          </w:p>
        </w:tc>
        <w:tc>
          <w:tcPr>
            <w:tcW w:w="4516" w:type="dxa"/>
            <w:tcBorders>
              <w:top w:val="single" w:color="auto" w:sz="8" w:space="0"/>
              <w:left w:val="nil"/>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项目名称</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p>
        </w:tc>
        <w:tc>
          <w:tcPr>
            <w:tcW w:w="2652" w:type="dxa"/>
            <w:vMerge w:val="restart"/>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场馆竞赛闭路系统</w:t>
            </w: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 特奥会-乒乓球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 特奥会-羽毛球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 特奥会-滚球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 特奥会-举重</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 特奥会-轮滑</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 特奥会-篮球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7</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 特奥会-足球</w:t>
            </w:r>
          </w:p>
        </w:tc>
      </w:tr>
      <w:tr>
        <w:tblPrEx>
          <w:tblCellMar>
            <w:top w:w="0" w:type="dxa"/>
            <w:left w:w="108" w:type="dxa"/>
            <w:bottom w:w="0" w:type="dxa"/>
            <w:right w:w="108" w:type="dxa"/>
          </w:tblCellMar>
        </w:tblPrEx>
        <w:trPr>
          <w:trHeight w:val="172"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8</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8大众体育-飞镖</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p>
        </w:tc>
        <w:tc>
          <w:tcPr>
            <w:tcW w:w="2652" w:type="dxa"/>
            <w:vMerge w:val="restart"/>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场馆视频直播系统</w:t>
            </w: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 特奥会-乒乓球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 特奥会-羽毛球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 特奥会-滚球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 特奥会-举重</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 特奥会-轮滑</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 特奥会-篮球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7</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 特奥会-足球</w:t>
            </w:r>
          </w:p>
        </w:tc>
      </w:tr>
      <w:tr>
        <w:tblPrEx>
          <w:tblCellMar>
            <w:top w:w="0" w:type="dxa"/>
            <w:left w:w="108" w:type="dxa"/>
            <w:bottom w:w="0" w:type="dxa"/>
            <w:right w:w="108" w:type="dxa"/>
          </w:tblCellMar>
        </w:tblPrEx>
        <w:trPr>
          <w:trHeight w:val="285" w:hRule="atLeast"/>
        </w:trPr>
        <w:tc>
          <w:tcPr>
            <w:tcW w:w="1118" w:type="dxa"/>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8</w:t>
            </w:r>
          </w:p>
        </w:tc>
        <w:tc>
          <w:tcPr>
            <w:tcW w:w="2652" w:type="dxa"/>
            <w:vMerge w:val="continue"/>
            <w:tcBorders>
              <w:top w:val="nil"/>
              <w:left w:val="single" w:color="auto" w:sz="8" w:space="0"/>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p>
        </w:tc>
        <w:tc>
          <w:tcPr>
            <w:tcW w:w="4516" w:type="dxa"/>
            <w:tcBorders>
              <w:top w:val="nil"/>
              <w:left w:val="nil"/>
              <w:bottom w:val="single" w:color="auto" w:sz="8" w:space="0"/>
              <w:right w:val="single" w:color="auto" w:sz="8" w:space="0"/>
            </w:tcBorders>
            <w:vAlign w:val="center"/>
          </w:tcPr>
          <w:p>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8大众体育-飞镖</w:t>
            </w:r>
          </w:p>
        </w:tc>
      </w:tr>
    </w:tbl>
    <w:p>
      <w:pPr>
        <w:pStyle w:val="3"/>
        <w:numPr>
          <w:ilvl w:val="1"/>
          <w:numId w:val="31"/>
        </w:numPr>
        <w:rPr>
          <w:rFonts w:ascii="仿宋" w:hAnsi="仿宋" w:eastAsia="仿宋"/>
          <w:sz w:val="24"/>
          <w:szCs w:val="24"/>
        </w:rPr>
      </w:pPr>
      <w:bookmarkStart w:id="27" w:name="_Toc53212228"/>
      <w:r>
        <w:rPr>
          <w:rFonts w:hint="eastAsia" w:ascii="仿宋" w:hAnsi="仿宋" w:eastAsia="仿宋"/>
          <w:sz w:val="24"/>
          <w:szCs w:val="24"/>
        </w:rPr>
        <w:t>残特奥会新增服务内容</w:t>
      </w:r>
      <w:bookmarkEnd w:id="27"/>
    </w:p>
    <w:p>
      <w:pPr>
        <w:spacing w:line="480" w:lineRule="exact"/>
        <w:ind w:firstLine="480" w:firstLineChars="200"/>
        <w:rPr>
          <w:rFonts w:ascii="仿宋" w:hAnsi="仿宋" w:eastAsia="仿宋"/>
          <w:sz w:val="24"/>
          <w:szCs w:val="24"/>
        </w:rPr>
      </w:pPr>
      <w:r>
        <w:rPr>
          <w:rFonts w:hint="eastAsia" w:ascii="仿宋" w:hAnsi="仿宋" w:eastAsia="仿宋"/>
          <w:sz w:val="24"/>
          <w:szCs w:val="24"/>
        </w:rPr>
        <w:t>残特奥会竞赛视频系统须新增8个场馆的前端高清视频采集系统，具体内容见下表：</w:t>
      </w:r>
    </w:p>
    <w:tbl>
      <w:tblPr>
        <w:tblStyle w:val="58"/>
        <w:tblW w:w="82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0"/>
        <w:gridCol w:w="1819"/>
        <w:gridCol w:w="2616"/>
        <w:gridCol w:w="823"/>
        <w:gridCol w:w="683"/>
        <w:gridCol w:w="1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5" w:hRule="atLeast"/>
          <w:tblHeader/>
        </w:trPr>
        <w:tc>
          <w:tcPr>
            <w:tcW w:w="650" w:type="dxa"/>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819" w:type="dxa"/>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2616" w:type="dxa"/>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新建系统及服务</w:t>
            </w:r>
          </w:p>
        </w:tc>
        <w:tc>
          <w:tcPr>
            <w:tcW w:w="823" w:type="dxa"/>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kern w:val="0"/>
                <w:sz w:val="24"/>
                <w:szCs w:val="24"/>
              </w:rPr>
              <w:t>数量</w:t>
            </w:r>
          </w:p>
        </w:tc>
        <w:tc>
          <w:tcPr>
            <w:tcW w:w="683" w:type="dxa"/>
            <w:vAlign w:val="center"/>
          </w:tcPr>
          <w:p>
            <w:pPr>
              <w:widowControl/>
              <w:spacing w:line="400" w:lineRule="exact"/>
              <w:jc w:val="center"/>
              <w:rPr>
                <w:rFonts w:ascii="仿宋" w:hAnsi="仿宋" w:eastAsia="仿宋" w:cs="宋体"/>
                <w:b/>
                <w:bCs/>
                <w:color w:val="000000"/>
                <w:kern w:val="0"/>
                <w:sz w:val="24"/>
                <w:szCs w:val="24"/>
              </w:rPr>
            </w:pPr>
            <w:r>
              <w:rPr>
                <w:rFonts w:hint="eastAsia" w:ascii="仿宋" w:hAnsi="仿宋" w:eastAsia="仿宋" w:cs="宋体"/>
                <w:b/>
                <w:bCs/>
                <w:kern w:val="0"/>
                <w:sz w:val="24"/>
                <w:szCs w:val="24"/>
              </w:rPr>
              <w:t>单位</w:t>
            </w:r>
          </w:p>
        </w:tc>
        <w:tc>
          <w:tcPr>
            <w:tcW w:w="1695" w:type="dxa"/>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650" w:type="dxa"/>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p>
        </w:tc>
        <w:tc>
          <w:tcPr>
            <w:tcW w:w="1819" w:type="dxa"/>
            <w:vMerge w:val="restart"/>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竞赛监控子系统</w:t>
            </w:r>
          </w:p>
        </w:tc>
        <w:tc>
          <w:tcPr>
            <w:tcW w:w="2616"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前端高清视频采集系统</w:t>
            </w:r>
          </w:p>
        </w:tc>
        <w:tc>
          <w:tcPr>
            <w:tcW w:w="823" w:type="dxa"/>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8</w:t>
            </w:r>
          </w:p>
        </w:tc>
        <w:tc>
          <w:tcPr>
            <w:tcW w:w="683"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695"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8个新增场馆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650" w:type="dxa"/>
            <w:vAlign w:val="center"/>
          </w:tcPr>
          <w:p>
            <w:pPr>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1819" w:type="dxa"/>
            <w:vMerge w:val="continue"/>
            <w:vAlign w:val="center"/>
          </w:tcPr>
          <w:p>
            <w:pPr>
              <w:widowControl/>
              <w:spacing w:line="400" w:lineRule="exact"/>
              <w:ind w:firstLine="480" w:firstLineChars="200"/>
              <w:jc w:val="center"/>
              <w:rPr>
                <w:rFonts w:ascii="仿宋" w:hAnsi="仿宋" w:eastAsia="仿宋" w:cs="宋体"/>
                <w:color w:val="000000"/>
                <w:kern w:val="0"/>
                <w:sz w:val="24"/>
                <w:szCs w:val="24"/>
              </w:rPr>
            </w:pPr>
          </w:p>
        </w:tc>
        <w:tc>
          <w:tcPr>
            <w:tcW w:w="2616"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线缆及辅材</w:t>
            </w:r>
          </w:p>
        </w:tc>
        <w:tc>
          <w:tcPr>
            <w:tcW w:w="823"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83"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1695" w:type="dxa"/>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8个新增场馆</w:t>
            </w:r>
          </w:p>
        </w:tc>
      </w:tr>
    </w:tbl>
    <w:p>
      <w:pPr>
        <w:pStyle w:val="3"/>
        <w:numPr>
          <w:ilvl w:val="1"/>
          <w:numId w:val="31"/>
        </w:numPr>
        <w:rPr>
          <w:rFonts w:ascii="仿宋" w:hAnsi="仿宋" w:eastAsia="仿宋"/>
          <w:sz w:val="24"/>
          <w:szCs w:val="24"/>
        </w:rPr>
      </w:pPr>
      <w:bookmarkStart w:id="28" w:name="_Toc53212229"/>
      <w:r>
        <w:rPr>
          <w:rFonts w:hint="eastAsia" w:ascii="仿宋" w:hAnsi="仿宋" w:eastAsia="仿宋"/>
          <w:sz w:val="24"/>
          <w:szCs w:val="24"/>
        </w:rPr>
        <w:t>赛事影像服务内容</w:t>
      </w:r>
      <w:bookmarkEnd w:id="28"/>
    </w:p>
    <w:p>
      <w:pPr>
        <w:ind w:firstLine="480" w:firstLineChars="200"/>
        <w:rPr>
          <w:rFonts w:ascii="仿宋" w:hAnsi="仿宋" w:eastAsia="仿宋"/>
          <w:sz w:val="24"/>
          <w:szCs w:val="24"/>
        </w:rPr>
      </w:pPr>
      <w:r>
        <w:rPr>
          <w:rFonts w:hint="eastAsia" w:ascii="仿宋" w:hAnsi="仿宋" w:eastAsia="仿宋"/>
          <w:sz w:val="24"/>
          <w:szCs w:val="24"/>
        </w:rPr>
        <w:t>赛事影像服务包括但不限于本项目纪录片、信息中心宣传纪录片、</w:t>
      </w:r>
      <w:r>
        <w:rPr>
          <w:rFonts w:ascii="仿宋" w:hAnsi="仿宋" w:eastAsia="仿宋"/>
          <w:sz w:val="24"/>
          <w:szCs w:val="24"/>
        </w:rPr>
        <w:t>多角度精彩集锦</w:t>
      </w:r>
      <w:r>
        <w:rPr>
          <w:rFonts w:hint="eastAsia" w:ascii="仿宋" w:hAnsi="仿宋" w:eastAsia="仿宋"/>
          <w:sz w:val="24"/>
          <w:szCs w:val="24"/>
        </w:rPr>
        <w:t>等影像内容的创意、拍摄和制作。须按要求完成影像资料的前期沟通、脚本创作、现场拍摄、后期制作、作品输出、后续服务等相关工作。</w:t>
      </w:r>
    </w:p>
    <w:p>
      <w:pPr>
        <w:ind w:firstLine="480" w:firstLineChars="200"/>
        <w:rPr>
          <w:rFonts w:ascii="仿宋" w:hAnsi="仿宋" w:eastAsia="仿宋"/>
          <w:sz w:val="24"/>
          <w:szCs w:val="24"/>
        </w:rPr>
      </w:pP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29" w:name="_Toc53212230"/>
      <w:r>
        <w:rPr>
          <w:rFonts w:hint="eastAsia" w:ascii="仿宋" w:hAnsi="仿宋" w:eastAsia="仿宋"/>
          <w:sz w:val="24"/>
          <w:szCs w:val="24"/>
        </w:rPr>
        <w:t>服务要求</w:t>
      </w:r>
      <w:bookmarkEnd w:id="29"/>
    </w:p>
    <w:p>
      <w:pPr>
        <w:pStyle w:val="187"/>
        <w:ind w:firstLine="480"/>
        <w:rPr>
          <w:rFonts w:ascii="仿宋" w:hAnsi="仿宋" w:eastAsia="仿宋"/>
          <w:sz w:val="24"/>
        </w:rPr>
      </w:pPr>
      <w:r>
        <w:rPr>
          <w:rFonts w:hint="eastAsia" w:ascii="仿宋" w:hAnsi="仿宋" w:eastAsia="仿宋"/>
          <w:sz w:val="24"/>
        </w:rPr>
        <w:t>本节仅规定了本项目最低限度的服务要求，并未规定所有的服务要求和适用的标准。服务提供商应根据自身</w:t>
      </w:r>
      <w:r>
        <w:rPr>
          <w:rFonts w:ascii="仿宋" w:hAnsi="仿宋" w:eastAsia="仿宋"/>
          <w:sz w:val="24"/>
        </w:rPr>
        <w:t>的经验和能力，</w:t>
      </w:r>
      <w:r>
        <w:rPr>
          <w:rFonts w:hint="eastAsia" w:ascii="仿宋" w:hAnsi="仿宋" w:eastAsia="仿宋"/>
          <w:sz w:val="24"/>
        </w:rPr>
        <w:t>在</w:t>
      </w:r>
      <w:r>
        <w:rPr>
          <w:rFonts w:ascii="仿宋" w:hAnsi="仿宋" w:eastAsia="仿宋"/>
          <w:sz w:val="24"/>
        </w:rPr>
        <w:t>充分</w:t>
      </w:r>
      <w:r>
        <w:rPr>
          <w:rFonts w:hint="eastAsia" w:ascii="仿宋" w:hAnsi="仿宋" w:eastAsia="仿宋"/>
          <w:sz w:val="24"/>
        </w:rPr>
        <w:t>理解所有</w:t>
      </w:r>
      <w:r>
        <w:rPr>
          <w:rFonts w:ascii="仿宋" w:hAnsi="仿宋" w:eastAsia="仿宋"/>
          <w:sz w:val="24"/>
        </w:rPr>
        <w:t>参与者需求</w:t>
      </w:r>
      <w:r>
        <w:rPr>
          <w:rFonts w:hint="eastAsia" w:ascii="仿宋" w:hAnsi="仿宋" w:eastAsia="仿宋"/>
          <w:sz w:val="24"/>
        </w:rPr>
        <w:t>的</w:t>
      </w:r>
      <w:r>
        <w:rPr>
          <w:rFonts w:ascii="仿宋" w:hAnsi="仿宋" w:eastAsia="仿宋"/>
          <w:sz w:val="24"/>
        </w:rPr>
        <w:t>基础上</w:t>
      </w:r>
      <w:r>
        <w:rPr>
          <w:rFonts w:ascii="仿宋" w:hAnsi="仿宋" w:eastAsia="仿宋"/>
          <w:color w:val="000000"/>
          <w:sz w:val="24"/>
        </w:rPr>
        <w:t>，以参与者良好体验为出发点，</w:t>
      </w:r>
      <w:r>
        <w:rPr>
          <w:rFonts w:hint="eastAsia" w:ascii="仿宋" w:hAnsi="仿宋" w:eastAsia="仿宋"/>
          <w:sz w:val="24"/>
        </w:rPr>
        <w:t>提供全面</w:t>
      </w:r>
      <w:r>
        <w:rPr>
          <w:rFonts w:ascii="仿宋" w:hAnsi="仿宋" w:eastAsia="仿宋"/>
          <w:sz w:val="24"/>
        </w:rPr>
        <w:t>、</w:t>
      </w:r>
      <w:r>
        <w:rPr>
          <w:rFonts w:hint="eastAsia" w:ascii="仿宋" w:hAnsi="仿宋" w:eastAsia="仿宋"/>
          <w:sz w:val="24"/>
        </w:rPr>
        <w:t>便捷</w:t>
      </w:r>
      <w:r>
        <w:rPr>
          <w:rFonts w:ascii="仿宋" w:hAnsi="仿宋" w:eastAsia="仿宋"/>
          <w:sz w:val="24"/>
        </w:rPr>
        <w:t>、安全</w:t>
      </w:r>
      <w:r>
        <w:rPr>
          <w:rFonts w:hint="eastAsia" w:ascii="仿宋" w:hAnsi="仿宋" w:eastAsia="仿宋"/>
          <w:sz w:val="24"/>
        </w:rPr>
        <w:t>、</w:t>
      </w:r>
      <w:r>
        <w:rPr>
          <w:rFonts w:ascii="仿宋" w:hAnsi="仿宋" w:eastAsia="仿宋"/>
          <w:sz w:val="24"/>
        </w:rPr>
        <w:t>可靠的服务</w:t>
      </w:r>
      <w:r>
        <w:rPr>
          <w:rFonts w:hint="eastAsia" w:ascii="仿宋" w:hAnsi="仿宋" w:eastAsia="仿宋"/>
          <w:sz w:val="24"/>
        </w:rPr>
        <w:t>。</w:t>
      </w:r>
    </w:p>
    <w:p>
      <w:pPr>
        <w:pStyle w:val="3"/>
        <w:numPr>
          <w:ilvl w:val="1"/>
          <w:numId w:val="31"/>
        </w:numPr>
        <w:rPr>
          <w:rFonts w:ascii="仿宋" w:hAnsi="仿宋" w:eastAsia="仿宋"/>
          <w:sz w:val="24"/>
          <w:szCs w:val="24"/>
        </w:rPr>
      </w:pPr>
      <w:bookmarkStart w:id="30" w:name="_Toc53212231"/>
      <w:r>
        <w:rPr>
          <w:rFonts w:ascii="仿宋" w:hAnsi="仿宋" w:eastAsia="仿宋"/>
          <w:sz w:val="24"/>
          <w:szCs w:val="24"/>
        </w:rPr>
        <w:t>总体要求</w:t>
      </w:r>
      <w:bookmarkEnd w:id="30"/>
    </w:p>
    <w:p>
      <w:pPr>
        <w:pStyle w:val="187"/>
        <w:ind w:firstLine="480"/>
        <w:rPr>
          <w:rFonts w:ascii="仿宋" w:hAnsi="仿宋" w:eastAsia="仿宋"/>
          <w:color w:val="000000"/>
          <w:sz w:val="24"/>
        </w:rPr>
      </w:pPr>
      <w:r>
        <w:rPr>
          <w:rFonts w:hint="eastAsia" w:ascii="仿宋" w:hAnsi="仿宋" w:eastAsia="仿宋"/>
          <w:color w:val="000000"/>
          <w:sz w:val="24"/>
        </w:rPr>
        <w:t>服务提供商须服从组委会、国家体育总局体育信息中心领导，保证十四运会和残特奥会信息化工作安全、高效、顺利的进行。</w:t>
      </w:r>
    </w:p>
    <w:p>
      <w:pPr>
        <w:pStyle w:val="187"/>
        <w:ind w:firstLine="480"/>
        <w:rPr>
          <w:rFonts w:ascii="仿宋" w:hAnsi="仿宋" w:eastAsia="仿宋"/>
          <w:color w:val="000000"/>
          <w:sz w:val="24"/>
        </w:rPr>
      </w:pPr>
      <w:r>
        <w:rPr>
          <w:rFonts w:hint="eastAsia" w:ascii="仿宋" w:hAnsi="仿宋" w:eastAsia="仿宋"/>
          <w:color w:val="000000"/>
          <w:sz w:val="24"/>
        </w:rPr>
        <w:t>服务提供商应配合工程监理完成相关工作，处理工程实施过程中的出现的问题。</w:t>
      </w:r>
    </w:p>
    <w:p>
      <w:pPr>
        <w:pStyle w:val="187"/>
        <w:ind w:firstLine="480"/>
        <w:rPr>
          <w:rFonts w:ascii="仿宋" w:hAnsi="仿宋" w:eastAsia="仿宋"/>
          <w:color w:val="000000"/>
          <w:sz w:val="24"/>
        </w:rPr>
      </w:pPr>
      <w:r>
        <w:rPr>
          <w:rFonts w:hint="eastAsia" w:ascii="仿宋" w:hAnsi="仿宋" w:eastAsia="仿宋"/>
          <w:color w:val="000000"/>
          <w:sz w:val="24"/>
        </w:rPr>
        <w:t>服务提供商应提供满足所列要求的高质量的系统及服务，采用先进、成熟、适用、安全，并业已通过使用证明是成功和可靠的信息技术和产品，所选用主要软硬件原则上要求具有相关应用案例，在任何环节均不得采用具有风险、未经严格检测、不成熟、过度冗余或具有安全隐患的信息技术和产品。</w:t>
      </w:r>
    </w:p>
    <w:p>
      <w:pPr>
        <w:pStyle w:val="187"/>
        <w:ind w:firstLine="480"/>
        <w:rPr>
          <w:rFonts w:ascii="仿宋" w:hAnsi="仿宋" w:eastAsia="仿宋"/>
          <w:color w:val="000000"/>
          <w:sz w:val="24"/>
        </w:rPr>
      </w:pPr>
      <w:r>
        <w:rPr>
          <w:rFonts w:hint="eastAsia" w:ascii="仿宋" w:hAnsi="仿宋" w:eastAsia="仿宋"/>
          <w:color w:val="000000"/>
          <w:sz w:val="24"/>
        </w:rPr>
        <w:t>服务提供商所提供的系统及服务必须遵循国际、国内的行业标准，符合国家体育总局体育信息中心的技术要求，切合十四运会和残特奥会赛事与赛事管理需求并满足国家有关安全、环保等强制性标准。</w:t>
      </w:r>
    </w:p>
    <w:p>
      <w:pPr>
        <w:pStyle w:val="187"/>
        <w:ind w:firstLine="480"/>
        <w:rPr>
          <w:rFonts w:ascii="仿宋" w:hAnsi="仿宋" w:eastAsia="仿宋"/>
          <w:color w:val="000000"/>
          <w:sz w:val="24"/>
        </w:rPr>
      </w:pPr>
      <w:r>
        <w:rPr>
          <w:rFonts w:hint="eastAsia" w:ascii="仿宋" w:hAnsi="仿宋" w:eastAsia="仿宋"/>
          <w:color w:val="000000"/>
          <w:sz w:val="24"/>
        </w:rPr>
        <w:t>除了在主数据中心、应用容灾与数据备份中心部署业务系统外，服务提供商还须在服务需求方指定的数据中心部署一套与主数据中心完全一致的业务系统作为备份，确保数据资源与主数据中心内容同步，并保证业务系统可正常运行。备份业务系统部署所需的网络、存储和计算等资源由服务需求方指定的数据中心提供。</w:t>
      </w:r>
    </w:p>
    <w:p>
      <w:pPr>
        <w:pStyle w:val="3"/>
        <w:numPr>
          <w:ilvl w:val="1"/>
          <w:numId w:val="31"/>
        </w:numPr>
        <w:rPr>
          <w:rFonts w:ascii="仿宋" w:hAnsi="仿宋" w:eastAsia="仿宋"/>
          <w:sz w:val="24"/>
          <w:szCs w:val="24"/>
        </w:rPr>
      </w:pPr>
      <w:r>
        <w:rPr>
          <w:rFonts w:ascii="仿宋" w:hAnsi="仿宋" w:eastAsia="仿宋"/>
          <w:sz w:val="24"/>
          <w:szCs w:val="24"/>
        </w:rPr>
        <w:tab/>
      </w:r>
      <w:bookmarkStart w:id="31" w:name="_Toc53212232"/>
      <w:r>
        <w:rPr>
          <w:rFonts w:ascii="仿宋" w:hAnsi="仿宋" w:eastAsia="仿宋"/>
          <w:sz w:val="24"/>
          <w:szCs w:val="24"/>
        </w:rPr>
        <w:t>建设阶段要求</w:t>
      </w:r>
      <w:bookmarkEnd w:id="31"/>
    </w:p>
    <w:p>
      <w:pPr>
        <w:pStyle w:val="187"/>
        <w:ind w:firstLine="480"/>
        <w:rPr>
          <w:rFonts w:ascii="仿宋" w:hAnsi="仿宋" w:eastAsia="仿宋"/>
          <w:color w:val="000000"/>
          <w:sz w:val="24"/>
        </w:rPr>
      </w:pPr>
      <w:r>
        <w:rPr>
          <w:rFonts w:hint="eastAsia" w:ascii="仿宋" w:hAnsi="仿宋" w:eastAsia="仿宋"/>
          <w:color w:val="000000"/>
          <w:sz w:val="24"/>
        </w:rPr>
        <w:t>建设阶段分为方案编制和系统建设两</w:t>
      </w:r>
      <w:r>
        <w:rPr>
          <w:rFonts w:ascii="仿宋" w:hAnsi="仿宋" w:eastAsia="仿宋"/>
          <w:color w:val="000000"/>
          <w:sz w:val="24"/>
        </w:rPr>
        <w:t>个子阶段。服务提供商应根据各子阶段的服务目标和内容，合理调配人员、系统、设备等资源，提供优质服务，确保各子阶段的服务目标顺利实现。</w:t>
      </w:r>
    </w:p>
    <w:p>
      <w:pPr>
        <w:pStyle w:val="4"/>
        <w:numPr>
          <w:ilvl w:val="2"/>
          <w:numId w:val="31"/>
        </w:numPr>
        <w:rPr>
          <w:rFonts w:ascii="仿宋" w:hAnsi="仿宋" w:eastAsia="仿宋"/>
          <w:b w:val="0"/>
          <w:sz w:val="24"/>
          <w:szCs w:val="24"/>
        </w:rPr>
      </w:pPr>
      <w:bookmarkStart w:id="32" w:name="_Toc53212233"/>
      <w:r>
        <w:rPr>
          <w:rFonts w:ascii="仿宋" w:hAnsi="仿宋" w:eastAsia="仿宋"/>
          <w:sz w:val="24"/>
          <w:szCs w:val="24"/>
        </w:rPr>
        <w:t>方案编制</w:t>
      </w:r>
      <w:bookmarkEnd w:id="32"/>
    </w:p>
    <w:p>
      <w:pPr>
        <w:pStyle w:val="187"/>
        <w:ind w:firstLine="480"/>
        <w:rPr>
          <w:rFonts w:ascii="仿宋" w:hAnsi="仿宋" w:eastAsia="仿宋"/>
          <w:color w:val="000000"/>
          <w:sz w:val="24"/>
        </w:rPr>
      </w:pPr>
      <w:r>
        <w:rPr>
          <w:rFonts w:hint="eastAsia" w:ascii="仿宋" w:hAnsi="仿宋" w:eastAsia="仿宋"/>
          <w:color w:val="000000"/>
          <w:sz w:val="24"/>
        </w:rPr>
        <w:t>服务提供商与服务需求方充分沟通，应根据以往经验，结合十四运会和残特奥会信息化服务的背景与需求，进行需求分析，提出满足要求的设计方案，</w:t>
      </w:r>
      <w:r>
        <w:rPr>
          <w:rFonts w:ascii="仿宋" w:hAnsi="仿宋" w:eastAsia="仿宋"/>
          <w:color w:val="000000"/>
          <w:sz w:val="24"/>
        </w:rPr>
        <w:t>并提交服务需求方确认，在服务需求方</w:t>
      </w:r>
      <w:r>
        <w:rPr>
          <w:rFonts w:hint="eastAsia" w:ascii="仿宋" w:hAnsi="仿宋" w:eastAsia="仿宋"/>
          <w:color w:val="000000"/>
          <w:sz w:val="24"/>
        </w:rPr>
        <w:t>审核</w:t>
      </w:r>
      <w:r>
        <w:rPr>
          <w:rFonts w:ascii="仿宋" w:hAnsi="仿宋" w:eastAsia="仿宋"/>
          <w:color w:val="000000"/>
          <w:sz w:val="24"/>
        </w:rPr>
        <w:t>通过后才能按照方案进行实施。</w:t>
      </w:r>
    </w:p>
    <w:p>
      <w:pPr>
        <w:pStyle w:val="4"/>
        <w:numPr>
          <w:ilvl w:val="2"/>
          <w:numId w:val="31"/>
        </w:numPr>
        <w:rPr>
          <w:rFonts w:ascii="仿宋" w:hAnsi="仿宋" w:eastAsia="仿宋"/>
          <w:b w:val="0"/>
          <w:sz w:val="24"/>
          <w:szCs w:val="24"/>
        </w:rPr>
      </w:pPr>
      <w:bookmarkStart w:id="33" w:name="_Toc53212234"/>
      <w:r>
        <w:rPr>
          <w:rFonts w:ascii="仿宋" w:hAnsi="仿宋" w:eastAsia="仿宋"/>
          <w:sz w:val="24"/>
          <w:szCs w:val="24"/>
        </w:rPr>
        <w:t>系统建设</w:t>
      </w:r>
      <w:bookmarkEnd w:id="33"/>
    </w:p>
    <w:p>
      <w:pPr>
        <w:pStyle w:val="187"/>
        <w:ind w:firstLine="480"/>
        <w:rPr>
          <w:rFonts w:ascii="仿宋" w:hAnsi="仿宋" w:eastAsia="仿宋"/>
          <w:color w:val="000000"/>
          <w:sz w:val="24"/>
        </w:rPr>
      </w:pPr>
      <w:r>
        <w:rPr>
          <w:rFonts w:hint="eastAsia" w:ascii="仿宋" w:hAnsi="仿宋" w:eastAsia="仿宋"/>
          <w:color w:val="000000"/>
          <w:sz w:val="24"/>
        </w:rPr>
        <w:t>按照国家体育总局体育信息中心总体实施方案组织各系统开发与建设，及时通报开发与建设进度。及时响应服务需求方的变更要求，提出变更措施。</w:t>
      </w:r>
    </w:p>
    <w:p>
      <w:pPr>
        <w:pStyle w:val="187"/>
        <w:ind w:firstLine="480"/>
        <w:rPr>
          <w:rFonts w:ascii="仿宋" w:hAnsi="仿宋" w:eastAsia="仿宋"/>
          <w:color w:val="000000"/>
          <w:sz w:val="24"/>
        </w:rPr>
      </w:pPr>
      <w:r>
        <w:rPr>
          <w:rFonts w:hint="eastAsia" w:ascii="仿宋" w:hAnsi="仿宋" w:eastAsia="仿宋"/>
          <w:color w:val="000000"/>
          <w:sz w:val="24"/>
        </w:rPr>
        <w:t>服务提供商在此阶段，须按以下要求完成工作（但不限于）：</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1）应提供完整的软件开发过程文档，包括但不限于系统分析说明书、系统设计说明书、测试方案等。</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w:t>
      </w:r>
      <w:r>
        <w:rPr>
          <w:rFonts w:hint="eastAsia" w:ascii="仿宋" w:hAnsi="仿宋" w:eastAsia="仿宋"/>
          <w:color w:val="000000"/>
          <w:sz w:val="24"/>
        </w:rPr>
        <w:t>应</w:t>
      </w:r>
      <w:r>
        <w:rPr>
          <w:rFonts w:ascii="仿宋" w:hAnsi="仿宋" w:eastAsia="仿宋"/>
          <w:color w:val="000000"/>
          <w:sz w:val="24"/>
        </w:rPr>
        <w:t>及时通报开发与建设进度，及时协调解决项目建设过程中出现的各种问题，及时响应服务需求方的变更要求，协调有关各方，提出变更措施并监督实施。</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3）在设计方案的基础上，根据项目的特点和信息化项目的规律，结合各个工程的实施要求，合理分配项目工作任务。</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4）梳理各系统之间的关系和集成接口，确保项目的整体实施效果。</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5）细化各系统的设计方案，对各系统的实施过程进行管控。</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6）根据各系统的实施进度和风险，对实施过程中的问题进行协调解决。</w:t>
      </w:r>
    </w:p>
    <w:p>
      <w:pPr>
        <w:pStyle w:val="3"/>
        <w:numPr>
          <w:ilvl w:val="1"/>
          <w:numId w:val="31"/>
        </w:numPr>
        <w:rPr>
          <w:rFonts w:ascii="仿宋" w:hAnsi="仿宋" w:eastAsia="仿宋"/>
          <w:sz w:val="24"/>
          <w:szCs w:val="24"/>
        </w:rPr>
      </w:pPr>
      <w:bookmarkStart w:id="34" w:name="_Toc53212235"/>
      <w:r>
        <w:rPr>
          <w:rFonts w:ascii="仿宋" w:hAnsi="仿宋" w:eastAsia="仿宋"/>
          <w:sz w:val="24"/>
          <w:szCs w:val="24"/>
        </w:rPr>
        <w:t>测试阶段要求</w:t>
      </w:r>
      <w:bookmarkEnd w:id="34"/>
    </w:p>
    <w:p>
      <w:pPr>
        <w:pStyle w:val="187"/>
        <w:ind w:firstLine="480"/>
        <w:rPr>
          <w:rFonts w:ascii="仿宋" w:hAnsi="仿宋" w:eastAsia="仿宋"/>
          <w:color w:val="000000"/>
          <w:sz w:val="24"/>
        </w:rPr>
      </w:pPr>
      <w:r>
        <w:rPr>
          <w:rFonts w:hint="eastAsia" w:ascii="仿宋" w:hAnsi="仿宋" w:eastAsia="仿宋"/>
          <w:color w:val="000000"/>
          <w:sz w:val="24"/>
        </w:rPr>
        <w:t>测试阶段分为集成测试、测试赛、联调联试</w:t>
      </w:r>
      <w:r>
        <w:rPr>
          <w:rFonts w:ascii="仿宋" w:hAnsi="仿宋" w:eastAsia="仿宋"/>
          <w:color w:val="000000"/>
          <w:sz w:val="24"/>
        </w:rPr>
        <w:t>3个子阶段。服务提供商应根据各子阶段的服务目标和内容，合理调配人员、系统、设备等资源，提供优质服务，确保各子阶段的服务目标顺利实现。</w:t>
      </w:r>
    </w:p>
    <w:p>
      <w:pPr>
        <w:pStyle w:val="4"/>
        <w:numPr>
          <w:ilvl w:val="2"/>
          <w:numId w:val="31"/>
        </w:numPr>
        <w:rPr>
          <w:rFonts w:ascii="仿宋" w:hAnsi="仿宋" w:eastAsia="仿宋"/>
          <w:b w:val="0"/>
          <w:sz w:val="24"/>
          <w:szCs w:val="24"/>
        </w:rPr>
      </w:pPr>
      <w:bookmarkStart w:id="35" w:name="_Toc53212236"/>
      <w:r>
        <w:rPr>
          <w:rFonts w:ascii="仿宋" w:hAnsi="仿宋" w:eastAsia="仿宋"/>
          <w:sz w:val="24"/>
          <w:szCs w:val="24"/>
        </w:rPr>
        <w:t>集成测试</w:t>
      </w:r>
      <w:bookmarkEnd w:id="35"/>
    </w:p>
    <w:p>
      <w:pPr>
        <w:pStyle w:val="187"/>
        <w:ind w:firstLine="480"/>
        <w:rPr>
          <w:rFonts w:ascii="仿宋" w:hAnsi="仿宋" w:eastAsia="仿宋"/>
          <w:color w:val="000000"/>
          <w:sz w:val="24"/>
        </w:rPr>
      </w:pPr>
      <w:r>
        <w:rPr>
          <w:rFonts w:hint="eastAsia" w:ascii="仿宋" w:hAnsi="仿宋" w:eastAsia="仿宋"/>
          <w:color w:val="000000"/>
          <w:sz w:val="24"/>
        </w:rPr>
        <w:t>根据国家体育总局体育信息中心《总体测试方案》要求，组织各项目和各场馆实施集成测试，及时通报测试进度，协调解决集成测试过程中出现的各种问题，提出整改措施并监督实施。</w:t>
      </w:r>
    </w:p>
    <w:p>
      <w:pPr>
        <w:pStyle w:val="187"/>
        <w:ind w:firstLine="480"/>
        <w:rPr>
          <w:rFonts w:ascii="仿宋" w:hAnsi="仿宋" w:eastAsia="仿宋"/>
          <w:color w:val="000000"/>
          <w:sz w:val="24"/>
        </w:rPr>
      </w:pPr>
      <w:r>
        <w:rPr>
          <w:rFonts w:hint="eastAsia" w:ascii="仿宋" w:hAnsi="仿宋" w:eastAsia="仿宋"/>
          <w:color w:val="000000"/>
          <w:sz w:val="24"/>
        </w:rPr>
        <w:t>派遣人员驻场工作，完成各系统测试包括整个系统端到端功能性测试、各系统之间的接口测试、性能、压力、安全等非功能性测试，提交测试报告。</w:t>
      </w:r>
    </w:p>
    <w:p>
      <w:pPr>
        <w:pStyle w:val="187"/>
        <w:ind w:firstLine="480"/>
        <w:rPr>
          <w:rFonts w:ascii="仿宋" w:hAnsi="仿宋" w:eastAsia="仿宋"/>
          <w:color w:val="000000"/>
          <w:sz w:val="24"/>
        </w:rPr>
      </w:pPr>
      <w:r>
        <w:rPr>
          <w:rFonts w:hint="eastAsia" w:ascii="仿宋" w:hAnsi="仿宋" w:eastAsia="仿宋"/>
          <w:color w:val="000000"/>
          <w:sz w:val="24"/>
        </w:rPr>
        <w:t>另外还须进行模拟测试、一致性测试和现场测试等内容，出具新技术及集成测试实验室的测试报告，以确保系统的功能和性能能够满足十四运会和残特奥会比赛的要求。</w:t>
      </w:r>
    </w:p>
    <w:p>
      <w:pPr>
        <w:pStyle w:val="4"/>
        <w:numPr>
          <w:ilvl w:val="2"/>
          <w:numId w:val="31"/>
        </w:numPr>
        <w:rPr>
          <w:rFonts w:ascii="仿宋" w:hAnsi="仿宋" w:eastAsia="仿宋"/>
          <w:b w:val="0"/>
          <w:sz w:val="24"/>
          <w:szCs w:val="24"/>
        </w:rPr>
      </w:pPr>
      <w:bookmarkStart w:id="36" w:name="_Toc53212237"/>
      <w:r>
        <w:rPr>
          <w:rFonts w:ascii="仿宋" w:hAnsi="仿宋" w:eastAsia="仿宋"/>
          <w:sz w:val="24"/>
          <w:szCs w:val="24"/>
        </w:rPr>
        <w:t>测试赛</w:t>
      </w:r>
      <w:bookmarkEnd w:id="36"/>
    </w:p>
    <w:p>
      <w:pPr>
        <w:pStyle w:val="187"/>
        <w:ind w:firstLine="480"/>
        <w:rPr>
          <w:rFonts w:ascii="仿宋" w:hAnsi="仿宋" w:eastAsia="仿宋"/>
          <w:color w:val="000000"/>
          <w:sz w:val="24"/>
        </w:rPr>
      </w:pPr>
      <w:r>
        <w:rPr>
          <w:rFonts w:hint="eastAsia" w:ascii="仿宋" w:hAnsi="仿宋" w:eastAsia="仿宋"/>
          <w:color w:val="000000"/>
          <w:sz w:val="24"/>
        </w:rPr>
        <w:t>按照组委会、国家体育总局体育信息中心要求组织实施测试赛赛事运行、维护、保障服务，发现并解决在测试赛中出现的技术问题。</w:t>
      </w:r>
    </w:p>
    <w:p>
      <w:pPr>
        <w:pStyle w:val="4"/>
        <w:numPr>
          <w:ilvl w:val="2"/>
          <w:numId w:val="31"/>
        </w:numPr>
        <w:rPr>
          <w:rFonts w:ascii="仿宋" w:hAnsi="仿宋" w:eastAsia="仿宋"/>
          <w:b w:val="0"/>
          <w:sz w:val="24"/>
          <w:szCs w:val="24"/>
        </w:rPr>
      </w:pPr>
      <w:bookmarkStart w:id="37" w:name="_Toc53212238"/>
      <w:r>
        <w:rPr>
          <w:rFonts w:ascii="仿宋" w:hAnsi="仿宋" w:eastAsia="仿宋"/>
          <w:sz w:val="24"/>
          <w:szCs w:val="24"/>
        </w:rPr>
        <w:t>联调联试</w:t>
      </w:r>
      <w:bookmarkEnd w:id="37"/>
    </w:p>
    <w:p>
      <w:pPr>
        <w:pStyle w:val="187"/>
        <w:ind w:firstLine="480"/>
        <w:rPr>
          <w:rFonts w:ascii="仿宋" w:hAnsi="仿宋" w:eastAsia="仿宋"/>
          <w:color w:val="000000"/>
          <w:sz w:val="24"/>
        </w:rPr>
      </w:pPr>
      <w:r>
        <w:rPr>
          <w:rFonts w:hint="eastAsia" w:ascii="仿宋" w:hAnsi="仿宋" w:eastAsia="仿宋"/>
          <w:color w:val="000000"/>
          <w:sz w:val="24"/>
        </w:rPr>
        <w:t>派遣人员驻场与其他项目相关系统和服务进行联调联试，测试所有系统的功能、服务水平及运行流程是否能够满足赛时的要求。及时解决联调联试过程中发现的技术问题。</w:t>
      </w:r>
    </w:p>
    <w:p>
      <w:pPr>
        <w:pStyle w:val="3"/>
        <w:numPr>
          <w:ilvl w:val="1"/>
          <w:numId w:val="31"/>
        </w:numPr>
        <w:rPr>
          <w:rFonts w:ascii="仿宋" w:hAnsi="仿宋" w:eastAsia="仿宋"/>
          <w:sz w:val="24"/>
          <w:szCs w:val="24"/>
        </w:rPr>
      </w:pPr>
      <w:bookmarkStart w:id="38" w:name="_Toc53212239"/>
      <w:r>
        <w:rPr>
          <w:rFonts w:ascii="仿宋" w:hAnsi="仿宋" w:eastAsia="仿宋"/>
          <w:sz w:val="24"/>
          <w:szCs w:val="24"/>
        </w:rPr>
        <w:t>运行服务阶段要求</w:t>
      </w:r>
      <w:bookmarkEnd w:id="38"/>
    </w:p>
    <w:p>
      <w:pPr>
        <w:pStyle w:val="187"/>
        <w:ind w:firstLine="480"/>
        <w:rPr>
          <w:rFonts w:ascii="仿宋" w:hAnsi="仿宋" w:eastAsia="仿宋"/>
          <w:color w:val="000000"/>
          <w:sz w:val="24"/>
        </w:rPr>
      </w:pPr>
      <w:r>
        <w:rPr>
          <w:rFonts w:hint="eastAsia" w:ascii="仿宋" w:hAnsi="仿宋" w:eastAsia="仿宋"/>
          <w:color w:val="000000"/>
          <w:sz w:val="24"/>
        </w:rPr>
        <w:t>运行服务阶段分为正式比赛和赛事收尾两</w:t>
      </w:r>
      <w:r>
        <w:rPr>
          <w:rFonts w:ascii="仿宋" w:hAnsi="仿宋" w:eastAsia="仿宋"/>
          <w:color w:val="000000"/>
          <w:sz w:val="24"/>
        </w:rPr>
        <w:t>个子阶段。正式比赛子阶段包括开闭幕式以及所有正式比赛项目。服务提供商应根据各个子阶段的服务目标和内容，合理调配人员、系统、设备等资源，提供优质服务，确保各个子阶段的服务目标顺利实现。</w:t>
      </w:r>
    </w:p>
    <w:p>
      <w:pPr>
        <w:pStyle w:val="187"/>
        <w:ind w:firstLine="480"/>
        <w:rPr>
          <w:rFonts w:ascii="仿宋" w:hAnsi="仿宋" w:eastAsia="仿宋"/>
          <w:color w:val="000000"/>
          <w:sz w:val="24"/>
        </w:rPr>
      </w:pPr>
      <w:r>
        <w:rPr>
          <w:rFonts w:hint="eastAsia" w:ascii="仿宋" w:hAnsi="仿宋" w:eastAsia="仿宋"/>
          <w:color w:val="000000"/>
          <w:sz w:val="24"/>
        </w:rPr>
        <w:t>服务提供商须按照组委会、国家体育总局体育信息中心和国家标准《信息技术服务</w:t>
      </w:r>
      <w:r>
        <w:rPr>
          <w:rFonts w:ascii="仿宋" w:hAnsi="仿宋" w:eastAsia="仿宋"/>
          <w:color w:val="000000"/>
          <w:sz w:val="24"/>
        </w:rPr>
        <w:t xml:space="preserve"> 运行维护》（GB∕T 28827）的要求提供相应的运维服务。</w:t>
      </w:r>
    </w:p>
    <w:p>
      <w:pPr>
        <w:pStyle w:val="4"/>
        <w:numPr>
          <w:ilvl w:val="2"/>
          <w:numId w:val="31"/>
        </w:numPr>
        <w:rPr>
          <w:rFonts w:ascii="仿宋" w:hAnsi="仿宋" w:eastAsia="仿宋"/>
          <w:b w:val="0"/>
          <w:sz w:val="24"/>
          <w:szCs w:val="24"/>
        </w:rPr>
      </w:pPr>
      <w:bookmarkStart w:id="39" w:name="_Toc53212240"/>
      <w:r>
        <w:rPr>
          <w:rFonts w:ascii="仿宋" w:hAnsi="仿宋" w:eastAsia="仿宋"/>
          <w:sz w:val="24"/>
          <w:szCs w:val="24"/>
        </w:rPr>
        <w:t>正式比赛</w:t>
      </w:r>
      <w:bookmarkEnd w:id="39"/>
    </w:p>
    <w:p>
      <w:pPr>
        <w:pStyle w:val="187"/>
        <w:ind w:firstLine="480"/>
        <w:rPr>
          <w:rFonts w:ascii="仿宋" w:hAnsi="仿宋" w:eastAsia="仿宋"/>
          <w:color w:val="000000"/>
          <w:sz w:val="24"/>
        </w:rPr>
      </w:pPr>
      <w:r>
        <w:rPr>
          <w:rFonts w:hint="eastAsia" w:ascii="仿宋" w:hAnsi="仿宋" w:eastAsia="仿宋"/>
          <w:color w:val="000000"/>
          <w:sz w:val="24"/>
        </w:rPr>
        <w:t>按照服务内容的服务水平定义提供正式比赛及重大活动的系统运行、维护和保障服务。</w:t>
      </w:r>
    </w:p>
    <w:p>
      <w:pPr>
        <w:pStyle w:val="187"/>
        <w:ind w:firstLine="480"/>
        <w:rPr>
          <w:rFonts w:ascii="仿宋" w:hAnsi="仿宋" w:eastAsia="仿宋"/>
          <w:color w:val="000000"/>
          <w:sz w:val="24"/>
        </w:rPr>
      </w:pPr>
      <w:r>
        <w:rPr>
          <w:rFonts w:hint="eastAsia" w:ascii="仿宋" w:hAnsi="仿宋" w:eastAsia="仿宋"/>
          <w:color w:val="000000"/>
          <w:sz w:val="24"/>
        </w:rPr>
        <w:t>负责协助组织十四运会和残特奥会信息化项目在正式比赛阶段运行，负责协助解决在正式比赛运行阶段出现的技术问题。</w:t>
      </w:r>
    </w:p>
    <w:p>
      <w:pPr>
        <w:pStyle w:val="4"/>
        <w:numPr>
          <w:ilvl w:val="2"/>
          <w:numId w:val="31"/>
        </w:numPr>
        <w:rPr>
          <w:rFonts w:ascii="仿宋" w:hAnsi="仿宋" w:eastAsia="仿宋"/>
          <w:b w:val="0"/>
          <w:sz w:val="24"/>
          <w:szCs w:val="24"/>
        </w:rPr>
      </w:pPr>
      <w:bookmarkStart w:id="40" w:name="_Toc53212241"/>
      <w:r>
        <w:rPr>
          <w:rFonts w:ascii="仿宋" w:hAnsi="仿宋" w:eastAsia="仿宋"/>
          <w:sz w:val="24"/>
          <w:szCs w:val="24"/>
        </w:rPr>
        <w:t>赛事收尾</w:t>
      </w:r>
      <w:bookmarkEnd w:id="40"/>
    </w:p>
    <w:p>
      <w:pPr>
        <w:pStyle w:val="187"/>
        <w:ind w:firstLine="480"/>
        <w:rPr>
          <w:rFonts w:ascii="仿宋" w:hAnsi="仿宋" w:eastAsia="仿宋"/>
          <w:color w:val="000000"/>
          <w:sz w:val="24"/>
        </w:rPr>
      </w:pPr>
      <w:r>
        <w:rPr>
          <w:rFonts w:hint="eastAsia" w:ascii="仿宋" w:hAnsi="仿宋" w:eastAsia="仿宋"/>
          <w:color w:val="000000"/>
          <w:sz w:val="24"/>
        </w:rPr>
        <w:t>正式比赛结束后对系统及服务的相关工作进行收尾工作，包括但不限于服务关闭、资料汇总归档、配合审计等。</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1）各类服务的关闭和设备的拆除应组织有序、登记在册；移交的资产应提供详实的说明文档，移交过程要有交接清单，并经双方签字盖章确认。</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2）服务提供商提供的信息化建设项目归档资料应全面且装订成册，方便查询。</w:t>
      </w:r>
    </w:p>
    <w:p>
      <w:pPr>
        <w:pStyle w:val="187"/>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3）服务提供商在审计部门审计过程中应提供7×24小时服务，提供的资料应详实可信，确保审计工作顺利完成。</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41" w:name="_Toc53212242"/>
      <w:r>
        <w:rPr>
          <w:rFonts w:hint="eastAsia" w:ascii="仿宋" w:hAnsi="仿宋" w:eastAsia="仿宋"/>
          <w:sz w:val="24"/>
          <w:szCs w:val="24"/>
        </w:rPr>
        <w:t>服务保障要求</w:t>
      </w:r>
      <w:bookmarkEnd w:id="41"/>
    </w:p>
    <w:p>
      <w:pPr>
        <w:pStyle w:val="3"/>
        <w:numPr>
          <w:ilvl w:val="1"/>
          <w:numId w:val="31"/>
        </w:numPr>
        <w:rPr>
          <w:rFonts w:ascii="仿宋" w:hAnsi="仿宋" w:eastAsia="仿宋"/>
          <w:sz w:val="24"/>
          <w:szCs w:val="24"/>
        </w:rPr>
      </w:pPr>
      <w:bookmarkStart w:id="42" w:name="_Toc53212243"/>
      <w:r>
        <w:rPr>
          <w:rFonts w:ascii="仿宋" w:hAnsi="仿宋" w:eastAsia="仿宋"/>
          <w:sz w:val="24"/>
          <w:szCs w:val="24"/>
        </w:rPr>
        <w:t>服务时间及服务方式要求</w:t>
      </w:r>
      <w:bookmarkEnd w:id="42"/>
    </w:p>
    <w:p>
      <w:pPr>
        <w:pStyle w:val="187"/>
        <w:ind w:firstLine="480"/>
        <w:rPr>
          <w:rFonts w:ascii="仿宋" w:hAnsi="仿宋" w:eastAsia="仿宋"/>
          <w:color w:val="000000"/>
          <w:sz w:val="24"/>
        </w:rPr>
      </w:pPr>
      <w:r>
        <w:rPr>
          <w:rFonts w:hint="eastAsia" w:ascii="仿宋" w:hAnsi="仿宋" w:eastAsia="仿宋"/>
          <w:color w:val="000000"/>
          <w:sz w:val="24"/>
        </w:rPr>
        <w:t>服务时间：提供</w:t>
      </w:r>
      <w:r>
        <w:rPr>
          <w:rFonts w:ascii="仿宋" w:hAnsi="仿宋" w:eastAsia="仿宋"/>
          <w:color w:val="000000"/>
          <w:sz w:val="24"/>
        </w:rPr>
        <w:t>7*24小时不间断服务。</w:t>
      </w:r>
    </w:p>
    <w:p>
      <w:pPr>
        <w:pStyle w:val="187"/>
        <w:ind w:firstLine="480"/>
        <w:rPr>
          <w:rFonts w:ascii="仿宋" w:hAnsi="仿宋" w:eastAsia="仿宋"/>
          <w:color w:val="000000"/>
          <w:sz w:val="24"/>
        </w:rPr>
      </w:pPr>
      <w:r>
        <w:rPr>
          <w:rFonts w:hint="eastAsia" w:ascii="仿宋" w:hAnsi="仿宋" w:eastAsia="仿宋"/>
          <w:color w:val="000000"/>
          <w:sz w:val="24"/>
        </w:rPr>
        <w:t>服务方式：驻场服务</w:t>
      </w:r>
    </w:p>
    <w:p>
      <w:pPr>
        <w:pStyle w:val="187"/>
        <w:ind w:firstLine="480"/>
        <w:rPr>
          <w:rFonts w:ascii="仿宋" w:hAnsi="仿宋" w:eastAsia="仿宋"/>
          <w:color w:val="000000"/>
          <w:sz w:val="24"/>
        </w:rPr>
      </w:pPr>
      <w:r>
        <w:rPr>
          <w:rFonts w:hint="eastAsia" w:ascii="仿宋" w:hAnsi="仿宋" w:eastAsia="仿宋"/>
          <w:color w:val="000000"/>
          <w:sz w:val="24"/>
        </w:rPr>
        <w:t>服务提供商须为本项目组建稳定的、专业的、独立的服务团队，须在竞赛所在地设立专门的服务机构，专门负责本项目需求确认、系统部署、联调联试、赛前准备、赛时运行保障等工作。</w:t>
      </w:r>
    </w:p>
    <w:p>
      <w:pPr>
        <w:pStyle w:val="187"/>
        <w:ind w:firstLine="480"/>
        <w:rPr>
          <w:rFonts w:ascii="仿宋" w:hAnsi="仿宋" w:eastAsia="仿宋"/>
          <w:color w:val="000000"/>
          <w:sz w:val="24"/>
        </w:rPr>
      </w:pPr>
      <w:r>
        <w:rPr>
          <w:rFonts w:hint="eastAsia" w:ascii="仿宋" w:hAnsi="仿宋" w:eastAsia="仿宋"/>
          <w:color w:val="000000"/>
          <w:sz w:val="24"/>
        </w:rPr>
        <w:t>服务提供商须根据服务内容，提供满足服务需求，足以保证服务运行的服务人员，在系统集成、系统测试、联调联试、赛事运行以及重大活动期间提供相应的服务。</w:t>
      </w:r>
    </w:p>
    <w:p>
      <w:pPr>
        <w:pStyle w:val="3"/>
        <w:numPr>
          <w:ilvl w:val="1"/>
          <w:numId w:val="31"/>
        </w:numPr>
        <w:rPr>
          <w:rFonts w:ascii="仿宋" w:hAnsi="仿宋" w:eastAsia="仿宋"/>
          <w:sz w:val="24"/>
          <w:szCs w:val="24"/>
        </w:rPr>
      </w:pPr>
      <w:bookmarkStart w:id="43" w:name="_Toc53212244"/>
      <w:r>
        <w:rPr>
          <w:rFonts w:ascii="仿宋" w:hAnsi="仿宋" w:eastAsia="仿宋"/>
          <w:sz w:val="24"/>
          <w:szCs w:val="24"/>
        </w:rPr>
        <w:t>例行操作要求</w:t>
      </w:r>
      <w:bookmarkEnd w:id="43"/>
    </w:p>
    <w:p>
      <w:pPr>
        <w:pStyle w:val="187"/>
        <w:ind w:firstLine="480"/>
        <w:rPr>
          <w:rFonts w:ascii="仿宋" w:hAnsi="仿宋" w:eastAsia="仿宋"/>
          <w:color w:val="000000"/>
          <w:sz w:val="24"/>
        </w:rPr>
      </w:pPr>
      <w:r>
        <w:rPr>
          <w:rFonts w:hint="eastAsia" w:ascii="仿宋" w:hAnsi="仿宋" w:eastAsia="仿宋"/>
          <w:color w:val="000000"/>
          <w:sz w:val="24"/>
        </w:rPr>
        <w:t>巡检要求：服务提供商应根据不同的服务内容，提出关键巡检指标，制定巡检计划。</w:t>
      </w:r>
    </w:p>
    <w:p>
      <w:pPr>
        <w:pStyle w:val="187"/>
        <w:ind w:firstLine="480"/>
        <w:rPr>
          <w:rFonts w:ascii="仿宋" w:hAnsi="仿宋" w:eastAsia="仿宋"/>
          <w:color w:val="000000"/>
          <w:sz w:val="24"/>
        </w:rPr>
      </w:pPr>
      <w:r>
        <w:rPr>
          <w:rFonts w:hint="eastAsia" w:ascii="仿宋" w:hAnsi="仿宋" w:eastAsia="仿宋"/>
          <w:color w:val="000000"/>
          <w:sz w:val="24"/>
        </w:rPr>
        <w:t>备份要求：服务提供商应根据不同的服务内容，提出备份策略，制定备份计划，保证在服务期间，如果发生问题，不影响服务的正常交付。</w:t>
      </w:r>
    </w:p>
    <w:p>
      <w:pPr>
        <w:pStyle w:val="187"/>
        <w:ind w:firstLine="480"/>
        <w:rPr>
          <w:rFonts w:ascii="仿宋" w:hAnsi="仿宋" w:eastAsia="仿宋"/>
          <w:color w:val="000000"/>
          <w:sz w:val="24"/>
        </w:rPr>
      </w:pPr>
      <w:r>
        <w:rPr>
          <w:rFonts w:hint="eastAsia" w:ascii="仿宋" w:hAnsi="仿宋" w:eastAsia="仿宋"/>
          <w:color w:val="000000"/>
          <w:sz w:val="24"/>
        </w:rPr>
        <w:t>服务结束后应提交巡检报告。</w:t>
      </w:r>
    </w:p>
    <w:p>
      <w:pPr>
        <w:pStyle w:val="3"/>
        <w:numPr>
          <w:ilvl w:val="1"/>
          <w:numId w:val="31"/>
        </w:numPr>
        <w:rPr>
          <w:rFonts w:ascii="仿宋" w:hAnsi="仿宋" w:eastAsia="仿宋"/>
          <w:sz w:val="24"/>
          <w:szCs w:val="24"/>
        </w:rPr>
      </w:pPr>
      <w:bookmarkStart w:id="44" w:name="_Toc53212245"/>
      <w:r>
        <w:rPr>
          <w:rFonts w:ascii="仿宋" w:hAnsi="仿宋" w:eastAsia="仿宋"/>
          <w:sz w:val="24"/>
          <w:szCs w:val="24"/>
        </w:rPr>
        <w:t>响应支持要求</w:t>
      </w:r>
      <w:bookmarkEnd w:id="44"/>
    </w:p>
    <w:p>
      <w:pPr>
        <w:pStyle w:val="187"/>
        <w:ind w:firstLine="480"/>
        <w:rPr>
          <w:rFonts w:ascii="仿宋" w:hAnsi="仿宋" w:eastAsia="仿宋"/>
          <w:color w:val="000000"/>
          <w:sz w:val="24"/>
        </w:rPr>
      </w:pPr>
      <w:r>
        <w:rPr>
          <w:rFonts w:hint="eastAsia" w:ascii="仿宋" w:hAnsi="仿宋" w:eastAsia="仿宋"/>
          <w:color w:val="000000"/>
          <w:sz w:val="24"/>
        </w:rPr>
        <w:t>服务提供商应建立故障响应的机制，根据不同的服务内容，定义故障等级，按照故障等级进行响应。如涉及到核心功能的变更，必须提前三天向服务需求方提交变更申请，经审批后准予变更。</w:t>
      </w:r>
    </w:p>
    <w:p>
      <w:pPr>
        <w:pStyle w:val="187"/>
        <w:ind w:firstLine="480"/>
        <w:rPr>
          <w:rFonts w:ascii="仿宋" w:hAnsi="仿宋" w:eastAsia="仿宋"/>
          <w:color w:val="000000"/>
          <w:sz w:val="24"/>
        </w:rPr>
      </w:pPr>
      <w:r>
        <w:rPr>
          <w:rFonts w:hint="eastAsia" w:ascii="仿宋" w:hAnsi="仿宋" w:eastAsia="仿宋"/>
          <w:color w:val="000000"/>
          <w:sz w:val="24"/>
        </w:rPr>
        <w:t>服务结束后应提交故障总结报告。</w:t>
      </w:r>
    </w:p>
    <w:p>
      <w:pPr>
        <w:pStyle w:val="3"/>
        <w:numPr>
          <w:ilvl w:val="1"/>
          <w:numId w:val="31"/>
        </w:numPr>
        <w:rPr>
          <w:rFonts w:ascii="仿宋" w:hAnsi="仿宋" w:eastAsia="仿宋"/>
          <w:sz w:val="24"/>
          <w:szCs w:val="24"/>
        </w:rPr>
      </w:pPr>
      <w:bookmarkStart w:id="45" w:name="_Toc53212246"/>
      <w:r>
        <w:rPr>
          <w:rFonts w:ascii="仿宋" w:hAnsi="仿宋" w:eastAsia="仿宋"/>
          <w:sz w:val="24"/>
          <w:szCs w:val="24"/>
        </w:rPr>
        <w:t>应急响应要求</w:t>
      </w:r>
      <w:bookmarkEnd w:id="45"/>
    </w:p>
    <w:p>
      <w:pPr>
        <w:pStyle w:val="187"/>
        <w:ind w:firstLine="480"/>
        <w:rPr>
          <w:rFonts w:ascii="仿宋" w:hAnsi="仿宋" w:eastAsia="仿宋"/>
          <w:color w:val="000000"/>
          <w:sz w:val="24"/>
        </w:rPr>
      </w:pPr>
      <w:r>
        <w:rPr>
          <w:rFonts w:hint="eastAsia" w:ascii="仿宋" w:hAnsi="仿宋" w:eastAsia="仿宋"/>
          <w:color w:val="000000"/>
          <w:sz w:val="24"/>
        </w:rPr>
        <w:t>服务提供商应根据不同的服务内容，制定相应的应急预案。应急预案应包括启动时机、应急组织、应急人员联络方式及详尽的应急方法和处理措施。</w:t>
      </w:r>
    </w:p>
    <w:p>
      <w:pPr>
        <w:pStyle w:val="187"/>
        <w:ind w:firstLine="480"/>
        <w:rPr>
          <w:rFonts w:ascii="仿宋" w:hAnsi="仿宋" w:eastAsia="仿宋"/>
          <w:color w:val="000000"/>
          <w:sz w:val="24"/>
        </w:rPr>
      </w:pPr>
      <w:r>
        <w:rPr>
          <w:rFonts w:hint="eastAsia" w:ascii="仿宋" w:hAnsi="仿宋" w:eastAsia="仿宋"/>
          <w:color w:val="000000"/>
          <w:sz w:val="24"/>
        </w:rPr>
        <w:t>服务期间如果发生应急事件，服务结束后应提交应急响应报告。</w:t>
      </w:r>
    </w:p>
    <w:p>
      <w:pPr>
        <w:pStyle w:val="3"/>
        <w:numPr>
          <w:ilvl w:val="1"/>
          <w:numId w:val="31"/>
        </w:numPr>
        <w:rPr>
          <w:rFonts w:ascii="仿宋" w:hAnsi="仿宋" w:eastAsia="仿宋"/>
          <w:sz w:val="24"/>
          <w:szCs w:val="24"/>
        </w:rPr>
      </w:pPr>
      <w:bookmarkStart w:id="46" w:name="_Toc53212247"/>
      <w:r>
        <w:rPr>
          <w:rFonts w:ascii="仿宋" w:hAnsi="仿宋" w:eastAsia="仿宋"/>
          <w:sz w:val="24"/>
          <w:szCs w:val="24"/>
        </w:rPr>
        <w:t>可用性要求</w:t>
      </w:r>
      <w:bookmarkEnd w:id="46"/>
    </w:p>
    <w:p>
      <w:pPr>
        <w:pStyle w:val="187"/>
        <w:ind w:firstLine="480"/>
        <w:rPr>
          <w:rFonts w:ascii="仿宋" w:hAnsi="仿宋" w:eastAsia="仿宋"/>
          <w:color w:val="000000"/>
          <w:sz w:val="24"/>
        </w:rPr>
      </w:pPr>
      <w:r>
        <w:rPr>
          <w:rFonts w:hint="eastAsia" w:ascii="仿宋" w:hAnsi="仿宋" w:eastAsia="仿宋"/>
          <w:color w:val="000000"/>
          <w:sz w:val="24"/>
        </w:rPr>
        <w:t>在正式比赛期间，确保服务的可用性达到各系统可用性设计指标。</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47" w:name="_Toc53212248"/>
      <w:r>
        <w:rPr>
          <w:rFonts w:hint="eastAsia" w:ascii="仿宋" w:hAnsi="仿宋" w:eastAsia="仿宋"/>
          <w:sz w:val="24"/>
          <w:szCs w:val="24"/>
        </w:rPr>
        <w:t>培训要求</w:t>
      </w:r>
      <w:bookmarkEnd w:id="47"/>
    </w:p>
    <w:p>
      <w:pPr>
        <w:pStyle w:val="187"/>
        <w:ind w:firstLine="480"/>
        <w:rPr>
          <w:rFonts w:ascii="仿宋" w:hAnsi="仿宋" w:eastAsia="仿宋"/>
          <w:color w:val="000000"/>
          <w:sz w:val="24"/>
        </w:rPr>
      </w:pPr>
      <w:r>
        <w:rPr>
          <w:rFonts w:hint="eastAsia" w:ascii="仿宋" w:hAnsi="仿宋" w:eastAsia="仿宋"/>
          <w:color w:val="000000"/>
          <w:sz w:val="24"/>
        </w:rPr>
        <w:t>服务提供商应从全局角度出发，提供完整的培训方案，制定培训计划。</w:t>
      </w:r>
    </w:p>
    <w:p>
      <w:pPr>
        <w:pStyle w:val="3"/>
        <w:numPr>
          <w:ilvl w:val="1"/>
          <w:numId w:val="31"/>
        </w:numPr>
        <w:rPr>
          <w:rFonts w:ascii="仿宋" w:hAnsi="仿宋" w:eastAsia="仿宋"/>
          <w:sz w:val="24"/>
          <w:szCs w:val="24"/>
        </w:rPr>
      </w:pPr>
      <w:bookmarkStart w:id="48" w:name="_Toc53212249"/>
      <w:r>
        <w:rPr>
          <w:rFonts w:ascii="仿宋" w:hAnsi="仿宋" w:eastAsia="仿宋"/>
          <w:sz w:val="24"/>
          <w:szCs w:val="24"/>
        </w:rPr>
        <w:t>培训目标</w:t>
      </w:r>
      <w:bookmarkEnd w:id="48"/>
    </w:p>
    <w:p>
      <w:pPr>
        <w:pStyle w:val="187"/>
        <w:ind w:firstLine="480"/>
        <w:rPr>
          <w:rFonts w:ascii="仿宋" w:hAnsi="仿宋" w:eastAsia="仿宋"/>
          <w:color w:val="000000"/>
          <w:sz w:val="24"/>
        </w:rPr>
      </w:pPr>
      <w:r>
        <w:rPr>
          <w:rFonts w:hint="eastAsia" w:ascii="仿宋" w:hAnsi="仿宋" w:eastAsia="仿宋"/>
          <w:color w:val="000000"/>
          <w:sz w:val="24"/>
        </w:rPr>
        <w:t>使相关人员熟悉十四运会和残特奥会的基本知识和业务流程，熟悉各系统及设施设备的操作要求和方法，保障系统安全可靠、高效的运行。</w:t>
      </w:r>
    </w:p>
    <w:p>
      <w:pPr>
        <w:pStyle w:val="187"/>
        <w:ind w:firstLine="480"/>
        <w:rPr>
          <w:rFonts w:ascii="仿宋" w:hAnsi="仿宋" w:eastAsia="仿宋"/>
          <w:color w:val="000000"/>
          <w:sz w:val="24"/>
        </w:rPr>
      </w:pPr>
      <w:r>
        <w:rPr>
          <w:rFonts w:hint="eastAsia" w:ascii="仿宋" w:hAnsi="仿宋" w:eastAsia="仿宋"/>
          <w:color w:val="000000"/>
          <w:sz w:val="24"/>
        </w:rPr>
        <w:t>使相关人员熟悉基本流程、服务规范，熟练操作各系统及设施设备的各项功能。</w:t>
      </w:r>
    </w:p>
    <w:p>
      <w:pPr>
        <w:pStyle w:val="3"/>
        <w:numPr>
          <w:ilvl w:val="1"/>
          <w:numId w:val="31"/>
        </w:numPr>
        <w:rPr>
          <w:rFonts w:ascii="仿宋" w:hAnsi="仿宋" w:eastAsia="仿宋"/>
          <w:sz w:val="24"/>
          <w:szCs w:val="24"/>
        </w:rPr>
      </w:pPr>
      <w:bookmarkStart w:id="49" w:name="_Toc53212250"/>
      <w:r>
        <w:rPr>
          <w:rFonts w:ascii="仿宋" w:hAnsi="仿宋" w:eastAsia="仿宋"/>
          <w:sz w:val="24"/>
          <w:szCs w:val="24"/>
        </w:rPr>
        <w:t>培训对象</w:t>
      </w:r>
      <w:bookmarkEnd w:id="49"/>
    </w:p>
    <w:p>
      <w:pPr>
        <w:pStyle w:val="187"/>
        <w:ind w:firstLine="480"/>
        <w:rPr>
          <w:rFonts w:ascii="仿宋" w:hAnsi="仿宋" w:eastAsia="仿宋"/>
          <w:color w:val="000000"/>
          <w:sz w:val="24"/>
        </w:rPr>
      </w:pPr>
      <w:r>
        <w:rPr>
          <w:rFonts w:hint="eastAsia" w:ascii="仿宋" w:hAnsi="仿宋" w:eastAsia="仿宋"/>
          <w:color w:val="000000"/>
          <w:sz w:val="24"/>
        </w:rPr>
        <w:t>组委会工作人员、技术支持人员和志愿者等。</w:t>
      </w:r>
    </w:p>
    <w:p>
      <w:pPr>
        <w:pStyle w:val="3"/>
        <w:numPr>
          <w:ilvl w:val="1"/>
          <w:numId w:val="31"/>
        </w:numPr>
        <w:rPr>
          <w:rFonts w:ascii="仿宋" w:hAnsi="仿宋" w:eastAsia="仿宋"/>
          <w:sz w:val="24"/>
          <w:szCs w:val="24"/>
        </w:rPr>
      </w:pPr>
      <w:bookmarkStart w:id="50" w:name="_Toc53212251"/>
      <w:r>
        <w:rPr>
          <w:rFonts w:ascii="仿宋" w:hAnsi="仿宋" w:eastAsia="仿宋"/>
          <w:sz w:val="24"/>
          <w:szCs w:val="24"/>
        </w:rPr>
        <w:t>培训内容</w:t>
      </w:r>
      <w:bookmarkEnd w:id="50"/>
    </w:p>
    <w:p>
      <w:pPr>
        <w:pStyle w:val="187"/>
        <w:ind w:firstLine="480"/>
        <w:rPr>
          <w:rFonts w:ascii="仿宋" w:hAnsi="仿宋" w:eastAsia="仿宋"/>
          <w:color w:val="000000"/>
          <w:sz w:val="24"/>
        </w:rPr>
      </w:pPr>
      <w:r>
        <w:rPr>
          <w:rFonts w:hint="eastAsia" w:ascii="仿宋" w:hAnsi="仿宋" w:eastAsia="仿宋"/>
          <w:color w:val="000000"/>
          <w:sz w:val="24"/>
        </w:rPr>
        <w:t>服务提供商应按照服务范围提供相应的培训，服务提供商须在培训计划中详细列明相应的培训教材、课程内容、师资和时间安排。</w:t>
      </w:r>
    </w:p>
    <w:p>
      <w:pPr>
        <w:pStyle w:val="187"/>
        <w:ind w:firstLine="480"/>
        <w:rPr>
          <w:rFonts w:ascii="仿宋" w:hAnsi="仿宋" w:eastAsia="仿宋"/>
          <w:color w:val="000000"/>
          <w:sz w:val="24"/>
        </w:rPr>
      </w:pPr>
      <w:r>
        <w:rPr>
          <w:rFonts w:hint="eastAsia" w:ascii="仿宋" w:hAnsi="仿宋" w:eastAsia="仿宋"/>
          <w:color w:val="000000"/>
          <w:sz w:val="24"/>
        </w:rPr>
        <w:t>服务提供商应根据以往经验，结合十四运会和残特奥会信息化服务的要求，编制详尽培训方案。</w:t>
      </w:r>
    </w:p>
    <w:p>
      <w:pPr>
        <w:pStyle w:val="3"/>
        <w:numPr>
          <w:ilvl w:val="1"/>
          <w:numId w:val="31"/>
        </w:numPr>
        <w:rPr>
          <w:rFonts w:ascii="仿宋" w:hAnsi="仿宋" w:eastAsia="仿宋"/>
          <w:sz w:val="24"/>
          <w:szCs w:val="24"/>
        </w:rPr>
      </w:pPr>
      <w:bookmarkStart w:id="51" w:name="_Toc53212252"/>
      <w:r>
        <w:rPr>
          <w:rFonts w:ascii="仿宋" w:hAnsi="仿宋" w:eastAsia="仿宋"/>
          <w:sz w:val="24"/>
          <w:szCs w:val="24"/>
        </w:rPr>
        <w:t>培训费用</w:t>
      </w:r>
      <w:bookmarkEnd w:id="51"/>
    </w:p>
    <w:p>
      <w:pPr>
        <w:pStyle w:val="187"/>
        <w:ind w:firstLine="480"/>
        <w:rPr>
          <w:rFonts w:ascii="仿宋" w:hAnsi="仿宋" w:eastAsia="仿宋"/>
          <w:color w:val="000000"/>
          <w:sz w:val="24"/>
        </w:rPr>
      </w:pPr>
      <w:r>
        <w:rPr>
          <w:rFonts w:hint="eastAsia" w:ascii="仿宋" w:hAnsi="仿宋" w:eastAsia="仿宋"/>
          <w:color w:val="000000"/>
          <w:sz w:val="24"/>
        </w:rPr>
        <w:t>所有培训费用（含培训教材费、场地费等）及各项支出可包含在各子系统报价中，无须单列。</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52" w:name="_Toc53212253"/>
      <w:r>
        <w:rPr>
          <w:rFonts w:hint="eastAsia" w:ascii="仿宋" w:hAnsi="仿宋" w:eastAsia="仿宋"/>
          <w:sz w:val="24"/>
          <w:szCs w:val="24"/>
        </w:rPr>
        <w:t>验收要求</w:t>
      </w:r>
      <w:bookmarkEnd w:id="52"/>
    </w:p>
    <w:p>
      <w:pPr>
        <w:pStyle w:val="3"/>
        <w:numPr>
          <w:ilvl w:val="1"/>
          <w:numId w:val="31"/>
        </w:numPr>
        <w:rPr>
          <w:rFonts w:ascii="仿宋" w:hAnsi="仿宋" w:eastAsia="仿宋"/>
          <w:sz w:val="24"/>
          <w:szCs w:val="24"/>
        </w:rPr>
      </w:pPr>
      <w:bookmarkStart w:id="53" w:name="_Toc53212254"/>
      <w:r>
        <w:rPr>
          <w:rFonts w:ascii="仿宋" w:hAnsi="仿宋" w:eastAsia="仿宋"/>
          <w:sz w:val="24"/>
          <w:szCs w:val="24"/>
        </w:rPr>
        <w:t>初验</w:t>
      </w:r>
      <w:bookmarkEnd w:id="53"/>
    </w:p>
    <w:p>
      <w:pPr>
        <w:pStyle w:val="187"/>
        <w:ind w:firstLine="480"/>
        <w:rPr>
          <w:rFonts w:ascii="仿宋" w:hAnsi="仿宋" w:eastAsia="仿宋"/>
          <w:color w:val="000000"/>
          <w:sz w:val="24"/>
        </w:rPr>
      </w:pPr>
      <w:r>
        <w:rPr>
          <w:rFonts w:hint="eastAsia" w:ascii="仿宋" w:hAnsi="仿宋" w:eastAsia="仿宋"/>
          <w:color w:val="000000"/>
          <w:sz w:val="24"/>
        </w:rPr>
        <w:t>服务提供商应在系统建设完成且集成测试通过后，提交初验申请。验收时应提交投标文件、项目合同、设计方案、各阶段成果、过程记录文档、变更纪要、集成测试报告等。</w:t>
      </w:r>
    </w:p>
    <w:p>
      <w:pPr>
        <w:pStyle w:val="3"/>
        <w:numPr>
          <w:ilvl w:val="1"/>
          <w:numId w:val="31"/>
        </w:numPr>
        <w:rPr>
          <w:rFonts w:ascii="仿宋" w:hAnsi="仿宋" w:eastAsia="仿宋"/>
          <w:sz w:val="24"/>
          <w:szCs w:val="24"/>
        </w:rPr>
      </w:pPr>
      <w:bookmarkStart w:id="54" w:name="_Toc53212255"/>
      <w:r>
        <w:rPr>
          <w:rFonts w:ascii="仿宋" w:hAnsi="仿宋" w:eastAsia="仿宋"/>
          <w:sz w:val="24"/>
          <w:szCs w:val="24"/>
        </w:rPr>
        <w:t>终验</w:t>
      </w:r>
      <w:bookmarkEnd w:id="54"/>
    </w:p>
    <w:p>
      <w:pPr>
        <w:pStyle w:val="187"/>
        <w:ind w:firstLine="480"/>
        <w:rPr>
          <w:rFonts w:ascii="仿宋" w:hAnsi="仿宋" w:eastAsia="仿宋"/>
          <w:color w:val="000000"/>
          <w:sz w:val="24"/>
        </w:rPr>
      </w:pPr>
      <w:r>
        <w:rPr>
          <w:rFonts w:hint="eastAsia" w:ascii="仿宋" w:hAnsi="仿宋" w:eastAsia="仿宋"/>
          <w:color w:val="000000"/>
          <w:sz w:val="24"/>
        </w:rPr>
        <w:t>服务提供商应在联调联试通过，且按照组委会、国家体育总局体育信息中心要求完成测试赛、开闭幕式和正式比赛运行保障服务，完成信息化建设项目总体收尾工作后，提交终验申请。验收时应提交联调联试总结报告、测试赛和正式比赛阶段的服务总结报告、数据移交报告等。</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55" w:name="_Toc53212256"/>
      <w:r>
        <w:rPr>
          <w:rFonts w:hint="eastAsia" w:ascii="仿宋" w:hAnsi="仿宋" w:eastAsia="仿宋"/>
          <w:sz w:val="24"/>
          <w:szCs w:val="24"/>
        </w:rPr>
        <w:t>工期要求</w:t>
      </w:r>
      <w:bookmarkEnd w:id="55"/>
    </w:p>
    <w:p>
      <w:pPr>
        <w:pStyle w:val="187"/>
        <w:ind w:firstLine="480"/>
        <w:rPr>
          <w:rFonts w:ascii="仿宋" w:hAnsi="仿宋" w:eastAsia="仿宋"/>
          <w:color w:val="000000"/>
          <w:sz w:val="24"/>
        </w:rPr>
      </w:pPr>
      <w:r>
        <w:rPr>
          <w:rFonts w:hint="eastAsia" w:ascii="仿宋" w:hAnsi="仿宋" w:eastAsia="仿宋"/>
          <w:color w:val="000000"/>
          <w:sz w:val="24"/>
        </w:rPr>
        <w:t>项目工期要求如下：</w:t>
      </w:r>
    </w:p>
    <w:tbl>
      <w:tblPr>
        <w:tblStyle w:val="58"/>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512"/>
        <w:gridCol w:w="2137"/>
        <w:gridCol w:w="2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5" w:type="dxa"/>
            <w:vAlign w:val="center"/>
          </w:tcPr>
          <w:p>
            <w:pPr>
              <w:pStyle w:val="187"/>
              <w:spacing w:line="400" w:lineRule="exact"/>
              <w:ind w:firstLine="0" w:firstLineChars="0"/>
            </w:pPr>
            <w:r>
              <w:rPr>
                <w:rFonts w:hint="eastAsia" w:ascii="仿宋" w:hAnsi="仿宋" w:eastAsia="仿宋"/>
                <w:b/>
                <w:bCs/>
                <w:sz w:val="24"/>
              </w:rPr>
              <w:t>序号</w:t>
            </w:r>
          </w:p>
        </w:tc>
        <w:tc>
          <w:tcPr>
            <w:tcW w:w="2512" w:type="dxa"/>
            <w:vAlign w:val="center"/>
          </w:tcPr>
          <w:p>
            <w:pPr>
              <w:pStyle w:val="187"/>
              <w:spacing w:line="400" w:lineRule="exact"/>
              <w:ind w:firstLine="482"/>
              <w:rPr>
                <w:rFonts w:ascii="仿宋" w:hAnsi="仿宋" w:eastAsia="仿宋"/>
                <w:b/>
                <w:bCs/>
                <w:sz w:val="24"/>
              </w:rPr>
            </w:pPr>
            <w:r>
              <w:rPr>
                <w:rFonts w:hint="eastAsia" w:ascii="仿宋" w:hAnsi="仿宋" w:eastAsia="仿宋"/>
                <w:b/>
                <w:bCs/>
                <w:sz w:val="24"/>
              </w:rPr>
              <w:t>时间要求</w:t>
            </w:r>
          </w:p>
        </w:tc>
        <w:tc>
          <w:tcPr>
            <w:tcW w:w="2137" w:type="dxa"/>
            <w:vAlign w:val="center"/>
          </w:tcPr>
          <w:p>
            <w:pPr>
              <w:pStyle w:val="187"/>
              <w:spacing w:line="400" w:lineRule="exact"/>
              <w:ind w:firstLine="419" w:firstLineChars="174"/>
              <w:rPr>
                <w:rFonts w:ascii="仿宋" w:hAnsi="仿宋" w:eastAsia="仿宋"/>
                <w:b/>
                <w:bCs/>
                <w:sz w:val="24"/>
              </w:rPr>
            </w:pPr>
            <w:r>
              <w:rPr>
                <w:rFonts w:hint="eastAsia" w:ascii="仿宋" w:hAnsi="仿宋" w:eastAsia="仿宋"/>
                <w:b/>
                <w:bCs/>
                <w:sz w:val="24"/>
              </w:rPr>
              <w:t>阶段任务</w:t>
            </w:r>
          </w:p>
        </w:tc>
        <w:tc>
          <w:tcPr>
            <w:tcW w:w="2922" w:type="dxa"/>
            <w:vAlign w:val="center"/>
          </w:tcPr>
          <w:p>
            <w:pPr>
              <w:pStyle w:val="187"/>
              <w:spacing w:line="400" w:lineRule="exact"/>
              <w:ind w:firstLine="482"/>
              <w:jc w:val="center"/>
              <w:rPr>
                <w:rFonts w:ascii="仿宋" w:hAnsi="仿宋" w:eastAsia="仿宋"/>
                <w:b/>
                <w:bCs/>
                <w:sz w:val="24"/>
              </w:rPr>
            </w:pPr>
            <w:r>
              <w:rPr>
                <w:rFonts w:hint="eastAsia" w:ascii="仿宋" w:hAnsi="仿宋" w:eastAsia="仿宋"/>
                <w:b/>
                <w:bCs/>
                <w:sz w:val="24"/>
              </w:rPr>
              <w:t>交付成果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ascii="仿宋" w:hAnsi="仿宋" w:eastAsia="仿宋"/>
                <w:b/>
              </w:rPr>
              <w:t>1</w:t>
            </w:r>
          </w:p>
        </w:tc>
        <w:tc>
          <w:tcPr>
            <w:tcW w:w="2512" w:type="dxa"/>
            <w:vAlign w:val="center"/>
          </w:tcPr>
          <w:p>
            <w:pPr>
              <w:pStyle w:val="187"/>
              <w:spacing w:line="400" w:lineRule="exact"/>
              <w:ind w:firstLine="0" w:firstLineChars="0"/>
              <w:rPr>
                <w:rFonts w:ascii="仿宋" w:hAnsi="仿宋" w:eastAsia="仿宋"/>
                <w:sz w:val="24"/>
              </w:rPr>
            </w:pPr>
            <w:r>
              <w:rPr>
                <w:rFonts w:ascii="仿宋" w:hAnsi="仿宋" w:eastAsia="仿宋"/>
                <w:sz w:val="24"/>
              </w:rPr>
              <w:t>2020年</w:t>
            </w:r>
            <w:r>
              <w:rPr>
                <w:rFonts w:hint="eastAsia" w:ascii="仿宋" w:hAnsi="仿宋" w:eastAsia="仿宋"/>
                <w:sz w:val="24"/>
              </w:rPr>
              <w:t>12月-1月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完成方案编制</w:t>
            </w:r>
          </w:p>
        </w:tc>
        <w:tc>
          <w:tcPr>
            <w:tcW w:w="2922" w:type="dxa"/>
            <w:vAlign w:val="center"/>
          </w:tcPr>
          <w:p>
            <w:pPr>
              <w:pStyle w:val="187"/>
              <w:spacing w:line="400" w:lineRule="exact"/>
              <w:ind w:firstLine="480"/>
              <w:jc w:val="center"/>
              <w:rPr>
                <w:rFonts w:ascii="仿宋" w:hAnsi="仿宋" w:eastAsia="仿宋"/>
                <w:sz w:val="24"/>
              </w:rPr>
            </w:pPr>
            <w:r>
              <w:rPr>
                <w:rFonts w:hint="eastAsia" w:ascii="仿宋" w:hAnsi="仿宋" w:eastAsia="仿宋"/>
                <w:sz w:val="24"/>
              </w:rPr>
              <w:t>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ascii="仿宋" w:hAnsi="仿宋" w:eastAsia="仿宋"/>
                <w:b/>
              </w:rPr>
              <w:t>2</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2020年</w:t>
            </w:r>
            <w:r>
              <w:rPr>
                <w:rFonts w:ascii="仿宋" w:hAnsi="仿宋" w:eastAsia="仿宋"/>
                <w:sz w:val="24"/>
              </w:rPr>
              <w:t>12</w:t>
            </w:r>
            <w:r>
              <w:rPr>
                <w:rFonts w:hint="eastAsia" w:ascii="仿宋" w:hAnsi="仿宋" w:eastAsia="仿宋"/>
                <w:sz w:val="24"/>
              </w:rPr>
              <w:t>-1月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完成系统建设和集成</w:t>
            </w:r>
          </w:p>
        </w:tc>
        <w:tc>
          <w:tcPr>
            <w:tcW w:w="292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系统建设各阶段成果、过程记录文档、变更纪要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3</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2021年</w:t>
            </w:r>
            <w:r>
              <w:rPr>
                <w:rFonts w:ascii="仿宋" w:hAnsi="仿宋" w:eastAsia="仿宋"/>
                <w:sz w:val="24"/>
              </w:rPr>
              <w:t>1</w:t>
            </w:r>
            <w:r>
              <w:rPr>
                <w:rFonts w:hint="eastAsia" w:ascii="仿宋" w:hAnsi="仿宋" w:eastAsia="仿宋"/>
                <w:sz w:val="24"/>
              </w:rPr>
              <w:t>月-</w:t>
            </w:r>
            <w:r>
              <w:rPr>
                <w:rFonts w:ascii="仿宋" w:hAnsi="仿宋" w:eastAsia="仿宋"/>
                <w:sz w:val="24"/>
              </w:rPr>
              <w:t>2</w:t>
            </w:r>
            <w:r>
              <w:rPr>
                <w:rFonts w:hint="eastAsia" w:ascii="仿宋" w:hAnsi="仿宋" w:eastAsia="仿宋"/>
                <w:sz w:val="24"/>
              </w:rPr>
              <w:t>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完成集成测试</w:t>
            </w:r>
          </w:p>
        </w:tc>
        <w:tc>
          <w:tcPr>
            <w:tcW w:w="2922" w:type="dxa"/>
            <w:vAlign w:val="center"/>
          </w:tcPr>
          <w:p>
            <w:pPr>
              <w:pStyle w:val="187"/>
              <w:spacing w:line="400" w:lineRule="exact"/>
              <w:ind w:firstLine="480"/>
              <w:rPr>
                <w:rFonts w:ascii="仿宋" w:hAnsi="仿宋" w:eastAsia="仿宋"/>
                <w:sz w:val="24"/>
              </w:rPr>
            </w:pPr>
            <w:r>
              <w:rPr>
                <w:rFonts w:hint="eastAsia" w:ascii="仿宋" w:hAnsi="仿宋" w:eastAsia="仿宋"/>
                <w:sz w:val="24"/>
              </w:rPr>
              <w:t>集成测试报告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4</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2021年</w:t>
            </w:r>
            <w:r>
              <w:rPr>
                <w:rFonts w:ascii="仿宋" w:hAnsi="仿宋" w:eastAsia="仿宋"/>
                <w:sz w:val="24"/>
              </w:rPr>
              <w:t>2</w:t>
            </w:r>
            <w:r>
              <w:rPr>
                <w:rFonts w:hint="eastAsia" w:ascii="仿宋" w:hAnsi="仿宋" w:eastAsia="仿宋"/>
                <w:sz w:val="24"/>
              </w:rPr>
              <w:t>月-</w:t>
            </w:r>
            <w:r>
              <w:rPr>
                <w:rFonts w:ascii="仿宋" w:hAnsi="仿宋" w:eastAsia="仿宋"/>
                <w:sz w:val="24"/>
              </w:rPr>
              <w:t>3</w:t>
            </w:r>
            <w:r>
              <w:rPr>
                <w:rFonts w:hint="eastAsia" w:ascii="仿宋" w:hAnsi="仿宋" w:eastAsia="仿宋"/>
                <w:sz w:val="24"/>
              </w:rPr>
              <w:t>月</w:t>
            </w:r>
          </w:p>
        </w:tc>
        <w:tc>
          <w:tcPr>
            <w:tcW w:w="5059" w:type="dxa"/>
            <w:gridSpan w:val="2"/>
            <w:vAlign w:val="center"/>
          </w:tcPr>
          <w:p>
            <w:pPr>
              <w:pStyle w:val="187"/>
              <w:spacing w:line="400" w:lineRule="exact"/>
              <w:ind w:firstLine="480"/>
              <w:jc w:val="center"/>
              <w:rPr>
                <w:rFonts w:ascii="仿宋" w:hAnsi="仿宋" w:eastAsia="仿宋"/>
                <w:sz w:val="24"/>
              </w:rPr>
            </w:pPr>
            <w:r>
              <w:rPr>
                <w:rFonts w:hint="eastAsia" w:ascii="仿宋" w:hAnsi="仿宋" w:eastAsia="仿宋" w:cs="Courier New"/>
                <w:sz w:val="24"/>
              </w:rPr>
              <w:t>组织</w:t>
            </w:r>
            <w:r>
              <w:rPr>
                <w:rFonts w:ascii="仿宋" w:hAnsi="仿宋" w:eastAsia="仿宋" w:cs="Courier New"/>
                <w:sz w:val="24"/>
              </w:rPr>
              <w:t>项目</w:t>
            </w:r>
            <w:r>
              <w:rPr>
                <w:rFonts w:hint="eastAsia" w:ascii="仿宋" w:hAnsi="仿宋" w:eastAsia="仿宋" w:cs="Courier New"/>
                <w:sz w:val="24"/>
              </w:rPr>
              <w:t>初验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5</w:t>
            </w:r>
          </w:p>
        </w:tc>
        <w:tc>
          <w:tcPr>
            <w:tcW w:w="2512" w:type="dxa"/>
            <w:vAlign w:val="center"/>
          </w:tcPr>
          <w:p>
            <w:pPr>
              <w:pStyle w:val="187"/>
              <w:spacing w:line="400" w:lineRule="exact"/>
              <w:ind w:firstLine="0" w:firstLineChars="0"/>
              <w:rPr>
                <w:rFonts w:ascii="仿宋" w:hAnsi="仿宋" w:eastAsia="仿宋"/>
                <w:sz w:val="24"/>
              </w:rPr>
            </w:pPr>
            <w:r>
              <w:rPr>
                <w:rFonts w:ascii="仿宋" w:hAnsi="仿宋" w:eastAsia="仿宋"/>
                <w:sz w:val="24"/>
              </w:rPr>
              <w:t>2021</w:t>
            </w:r>
            <w:r>
              <w:rPr>
                <w:rFonts w:hint="eastAsia" w:ascii="仿宋" w:hAnsi="仿宋" w:eastAsia="仿宋"/>
                <w:sz w:val="24"/>
              </w:rPr>
              <w:t>年</w:t>
            </w:r>
            <w:r>
              <w:rPr>
                <w:rFonts w:ascii="仿宋" w:hAnsi="仿宋" w:eastAsia="仿宋"/>
                <w:sz w:val="24"/>
              </w:rPr>
              <w:t>3</w:t>
            </w:r>
            <w:r>
              <w:rPr>
                <w:rFonts w:hint="eastAsia" w:ascii="仿宋" w:hAnsi="仿宋" w:eastAsia="仿宋"/>
                <w:sz w:val="24"/>
              </w:rPr>
              <w:t>月</w:t>
            </w:r>
            <w:r>
              <w:rPr>
                <w:rFonts w:ascii="仿宋" w:hAnsi="仿宋" w:eastAsia="仿宋"/>
                <w:sz w:val="24"/>
              </w:rPr>
              <w:t>-8</w:t>
            </w:r>
            <w:r>
              <w:rPr>
                <w:rFonts w:hint="eastAsia" w:ascii="仿宋" w:hAnsi="仿宋" w:eastAsia="仿宋"/>
                <w:sz w:val="24"/>
              </w:rPr>
              <w:t>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完成测试赛</w:t>
            </w:r>
          </w:p>
        </w:tc>
        <w:tc>
          <w:tcPr>
            <w:tcW w:w="2922" w:type="dxa"/>
            <w:vAlign w:val="center"/>
          </w:tcPr>
          <w:p>
            <w:pPr>
              <w:pStyle w:val="187"/>
              <w:spacing w:line="400" w:lineRule="exact"/>
              <w:ind w:firstLineChars="175"/>
              <w:rPr>
                <w:rFonts w:ascii="仿宋" w:hAnsi="仿宋" w:eastAsia="仿宋"/>
                <w:sz w:val="24"/>
              </w:rPr>
            </w:pPr>
            <w:r>
              <w:rPr>
                <w:rFonts w:ascii="仿宋" w:hAnsi="仿宋" w:eastAsia="仿宋"/>
                <w:sz w:val="24"/>
              </w:rPr>
              <w:t>测试赛服务</w:t>
            </w:r>
            <w:r>
              <w:rPr>
                <w:rFonts w:hint="eastAsia" w:ascii="仿宋" w:hAnsi="仿宋" w:eastAsia="仿宋"/>
                <w:sz w:val="24"/>
              </w:rPr>
              <w:t>总结</w:t>
            </w:r>
            <w:r>
              <w:rPr>
                <w:rFonts w:ascii="仿宋" w:hAnsi="仿宋" w:eastAsia="仿宋"/>
                <w:sz w:val="24"/>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6</w:t>
            </w:r>
          </w:p>
        </w:tc>
        <w:tc>
          <w:tcPr>
            <w:tcW w:w="2512" w:type="dxa"/>
            <w:vAlign w:val="center"/>
          </w:tcPr>
          <w:p>
            <w:pPr>
              <w:pStyle w:val="187"/>
              <w:spacing w:line="400" w:lineRule="exact"/>
              <w:ind w:firstLine="0" w:firstLineChars="0"/>
              <w:rPr>
                <w:rFonts w:ascii="仿宋" w:hAnsi="仿宋" w:eastAsia="仿宋"/>
                <w:sz w:val="24"/>
              </w:rPr>
            </w:pPr>
            <w:r>
              <w:rPr>
                <w:rFonts w:ascii="仿宋" w:hAnsi="仿宋" w:eastAsia="仿宋"/>
                <w:sz w:val="24"/>
              </w:rPr>
              <w:t>2021</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ascii="仿宋" w:hAnsi="仿宋" w:eastAsia="仿宋"/>
                <w:sz w:val="24"/>
              </w:rPr>
              <w:t>-8</w:t>
            </w:r>
            <w:r>
              <w:rPr>
                <w:rFonts w:hint="eastAsia" w:ascii="仿宋" w:hAnsi="仿宋" w:eastAsia="仿宋"/>
                <w:sz w:val="24"/>
              </w:rPr>
              <w:t>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完成联调联试</w:t>
            </w:r>
          </w:p>
        </w:tc>
        <w:tc>
          <w:tcPr>
            <w:tcW w:w="2922" w:type="dxa"/>
            <w:vAlign w:val="center"/>
          </w:tcPr>
          <w:p>
            <w:pPr>
              <w:pStyle w:val="187"/>
              <w:spacing w:line="400" w:lineRule="exact"/>
              <w:ind w:firstLineChars="175"/>
              <w:rPr>
                <w:rFonts w:ascii="仿宋" w:hAnsi="仿宋" w:eastAsia="仿宋"/>
                <w:sz w:val="24"/>
              </w:rPr>
            </w:pPr>
            <w:r>
              <w:rPr>
                <w:rFonts w:hint="eastAsia" w:ascii="仿宋" w:hAnsi="仿宋" w:eastAsia="仿宋"/>
                <w:sz w:val="24"/>
              </w:rPr>
              <w:t>联调联试总结报告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7</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2021年</w:t>
            </w:r>
            <w:r>
              <w:rPr>
                <w:rFonts w:ascii="仿宋" w:hAnsi="仿宋" w:eastAsia="仿宋"/>
                <w:sz w:val="24"/>
              </w:rPr>
              <w:t>9</w:t>
            </w:r>
            <w:r>
              <w:rPr>
                <w:rFonts w:hint="eastAsia" w:ascii="仿宋" w:hAnsi="仿宋" w:eastAsia="仿宋"/>
                <w:sz w:val="24"/>
              </w:rPr>
              <w:t>月-</w:t>
            </w:r>
            <w:r>
              <w:rPr>
                <w:rFonts w:ascii="仿宋" w:hAnsi="仿宋" w:eastAsia="仿宋"/>
                <w:sz w:val="24"/>
              </w:rPr>
              <w:t>10</w:t>
            </w:r>
            <w:r>
              <w:rPr>
                <w:rFonts w:hint="eastAsia" w:ascii="仿宋" w:hAnsi="仿宋" w:eastAsia="仿宋"/>
                <w:sz w:val="24"/>
              </w:rPr>
              <w:t>月</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完成正式比赛</w:t>
            </w:r>
          </w:p>
        </w:tc>
        <w:tc>
          <w:tcPr>
            <w:tcW w:w="292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正式比赛</w:t>
            </w:r>
            <w:r>
              <w:rPr>
                <w:rFonts w:ascii="仿宋" w:hAnsi="仿宋" w:eastAsia="仿宋"/>
                <w:sz w:val="24"/>
              </w:rPr>
              <w:t>服务</w:t>
            </w:r>
            <w:r>
              <w:rPr>
                <w:rFonts w:hint="eastAsia" w:ascii="仿宋" w:hAnsi="仿宋" w:eastAsia="仿宋"/>
                <w:sz w:val="24"/>
              </w:rPr>
              <w:t>总结</w:t>
            </w:r>
            <w:r>
              <w:rPr>
                <w:rFonts w:ascii="仿宋" w:hAnsi="仿宋" w:eastAsia="仿宋"/>
                <w:sz w:val="24"/>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8</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2021年</w:t>
            </w:r>
            <w:r>
              <w:rPr>
                <w:rFonts w:ascii="仿宋" w:hAnsi="仿宋" w:eastAsia="仿宋"/>
                <w:sz w:val="24"/>
              </w:rPr>
              <w:t>10</w:t>
            </w:r>
            <w:r>
              <w:rPr>
                <w:rFonts w:hint="eastAsia" w:ascii="仿宋" w:hAnsi="仿宋" w:eastAsia="仿宋"/>
                <w:sz w:val="24"/>
              </w:rPr>
              <w:t>月</w:t>
            </w:r>
          </w:p>
        </w:tc>
        <w:tc>
          <w:tcPr>
            <w:tcW w:w="5059" w:type="dxa"/>
            <w:gridSpan w:val="2"/>
            <w:vAlign w:val="center"/>
          </w:tcPr>
          <w:p>
            <w:pPr>
              <w:pStyle w:val="187"/>
              <w:spacing w:line="400" w:lineRule="exact"/>
              <w:ind w:firstLine="480"/>
              <w:jc w:val="center"/>
              <w:rPr>
                <w:rFonts w:ascii="仿宋" w:hAnsi="仿宋" w:eastAsia="仿宋"/>
                <w:sz w:val="24"/>
              </w:rPr>
            </w:pPr>
            <w:r>
              <w:rPr>
                <w:rFonts w:hint="eastAsia" w:ascii="仿宋" w:hAnsi="仿宋" w:eastAsia="仿宋" w:cs="Courier New"/>
                <w:sz w:val="24"/>
              </w:rPr>
              <w:t>组织</w:t>
            </w:r>
            <w:r>
              <w:rPr>
                <w:rFonts w:ascii="仿宋" w:hAnsi="仿宋" w:eastAsia="仿宋" w:cs="Courier New"/>
                <w:sz w:val="24"/>
              </w:rPr>
              <w:t>项目</w:t>
            </w:r>
            <w:r>
              <w:rPr>
                <w:rFonts w:hint="eastAsia" w:ascii="仿宋" w:hAnsi="仿宋" w:eastAsia="仿宋" w:cs="Courier New"/>
                <w:sz w:val="24"/>
              </w:rPr>
              <w:t>终验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jc w:val="center"/>
              <w:rPr>
                <w:rFonts w:ascii="仿宋" w:hAnsi="仿宋" w:eastAsia="仿宋"/>
                <w:b/>
              </w:rPr>
            </w:pPr>
            <w:r>
              <w:rPr>
                <w:rFonts w:hint="eastAsia" w:ascii="仿宋" w:hAnsi="仿宋" w:eastAsia="仿宋"/>
                <w:b/>
              </w:rPr>
              <w:t>9</w:t>
            </w:r>
          </w:p>
        </w:tc>
        <w:tc>
          <w:tcPr>
            <w:tcW w:w="2512"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2021年</w:t>
            </w:r>
            <w:r>
              <w:rPr>
                <w:rFonts w:ascii="仿宋" w:hAnsi="仿宋" w:eastAsia="仿宋"/>
                <w:sz w:val="24"/>
              </w:rPr>
              <w:t>10</w:t>
            </w:r>
            <w:r>
              <w:rPr>
                <w:rFonts w:hint="eastAsia" w:ascii="仿宋" w:hAnsi="仿宋" w:eastAsia="仿宋"/>
                <w:sz w:val="24"/>
              </w:rPr>
              <w:t>月至审计结束</w:t>
            </w:r>
          </w:p>
        </w:tc>
        <w:tc>
          <w:tcPr>
            <w:tcW w:w="2137" w:type="dxa"/>
            <w:vAlign w:val="center"/>
          </w:tcPr>
          <w:p>
            <w:pPr>
              <w:pStyle w:val="187"/>
              <w:spacing w:line="400" w:lineRule="exact"/>
              <w:ind w:firstLine="0" w:firstLineChars="0"/>
              <w:rPr>
                <w:rFonts w:ascii="仿宋" w:hAnsi="仿宋" w:eastAsia="仿宋"/>
                <w:sz w:val="24"/>
              </w:rPr>
            </w:pPr>
            <w:r>
              <w:rPr>
                <w:rFonts w:hint="eastAsia" w:ascii="仿宋" w:hAnsi="仿宋" w:eastAsia="仿宋"/>
                <w:sz w:val="24"/>
              </w:rPr>
              <w:t>完成赛事</w:t>
            </w:r>
            <w:r>
              <w:rPr>
                <w:rFonts w:ascii="仿宋" w:hAnsi="仿宋" w:eastAsia="仿宋"/>
                <w:sz w:val="24"/>
              </w:rPr>
              <w:t>收尾工作</w:t>
            </w:r>
          </w:p>
        </w:tc>
        <w:tc>
          <w:tcPr>
            <w:tcW w:w="2922" w:type="dxa"/>
            <w:vAlign w:val="center"/>
          </w:tcPr>
          <w:p>
            <w:pPr>
              <w:pStyle w:val="187"/>
              <w:spacing w:line="400" w:lineRule="exact"/>
              <w:ind w:firstLine="480"/>
              <w:jc w:val="center"/>
              <w:rPr>
                <w:rFonts w:ascii="仿宋" w:hAnsi="仿宋" w:eastAsia="仿宋"/>
                <w:sz w:val="24"/>
              </w:rPr>
            </w:pPr>
            <w:r>
              <w:rPr>
                <w:rFonts w:hint="eastAsia" w:ascii="仿宋" w:hAnsi="仿宋" w:eastAsia="仿宋"/>
                <w:sz w:val="24"/>
              </w:rPr>
              <w:t>移交相关资料</w:t>
            </w:r>
          </w:p>
        </w:tc>
      </w:tr>
    </w:tbl>
    <w:p>
      <w:pPr>
        <w:pStyle w:val="187"/>
        <w:ind w:firstLine="480"/>
        <w:rPr>
          <w:rFonts w:ascii="仿宋" w:hAnsi="仿宋" w:eastAsia="仿宋"/>
          <w:sz w:val="24"/>
        </w:rPr>
      </w:pPr>
      <w:r>
        <w:rPr>
          <w:rFonts w:hint="eastAsia" w:ascii="仿宋" w:hAnsi="仿宋" w:eastAsia="仿宋"/>
          <w:sz w:val="24"/>
        </w:rPr>
        <w:t>服务提供商必须</w:t>
      </w:r>
      <w:r>
        <w:rPr>
          <w:rFonts w:ascii="仿宋" w:hAnsi="仿宋" w:eastAsia="仿宋"/>
          <w:sz w:val="24"/>
        </w:rPr>
        <w:t>严格按照工期要求</w:t>
      </w:r>
      <w:r>
        <w:rPr>
          <w:rFonts w:hint="eastAsia" w:ascii="仿宋" w:hAnsi="仿宋" w:eastAsia="仿宋"/>
          <w:sz w:val="24"/>
        </w:rPr>
        <w:t>组织实施</w:t>
      </w:r>
      <w:r>
        <w:rPr>
          <w:rFonts w:ascii="仿宋" w:hAnsi="仿宋" w:eastAsia="仿宋"/>
          <w:sz w:val="24"/>
        </w:rPr>
        <w:t>，</w:t>
      </w:r>
      <w:r>
        <w:rPr>
          <w:rFonts w:hint="eastAsia" w:ascii="仿宋" w:hAnsi="仿宋" w:eastAsia="仿宋"/>
          <w:sz w:val="24"/>
        </w:rPr>
        <w:t>确保</w:t>
      </w:r>
      <w:r>
        <w:rPr>
          <w:rFonts w:ascii="仿宋" w:hAnsi="仿宋" w:eastAsia="仿宋"/>
          <w:sz w:val="24"/>
        </w:rPr>
        <w:t>在规定的时间节点前完成。</w:t>
      </w:r>
      <w:r>
        <w:rPr>
          <w:rFonts w:hint="eastAsia" w:ascii="仿宋" w:hAnsi="仿宋" w:eastAsia="仿宋"/>
          <w:sz w:val="24"/>
        </w:rPr>
        <w:t>必要时</w:t>
      </w:r>
      <w:r>
        <w:rPr>
          <w:rFonts w:ascii="仿宋" w:hAnsi="仿宋" w:eastAsia="仿宋"/>
          <w:sz w:val="24"/>
        </w:rPr>
        <w:t>，</w:t>
      </w:r>
      <w:r>
        <w:rPr>
          <w:rFonts w:hint="eastAsia" w:ascii="仿宋" w:hAnsi="仿宋" w:eastAsia="仿宋"/>
          <w:sz w:val="24"/>
        </w:rPr>
        <w:t>服务提供商应根据服务需求方要求对工期进行调整。</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56" w:name="_Toc53212257"/>
      <w:r>
        <w:rPr>
          <w:rFonts w:hint="eastAsia" w:ascii="仿宋" w:hAnsi="仿宋" w:eastAsia="仿宋"/>
          <w:sz w:val="24"/>
          <w:szCs w:val="24"/>
        </w:rPr>
        <w:t>结算方式</w:t>
      </w:r>
      <w:bookmarkEnd w:id="56"/>
    </w:p>
    <w:p>
      <w:pPr>
        <w:pStyle w:val="187"/>
        <w:ind w:firstLine="480"/>
        <w:rPr>
          <w:rFonts w:ascii="仿宋" w:hAnsi="仿宋" w:eastAsia="仿宋"/>
          <w:sz w:val="24"/>
        </w:rPr>
      </w:pPr>
      <w:r>
        <w:rPr>
          <w:rFonts w:hint="eastAsia" w:ascii="仿宋" w:hAnsi="仿宋" w:eastAsia="仿宋"/>
          <w:sz w:val="24"/>
        </w:rPr>
        <w:t>1、结算单位：</w:t>
      </w:r>
    </w:p>
    <w:p>
      <w:pPr>
        <w:pStyle w:val="187"/>
        <w:ind w:firstLine="480"/>
        <w:rPr>
          <w:rFonts w:ascii="仿宋" w:hAnsi="仿宋" w:eastAsia="仿宋"/>
          <w:sz w:val="24"/>
        </w:rPr>
      </w:pPr>
      <w:r>
        <w:rPr>
          <w:rFonts w:hint="eastAsia" w:ascii="仿宋" w:hAnsi="仿宋" w:eastAsia="仿宋"/>
          <w:sz w:val="24"/>
        </w:rPr>
        <w:t>采购人结算，在付款前，必须开具等额发票给采购人。</w:t>
      </w:r>
    </w:p>
    <w:p>
      <w:pPr>
        <w:pStyle w:val="187"/>
        <w:ind w:firstLine="480"/>
        <w:rPr>
          <w:rFonts w:ascii="仿宋" w:hAnsi="仿宋" w:eastAsia="仿宋"/>
          <w:sz w:val="24"/>
        </w:rPr>
      </w:pPr>
      <w:r>
        <w:rPr>
          <w:rFonts w:hint="eastAsia" w:ascii="仿宋" w:hAnsi="仿宋" w:eastAsia="仿宋"/>
          <w:sz w:val="24"/>
        </w:rPr>
        <w:t>2、付款方式：</w:t>
      </w:r>
    </w:p>
    <w:p>
      <w:pPr>
        <w:pStyle w:val="187"/>
        <w:ind w:firstLine="480"/>
        <w:rPr>
          <w:rFonts w:ascii="仿宋" w:hAnsi="仿宋" w:eastAsia="仿宋"/>
          <w:sz w:val="24"/>
        </w:rPr>
      </w:pPr>
      <w:r>
        <w:rPr>
          <w:rFonts w:hint="eastAsia" w:ascii="仿宋" w:hAnsi="仿宋" w:eastAsia="仿宋"/>
          <w:sz w:val="24"/>
        </w:rPr>
        <w:t>（1）合同签署生效后，在15个工作日内支付合同总价的40%。支付依据：项目合同。</w:t>
      </w:r>
    </w:p>
    <w:p>
      <w:pPr>
        <w:pStyle w:val="187"/>
        <w:ind w:firstLine="480"/>
        <w:rPr>
          <w:rFonts w:ascii="仿宋" w:hAnsi="仿宋" w:eastAsia="仿宋"/>
          <w:sz w:val="24"/>
        </w:rPr>
      </w:pPr>
      <w:r>
        <w:rPr>
          <w:rFonts w:hint="eastAsia" w:ascii="仿宋" w:hAnsi="仿宋" w:eastAsia="仿宋"/>
          <w:sz w:val="24"/>
        </w:rPr>
        <w:t>（2）正式比赛顺利完成后，在15个工作日内支付合同总价的50%。支付依据：服务总结报告、验收证明。</w:t>
      </w:r>
    </w:p>
    <w:p>
      <w:pPr>
        <w:pStyle w:val="187"/>
        <w:ind w:firstLine="480"/>
        <w:rPr>
          <w:rFonts w:ascii="仿宋" w:hAnsi="仿宋" w:eastAsia="仿宋"/>
          <w:sz w:val="24"/>
        </w:rPr>
      </w:pPr>
      <w:r>
        <w:rPr>
          <w:rFonts w:hint="eastAsia" w:ascii="仿宋" w:hAnsi="仿宋" w:eastAsia="仿宋"/>
          <w:sz w:val="24"/>
        </w:rPr>
        <w:t>（3）赛事收尾终验通过后，在15个工作日内支付合同总价的10%。支付依据：资料移交报告、验收证明。</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57" w:name="_Toc53212258"/>
      <w:r>
        <w:rPr>
          <w:rFonts w:hint="eastAsia" w:ascii="仿宋" w:hAnsi="仿宋" w:eastAsia="仿宋"/>
          <w:sz w:val="24"/>
          <w:szCs w:val="24"/>
        </w:rPr>
        <w:t>知识产权</w:t>
      </w:r>
      <w:bookmarkEnd w:id="57"/>
    </w:p>
    <w:p>
      <w:pPr>
        <w:pStyle w:val="187"/>
        <w:ind w:firstLine="480"/>
        <w:rPr>
          <w:rFonts w:ascii="仿宋" w:hAnsi="仿宋" w:eastAsia="仿宋"/>
          <w:sz w:val="24"/>
        </w:rPr>
      </w:pPr>
      <w:r>
        <w:rPr>
          <w:rFonts w:hint="eastAsia" w:ascii="仿宋" w:hAnsi="仿宋" w:eastAsia="仿宋"/>
          <w:sz w:val="24"/>
        </w:rPr>
        <w:t>服务提供商提供的系统</w:t>
      </w:r>
      <w:r>
        <w:rPr>
          <w:rFonts w:ascii="仿宋" w:hAnsi="仿宋" w:eastAsia="仿宋"/>
          <w:sz w:val="24"/>
        </w:rPr>
        <w:t>和</w:t>
      </w:r>
      <w:r>
        <w:rPr>
          <w:rFonts w:hint="eastAsia" w:ascii="仿宋" w:hAnsi="仿宋" w:eastAsia="仿宋"/>
          <w:sz w:val="24"/>
        </w:rPr>
        <w:t>服务必须具有合法手续及相关文件。如涉及知识产权则必须是自己拥有或合法使用的。因知识产权纠纷造成的损失由服务提供商负责。</w:t>
      </w:r>
    </w:p>
    <w:p>
      <w:pPr>
        <w:pStyle w:val="187"/>
        <w:ind w:firstLine="480"/>
        <w:rPr>
          <w:rFonts w:ascii="仿宋" w:hAnsi="仿宋" w:eastAsia="仿宋"/>
          <w:sz w:val="24"/>
        </w:rPr>
      </w:pPr>
      <w:r>
        <w:rPr>
          <w:rFonts w:hint="eastAsia" w:ascii="仿宋" w:hAnsi="仿宋" w:eastAsia="仿宋"/>
          <w:sz w:val="24"/>
        </w:rPr>
        <w:t>在服务期内产生的数据产权归属服务需求方所有。</w:t>
      </w:r>
    </w:p>
    <w:p>
      <w:pPr>
        <w:pStyle w:val="2"/>
        <w:keepNext/>
        <w:keepLines/>
        <w:numPr>
          <w:ilvl w:val="0"/>
          <w:numId w:val="31"/>
        </w:numPr>
        <w:autoSpaceDE/>
        <w:autoSpaceDN/>
        <w:adjustRightInd/>
        <w:spacing w:before="340" w:after="330" w:line="578" w:lineRule="auto"/>
        <w:jc w:val="both"/>
        <w:rPr>
          <w:rFonts w:ascii="仿宋" w:hAnsi="仿宋" w:eastAsia="仿宋"/>
          <w:sz w:val="24"/>
          <w:szCs w:val="24"/>
        </w:rPr>
      </w:pPr>
      <w:bookmarkStart w:id="58" w:name="_Toc53212259"/>
      <w:r>
        <w:rPr>
          <w:rFonts w:hint="eastAsia" w:ascii="仿宋" w:hAnsi="仿宋" w:eastAsia="仿宋"/>
          <w:sz w:val="24"/>
          <w:szCs w:val="24"/>
        </w:rPr>
        <w:t>赛后软硬件系统及设备权益要求</w:t>
      </w:r>
      <w:bookmarkEnd w:id="58"/>
    </w:p>
    <w:p>
      <w:pPr>
        <w:ind w:firstLine="480" w:firstLineChars="200"/>
        <w:rPr>
          <w:rFonts w:ascii="仿宋" w:hAnsi="仿宋" w:eastAsia="仿宋"/>
          <w:sz w:val="24"/>
          <w:szCs w:val="24"/>
          <w:highlight w:val="lightGray"/>
        </w:rPr>
      </w:pPr>
      <w:r>
        <w:rPr>
          <w:rFonts w:hint="eastAsia" w:ascii="仿宋" w:hAnsi="仿宋" w:eastAsia="仿宋"/>
          <w:sz w:val="24"/>
          <w:szCs w:val="24"/>
        </w:rPr>
        <w:t>在十四运会及残特奥会赛事结束后半年内，服务需求方或陕西省政府相关部门有权选择本项目采购的服务中所包含的部分软硬件系统及设备进行</w:t>
      </w:r>
      <w:bookmarkStart w:id="59" w:name="_Hlk47429677"/>
      <w:r>
        <w:rPr>
          <w:rFonts w:hint="eastAsia" w:ascii="仿宋" w:hAnsi="仿宋" w:eastAsia="仿宋"/>
          <w:sz w:val="24"/>
          <w:szCs w:val="24"/>
        </w:rPr>
        <w:t>采购</w:t>
      </w:r>
      <w:bookmarkEnd w:id="59"/>
      <w:r>
        <w:rPr>
          <w:rFonts w:hint="eastAsia" w:ascii="仿宋" w:hAnsi="仿宋" w:eastAsia="仿宋"/>
          <w:sz w:val="24"/>
          <w:szCs w:val="24"/>
        </w:rPr>
        <w:t>。所选软硬件系统及设备的采购价格以服务提供商分项报价单中该软硬件系统及设备价格的40%计。</w:t>
      </w:r>
    </w:p>
    <w:p>
      <w:pPr>
        <w:ind w:firstLine="480" w:firstLineChars="200"/>
        <w:rPr>
          <w:rFonts w:ascii="仿宋" w:hAnsi="仿宋" w:eastAsia="仿宋"/>
          <w:sz w:val="24"/>
          <w:szCs w:val="24"/>
          <w:highlight w:val="lightGray"/>
        </w:rPr>
      </w:pPr>
    </w:p>
    <w:p>
      <w:pPr>
        <w:rPr>
          <w:rFonts w:ascii="仿宋" w:hAnsi="仿宋" w:eastAsia="仿宋"/>
          <w:color w:val="000000" w:themeColor="text1"/>
          <w:sz w:val="28"/>
          <w:szCs w:val="28"/>
          <w14:textFill>
            <w14:solidFill>
              <w14:schemeClr w14:val="tx1"/>
            </w14:solidFill>
          </w14:textFill>
        </w:rPr>
      </w:pPr>
    </w:p>
    <w:p>
      <w:pPr>
        <w:pStyle w:val="54"/>
        <w:jc w:val="left"/>
        <w:rPr>
          <w:rFonts w:ascii="宋体" w:hAnsi="宋体"/>
          <w:color w:val="000000" w:themeColor="text1"/>
          <w14:textFill>
            <w14:solidFill>
              <w14:schemeClr w14:val="tx1"/>
            </w14:solidFill>
          </w14:textFill>
        </w:rPr>
      </w:pPr>
      <w:r>
        <w:rPr>
          <w:rFonts w:hint="eastAsia" w:hAnsi="宋体"/>
          <w:b w:val="0"/>
          <w:color w:val="000000" w:themeColor="text1"/>
          <w:sz w:val="36"/>
          <w:szCs w:val="36"/>
          <w14:textFill>
            <w14:solidFill>
              <w14:schemeClr w14:val="tx1"/>
            </w14:solidFill>
          </w14:textFill>
        </w:rPr>
        <w:t xml:space="preserve">        </w:t>
      </w:r>
      <w:bookmarkStart w:id="60" w:name="_Toc51935131"/>
      <w:r>
        <w:rPr>
          <w:rFonts w:hAnsi="宋体"/>
          <w:color w:val="000000" w:themeColor="text1"/>
          <w:sz w:val="36"/>
          <w:szCs w:val="36"/>
          <w14:textFill>
            <w14:solidFill>
              <w14:schemeClr w14:val="tx1"/>
            </w14:solidFill>
          </w14:textFill>
        </w:rPr>
        <w:t xml:space="preserve"> </w:t>
      </w:r>
      <w:bookmarkStart w:id="61" w:name="_Toc51935132"/>
      <w:r>
        <w:rPr>
          <w:rFonts w:hint="eastAsia" w:hAnsi="宋体"/>
          <w:color w:val="000000" w:themeColor="text1"/>
          <w:sz w:val="36"/>
          <w:szCs w:val="36"/>
          <w14:textFill>
            <w14:solidFill>
              <w14:schemeClr w14:val="tx1"/>
            </w14:solidFill>
          </w14:textFill>
        </w:rPr>
        <w:t xml:space="preserve">    </w:t>
      </w:r>
      <w:r>
        <w:rPr>
          <w:rFonts w:hint="eastAsia" w:ascii="仿宋" w:hAnsi="仿宋" w:eastAsia="仿宋"/>
          <w:color w:val="000000" w:themeColor="text1"/>
          <w:sz w:val="36"/>
          <w:szCs w:val="36"/>
          <w14:textFill>
            <w14:solidFill>
              <w14:schemeClr w14:val="tx1"/>
            </w14:solidFill>
          </w14:textFill>
        </w:rPr>
        <w:t xml:space="preserve">第五章  </w:t>
      </w:r>
      <w:r>
        <w:rPr>
          <w:rFonts w:hint="eastAsia" w:ascii="宋体" w:hAnsi="宋体"/>
          <w:color w:val="000000" w:themeColor="text1"/>
          <w14:textFill>
            <w14:solidFill>
              <w14:schemeClr w14:val="tx1"/>
            </w14:solidFill>
          </w14:textFill>
        </w:rPr>
        <w:t>采购合同</w:t>
      </w:r>
      <w:bookmarkEnd w:id="60"/>
      <w:bookmarkEnd w:id="61"/>
    </w:p>
    <w:p>
      <w:pPr>
        <w:spacing w:line="360" w:lineRule="auto"/>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合同编号：</w:t>
      </w:r>
    </w:p>
    <w:p>
      <w:pPr>
        <w:spacing w:line="440" w:lineRule="exact"/>
        <w:rPr>
          <w:rFonts w:ascii="宋体" w:hAnsi="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采购单位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中标单位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为了保证本合同项目的顺利进行，根据《中华人民共和国政府采购法》、《中华人民共和国合同法》等相关法律、法规的规定及甲方关于“     </w:t>
      </w:r>
      <w:r>
        <w:rPr>
          <w:rFonts w:hint="eastAsia" w:ascii="宋体" w:hAnsi="宋体" w:cs="宋体"/>
          <w:bCs/>
          <w:color w:val="000000" w:themeColor="text1"/>
          <w:u w:val="single"/>
          <w14:textFill>
            <w14:solidFill>
              <w14:schemeClr w14:val="tx1"/>
            </w14:solidFill>
          </w14:textFill>
        </w:rPr>
        <w:t>”</w:t>
      </w:r>
      <w:r>
        <w:rPr>
          <w:rFonts w:hint="eastAsia" w:ascii="宋体" w:hAnsi="宋体" w:cs="宋体"/>
          <w:bCs/>
          <w:color w:val="000000" w:themeColor="text1"/>
          <w14:textFill>
            <w14:solidFill>
              <w14:schemeClr w14:val="tx1"/>
            </w14:solidFill>
          </w14:textFill>
        </w:rPr>
        <w:t>项目的招标结果和招标文件</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招标编号：ZB2020-39</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的要求，经甲乙双方协商一致，签订本合同，共同遵守。</w:t>
      </w:r>
    </w:p>
    <w:p>
      <w:pPr>
        <w:tabs>
          <w:tab w:val="left" w:pos="900"/>
        </w:tabs>
        <w:spacing w:line="440" w:lineRule="exact"/>
        <w:ind w:firstLine="474" w:firstLineChars="225"/>
        <w:rPr>
          <w:rFonts w:ascii="宋体" w:hAnsi="宋体" w:cs="宋体"/>
          <w:b/>
          <w:color w:val="000000" w:themeColor="text1"/>
          <w14:textFill>
            <w14:solidFill>
              <w14:schemeClr w14:val="tx1"/>
            </w14:solidFill>
          </w14:textFill>
        </w:rPr>
      </w:pPr>
      <w:bookmarkStart w:id="62" w:name="_Toc24810"/>
      <w:bookmarkStart w:id="63" w:name="_Toc16824"/>
      <w:r>
        <w:rPr>
          <w:rFonts w:ascii="宋体" w:hAnsi="宋体" w:cs="宋体"/>
          <w:b/>
          <w:color w:val="000000" w:themeColor="text1"/>
          <w14:textFill>
            <w14:solidFill>
              <w14:schemeClr w14:val="tx1"/>
            </w14:solidFill>
          </w14:textFill>
        </w:rPr>
        <w:t>1.</w:t>
      </w:r>
      <w:r>
        <w:rPr>
          <w:rFonts w:hint="eastAsia" w:ascii="宋体" w:hAnsi="宋体" w:cs="宋体"/>
          <w:b/>
          <w:color w:val="000000" w:themeColor="text1"/>
          <w14:textFill>
            <w14:solidFill>
              <w14:schemeClr w14:val="tx1"/>
            </w14:solidFill>
          </w14:textFill>
        </w:rPr>
        <w:t>定义</w:t>
      </w:r>
      <w:bookmarkEnd w:id="62"/>
      <w:bookmarkEnd w:id="63"/>
    </w:p>
    <w:p>
      <w:pPr>
        <w:tabs>
          <w:tab w:val="left" w:pos="900"/>
        </w:tabs>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本合同中的下列术语应解释为：</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“合同”系指本合同，包括本合同附带的所有附件、附录和构成合同的其它文件，除非另有特别说明或限定。</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“合同款”系指根据本合同约定，甲方需就乙方提供的服务内容向乙方支付的款项。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14:textFill>
            <w14:solidFill>
              <w14:schemeClr w14:val="tx1"/>
            </w14:solidFill>
          </w14:textFill>
        </w:rPr>
        <w:t>“人员”系指作为雇员由乙方雇佣并被分配执行本合同服务内容的人员。</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“服务”系指由乙方根据本合同服务内容要求所实施的工作。</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14:textFill>
            <w14:solidFill>
              <w14:schemeClr w14:val="tx1"/>
            </w14:solidFill>
          </w14:textFill>
        </w:rPr>
        <w:t>“甲方”系指与供应单位签署服务合同的单位（含最终用户），即买方。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14:textFill>
            <w14:solidFill>
              <w14:schemeClr w14:val="tx1"/>
            </w14:solidFill>
          </w14:textFill>
        </w:rPr>
        <w:t>“乙方”系指根据合同约定提供服务的供应单位，即卖方。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“现场”系指合同约定服务内容实施地点。</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14:textFill>
            <w14:solidFill>
              <w14:schemeClr w14:val="tx1"/>
            </w14:solidFill>
          </w14:textFill>
        </w:rPr>
        <w:t>“必要的支持”系为保证乙方执行合同项下的服务所必须，甲方免费提供的数据、服务、设备以及便利。</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t>“项目”系指“”项目。</w:t>
      </w:r>
    </w:p>
    <w:p>
      <w:pPr>
        <w:tabs>
          <w:tab w:val="left" w:pos="851"/>
        </w:tabs>
        <w:spacing w:line="440" w:lineRule="exact"/>
        <w:ind w:firstLine="422" w:firstLineChars="200"/>
        <w:rPr>
          <w:rFonts w:ascii="宋体" w:hAnsi="宋体" w:cs="宋体"/>
          <w:b/>
          <w:color w:val="000000" w:themeColor="text1"/>
          <w14:textFill>
            <w14:solidFill>
              <w14:schemeClr w14:val="tx1"/>
            </w14:solidFill>
          </w14:textFill>
        </w:rPr>
      </w:pPr>
      <w:bookmarkStart w:id="64" w:name="_Toc2368"/>
      <w:bookmarkStart w:id="65" w:name="_Toc32760"/>
      <w:r>
        <w:rPr>
          <w:rFonts w:hint="eastAsia" w:ascii="宋体" w:hAnsi="宋体" w:cs="宋体"/>
          <w:b/>
          <w:color w:val="000000" w:themeColor="text1"/>
          <w:kern w:val="0"/>
          <w14:textFill>
            <w14:solidFill>
              <w14:schemeClr w14:val="tx1"/>
            </w14:solidFill>
          </w14:textFill>
        </w:rPr>
        <w:t>2.</w:t>
      </w:r>
      <w:r>
        <w:rPr>
          <w:rFonts w:hint="eastAsia" w:ascii="宋体" w:hAnsi="宋体" w:cs="宋体"/>
          <w:b/>
          <w:color w:val="000000" w:themeColor="text1"/>
          <w14:textFill>
            <w14:solidFill>
              <w14:schemeClr w14:val="tx1"/>
            </w14:solidFill>
          </w14:textFill>
        </w:rPr>
        <w:t>项目概况：</w:t>
      </w:r>
    </w:p>
    <w:p>
      <w:pPr>
        <w:tabs>
          <w:tab w:val="left" w:pos="851"/>
        </w:tabs>
        <w:spacing w:line="440" w:lineRule="exact"/>
        <w:ind w:firstLine="422" w:firstLineChars="200"/>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3.服务内容：</w:t>
      </w:r>
    </w:p>
    <w:p>
      <w:pPr>
        <w:tabs>
          <w:tab w:val="left" w:pos="851"/>
        </w:tabs>
        <w:spacing w:line="44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 项目服务要求，详见本合同附件。</w:t>
      </w:r>
    </w:p>
    <w:bookmarkEnd w:id="64"/>
    <w:bookmarkEnd w:id="65"/>
    <w:p>
      <w:pPr>
        <w:tabs>
          <w:tab w:val="left" w:pos="5865"/>
        </w:tabs>
        <w:spacing w:line="440" w:lineRule="exact"/>
        <w:ind w:firstLine="422" w:firstLineChars="200"/>
        <w:rPr>
          <w:rFonts w:ascii="宋体" w:hAnsi="宋体" w:cs="宋体"/>
          <w:b/>
          <w:color w:val="000000" w:themeColor="text1"/>
          <w14:textFill>
            <w14:solidFill>
              <w14:schemeClr w14:val="tx1"/>
            </w14:solidFill>
          </w14:textFill>
        </w:rPr>
      </w:pPr>
      <w:bookmarkStart w:id="66" w:name="_Toc14579"/>
      <w:bookmarkStart w:id="67" w:name="_Toc2258"/>
      <w:r>
        <w:rPr>
          <w:rFonts w:ascii="宋体" w:hAnsi="宋体" w:cs="宋体"/>
          <w:b/>
          <w:color w:val="000000" w:themeColor="text1"/>
          <w14:textFill>
            <w14:solidFill>
              <w14:schemeClr w14:val="tx1"/>
            </w14:solidFill>
          </w14:textFill>
        </w:rPr>
        <w:t xml:space="preserve">5. </w:t>
      </w:r>
      <w:r>
        <w:rPr>
          <w:rFonts w:hint="eastAsia" w:ascii="宋体" w:hAnsi="宋体" w:cs="宋体"/>
          <w:b/>
          <w:color w:val="000000" w:themeColor="text1"/>
          <w14:textFill>
            <w14:solidFill>
              <w14:schemeClr w14:val="tx1"/>
            </w14:solidFill>
          </w14:textFill>
        </w:rPr>
        <w:t>双方权利和义务</w:t>
      </w:r>
      <w:bookmarkEnd w:id="66"/>
      <w:bookmarkEnd w:id="67"/>
      <w:r>
        <w:rPr>
          <w:rFonts w:ascii="宋体" w:hAnsi="宋体" w:cs="宋体"/>
          <w:b/>
          <w:color w:val="000000" w:themeColor="text1"/>
          <w14:textFill>
            <w14:solidFill>
              <w14:schemeClr w14:val="tx1"/>
            </w14:solidFill>
          </w14:textFill>
        </w:rPr>
        <w:tab/>
      </w:r>
    </w:p>
    <w:p>
      <w:pPr>
        <w:tabs>
          <w:tab w:val="left" w:pos="5865"/>
        </w:tabs>
        <w:spacing w:line="440" w:lineRule="exact"/>
        <w:ind w:firstLine="420" w:firstLineChars="200"/>
        <w:rPr>
          <w:rFonts w:ascii="宋体" w:hAnsi="宋体" w:cs="宋体"/>
          <w:b/>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w:t>
      </w:r>
      <w:r>
        <w:rPr>
          <w:rFonts w:hint="eastAsia" w:ascii="宋体" w:hAnsi="宋体" w:cs="宋体"/>
          <w:b/>
          <w:color w:val="000000" w:themeColor="text1"/>
          <w14:textFill>
            <w14:solidFill>
              <w14:schemeClr w14:val="tx1"/>
            </w14:solidFill>
          </w14:textFill>
        </w:rPr>
        <w:t>甲方权利与义务：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5.1.1 </w:t>
      </w:r>
      <w:r>
        <w:rPr>
          <w:rFonts w:hint="eastAsia" w:ascii="宋体" w:hAnsi="宋体" w:cs="宋体"/>
          <w:color w:val="000000" w:themeColor="text1"/>
          <w14:textFill>
            <w14:solidFill>
              <w14:schemeClr w14:val="tx1"/>
            </w14:solidFill>
          </w14:textFill>
        </w:rPr>
        <w:t>甲方有权利对项目活动的相关细节进行监督及了解，决定项目的实施方案。</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5.1.2 </w:t>
      </w:r>
      <w:r>
        <w:rPr>
          <w:rFonts w:hint="eastAsia" w:ascii="宋体" w:hAnsi="宋体" w:cs="宋体"/>
          <w:color w:val="000000" w:themeColor="text1"/>
          <w14:textFill>
            <w14:solidFill>
              <w14:schemeClr w14:val="tx1"/>
            </w14:solidFill>
          </w14:textFill>
        </w:rPr>
        <w:t>甲方有权利根据临时情况向乙方提出活动修改意见，经双方协商后实施。</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w:t>
      </w:r>
      <w:r>
        <w:rPr>
          <w:rFonts w:hint="eastAsia" w:ascii="宋体" w:hAnsi="宋体" w:cs="宋体"/>
          <w:color w:val="000000" w:themeColor="text1"/>
          <w14:textFill>
            <w14:solidFill>
              <w14:schemeClr w14:val="tx1"/>
            </w14:solidFill>
          </w14:textFill>
        </w:rPr>
        <w:t>甲方非因不可抗力因素如需延期开展项目活动，应提前</w:t>
      </w:r>
      <w:r>
        <w:rPr>
          <w:rFonts w:ascii="宋体" w:hAnsi="宋体" w:cs="宋体"/>
          <w:color w:val="000000" w:themeColor="text1"/>
          <w:u w:val="single"/>
          <w14:textFill>
            <w14:solidFill>
              <w14:schemeClr w14:val="tx1"/>
            </w14:solidFill>
          </w14:textFill>
        </w:rPr>
        <w:t xml:space="preserve"> 30</w:t>
      </w:r>
      <w:r>
        <w:rPr>
          <w:rFonts w:hint="eastAsia" w:ascii="宋体" w:hAnsi="宋体" w:cs="宋体"/>
          <w:color w:val="000000" w:themeColor="text1"/>
          <w14:textFill>
            <w14:solidFill>
              <w14:schemeClr w14:val="tx1"/>
            </w14:solidFill>
          </w14:textFill>
        </w:rPr>
        <w:t>日告知乙方，双方协商修改活动安排。</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5.1.4</w:t>
      </w:r>
      <w:r>
        <w:rPr>
          <w:rFonts w:hint="eastAsia" w:ascii="宋体" w:hAnsi="宋体" w:cs="宋体"/>
          <w:color w:val="000000" w:themeColor="text1"/>
          <w14:textFill>
            <w14:solidFill>
              <w14:schemeClr w14:val="tx1"/>
            </w14:solidFill>
          </w14:textFill>
        </w:rPr>
        <w:t>甲方应按照合同约定，积极配合乙方开展工作。</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5.1.5</w:t>
      </w:r>
      <w:r>
        <w:rPr>
          <w:rFonts w:hint="eastAsia" w:ascii="宋体" w:hAnsi="宋体" w:cs="宋体"/>
          <w:color w:val="000000" w:themeColor="text1"/>
          <w14:textFill>
            <w14:solidFill>
              <w14:schemeClr w14:val="tx1"/>
            </w14:solidFill>
          </w14:textFill>
        </w:rPr>
        <w:t>甲方应按合同约定履行付款的义务。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5.1.6</w:t>
      </w:r>
      <w:r>
        <w:rPr>
          <w:rFonts w:hint="eastAsia" w:ascii="宋体" w:hAnsi="宋体" w:cs="宋体"/>
          <w:color w:val="000000" w:themeColor="text1"/>
          <w14:textFill>
            <w14:solidFill>
              <w14:schemeClr w14:val="tx1"/>
            </w14:solidFill>
          </w14:textFill>
        </w:rPr>
        <w:t>甲方应按合同约定履行其他的相应义务。</w:t>
      </w:r>
    </w:p>
    <w:p>
      <w:pPr>
        <w:spacing w:line="440" w:lineRule="exact"/>
        <w:ind w:firstLine="422" w:firstLineChars="200"/>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5.2 </w:t>
      </w:r>
      <w:r>
        <w:rPr>
          <w:rFonts w:hint="eastAsia" w:ascii="宋体" w:hAnsi="宋体" w:cs="宋体"/>
          <w:b/>
          <w:color w:val="000000" w:themeColor="text1"/>
          <w14:textFill>
            <w14:solidFill>
              <w14:schemeClr w14:val="tx1"/>
            </w14:solidFill>
          </w14:textFill>
        </w:rPr>
        <w:t>乙方权利与义务：</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5.2.1</w:t>
      </w:r>
      <w:r>
        <w:rPr>
          <w:rFonts w:hint="eastAsia" w:ascii="宋体" w:hAnsi="宋体" w:cs="宋体"/>
          <w:color w:val="000000" w:themeColor="text1"/>
          <w14:textFill>
            <w14:solidFill>
              <w14:schemeClr w14:val="tx1"/>
            </w14:solidFill>
          </w14:textFill>
        </w:rPr>
        <w:t>乙方负责全部项目的相关策划、组织、实施、调度，确保证项目活动的顺利进行。</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5.2.2</w:t>
      </w:r>
      <w:r>
        <w:rPr>
          <w:rFonts w:hint="eastAsia" w:ascii="宋体" w:hAnsi="宋体" w:cs="宋体"/>
          <w:color w:val="000000" w:themeColor="text1"/>
          <w14:textFill>
            <w14:solidFill>
              <w14:schemeClr w14:val="tx1"/>
            </w14:solidFill>
          </w14:textFill>
        </w:rPr>
        <w:t>乙方应具备符合提供服务的专业资格，并保证选派的工作人员具备相关的专业能力及较高的素质。</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t>3 乙方应按合同约定履行其他的相应义务。</w:t>
      </w:r>
    </w:p>
    <w:p>
      <w:pPr>
        <w:snapToGrid w:val="0"/>
        <w:spacing w:line="440" w:lineRule="exact"/>
        <w:rPr>
          <w:rFonts w:ascii="宋体" w:hAnsi="宋体" w:cs="宋体"/>
          <w:color w:val="000000" w:themeColor="text1"/>
          <w14:textFill>
            <w14:solidFill>
              <w14:schemeClr w14:val="tx1"/>
            </w14:solidFill>
          </w14:textFill>
        </w:rPr>
      </w:pPr>
      <w:bookmarkStart w:id="68" w:name="_Toc27234"/>
      <w:bookmarkStart w:id="69" w:name="_Toc23580"/>
      <w:r>
        <w:rPr>
          <w:rFonts w:ascii="宋体" w:hAnsi="宋体" w:cs="宋体"/>
          <w:b/>
          <w:bCs/>
          <w:color w:val="000000" w:themeColor="text1"/>
          <w14:textFill>
            <w14:solidFill>
              <w14:schemeClr w14:val="tx1"/>
            </w14:solidFill>
          </w14:textFill>
        </w:rPr>
        <w:t>6.</w:t>
      </w:r>
      <w:r>
        <w:rPr>
          <w:rFonts w:hint="eastAsia" w:ascii="宋体" w:hAnsi="宋体" w:cs="宋体"/>
          <w:b/>
          <w:bCs/>
          <w:color w:val="000000" w:themeColor="text1"/>
          <w14:textFill>
            <w14:solidFill>
              <w14:schemeClr w14:val="tx1"/>
            </w14:solidFill>
          </w14:textFill>
        </w:rPr>
        <w:t>服务费及资金付款进度</w:t>
      </w:r>
      <w:bookmarkEnd w:id="68"/>
      <w:bookmarkEnd w:id="69"/>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6.1 </w:t>
      </w:r>
      <w:r>
        <w:rPr>
          <w:rFonts w:hint="eastAsia" w:ascii="宋体" w:hAnsi="宋体" w:cs="宋体"/>
          <w:color w:val="000000" w:themeColor="text1"/>
          <w14:textFill>
            <w14:solidFill>
              <w14:schemeClr w14:val="tx1"/>
            </w14:solidFill>
          </w14:textFill>
        </w:rPr>
        <w:t>本次项目的费用为人民币     万元，包括但不限于执行该项目所产生的赛事信息服务费用、人员费用、差旅费等所有费用。</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6.2合同签署生效后，在15个工作日内支付合同总价的40%。支付依据：项目合同。</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6.3正式比赛顺利完成后，在15个工作日内支付合同总价的50%。支付依据：服务总结报告、验收证明。</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6.4赛事收尾终验通过后，在15个工作日内支付</w:t>
      </w:r>
      <w:r>
        <w:rPr>
          <w:rFonts w:hint="eastAsia" w:ascii="宋体" w:hAnsi="宋体" w:cs="宋体"/>
          <w:color w:val="000000" w:themeColor="text1"/>
          <w14:textFill>
            <w14:solidFill>
              <w14:schemeClr w14:val="tx1"/>
            </w14:solidFill>
          </w14:textFill>
        </w:rPr>
        <w:t>合同总价的</w:t>
      </w:r>
      <w:r>
        <w:rPr>
          <w:rFonts w:ascii="宋体" w:hAnsi="宋体" w:cs="宋体"/>
          <w:color w:val="000000" w:themeColor="text1"/>
          <w14:textFill>
            <w14:solidFill>
              <w14:schemeClr w14:val="tx1"/>
            </w14:solidFill>
          </w14:textFill>
        </w:rPr>
        <w:t>10%。支付依据：资料移交报告、验收证明。</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w:t>
      </w:r>
      <w:r>
        <w:rPr>
          <w:rFonts w:hint="eastAsia" w:ascii="宋体" w:hAnsi="宋体" w:cs="宋体"/>
          <w:color w:val="000000" w:themeColor="text1"/>
          <w14:textFill>
            <w14:solidFill>
              <w14:schemeClr w14:val="tx1"/>
            </w14:solidFill>
          </w14:textFill>
        </w:rPr>
        <w:t>5银行信息：甲方应将本合同项下所有费用付至乙方以下银行账户。</w:t>
      </w:r>
    </w:p>
    <w:p>
      <w:pPr>
        <w:snapToGrid w:val="0"/>
        <w:spacing w:line="440" w:lineRule="exact"/>
        <w:ind w:left="42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账户名称：XXX</w:t>
      </w:r>
      <w:r>
        <w:rPr>
          <w:rFonts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账号：XXX</w:t>
      </w:r>
    </w:p>
    <w:p>
      <w:pPr>
        <w:snapToGrid w:val="0"/>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开户行： XXX</w:t>
      </w:r>
    </w:p>
    <w:p>
      <w:pPr>
        <w:snapToGrid w:val="0"/>
        <w:spacing w:line="440" w:lineRule="exact"/>
        <w:rPr>
          <w:rFonts w:ascii="宋体" w:hAnsi="宋体" w:cs="宋体"/>
          <w:color w:val="000000" w:themeColor="text1"/>
          <w14:textFill>
            <w14:solidFill>
              <w14:schemeClr w14:val="tx1"/>
            </w14:solidFill>
          </w14:textFill>
        </w:rPr>
      </w:pPr>
      <w:bookmarkStart w:id="70" w:name="_Toc23438"/>
      <w:bookmarkStart w:id="71" w:name="_Toc4212"/>
      <w:r>
        <w:rPr>
          <w:rFonts w:ascii="宋体" w:hAnsi="宋体" w:cs="宋体"/>
          <w:b/>
          <w:bCs/>
          <w:color w:val="000000" w:themeColor="text1"/>
          <w14:textFill>
            <w14:solidFill>
              <w14:schemeClr w14:val="tx1"/>
            </w14:solidFill>
          </w14:textFill>
        </w:rPr>
        <w:t>7.</w:t>
      </w:r>
      <w:r>
        <w:rPr>
          <w:rFonts w:hint="eastAsia" w:ascii="宋体" w:hAnsi="宋体" w:cs="宋体"/>
          <w:b/>
          <w:bCs/>
          <w:color w:val="000000" w:themeColor="text1"/>
          <w14:textFill>
            <w14:solidFill>
              <w14:schemeClr w14:val="tx1"/>
            </w14:solidFill>
          </w14:textFill>
        </w:rPr>
        <w:t>合同终止和违约责任</w:t>
      </w:r>
      <w:bookmarkEnd w:id="70"/>
      <w:bookmarkEnd w:id="71"/>
    </w:p>
    <w:p>
      <w:pPr>
        <w:snapToGrid w:val="0"/>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在下述条件下，本合同书可提前终止：</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7.1 </w:t>
      </w:r>
      <w:r>
        <w:rPr>
          <w:rFonts w:hint="eastAsia" w:ascii="宋体" w:hAnsi="宋体" w:cs="宋体"/>
          <w:color w:val="000000" w:themeColor="text1"/>
          <w14:textFill>
            <w14:solidFill>
              <w14:schemeClr w14:val="tx1"/>
            </w14:solidFill>
          </w14:textFill>
        </w:rPr>
        <w:t>如果一方破产，或正在进行清算程序，或其财产的实质性部分被没收或扣押，则另一方可经书面通知该方而立即终止本合同，并有权要求其赔偿由此造成的损失；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7.2 </w:t>
      </w:r>
      <w:r>
        <w:rPr>
          <w:rFonts w:hint="eastAsia" w:ascii="宋体" w:hAnsi="宋体" w:cs="宋体"/>
          <w:color w:val="000000" w:themeColor="text1"/>
          <w14:textFill>
            <w14:solidFill>
              <w14:schemeClr w14:val="tx1"/>
            </w14:solidFill>
          </w14:textFill>
        </w:rPr>
        <w:t>如果一方的所有权、组织结构、控制与管理发生重大变化，而导致其不能履行本合同的，则另一方可经书面通知该方而立即终止本合同，并有权要求其赔偿由此造成的损失；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7.3 </w:t>
      </w:r>
      <w:r>
        <w:rPr>
          <w:rFonts w:hint="eastAsia" w:ascii="宋体" w:hAnsi="宋体" w:cs="宋体"/>
          <w:color w:val="000000" w:themeColor="text1"/>
          <w14:textFill>
            <w14:solidFill>
              <w14:schemeClr w14:val="tx1"/>
            </w14:solidFill>
          </w14:textFill>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7.4 </w:t>
      </w:r>
      <w:r>
        <w:rPr>
          <w:rFonts w:hint="eastAsia" w:ascii="宋体" w:hAnsi="宋体" w:cs="宋体"/>
          <w:color w:val="000000" w:themeColor="text1"/>
          <w14:textFill>
            <w14:solidFill>
              <w14:schemeClr w14:val="tx1"/>
            </w14:solidFill>
          </w14:textFill>
        </w:rPr>
        <w:t>如果本合同一方不按照合同约定履行义务，则应按照下述规定承担违约责任：</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7.4.1 </w:t>
      </w:r>
      <w:r>
        <w:rPr>
          <w:rFonts w:hint="eastAsia" w:ascii="宋体" w:hAnsi="宋体" w:cs="宋体"/>
          <w:color w:val="000000" w:themeColor="text1"/>
          <w14:textFill>
            <w14:solidFill>
              <w14:schemeClr w14:val="tx1"/>
            </w14:solidFill>
          </w14:textFill>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％的违约金。</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7.4.2 </w:t>
      </w:r>
      <w:r>
        <w:rPr>
          <w:rFonts w:hint="eastAsia" w:ascii="宋体" w:hAnsi="宋体" w:cs="宋体"/>
          <w:color w:val="000000" w:themeColor="text1"/>
          <w14:textFill>
            <w14:solidFill>
              <w14:schemeClr w14:val="tx1"/>
            </w14:solidFill>
          </w14:textFill>
        </w:rPr>
        <w:t>甲方应当根据本合同约定按时向乙方付款，无正当理由迟延付款的，每迟延支付一日，应支付迟延付款金额</w:t>
      </w:r>
      <w:r>
        <w:rPr>
          <w:rFonts w:ascii="宋体" w:hAnsi="宋体" w:cs="宋体"/>
          <w:color w:val="000000" w:themeColor="text1"/>
          <w14:textFill>
            <w14:solidFill>
              <w14:schemeClr w14:val="tx1"/>
            </w14:solidFill>
          </w14:textFill>
        </w:rPr>
        <w:t>0.1</w:t>
      </w:r>
      <w:r>
        <w:rPr>
          <w:rFonts w:hint="eastAsia" w:ascii="宋体" w:hAnsi="宋体" w:cs="宋体"/>
          <w:color w:val="000000" w:themeColor="text1"/>
          <w14:textFill>
            <w14:solidFill>
              <w14:schemeClr w14:val="tx1"/>
            </w14:solidFill>
          </w14:textFill>
        </w:rPr>
        <w:t>‰的违约金。</w:t>
      </w:r>
    </w:p>
    <w:p>
      <w:pPr>
        <w:snapToGrid w:val="0"/>
        <w:spacing w:line="440" w:lineRule="exact"/>
        <w:rPr>
          <w:rFonts w:ascii="宋体" w:hAnsi="宋体" w:cs="宋体"/>
          <w:b/>
          <w:bCs/>
          <w:color w:val="000000" w:themeColor="text1"/>
          <w14:textFill>
            <w14:solidFill>
              <w14:schemeClr w14:val="tx1"/>
            </w14:solidFill>
          </w14:textFill>
        </w:rPr>
      </w:pPr>
      <w:bookmarkStart w:id="72" w:name="_Toc27960"/>
      <w:bookmarkStart w:id="73" w:name="_Toc29778"/>
      <w:r>
        <w:rPr>
          <w:rFonts w:ascii="宋体" w:hAnsi="宋体" w:cs="宋体"/>
          <w:b/>
          <w:bCs/>
          <w:color w:val="000000" w:themeColor="text1"/>
          <w14:textFill>
            <w14:solidFill>
              <w14:schemeClr w14:val="tx1"/>
            </w14:solidFill>
          </w14:textFill>
        </w:rPr>
        <w:t>8.</w:t>
      </w:r>
      <w:r>
        <w:rPr>
          <w:rFonts w:hint="eastAsia" w:ascii="宋体" w:hAnsi="宋体" w:cs="宋体"/>
          <w:b/>
          <w:bCs/>
          <w:color w:val="000000" w:themeColor="text1"/>
          <w14:textFill>
            <w14:solidFill>
              <w14:schemeClr w14:val="tx1"/>
            </w14:solidFill>
          </w14:textFill>
        </w:rPr>
        <w:t>不可抗力</w:t>
      </w:r>
      <w:bookmarkEnd w:id="72"/>
      <w:bookmarkEnd w:id="73"/>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8.1 </w:t>
      </w:r>
      <w:r>
        <w:rPr>
          <w:rFonts w:hint="eastAsia" w:ascii="宋体" w:hAnsi="宋体" w:cs="宋体"/>
          <w:color w:val="000000" w:themeColor="text1"/>
          <w14:textFill>
            <w14:solidFill>
              <w14:schemeClr w14:val="tx1"/>
            </w14:solidFill>
          </w14:textFill>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8.2 </w:t>
      </w:r>
      <w:r>
        <w:rPr>
          <w:rFonts w:hint="eastAsia" w:ascii="宋体" w:hAnsi="宋体" w:cs="宋体"/>
          <w:color w:val="000000" w:themeColor="text1"/>
          <w14:textFill>
            <w14:solidFill>
              <w14:schemeClr w14:val="tx1"/>
            </w14:solidFill>
          </w14:textFill>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8.3 </w:t>
      </w:r>
      <w:r>
        <w:rPr>
          <w:rFonts w:hint="eastAsia" w:ascii="宋体" w:hAnsi="宋体" w:cs="宋体"/>
          <w:color w:val="000000" w:themeColor="text1"/>
          <w14:textFill>
            <w14:solidFill>
              <w14:schemeClr w14:val="tx1"/>
            </w14:solidFill>
          </w14:textFill>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pPr>
        <w:autoSpaceDE w:val="0"/>
        <w:autoSpaceDN w:val="0"/>
        <w:adjustRightInd w:val="0"/>
        <w:spacing w:line="440" w:lineRule="exact"/>
        <w:ind w:firstLine="413" w:firstLineChars="196"/>
        <w:rPr>
          <w:rFonts w:ascii="宋体" w:hAnsi="宋体"/>
          <w:b/>
          <w:bCs/>
          <w:color w:val="000000" w:themeColor="text1"/>
          <w:kern w:val="0"/>
          <w14:textFill>
            <w14:solidFill>
              <w14:schemeClr w14:val="tx1"/>
            </w14:solidFill>
          </w14:textFill>
        </w:rPr>
      </w:pPr>
      <w:bookmarkStart w:id="74" w:name="_Toc12058"/>
      <w:bookmarkStart w:id="75" w:name="_Toc7221"/>
      <w:r>
        <w:rPr>
          <w:rFonts w:ascii="宋体" w:hAnsi="宋体" w:cs="宋体"/>
          <w:b/>
          <w:bCs/>
          <w:color w:val="000000" w:themeColor="text1"/>
          <w:kern w:val="0"/>
          <w:lang w:val="zh-CN"/>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知识产权、保密</w:t>
      </w:r>
      <w:bookmarkEnd w:id="74"/>
      <w:bookmarkEnd w:id="75"/>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lang w:val="zh-CN"/>
          <w14:textFill>
            <w14:solidFill>
              <w14:schemeClr w14:val="tx1"/>
            </w14:solidFill>
          </w14:textFill>
        </w:rPr>
        <w:t>合同双方保证，一方向另一方提供的文件、资料不会侵犯任何第三方的知识产权或其他合法权益，若因此给另一方造成损失的，由提供方依法承担相应法律责任。</w:t>
      </w:r>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甲方享有本合同项下</w:t>
      </w:r>
      <w:r>
        <w:rPr>
          <w:rFonts w:hint="eastAsia" w:ascii="宋体" w:hAnsi="宋体"/>
          <w:b/>
          <w:color w:val="000000" w:themeColor="text1"/>
          <w14:textFill>
            <w14:solidFill>
              <w14:schemeClr w14:val="tx1"/>
            </w14:solidFill>
          </w14:textFill>
        </w:rPr>
        <w:t>所涉及到的技术成果、开发平台、关键技术、秘密信息、技术资料、文件</w:t>
      </w:r>
      <w:r>
        <w:rPr>
          <w:rFonts w:hint="eastAsia" w:ascii="宋体" w:hAnsi="宋体" w:cs="宋体"/>
          <w:color w:val="000000" w:themeColor="text1"/>
          <w:kern w:val="0"/>
          <w:lang w:val="zh-CN"/>
          <w14:textFill>
            <w14:solidFill>
              <w14:schemeClr w14:val="tx1"/>
            </w14:solidFill>
          </w14:textFill>
        </w:rPr>
        <w:t>等内容的完整的知识产权，未经甲方书面确认，乙方不得转让、许可或以其他方式提供给任何第三方使用；否则，甲方有权解除合同并依法追究乙方违约责任。</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lang w:val="zh-CN"/>
          <w14:textFill>
            <w14:solidFill>
              <w14:schemeClr w14:val="tx1"/>
            </w14:solidFill>
          </w14:textFill>
        </w:rPr>
        <w:t>本合同涉及的文件、资料内容属于甲方商业秘密，除为履行本合同所必须外，未经甲方授权乙方无权向第三方公开。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w:t>
      </w:r>
      <w:r>
        <w:rPr>
          <w:rFonts w:hint="eastAsia" w:ascii="宋体" w:hAnsi="宋体" w:cs="宋体"/>
          <w:color w:val="000000" w:themeColor="text1"/>
          <w:kern w:val="0"/>
          <w:lang w:val="zh-CN"/>
          <w14:textFill>
            <w14:solidFill>
              <w14:schemeClr w14:val="tx1"/>
            </w14:solidFill>
          </w14:textFill>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9.4.1</w:t>
      </w:r>
      <w:r>
        <w:rPr>
          <w:rFonts w:hint="eastAsia" w:ascii="宋体" w:hAnsi="宋体" w:cs="宋体"/>
          <w:color w:val="000000" w:themeColor="text1"/>
          <w:kern w:val="0"/>
          <w:lang w:val="zh-CN"/>
          <w14:textFill>
            <w14:solidFill>
              <w14:schemeClr w14:val="tx1"/>
            </w14:solidFill>
          </w14:textFill>
        </w:rPr>
        <w:t>依法律法规的规定；</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9.4.2 </w:t>
      </w:r>
      <w:r>
        <w:rPr>
          <w:rFonts w:hint="eastAsia" w:ascii="宋体" w:hAnsi="宋体" w:cs="宋体"/>
          <w:color w:val="000000" w:themeColor="text1"/>
          <w:kern w:val="0"/>
          <w:lang w:val="zh-CN"/>
          <w14:textFill>
            <w14:solidFill>
              <w14:schemeClr w14:val="tx1"/>
            </w14:solidFill>
          </w14:textFill>
        </w:rPr>
        <w:t>依任何有管辖权的政府机关、监管机构或自律组织的要求；</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9.4.3</w:t>
      </w:r>
      <w:r>
        <w:rPr>
          <w:rFonts w:hint="eastAsia" w:ascii="宋体" w:hAnsi="宋体" w:cs="宋体"/>
          <w:color w:val="000000" w:themeColor="text1"/>
          <w:kern w:val="0"/>
          <w:lang w:val="zh-CN"/>
          <w14:textFill>
            <w14:solidFill>
              <w14:schemeClr w14:val="tx1"/>
            </w14:solidFill>
          </w14:textFill>
        </w:rPr>
        <w:t>在收到对方披露的保密信息之时或之前已从对该保密信息无保密义务的第三方合法知悉该信息；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9.4.4 </w:t>
      </w:r>
      <w:r>
        <w:rPr>
          <w:rFonts w:hint="eastAsia" w:ascii="宋体" w:hAnsi="宋体" w:cs="宋体"/>
          <w:color w:val="000000" w:themeColor="text1"/>
          <w:kern w:val="0"/>
          <w:lang w:val="zh-CN"/>
          <w14:textFill>
            <w14:solidFill>
              <w14:schemeClr w14:val="tx1"/>
            </w14:solidFill>
          </w14:textFill>
        </w:rPr>
        <w:t>非因乙方过错，而使信息已经公开；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9.4.5</w:t>
      </w:r>
      <w:r>
        <w:rPr>
          <w:rFonts w:hint="eastAsia" w:ascii="宋体" w:hAnsi="宋体" w:cs="宋体"/>
          <w:color w:val="000000" w:themeColor="text1"/>
          <w:kern w:val="0"/>
          <w:lang w:val="zh-CN"/>
          <w14:textFill>
            <w14:solidFill>
              <w14:schemeClr w14:val="tx1"/>
            </w14:solidFill>
          </w14:textFill>
        </w:rPr>
        <w:t>合同双方事先达成书面认可；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本条款的使用不因本合同的终止而失效；自其中某项秘密信息依法被公开披露、丧失保密性之日起，本合同约定的保密义务对该信息不再适用。</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76" w:name="_Toc26449"/>
      <w:bookmarkStart w:id="77" w:name="_Toc20922"/>
      <w:r>
        <w:rPr>
          <w:rFonts w:ascii="宋体" w:hAnsi="宋体" w:cs="宋体"/>
          <w:b/>
          <w:bCs/>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争议解决</w:t>
      </w:r>
      <w:bookmarkEnd w:id="76"/>
      <w:bookmarkEnd w:id="77"/>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10.1 </w:t>
      </w:r>
      <w:r>
        <w:rPr>
          <w:rFonts w:hint="eastAsia" w:ascii="宋体" w:hAnsi="宋体" w:cs="宋体"/>
          <w:color w:val="000000" w:themeColor="text1"/>
          <w14:textFill>
            <w14:solidFill>
              <w14:schemeClr w14:val="tx1"/>
            </w14:solidFill>
          </w14:textFill>
        </w:rPr>
        <w:t>如果甲乙双方就本合同的履行发生任何争议，双方应首先通过友好协商解决该等争议。如果在协商开始的</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日内双方无法解决争议，则提交给位于北京市的中国国际经济贸易仲裁委员会，依据委员会实施的仲裁规则进行仲裁。该仲裁裁决是终局性的并对三方具有约束力。</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78" w:name="_Toc2658"/>
      <w:bookmarkStart w:id="79" w:name="_Toc17905"/>
      <w:r>
        <w:rPr>
          <w:rFonts w:ascii="宋体" w:hAnsi="宋体" w:cs="宋体"/>
          <w:b/>
          <w:color w:val="000000" w:themeColor="text1"/>
          <w:kern w:val="0"/>
          <w14:textFill>
            <w14:solidFill>
              <w14:schemeClr w14:val="tx1"/>
            </w14:solidFill>
          </w14:textFill>
        </w:rPr>
        <w:t>11.</w:t>
      </w:r>
      <w:r>
        <w:rPr>
          <w:rFonts w:hint="eastAsia" w:ascii="宋体" w:hAnsi="宋体" w:cs="宋体"/>
          <w:b/>
          <w:color w:val="000000" w:themeColor="text1"/>
          <w:kern w:val="0"/>
          <w14:textFill>
            <w14:solidFill>
              <w14:schemeClr w14:val="tx1"/>
            </w14:solidFill>
          </w14:textFill>
        </w:rPr>
        <w:t>通知</w:t>
      </w:r>
      <w:bookmarkEnd w:id="78"/>
      <w:bookmarkEnd w:id="79"/>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w:t>
      </w:r>
      <w:r>
        <w:rPr>
          <w:rFonts w:hint="eastAsia" w:ascii="宋体" w:hAnsi="宋体" w:cs="宋体"/>
          <w:color w:val="000000" w:themeColor="text1"/>
          <w14:textFill>
            <w14:solidFill>
              <w14:schemeClr w14:val="tx1"/>
            </w14:solidFill>
          </w14:textFill>
        </w:rPr>
        <w:t>本合同任何一方给另一方的通知都应以书面或电传、电报、传真的形式发送，而另一方应以书面形式确认并发送到对方明确的地址。</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80" w:name="_Toc20904"/>
      <w:bookmarkStart w:id="81" w:name="_Toc29310"/>
      <w:r>
        <w:rPr>
          <w:rFonts w:ascii="宋体" w:hAnsi="宋体" w:cs="宋体"/>
          <w:b/>
          <w:color w:val="000000" w:themeColor="text1"/>
          <w:kern w:val="0"/>
          <w14:textFill>
            <w14:solidFill>
              <w14:schemeClr w14:val="tx1"/>
            </w14:solidFill>
          </w14:textFill>
        </w:rPr>
        <w:t>12.</w:t>
      </w:r>
      <w:r>
        <w:rPr>
          <w:rFonts w:hint="eastAsia" w:ascii="宋体" w:hAnsi="宋体" w:cs="宋体"/>
          <w:b/>
          <w:color w:val="000000" w:themeColor="text1"/>
          <w:kern w:val="0"/>
          <w14:textFill>
            <w14:solidFill>
              <w14:schemeClr w14:val="tx1"/>
            </w14:solidFill>
          </w14:textFill>
        </w:rPr>
        <w:t>合同生效及其它</w:t>
      </w:r>
      <w:bookmarkEnd w:id="80"/>
      <w:bookmarkEnd w:id="81"/>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三方本着善意和合作的目的，同意就本项目组织中发生的不可预见的变化进行友好协商，并签署书面确认，以修正并取代本合同的约定。如没有签署书面确认，双方以本合同为准。</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12.2</w:t>
      </w:r>
      <w:r>
        <w:rPr>
          <w:rFonts w:hint="eastAsia" w:ascii="宋体" w:hAnsi="宋体" w:cs="宋体"/>
          <w:color w:val="000000" w:themeColor="text1"/>
          <w14:textFill>
            <w14:solidFill>
              <w14:schemeClr w14:val="tx1"/>
            </w14:solidFill>
          </w14:textFill>
        </w:rPr>
        <w:t>本合同一式七份，甲方持五份、乙方持二份，经双方签字盖章后即发生法律效力，且均具有同等法律效力。</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附件：1、服务方案</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2、费用明细单</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甲方（采购单位）：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　　　　　　</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签订时间：  年 月 日</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乙方（中标单位）：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签订时间：   年 月 日 </w:t>
      </w:r>
    </w:p>
    <w:p>
      <w:pPr>
        <w:pStyle w:val="31"/>
        <w:spacing w:before="120" w:after="120" w:line="360" w:lineRule="auto"/>
        <w:jc w:val="center"/>
        <w:outlineLvl w:val="0"/>
        <w:rPr>
          <w:rFonts w:ascii="仿宋" w:hAnsi="仿宋" w:eastAsia="仿宋"/>
          <w:b/>
          <w:color w:val="000000" w:themeColor="text1"/>
          <w:sz w:val="36"/>
          <w:szCs w:val="36"/>
          <w14:textFill>
            <w14:solidFill>
              <w14:schemeClr w14:val="tx1"/>
            </w14:solidFill>
          </w14:textFill>
        </w:rPr>
      </w:pPr>
      <w:r>
        <w:rPr>
          <w:rFonts w:ascii="仿宋_GB2312" w:eastAsia="仿宋_GB2312"/>
          <w:snapToGrid w:val="0"/>
          <w:color w:val="000000" w:themeColor="text1"/>
          <w:kern w:val="0"/>
          <w:sz w:val="30"/>
          <w:szCs w:val="30"/>
          <w14:textFill>
            <w14:solidFill>
              <w14:schemeClr w14:val="tx1"/>
            </w14:solidFill>
          </w14:textFill>
        </w:rPr>
        <w:br w:type="page"/>
      </w:r>
      <w:bookmarkStart w:id="82" w:name="_Toc51935133"/>
      <w:r>
        <w:rPr>
          <w:rFonts w:hint="eastAsia" w:ascii="仿宋" w:hAnsi="仿宋" w:eastAsia="仿宋"/>
          <w:b/>
          <w:color w:val="000000" w:themeColor="text1"/>
          <w:sz w:val="36"/>
          <w:szCs w:val="36"/>
          <w14:textFill>
            <w14:solidFill>
              <w14:schemeClr w14:val="tx1"/>
            </w14:solidFill>
          </w14:textFill>
        </w:rPr>
        <w:t>第六章</w:t>
      </w:r>
      <w:r>
        <w:rPr>
          <w:rFonts w:ascii="仿宋" w:hAnsi="仿宋" w:eastAsia="仿宋"/>
          <w:b/>
          <w:color w:val="000000" w:themeColor="text1"/>
          <w:sz w:val="36"/>
          <w:szCs w:val="36"/>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投标文件格式附件</w:t>
      </w:r>
      <w:bookmarkEnd w:id="82"/>
    </w:p>
    <w:p>
      <w:pPr>
        <w:pStyle w:val="31"/>
        <w:spacing w:before="120" w:after="120" w:line="360" w:lineRule="auto"/>
        <w:jc w:val="center"/>
        <w:rPr>
          <w:rFonts w:ascii="仿宋" w:hAnsi="仿宋" w:eastAsia="仿宋"/>
          <w:b/>
          <w:color w:val="000000" w:themeColor="text1"/>
          <w:sz w:val="36"/>
          <w:szCs w:val="36"/>
          <w14:textFill>
            <w14:solidFill>
              <w14:schemeClr w14:val="tx1"/>
            </w14:solidFill>
          </w14:textFill>
        </w:rPr>
      </w:pPr>
    </w:p>
    <w:p>
      <w:pPr>
        <w:pStyle w:val="7"/>
        <w:numPr>
          <w:ilvl w:val="5"/>
          <w:numId w:val="0"/>
        </w:numPr>
        <w:jc w:val="center"/>
        <w:rPr>
          <w:rFonts w:ascii="仿宋" w:hAnsi="仿宋" w:eastAsia="仿宋"/>
          <w:color w:val="000000" w:themeColor="text1"/>
          <w:sz w:val="30"/>
          <w14:textFill>
            <w14:solidFill>
              <w14:schemeClr w14:val="tx1"/>
            </w14:solidFill>
          </w14:textFill>
        </w:rPr>
      </w:pPr>
      <w:bookmarkStart w:id="83" w:name="_Toc32581647"/>
      <w:bookmarkStart w:id="84" w:name="_Toc125713437"/>
      <w:r>
        <w:rPr>
          <w:rFonts w:hint="eastAsia" w:ascii="仿宋" w:hAnsi="仿宋" w:eastAsia="仿宋"/>
          <w:color w:val="000000" w:themeColor="text1"/>
          <w14:textFill>
            <w14:solidFill>
              <w14:schemeClr w14:val="tx1"/>
            </w14:solidFill>
          </w14:textFill>
        </w:rPr>
        <w:t>投标人提交文件须知</w:t>
      </w:r>
      <w:bookmarkEnd w:id="83"/>
      <w:bookmarkEnd w:id="84"/>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2.所附表格中要求回答的全部问题和信息都必须正面回答。</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本资格声明的签字人应保证全部声明和问题的回答是真实的和准确的。</w:t>
      </w:r>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5.投标人提交的材料将被保密保存，但不退还。</w:t>
      </w:r>
    </w:p>
    <w:p>
      <w:pPr>
        <w:adjustRightInd w:val="0"/>
        <w:snapToGrid w:val="0"/>
        <w:spacing w:before="120" w:after="120" w:line="360" w:lineRule="auto"/>
        <w:rPr>
          <w:rFonts w:ascii="仿宋" w:hAnsi="仿宋" w:eastAsia="仿宋"/>
          <w:b/>
          <w:color w:val="000000" w:themeColor="text1"/>
          <w:sz w:val="36"/>
          <w:szCs w:val="36"/>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全部文件应按投标人须知中规定的语言和份数提交。</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line="460" w:lineRule="exact"/>
        <w:ind w:firstLine="58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28"/>
          <w:szCs w:val="28"/>
          <w14:textFill>
            <w14:solidFill>
              <w14:schemeClr w14:val="tx1"/>
            </w14:solidFill>
          </w14:textFill>
        </w:rPr>
        <w:t xml:space="preserve"> </w:t>
      </w:r>
    </w:p>
    <w:p>
      <w:pPr>
        <w:ind w:right="-110"/>
        <w:rPr>
          <w:rFonts w:ascii="仿宋" w:hAnsi="仿宋" w:eastAsia="仿宋"/>
          <w:color w:val="000000" w:themeColor="text1"/>
          <w:spacing w:val="40"/>
          <w:sz w:val="52"/>
          <w:szCs w:val="52"/>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w:t>
      </w:r>
      <w:r>
        <w:rPr>
          <w:rFonts w:hint="eastAsia" w:ascii="仿宋" w:hAnsi="仿宋" w:eastAsia="仿宋"/>
          <w:color w:val="000000" w:themeColor="text1"/>
          <w:sz w:val="36"/>
          <w:szCs w:val="36"/>
          <w14:textFill>
            <w14:solidFill>
              <w14:schemeClr w14:val="tx1"/>
            </w14:solidFill>
          </w14:textFill>
        </w:rPr>
        <w:t>9</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p>
    <w:tbl>
      <w:tblPr>
        <w:tblStyle w:val="58"/>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0" w:hRule="exact"/>
        </w:trPr>
        <w:tc>
          <w:tcPr>
            <w:tcW w:w="4361" w:type="dxa"/>
          </w:tcPr>
          <w:p>
            <w:pPr>
              <w:spacing w:before="1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服务投标总价（已优惠或折扣后）</w:t>
            </w:r>
          </w:p>
        </w:tc>
        <w:tc>
          <w:tcPr>
            <w:tcW w:w="4102" w:type="dxa"/>
            <w:vAlign w:val="center"/>
          </w:tcPr>
          <w:p>
            <w:pPr>
              <w:spacing w:before="12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jc w:val="center"/>
              <w:rPr>
                <w:color w:val="000000" w:themeColor="text1"/>
                <w:szCs w:val="21"/>
                <w14:textFill>
                  <w14:solidFill>
                    <w14:schemeClr w14:val="tx1"/>
                  </w14:solidFill>
                </w14:textFill>
              </w:rPr>
            </w:pPr>
          </w:p>
        </w:tc>
        <w:tc>
          <w:tcPr>
            <w:tcW w:w="4102" w:type="dxa"/>
          </w:tcPr>
          <w:p>
            <w:pPr>
              <w:jc w:val="center"/>
              <w:rPr>
                <w:color w:val="000000" w:themeColor="text1"/>
                <w:szCs w:val="21"/>
                <w14:textFill>
                  <w14:solidFill>
                    <w14:schemeClr w14:val="tx1"/>
                  </w14:solidFill>
                </w14:textFill>
              </w:rPr>
            </w:pPr>
          </w:p>
        </w:tc>
      </w:tr>
    </w:tbl>
    <w:p>
      <w:pPr>
        <w:spacing w:before="120" w:before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说明：开标一览表中的“服务投标总价”应是本项目投标服务的全部费用的报价，包括但不限于以下费用：</w:t>
      </w:r>
      <w:r>
        <w:rPr>
          <w:rFonts w:hint="eastAsia"/>
          <w:color w:val="000000" w:themeColor="text1"/>
          <w14:textFill>
            <w14:solidFill>
              <w14:schemeClr w14:val="tx1"/>
            </w14:solidFill>
          </w14:textFill>
        </w:rPr>
        <w:t>人工费用、系统服务费、设备使用费用、食宿费、交通费、劳务费、税金</w:t>
      </w:r>
      <w:r>
        <w:rPr>
          <w:rFonts w:hint="eastAsia" w:ascii="宋体" w:hAnsi="宋体"/>
          <w:color w:val="000000" w:themeColor="text1"/>
          <w:szCs w:val="21"/>
          <w14:textFill>
            <w14:solidFill>
              <w14:schemeClr w14:val="tx1"/>
            </w14:solidFill>
          </w14:textFill>
        </w:rPr>
        <w:t>及其他所有相关费用的总和。</w:t>
      </w:r>
    </w:p>
    <w:p>
      <w:pPr>
        <w:spacing w:before="120" w:beforeLines="50"/>
        <w:rPr>
          <w:color w:val="000000" w:themeColor="text1"/>
          <w:szCs w:val="21"/>
          <w14:textFill>
            <w14:solidFill>
              <w14:schemeClr w14:val="tx1"/>
            </w14:solidFill>
          </w14:textFill>
        </w:rPr>
      </w:pPr>
    </w:p>
    <w:p>
      <w:pPr>
        <w:spacing w:before="120" w:beforeLines="5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投标总价大写金额：</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特别说明事项：</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投标人全称（公章）：</w:t>
      </w:r>
      <w:r>
        <w:rPr>
          <w:color w:val="000000" w:themeColor="text1"/>
          <w:szCs w:val="2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法定代表人或授权的投标人代表签字：</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511" w:firstLineChars="213"/>
        <w:jc w:val="center"/>
        <w:rPr>
          <w:rFonts w:hAnsi="宋体" w:eastAsia="仿宋_GB2312"/>
          <w:b/>
          <w:color w:val="000000" w:themeColor="text1"/>
          <w:sz w:val="36"/>
          <w:szCs w:val="36"/>
          <w14:textFill>
            <w14:solidFill>
              <w14:schemeClr w14:val="tx1"/>
            </w14:solidFill>
          </w14:textFill>
        </w:rPr>
      </w:pPr>
      <w:r>
        <w:rPr>
          <w:color w:val="000000" w:themeColor="text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w:t>
      </w:r>
      <w:r>
        <w:rPr>
          <w:rFonts w:hint="eastAsia" w:ascii="仿宋" w:hAnsi="仿宋" w:eastAsia="仿宋"/>
          <w:color w:val="000000" w:themeColor="text1"/>
          <w:sz w:val="36"/>
          <w:szCs w:val="36"/>
          <w14:textFill>
            <w14:solidFill>
              <w14:schemeClr w14:val="tx1"/>
            </w14:solidFill>
          </w14:textFill>
        </w:rPr>
        <w:t>9（标项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（2）法定代表人证明书或授权委托书(格式见附件)；</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（4）提供有效的依法缴纳税收证明（至投标文件递交截止日一年内连续三个月的完税凭证或税务部门出具的证明）；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（5）提供有效的依法缴纳社会保障资金证明（至投标文件递交截止日一年内连续三个月的缴纳凭证或人社部门出具的证明）；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（7）联合投标协议书（若需要）;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（8）联合投标授权委托书（若需要）;</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ZB2020-3</w:t>
      </w:r>
      <w:r>
        <w:rPr>
          <w:rFonts w:hint="eastAsia" w:ascii="仿宋" w:hAnsi="仿宋" w:eastAsia="仿宋"/>
          <w:color w:val="000000" w:themeColor="text1"/>
          <w:sz w:val="30"/>
          <w:szCs w:val="30"/>
          <w:u w:val="single"/>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line="460" w:lineRule="exact"/>
        <w:ind w:firstLine="200"/>
        <w:rPr>
          <w:rFonts w:ascii="仿宋" w:hAnsi="仿宋" w:eastAsia="仿宋"/>
          <w:color w:val="000000" w:themeColor="text1"/>
          <w:sz w:val="30"/>
          <w:szCs w:val="30"/>
          <w:u w:val="single"/>
          <w14:textFill>
            <w14:solidFill>
              <w14:schemeClr w14:val="tx1"/>
            </w14:solidFill>
          </w14:textFill>
        </w:rPr>
      </w:pP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60288;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OGPO1QAAAAgBAAAPAAAAAAAAAAEAIAAAACIAAABkcnMvZG93bnJldi54bWxQSwECFAAU&#10;AAAACACHTuJAutQ9PbsBAABTAwAADgAAAAAAAAABACAAAAAkAQAAZHJzL2Uyb0RvYy54bWxQSwUG&#10;AAAAAAYABgBZAQAAUQU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r>
        <w:rPr>
          <w:rFonts w:ascii="仿宋" w:hAnsi="仿宋" w:eastAsia="仿宋"/>
          <w:color w:val="000000" w:themeColor="text1"/>
          <w:sz w:val="30"/>
          <w:szCs w:val="30"/>
          <w:u w:val="single"/>
          <w14:textFill>
            <w14:solidFill>
              <w14:schemeClr w14:val="tx1"/>
            </w14:solidFill>
          </w14:textFill>
        </w:rPr>
        <w:t xml:space="preserve">                                       </w:t>
      </w: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（姓名）系</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（投标人名称）的法定代表人，现授权委托本单位在职职工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投标人代表印刷体姓名：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投标人代表身份证号：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（身份证复印件附后）</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投标人全称（公章）：</w:t>
      </w:r>
      <w:r>
        <w:rPr>
          <w:rFonts w:hint="eastAsia" w:ascii="宋体" w:hAnsi="宋体"/>
          <w:color w:val="000000" w:themeColor="text1"/>
          <w:u w:val="single"/>
          <w14:textFill>
            <w14:solidFill>
              <w14:schemeClr w14:val="tx1"/>
            </w14:solidFill>
          </w14:textFill>
        </w:rPr>
        <w:t xml:space="preserve">                                       </w:t>
      </w:r>
    </w:p>
    <w:p>
      <w:pPr>
        <w:widowControl/>
        <w:jc w:val="left"/>
        <w:rPr>
          <w:rFonts w:ascii="仿宋" w:hAnsi="仿宋" w:eastAsia="仿宋"/>
          <w:color w:val="000000" w:themeColor="text1"/>
          <w:sz w:val="30"/>
          <w:szCs w:val="30"/>
          <w:u w:val="single"/>
          <w14:textFill>
            <w14:solidFill>
              <w14:schemeClr w14:val="tx1"/>
            </w14:solidFill>
          </w14:textFill>
        </w:rPr>
        <w:sectPr>
          <w:pgSz w:w="11906" w:h="16838"/>
          <w:pgMar w:top="1558" w:right="1531" w:bottom="468" w:left="1531" w:header="851" w:footer="851" w:gutter="0"/>
          <w:pgNumType w:chapStyle="1" w:chapSep="colon"/>
          <w:cols w:space="720" w:num="1"/>
          <w:docGrid w:linePitch="286" w:charSpace="0"/>
        </w:sect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附件5：</w:t>
      </w:r>
    </w:p>
    <w:p>
      <w:pPr>
        <w:pStyle w:val="17"/>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各方经协商，就响应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组织实施的编号为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号的招标活动联合进行投标之事宜，达成如下协议：</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一、各方一致决定，以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为主办人进行投标，并按照招标文件的规定分别提交资格文件。</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pStyle w:val="17"/>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签订的《联合投标协议书》的内容，主办人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现授权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w:t>
      </w:r>
      <w:r>
        <w:rPr>
          <w:rFonts w:hint="eastAsia" w:ascii="仿宋" w:hAnsi="仿宋" w:eastAsia="仿宋"/>
          <w:color w:val="000000" w:themeColor="text1"/>
          <w:sz w:val="36"/>
          <w:szCs w:val="36"/>
          <w14:textFill>
            <w14:solidFill>
              <w14:schemeClr w14:val="tx1"/>
            </w14:solidFill>
          </w14:textFill>
        </w:rPr>
        <w:t>9（标项）</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（4）项目总体解决方案（可包含且不限于对项目总体要求的理解、项目总体架构及技术解决方案等，须包含项目需求的各类方案）；</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（5）项目实施计划（可包含且不限于保证工期的施工组织方案及人力资源安排、项目组人员清单等，须包含项目需求的各类计划和预案）；</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2160" w:type="dxa"/>
            <w:gridSpan w:val="2"/>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42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r>
        <w:rPr>
          <w:rFonts w:hint="eastAsia" w:ascii="仿宋" w:hAnsi="仿宋" w:eastAsia="仿宋"/>
          <w:color w:val="000000" w:themeColor="text1"/>
          <w:sz w:val="30"/>
          <w:szCs w:val="30"/>
          <w:u w:val="single"/>
          <w14:textFill>
            <w14:solidFill>
              <w14:schemeClr w14:val="tx1"/>
            </w14:solidFill>
          </w14:textFill>
        </w:rPr>
        <w:t xml:space="preserve">            </w:t>
      </w:r>
    </w:p>
    <w:p>
      <w:pPr>
        <w:widowControl/>
        <w:jc w:val="left"/>
        <w:rPr>
          <w:rFonts w:ascii="仿宋" w:hAnsi="仿宋" w:eastAsia="仿宋"/>
          <w:color w:val="000000" w:themeColor="text1"/>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    （标项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4"/>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（1）投标报价明细表（见附件15）；</w:t>
      </w: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4"/>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（3）小微企业声明函（见附件16）；</w:t>
      </w:r>
    </w:p>
    <w:p>
      <w:pPr>
        <w:pStyle w:val="50"/>
        <w:widowControl w:val="0"/>
        <w:spacing w:after="120" w:line="460" w:lineRule="exact"/>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（4）残疾人福利企业声明函（见附件17）。</w:t>
      </w:r>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投 标 报 价 明 细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b/>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8"/>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小微企业价格合计金额大写：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w:t>
            </w:r>
          </w:p>
          <w:p>
            <w:pPr>
              <w:snapToGrid w:val="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授权代表签名：                              日期：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附件16：</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小微企业声明函</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本公司郑重声明，根据《政府采购促进中小企业发展暂行办法》（财库〔2011〕181号）的规定，本公司为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（请填写：小型、微型）企业。即，本公司同时满足以下条件：</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2.本公司参加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项目采购活动提供本企业制造的货物，由本企业承担工程、提供服务，或者提供其他</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（请填写：小型、微型）企业制造的货物。本条所称货物不包括使用大型企业注册商标的货物。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本公司对上述声明的真实性负责。如有虚假，将依法承担相应责任。</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企业名称（盖章）： </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napToGrid w:val="0"/>
        <w:spacing w:line="312" w:lineRule="auto"/>
        <w:ind w:firstLine="753" w:firstLineChars="2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备注说明：</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rFonts w:ascii="仿宋" w:hAnsi="仿宋" w:eastAsia="仿宋"/>
          <w:color w:val="000000" w:themeColor="text1"/>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28"/>
          <w:szCs w:val="28"/>
          <w14:textFill>
            <w14:solidFill>
              <w14:schemeClr w14:val="tx1"/>
            </w14:solidFill>
          </w14:textFill>
        </w:rPr>
        <w:t>（以下附件在递交投标文件时单独提供即可，无需密封进投标文件）</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附件18：</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投标文件接收回执</w:t>
      </w:r>
    </w:p>
    <w:p>
      <w:pPr>
        <w:spacing w:line="588" w:lineRule="exact"/>
        <w:rPr>
          <w:rFonts w:ascii="仿宋_GB2312" w:eastAsia="仿宋_GB2312"/>
          <w:b/>
          <w:color w:val="000000" w:themeColor="text1"/>
          <w:spacing w:val="6"/>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_</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（投标人全称）</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_</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你单位递交的以下项目投标文件，经查验，投标文件的包装、密封情况符合招标文件要求，已于</w:t>
      </w:r>
      <w:r>
        <w:rPr>
          <w:rFonts w:hint="eastAsia" w:ascii="仿宋" w:hAnsi="仿宋" w:eastAsia="仿宋"/>
          <w:color w:val="000000" w:themeColor="text1"/>
          <w:sz w:val="28"/>
          <w:szCs w:val="28"/>
          <w:u w:val="single"/>
          <w14:textFill>
            <w14:solidFill>
              <w14:schemeClr w14:val="tx1"/>
            </w14:solidFill>
          </w14:textFill>
        </w:rPr>
        <w:t xml:space="preserve">    年   月   日   时 分</w:t>
      </w:r>
      <w:r>
        <w:rPr>
          <w:rFonts w:hint="eastAsia" w:ascii="仿宋" w:hAnsi="仿宋" w:eastAsia="仿宋"/>
          <w:color w:val="000000" w:themeColor="text1"/>
          <w:sz w:val="28"/>
          <w:szCs w:val="28"/>
          <w14:textFill>
            <w14:solidFill>
              <w14:schemeClr w14:val="tx1"/>
            </w14:solidFill>
          </w14:textFill>
        </w:rPr>
        <w:t>由我中心工作人员接受。</w:t>
      </w:r>
    </w:p>
    <w:tbl>
      <w:tblPr>
        <w:tblStyle w:val="58"/>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60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 项</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bl>
    <w:p>
      <w:pPr>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请仔细阅读以下内容：</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1、本回执中除接收时间、接收人签名以外均为必填，如因信息填写错误、疏漏等造成投标文件接收出现任何问题，责任由投标单位自负。</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2、标项填写方式：如该项目只有一个标项填“1”，多个标项请填写投标的完整标项号。</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3、本回执投标单位按要求填写打印后，由授权代表携带至投标现场，与投标文件一并交至招标方现场工作人员。如投标人递交投标文件时未提供回执，视同不需要回执。</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国家体育总局体育器材装备中心</w:t>
      </w:r>
    </w:p>
    <w:p>
      <w:pPr>
        <w:wordWrap w:val="0"/>
        <w:snapToGrid w:val="0"/>
        <w:spacing w:line="360" w:lineRule="auto"/>
        <w:ind w:firstLine="600" w:firstLineChars="200"/>
        <w:jc w:val="righ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接收人签名或签章：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808"/>
        <w:widowControl w:val="0"/>
        <w:snapToGrid w:val="0"/>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附件19：</w:t>
      </w:r>
    </w:p>
    <w:p>
      <w:pPr>
        <w:pStyle w:val="808"/>
        <w:widowControl w:val="0"/>
        <w:snapToGrid w:val="0"/>
        <w:spacing w:line="500" w:lineRule="exact"/>
        <w:jc w:val="center"/>
        <w:rPr>
          <w:rFonts w:ascii="仿宋" w:hAnsi="仿宋" w:eastAsia="仿宋" w:cs="方正小标宋简体"/>
          <w:b/>
          <w:color w:val="000000" w:themeColor="text1"/>
          <w:sz w:val="32"/>
          <w:szCs w:val="32"/>
          <w14:textFill>
            <w14:solidFill>
              <w14:schemeClr w14:val="tx1"/>
            </w14:solidFill>
          </w14:textFill>
        </w:rPr>
      </w:pPr>
      <w:r>
        <w:rPr>
          <w:rFonts w:hint="eastAsia" w:ascii="仿宋" w:hAnsi="仿宋" w:eastAsia="仿宋" w:cs="方正小标宋简体"/>
          <w:b/>
          <w:color w:val="000000" w:themeColor="text1"/>
          <w:sz w:val="32"/>
          <w:szCs w:val="32"/>
          <w14:textFill>
            <w14:solidFill>
              <w14:schemeClr w14:val="tx1"/>
            </w14:solidFill>
          </w14:textFill>
        </w:rPr>
        <w:t>政府采购活动现场确认声明书</w:t>
      </w:r>
    </w:p>
    <w:p>
      <w:pPr>
        <w:pStyle w:val="808"/>
        <w:widowControl w:val="0"/>
        <w:snapToGrid w:val="0"/>
        <w:spacing w:line="500" w:lineRule="exact"/>
        <w:jc w:val="both"/>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kern w:val="0"/>
          <w:sz w:val="24"/>
          <w:szCs w:val="24"/>
          <w14:textFill>
            <w14:solidFill>
              <w14:schemeClr w14:val="tx1"/>
            </w14:solidFill>
          </w14:textFill>
        </w:rPr>
        <w:t>国家体育总局体育器材装备中心：</w:t>
      </w:r>
    </w:p>
    <w:p>
      <w:pPr>
        <w:pStyle w:val="808"/>
        <w:widowControl w:val="0"/>
        <w:snapToGrid w:val="0"/>
        <w:spacing w:line="480" w:lineRule="exact"/>
        <w:ind w:firstLine="504" w:firstLineChars="200"/>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本人经由</w:t>
      </w:r>
      <w:r>
        <w:rPr>
          <w:rFonts w:hint="eastAsia" w:ascii="仿宋" w:hAnsi="仿宋" w:eastAsia="仿宋"/>
          <w:color w:val="000000" w:themeColor="text1"/>
          <w:spacing w:val="6"/>
          <w:sz w:val="24"/>
          <w:szCs w:val="24"/>
          <w:u w:val="single"/>
          <w14:textFill>
            <w14:solidFill>
              <w14:schemeClr w14:val="tx1"/>
            </w14:solidFill>
          </w14:textFill>
        </w:rPr>
        <w:t xml:space="preserve">                  （单位）</w:t>
      </w:r>
      <w:r>
        <w:rPr>
          <w:rFonts w:hint="eastAsia" w:ascii="仿宋" w:hAnsi="仿宋" w:eastAsia="仿宋"/>
          <w:color w:val="000000" w:themeColor="text1"/>
          <w:spacing w:val="6"/>
          <w:sz w:val="24"/>
          <w:szCs w:val="24"/>
          <w14:textFill>
            <w14:solidFill>
              <w14:schemeClr w14:val="tx1"/>
            </w14:solidFill>
          </w14:textFill>
        </w:rPr>
        <w:t>负责人</w:t>
      </w:r>
      <w:r>
        <w:rPr>
          <w:rFonts w:hint="eastAsia" w:ascii="仿宋" w:hAnsi="仿宋" w:eastAsia="仿宋"/>
          <w:color w:val="000000" w:themeColor="text1"/>
          <w:spacing w:val="6"/>
          <w:sz w:val="24"/>
          <w:szCs w:val="24"/>
          <w:u w:val="single"/>
          <w14:textFill>
            <w14:solidFill>
              <w14:schemeClr w14:val="tx1"/>
            </w14:solidFill>
          </w14:textFill>
        </w:rPr>
        <w:t xml:space="preserve">        （姓名）</w:t>
      </w:r>
      <w:r>
        <w:rPr>
          <w:rFonts w:hint="eastAsia" w:ascii="仿宋" w:hAnsi="仿宋" w:eastAsia="仿宋"/>
          <w:color w:val="000000" w:themeColor="text1"/>
          <w:spacing w:val="6"/>
          <w:sz w:val="24"/>
          <w:szCs w:val="24"/>
          <w14:textFill>
            <w14:solidFill>
              <w14:schemeClr w14:val="tx1"/>
            </w14:solidFill>
          </w14:textFill>
        </w:rPr>
        <w:t>合法授权参加</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项目（编号：</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807"/>
        <w:widowControl/>
        <w:numPr>
          <w:ilvl w:val="0"/>
          <w:numId w:val="32"/>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本单位与采购人之间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A.投资关系    B.行政隶属关系    C.业务指导关系</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D.其他可能</w:t>
      </w:r>
      <w:r>
        <w:rPr>
          <w:rFonts w:hint="eastAsia" w:ascii="仿宋" w:hAnsi="仿宋" w:eastAsia="仿宋"/>
          <w:color w:val="000000" w:themeColor="text1"/>
          <w:sz w:val="24"/>
          <w:szCs w:val="24"/>
          <w14:textFill>
            <w14:solidFill>
              <w14:schemeClr w14:val="tx1"/>
            </w14:solidFill>
          </w14:textFill>
        </w:rPr>
        <w:t>影响采购公正的</w:t>
      </w:r>
      <w:r>
        <w:rPr>
          <w:rFonts w:hint="eastAsia" w:ascii="仿宋" w:hAnsi="仿宋" w:eastAsia="仿宋"/>
          <w:color w:val="000000" w:themeColor="text1"/>
          <w:kern w:val="0"/>
          <w:sz w:val="24"/>
          <w:szCs w:val="24"/>
          <w14:textFill>
            <w14:solidFill>
              <w14:schemeClr w14:val="tx1"/>
            </w14:solidFill>
          </w14:textFill>
        </w:rPr>
        <w:t>利害关系</w:t>
      </w:r>
      <w:r>
        <w:rPr>
          <w:rFonts w:hint="eastAsia" w:ascii="仿宋" w:hAnsi="仿宋" w:eastAsia="仿宋"/>
          <w:color w:val="000000" w:themeColor="text1"/>
          <w:kern w:val="0"/>
          <w:sz w:val="24"/>
          <w:szCs w:val="24"/>
          <w:u w:val="single"/>
          <w14:textFill>
            <w14:solidFill>
              <w14:schemeClr w14:val="tx1"/>
            </w14:solidFill>
          </w14:textFill>
        </w:rPr>
        <w:t xml:space="preserve">（如有，请如实说明）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 xml:space="preserve">  二、</w:t>
      </w:r>
      <w:r>
        <w:rPr>
          <w:rFonts w:hint="eastAsia" w:ascii="仿宋" w:hAnsi="仿宋" w:eastAsia="仿宋"/>
          <w:color w:val="000000" w:themeColor="text1"/>
          <w:kern w:val="0"/>
          <w:sz w:val="24"/>
          <w:szCs w:val="24"/>
          <w14:textFill>
            <w14:solidFill>
              <w14:schemeClr w14:val="tx1"/>
            </w14:solidFill>
          </w14:textFill>
        </w:rPr>
        <w:t xml:space="preserve">现已清楚知道参加本项目采购活动的其他所有供应商名称，本单位 </w:t>
      </w:r>
      <w:r>
        <w:rPr>
          <w:rFonts w:hint="eastAsia" w:ascii="仿宋" w:hAnsi="仿宋" w:eastAsia="仿宋" w:cs="宋体"/>
          <w:color w:val="000000" w:themeColor="text1"/>
          <w:kern w:val="0"/>
          <w:sz w:val="24"/>
          <w:szCs w:val="24"/>
          <w14:textFill>
            <w14:solidFill>
              <w14:schemeClr w14:val="tx1"/>
            </w14:solidFill>
          </w14:textFill>
        </w:rPr>
        <w:t>□与其他所有供应商之间均</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□与</w:t>
      </w:r>
      <w:r>
        <w:rPr>
          <w:rFonts w:hint="eastAsia" w:ascii="仿宋" w:hAnsi="仿宋" w:eastAsia="仿宋" w:cs="宋体"/>
          <w:color w:val="000000" w:themeColor="text1"/>
          <w:kern w:val="0"/>
          <w:sz w:val="24"/>
          <w:szCs w:val="24"/>
          <w:u w:val="single"/>
          <w14:textFill>
            <w14:solidFill>
              <w14:schemeClr w14:val="tx1"/>
            </w14:solidFill>
          </w14:textFill>
        </w:rPr>
        <w:t xml:space="preserve">           （供应商名称）</w:t>
      </w:r>
      <w:r>
        <w:rPr>
          <w:rFonts w:hint="eastAsia" w:ascii="仿宋" w:hAnsi="仿宋" w:eastAsia="仿宋" w:cs="宋体"/>
          <w:color w:val="000000" w:themeColor="text1"/>
          <w:kern w:val="0"/>
          <w:sz w:val="24"/>
          <w:szCs w:val="24"/>
          <w14:textFill>
            <w14:solidFill>
              <w14:schemeClr w14:val="tx1"/>
            </w14:solidFill>
          </w14:textFill>
        </w:rPr>
        <w:t>之间</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A.法定代表人或负责人或实际控制人是同一人</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B.法定代表人或负责人或实际控制人是夫妻关系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C.法定代表人或负责人或实际控制人是直系血亲关系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D.法定代表人或负责人或实际控制人存在三代以内旁系血亲关系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E.法定代表人或负责人或实际控制人存在近姻亲关系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F.法定代表人或负责人或实际控制人存在股份控制或实际控制关系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G.存在共同直接或间接投资设立子公司、联营企业和合营企业情况</w:t>
      </w:r>
    </w:p>
    <w:p>
      <w:pPr>
        <w:pStyle w:val="808"/>
        <w:widowControl w:val="0"/>
        <w:snapToGrid w:val="0"/>
        <w:spacing w:line="480" w:lineRule="exact"/>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H.存在分级代理或代销关系、同一生产制造商关系、</w:t>
      </w:r>
      <w:r>
        <w:rPr>
          <w:rFonts w:hint="eastAsia" w:ascii="仿宋" w:hAnsi="仿宋" w:eastAsia="仿宋"/>
          <w:color w:val="000000" w:themeColor="text1"/>
          <w:sz w:val="24"/>
          <w:szCs w:val="24"/>
          <w14:textFill>
            <w14:solidFill>
              <w14:schemeClr w14:val="tx1"/>
            </w14:solidFill>
          </w14:textFill>
        </w:rPr>
        <w:t>管理关系、重要业务（占主营业务收入50%以上）或重要财务往来关系（如融资）等其他实质性控制关系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I</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其他利害关系情况</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numPr>
          <w:ilvl w:val="0"/>
          <w:numId w:val="33"/>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现已清楚知道并</w:t>
      </w:r>
      <w:r>
        <w:rPr>
          <w:rFonts w:hint="eastAsia" w:ascii="仿宋" w:hAnsi="仿宋" w:eastAsia="仿宋"/>
          <w:color w:val="000000" w:themeColor="text1"/>
          <w:kern w:val="0"/>
          <w:sz w:val="24"/>
          <w:szCs w:val="24"/>
          <w14:textFill>
            <w14:solidFill>
              <w14:schemeClr w14:val="tx1"/>
            </w14:solidFill>
          </w14:textFill>
        </w:rPr>
        <w:t>严格遵守政府采购法律法规和现场纪律。</w:t>
      </w:r>
    </w:p>
    <w:p>
      <w:pPr>
        <w:pStyle w:val="807"/>
        <w:widowControl/>
        <w:numPr>
          <w:ilvl w:val="0"/>
          <w:numId w:val="33"/>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我发现</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供应商之间存在或可能存在上述第二条第</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项利害关系。</w:t>
      </w:r>
    </w:p>
    <w:p>
      <w:pPr>
        <w:pStyle w:val="808"/>
        <w:widowControl w:val="0"/>
        <w:snapToGrid w:val="0"/>
        <w:spacing w:line="500" w:lineRule="exact"/>
        <w:ind w:firstLine="480" w:firstLineChars="200"/>
        <w:jc w:val="both"/>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（供应商代表签名）</w:t>
      </w:r>
      <w:r>
        <w:rPr>
          <w:rFonts w:hint="eastAsia" w:ascii="仿宋" w:hAnsi="仿宋" w:eastAsia="仿宋"/>
          <w:color w:val="000000" w:themeColor="text1"/>
          <w:sz w:val="24"/>
          <w:szCs w:val="24"/>
          <w:u w:val="single"/>
          <w14:textFill>
            <w14:solidFill>
              <w14:schemeClr w14:val="tx1"/>
            </w14:solidFill>
          </w14:textFill>
        </w:rPr>
        <w:t xml:space="preserve">           </w:t>
      </w:r>
    </w:p>
    <w:p>
      <w:pPr>
        <w:pStyle w:val="34"/>
        <w:snapToGrid w:val="0"/>
        <w:spacing w:line="460" w:lineRule="exact"/>
        <w:ind w:left="0" w:leftChars="0"/>
        <w:rPr>
          <w:rFonts w:ascii="仿宋" w:hAnsi="仿宋" w:eastAsia="仿宋"/>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 xml:space="preserve">     年  月  日</w:t>
      </w:r>
    </w:p>
    <w:p>
      <w:pPr>
        <w:snapToGrid w:val="0"/>
        <w:spacing w:line="600" w:lineRule="exact"/>
        <w:rPr>
          <w:rFonts w:ascii="仿宋" w:hAnsi="仿宋" w:eastAsia="仿宋"/>
          <w:color w:val="000000" w:themeColor="text1"/>
          <w:sz w:val="30"/>
          <w:szCs w:val="30"/>
          <w14:textFill>
            <w14:solidFill>
              <w14:schemeClr w14:val="tx1"/>
            </w14:solidFill>
          </w14:textFill>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174197"/>
    </w:sdtPr>
    <w:sdtContent>
      <w:p>
        <w:pPr>
          <w:pStyle w:val="38"/>
          <w:jc w:val="center"/>
        </w:pPr>
        <w:r>
          <w:fldChar w:fldCharType="begin"/>
        </w:r>
        <w:r>
          <w:instrText xml:space="preserve">PAGE   \* MERGEFORMAT</w:instrText>
        </w:r>
        <w:r>
          <w:fldChar w:fldCharType="separate"/>
        </w:r>
        <w:r>
          <w:rPr>
            <w:lang w:val="zh-CN"/>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Fonts w:ascii="宋体" w:hAnsi="宋体"/>
        <w:sz w:val="28"/>
        <w:szCs w:val="28"/>
      </w:rPr>
    </w:pPr>
    <w:r>
      <w:rPr>
        <w:rStyle w:val="65"/>
        <w:rFonts w:hint="eastAsia" w:ascii="宋体" w:hAnsi="宋体"/>
        <w:sz w:val="28"/>
        <w:szCs w:val="28"/>
      </w:rPr>
      <w:t xml:space="preserve">— </w:t>
    </w:r>
    <w:r>
      <w:rPr>
        <w:rFonts w:ascii="宋体" w:hAnsi="宋体"/>
        <w:sz w:val="28"/>
        <w:szCs w:val="28"/>
      </w:rPr>
      <w:fldChar w:fldCharType="begin"/>
    </w:r>
    <w:r>
      <w:rPr>
        <w:rStyle w:val="65"/>
        <w:rFonts w:ascii="宋体" w:hAnsi="宋体"/>
        <w:sz w:val="28"/>
        <w:szCs w:val="28"/>
      </w:rPr>
      <w:instrText xml:space="preserve">PAGE  </w:instrText>
    </w:r>
    <w:r>
      <w:rPr>
        <w:rFonts w:ascii="宋体" w:hAnsi="宋体"/>
        <w:sz w:val="28"/>
        <w:szCs w:val="28"/>
      </w:rPr>
      <w:fldChar w:fldCharType="separate"/>
    </w:r>
    <w:r>
      <w:rPr>
        <w:rStyle w:val="65"/>
        <w:rFonts w:ascii="宋体" w:hAnsi="宋体"/>
        <w:sz w:val="28"/>
        <w:szCs w:val="28"/>
      </w:rPr>
      <w:t>70</w:t>
    </w:r>
    <w:r>
      <w:rPr>
        <w:rFonts w:ascii="宋体" w:hAnsi="宋体"/>
        <w:sz w:val="28"/>
        <w:szCs w:val="28"/>
      </w:rPr>
      <w:fldChar w:fldCharType="end"/>
    </w:r>
    <w:r>
      <w:rPr>
        <w:rStyle w:val="65"/>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Pr>
    </w:pPr>
    <w:r>
      <w:fldChar w:fldCharType="begin"/>
    </w:r>
    <w:r>
      <w:rPr>
        <w:rStyle w:val="65"/>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6"/>
      <w:lvlText w:val="%1.%2."/>
      <w:lvlJc w:val="left"/>
      <w:pPr>
        <w:ind w:left="567" w:hanging="567"/>
      </w:pPr>
    </w:lvl>
    <w:lvl w:ilvl="2" w:tentative="0">
      <w:start w:val="1"/>
      <w:numFmt w:val="decimal"/>
      <w:pStyle w:val="742"/>
      <w:lvlText w:val="%1.%2.%3."/>
      <w:lvlJc w:val="left"/>
      <w:pPr>
        <w:ind w:left="709" w:hanging="709"/>
      </w:pPr>
    </w:lvl>
    <w:lvl w:ilvl="3" w:tentative="0">
      <w:start w:val="1"/>
      <w:numFmt w:val="decimal"/>
      <w:pStyle w:val="331"/>
      <w:lvlText w:val="%1.%2.%3.%4."/>
      <w:lvlJc w:val="left"/>
      <w:pPr>
        <w:ind w:left="851" w:hanging="851"/>
      </w:pPr>
    </w:lvl>
    <w:lvl w:ilvl="4" w:tentative="0">
      <w:start w:val="1"/>
      <w:numFmt w:val="decimal"/>
      <w:pStyle w:val="79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8"/>
      <w:suff w:val="space"/>
      <w:lvlText w:val="%1."/>
      <w:lvlJc w:val="left"/>
      <w:rPr>
        <w:rFonts w:hint="eastAsia" w:cs="Times New Roman"/>
      </w:rPr>
    </w:lvl>
    <w:lvl w:ilvl="1" w:tentative="0">
      <w:start w:val="1"/>
      <w:numFmt w:val="chineseCountingThousand"/>
      <w:pStyle w:val="691"/>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5"/>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4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4F403B5"/>
    <w:multiLevelType w:val="singleLevel"/>
    <w:tmpl w:val="54F403B5"/>
    <w:lvl w:ilvl="0" w:tentative="0">
      <w:start w:val="1"/>
      <w:numFmt w:val="chineseCounting"/>
      <w:suff w:val="nothing"/>
      <w:lvlText w:val="%1、"/>
      <w:lvlJc w:val="left"/>
      <w:pPr>
        <w:ind w:left="0" w:firstLine="0"/>
      </w:pPr>
    </w:lvl>
  </w:abstractNum>
  <w:abstractNum w:abstractNumId="24">
    <w:nsid w:val="557FD3DA"/>
    <w:multiLevelType w:val="singleLevel"/>
    <w:tmpl w:val="557FD3DA"/>
    <w:lvl w:ilvl="0" w:tentative="0">
      <w:start w:val="3"/>
      <w:numFmt w:val="chineseCounting"/>
      <w:suff w:val="nothing"/>
      <w:lvlText w:val="%1、"/>
      <w:lvlJc w:val="left"/>
      <w:pPr>
        <w:ind w:left="0" w:firstLine="0"/>
      </w:p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39"/>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5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738A4524"/>
    <w:multiLevelType w:val="multilevel"/>
    <w:tmpl w:val="738A4524"/>
    <w:lvl w:ilvl="0" w:tentative="0">
      <w:start w:val="1"/>
      <w:numFmt w:val="decimal"/>
      <w:lvlText w:val="%1、"/>
      <w:lvlJc w:val="left"/>
      <w:pPr>
        <w:tabs>
          <w:tab w:val="left" w:pos="786"/>
        </w:tabs>
        <w:ind w:left="786" w:hanging="360"/>
      </w:pPr>
      <w:rPr>
        <w:rFonts w:hint="eastAsia"/>
      </w:rPr>
    </w:lvl>
    <w:lvl w:ilvl="1" w:tentative="0">
      <w:start w:val="1"/>
      <w:numFmt w:val="japaneseCounting"/>
      <w:lvlText w:val="%2、"/>
      <w:lvlJc w:val="left"/>
      <w:pPr>
        <w:tabs>
          <w:tab w:val="left" w:pos="1380"/>
        </w:tabs>
        <w:ind w:left="1380" w:hanging="48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76D52E27"/>
    <w:multiLevelType w:val="multilevel"/>
    <w:tmpl w:val="76D52E27"/>
    <w:lvl w:ilvl="0" w:tentative="0">
      <w:start w:val="1"/>
      <w:numFmt w:val="bullet"/>
      <w:pStyle w:val="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19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796452E8"/>
    <w:multiLevelType w:val="multilevel"/>
    <w:tmpl w:val="796452E8"/>
    <w:lvl w:ilvl="0" w:tentative="0">
      <w:start w:val="1"/>
      <w:numFmt w:val="decimal"/>
      <w:lvlText w:val="%1"/>
      <w:lvlJc w:val="left"/>
      <w:pPr>
        <w:ind w:left="432" w:hanging="432"/>
      </w:pPr>
      <w:rPr>
        <w:rFonts w:hint="default" w:ascii="Arial" w:hAnsi="Arial" w:cs="Arial"/>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decimal"/>
      <w:lvlText w:val="%1.%2"/>
      <w:lvlJc w:val="left"/>
      <w:pPr>
        <w:ind w:left="576" w:hanging="576"/>
      </w:pPr>
      <w:rPr>
        <w:rFonts w:hint="default" w:ascii="Arial" w:hAnsi="Arial" w:cs="Arial"/>
        <w:b/>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default" w:ascii="Arial" w:hAnsi="Arial" w:cs="Arial"/>
        <w:b/>
        <w:i w:val="0"/>
        <w:iCs w:val="0"/>
        <w:caps w:val="0"/>
        <w:strike w:val="0"/>
        <w:dstrike w:val="0"/>
        <w:vanish w:val="0"/>
        <w:color w:val="000000"/>
        <w:spacing w:val="0"/>
        <w:position w:val="0"/>
        <w:u w:val="none"/>
        <w:vertAlign w:val="baseline"/>
      </w:rPr>
    </w:lvl>
    <w:lvl w:ilvl="3" w:tentative="0">
      <w:start w:val="1"/>
      <w:numFmt w:val="decimal"/>
      <w:lvlText w:val="%1.%2.%3.%4"/>
      <w:lvlJc w:val="left"/>
      <w:pPr>
        <w:ind w:left="864" w:hanging="864"/>
      </w:pPr>
      <w:rPr>
        <w:rFonts w:hint="default" w:ascii="Arial" w:hAnsi="Arial" w:cs="Arial"/>
        <w:b/>
        <w:i w:val="0"/>
        <w:iCs w:val="0"/>
        <w: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default" w:ascii="Arial" w:hAnsi="Arial" w:cs="Arial"/>
        <w:b/>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default" w:ascii="Arial" w:hAnsi="Arial" w:cs="Arial"/>
        <w:b/>
        <w:i w:val="0"/>
        <w:iCs w:val="0"/>
        <w:caps w:val="0"/>
        <w:strike w:val="0"/>
        <w:dstrike w:val="0"/>
        <w:vanish w:val="0"/>
        <w:color w:val="000000"/>
        <w:spacing w:val="0"/>
        <w:position w:val="0"/>
        <w:u w:val="none"/>
        <w:vertAlign w:val="baseline"/>
      </w:rPr>
    </w:lvl>
    <w:lvl w:ilvl="6" w:tentative="0">
      <w:start w:val="1"/>
      <w:numFmt w:val="decimal"/>
      <w:lvlText w:val="%1.%2.%3.%4.%5.%6.%7"/>
      <w:lvlJc w:val="left"/>
      <w:pPr>
        <w:ind w:left="1296" w:hanging="1296"/>
      </w:pPr>
      <w:rPr>
        <w:rFonts w:hint="default" w:ascii="Arial" w:hAnsi="Arial" w:cs="Arial"/>
        <w:b/>
        <w:i w:val="0"/>
        <w:iCs w:val="0"/>
        <w:caps w:val="0"/>
        <w:strike w:val="0"/>
        <w:dstrike w:val="0"/>
        <w:vanish w:val="0"/>
        <w:color w:val="000000"/>
        <w:spacing w:val="0"/>
        <w:position w:val="0"/>
        <w:u w:val="none"/>
        <w:vertAlign w:val="baseline"/>
      </w:r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1"/>
  </w:num>
  <w:num w:numId="8">
    <w:abstractNumId w:val="21"/>
  </w:num>
  <w:num w:numId="9">
    <w:abstractNumId w:val="28"/>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5"/>
  </w:num>
  <w:num w:numId="13">
    <w:abstractNumId w:val="16"/>
  </w:num>
  <w:num w:numId="14">
    <w:abstractNumId w:val="26"/>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30"/>
  </w:num>
  <w:num w:numId="25">
    <w:abstractNumId w:val="3"/>
  </w:num>
  <w:num w:numId="26">
    <w:abstractNumId w:val="27"/>
  </w:num>
  <w:num w:numId="27">
    <w:abstractNumId w:val="20"/>
  </w:num>
  <w:num w:numId="28">
    <w:abstractNumId w:val="10"/>
  </w:num>
  <w:num w:numId="29">
    <w:abstractNumId w:val="25"/>
  </w:num>
  <w:num w:numId="30">
    <w:abstractNumId w:val="29"/>
  </w:num>
  <w:num w:numId="31">
    <w:abstractNumId w:val="32"/>
  </w:num>
  <w:num w:numId="32">
    <w:abstractNumId w:val="23"/>
    <w:lvlOverride w:ilvl="0">
      <w:startOverride w:val="1"/>
    </w:lvlOverride>
  </w:num>
  <w:num w:numId="33">
    <w:abstractNumId w:val="2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3DEE"/>
    <w:rsid w:val="000041A5"/>
    <w:rsid w:val="000043A0"/>
    <w:rsid w:val="00004826"/>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3AB9"/>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712"/>
    <w:rsid w:val="00027D30"/>
    <w:rsid w:val="00030445"/>
    <w:rsid w:val="00030E5A"/>
    <w:rsid w:val="000310B8"/>
    <w:rsid w:val="000310CF"/>
    <w:rsid w:val="0003142A"/>
    <w:rsid w:val="00031E05"/>
    <w:rsid w:val="00031E13"/>
    <w:rsid w:val="000327A0"/>
    <w:rsid w:val="00032C15"/>
    <w:rsid w:val="00033D56"/>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617D"/>
    <w:rsid w:val="00047516"/>
    <w:rsid w:val="00047A43"/>
    <w:rsid w:val="000504F3"/>
    <w:rsid w:val="0005111D"/>
    <w:rsid w:val="00051D87"/>
    <w:rsid w:val="00053306"/>
    <w:rsid w:val="00055310"/>
    <w:rsid w:val="00055AFD"/>
    <w:rsid w:val="000562B5"/>
    <w:rsid w:val="00056351"/>
    <w:rsid w:val="000568E8"/>
    <w:rsid w:val="00056D53"/>
    <w:rsid w:val="000570F0"/>
    <w:rsid w:val="00057EC8"/>
    <w:rsid w:val="00057FA9"/>
    <w:rsid w:val="00060158"/>
    <w:rsid w:val="00060334"/>
    <w:rsid w:val="000608C7"/>
    <w:rsid w:val="000612B2"/>
    <w:rsid w:val="00062AD3"/>
    <w:rsid w:val="00062E3B"/>
    <w:rsid w:val="00063425"/>
    <w:rsid w:val="00064C30"/>
    <w:rsid w:val="00065283"/>
    <w:rsid w:val="00066C4B"/>
    <w:rsid w:val="00066D1E"/>
    <w:rsid w:val="00066E10"/>
    <w:rsid w:val="00066FDD"/>
    <w:rsid w:val="000672A6"/>
    <w:rsid w:val="000677D2"/>
    <w:rsid w:val="00067EE5"/>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E0B47"/>
    <w:rsid w:val="000E0C9E"/>
    <w:rsid w:val="000E13AB"/>
    <w:rsid w:val="000E1EF6"/>
    <w:rsid w:val="000E2E68"/>
    <w:rsid w:val="000E30EB"/>
    <w:rsid w:val="000E4C14"/>
    <w:rsid w:val="000E5F53"/>
    <w:rsid w:val="000E5F93"/>
    <w:rsid w:val="000E705A"/>
    <w:rsid w:val="000E79FE"/>
    <w:rsid w:val="000F08D2"/>
    <w:rsid w:val="000F0FAC"/>
    <w:rsid w:val="000F2CFD"/>
    <w:rsid w:val="000F33A8"/>
    <w:rsid w:val="000F496C"/>
    <w:rsid w:val="000F4E84"/>
    <w:rsid w:val="000F5946"/>
    <w:rsid w:val="000F6CB5"/>
    <w:rsid w:val="000F7308"/>
    <w:rsid w:val="00100280"/>
    <w:rsid w:val="001004A6"/>
    <w:rsid w:val="00101C75"/>
    <w:rsid w:val="00101D91"/>
    <w:rsid w:val="00102392"/>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5981"/>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6FD2"/>
    <w:rsid w:val="00167AF8"/>
    <w:rsid w:val="001707C4"/>
    <w:rsid w:val="001716E7"/>
    <w:rsid w:val="0017249C"/>
    <w:rsid w:val="001725F9"/>
    <w:rsid w:val="00172C56"/>
    <w:rsid w:val="00173848"/>
    <w:rsid w:val="00174331"/>
    <w:rsid w:val="00174D61"/>
    <w:rsid w:val="00175227"/>
    <w:rsid w:val="00175A59"/>
    <w:rsid w:val="001763F7"/>
    <w:rsid w:val="001767B2"/>
    <w:rsid w:val="00180DA8"/>
    <w:rsid w:val="00181168"/>
    <w:rsid w:val="00181F8E"/>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6B8A"/>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654"/>
    <w:rsid w:val="001E1A59"/>
    <w:rsid w:val="001E20E8"/>
    <w:rsid w:val="001E33B2"/>
    <w:rsid w:val="001E38DC"/>
    <w:rsid w:val="001E4363"/>
    <w:rsid w:val="001E4C61"/>
    <w:rsid w:val="001E53D6"/>
    <w:rsid w:val="001E7169"/>
    <w:rsid w:val="001E7835"/>
    <w:rsid w:val="001E7D97"/>
    <w:rsid w:val="001F01EE"/>
    <w:rsid w:val="001F0527"/>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A14"/>
    <w:rsid w:val="002407C0"/>
    <w:rsid w:val="00240F1F"/>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39E5"/>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791F"/>
    <w:rsid w:val="002B0C26"/>
    <w:rsid w:val="002B1270"/>
    <w:rsid w:val="002B1300"/>
    <w:rsid w:val="002B1335"/>
    <w:rsid w:val="002B1C79"/>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814"/>
    <w:rsid w:val="002E088D"/>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7500"/>
    <w:rsid w:val="00342F4A"/>
    <w:rsid w:val="00343A6B"/>
    <w:rsid w:val="00344650"/>
    <w:rsid w:val="00344E44"/>
    <w:rsid w:val="0034529B"/>
    <w:rsid w:val="0034628E"/>
    <w:rsid w:val="00346452"/>
    <w:rsid w:val="00346F2C"/>
    <w:rsid w:val="00350989"/>
    <w:rsid w:val="00350BC0"/>
    <w:rsid w:val="00350C11"/>
    <w:rsid w:val="0035148D"/>
    <w:rsid w:val="003518B2"/>
    <w:rsid w:val="00352028"/>
    <w:rsid w:val="00352219"/>
    <w:rsid w:val="003524F3"/>
    <w:rsid w:val="00352C4F"/>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E0F"/>
    <w:rsid w:val="00396F86"/>
    <w:rsid w:val="003A0A75"/>
    <w:rsid w:val="003A0C25"/>
    <w:rsid w:val="003A1FC5"/>
    <w:rsid w:val="003A2B6A"/>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2D1E"/>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1E4F"/>
    <w:rsid w:val="0040245D"/>
    <w:rsid w:val="00402952"/>
    <w:rsid w:val="00403065"/>
    <w:rsid w:val="00404039"/>
    <w:rsid w:val="00404929"/>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1BDE"/>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823"/>
    <w:rsid w:val="004569E1"/>
    <w:rsid w:val="00457742"/>
    <w:rsid w:val="00457F89"/>
    <w:rsid w:val="00460CF6"/>
    <w:rsid w:val="00461725"/>
    <w:rsid w:val="00462A53"/>
    <w:rsid w:val="00462EA7"/>
    <w:rsid w:val="00463979"/>
    <w:rsid w:val="00463FEF"/>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2DCD"/>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213"/>
    <w:rsid w:val="004B65B0"/>
    <w:rsid w:val="004B7206"/>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76A"/>
    <w:rsid w:val="004E1B37"/>
    <w:rsid w:val="004E1F6B"/>
    <w:rsid w:val="004E22E6"/>
    <w:rsid w:val="004E344B"/>
    <w:rsid w:val="004E41C2"/>
    <w:rsid w:val="004E430C"/>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CBD"/>
    <w:rsid w:val="00522EAB"/>
    <w:rsid w:val="00523A02"/>
    <w:rsid w:val="00524D62"/>
    <w:rsid w:val="00524FE3"/>
    <w:rsid w:val="005267E4"/>
    <w:rsid w:val="005277C8"/>
    <w:rsid w:val="00527A74"/>
    <w:rsid w:val="0053122D"/>
    <w:rsid w:val="00531548"/>
    <w:rsid w:val="00531C1C"/>
    <w:rsid w:val="00532034"/>
    <w:rsid w:val="00532063"/>
    <w:rsid w:val="00532531"/>
    <w:rsid w:val="00533238"/>
    <w:rsid w:val="00533283"/>
    <w:rsid w:val="00533998"/>
    <w:rsid w:val="00533A2A"/>
    <w:rsid w:val="00533B97"/>
    <w:rsid w:val="00533EC0"/>
    <w:rsid w:val="00534675"/>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FBB"/>
    <w:rsid w:val="00550573"/>
    <w:rsid w:val="00550EAD"/>
    <w:rsid w:val="00551F63"/>
    <w:rsid w:val="00553340"/>
    <w:rsid w:val="00553E8B"/>
    <w:rsid w:val="005547EC"/>
    <w:rsid w:val="00554D55"/>
    <w:rsid w:val="0055573F"/>
    <w:rsid w:val="005563C1"/>
    <w:rsid w:val="00556599"/>
    <w:rsid w:val="0055677A"/>
    <w:rsid w:val="005577D8"/>
    <w:rsid w:val="0055785E"/>
    <w:rsid w:val="00561BE3"/>
    <w:rsid w:val="00561C88"/>
    <w:rsid w:val="00562595"/>
    <w:rsid w:val="00562AEB"/>
    <w:rsid w:val="00562FD4"/>
    <w:rsid w:val="00563753"/>
    <w:rsid w:val="00564127"/>
    <w:rsid w:val="005646DB"/>
    <w:rsid w:val="0056614F"/>
    <w:rsid w:val="005663CD"/>
    <w:rsid w:val="00566A91"/>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FC0"/>
    <w:rsid w:val="00581799"/>
    <w:rsid w:val="00581F1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3608"/>
    <w:rsid w:val="005940B9"/>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1134"/>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ABD"/>
    <w:rsid w:val="00641AAA"/>
    <w:rsid w:val="006428AF"/>
    <w:rsid w:val="006433A3"/>
    <w:rsid w:val="006433E7"/>
    <w:rsid w:val="00643598"/>
    <w:rsid w:val="00643978"/>
    <w:rsid w:val="00643D41"/>
    <w:rsid w:val="00644652"/>
    <w:rsid w:val="00644E53"/>
    <w:rsid w:val="0064610A"/>
    <w:rsid w:val="00647A95"/>
    <w:rsid w:val="00647C93"/>
    <w:rsid w:val="00650B28"/>
    <w:rsid w:val="00651457"/>
    <w:rsid w:val="00651C24"/>
    <w:rsid w:val="00651CDD"/>
    <w:rsid w:val="006527A5"/>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DE7"/>
    <w:rsid w:val="00667022"/>
    <w:rsid w:val="006707CB"/>
    <w:rsid w:val="0067155F"/>
    <w:rsid w:val="006729DB"/>
    <w:rsid w:val="00672EF9"/>
    <w:rsid w:val="006730DA"/>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31F3"/>
    <w:rsid w:val="006B3CD4"/>
    <w:rsid w:val="006B3D25"/>
    <w:rsid w:val="006B3E30"/>
    <w:rsid w:val="006B3E5E"/>
    <w:rsid w:val="006B5A38"/>
    <w:rsid w:val="006B685B"/>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D2386"/>
    <w:rsid w:val="006D2689"/>
    <w:rsid w:val="006D2B2A"/>
    <w:rsid w:val="006D4B69"/>
    <w:rsid w:val="006D4D77"/>
    <w:rsid w:val="006D4F94"/>
    <w:rsid w:val="006D50B0"/>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E7C6F"/>
    <w:rsid w:val="006F1320"/>
    <w:rsid w:val="006F1F9A"/>
    <w:rsid w:val="006F3322"/>
    <w:rsid w:val="006F4C0F"/>
    <w:rsid w:val="006F5304"/>
    <w:rsid w:val="006F55C6"/>
    <w:rsid w:val="006F5B53"/>
    <w:rsid w:val="006F6F1D"/>
    <w:rsid w:val="006F7BB2"/>
    <w:rsid w:val="00700734"/>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3297"/>
    <w:rsid w:val="00713AAE"/>
    <w:rsid w:val="00716413"/>
    <w:rsid w:val="007168AA"/>
    <w:rsid w:val="00716F5D"/>
    <w:rsid w:val="007170AB"/>
    <w:rsid w:val="007174A1"/>
    <w:rsid w:val="007176D1"/>
    <w:rsid w:val="007211FB"/>
    <w:rsid w:val="00721283"/>
    <w:rsid w:val="0072225A"/>
    <w:rsid w:val="007223DB"/>
    <w:rsid w:val="00722778"/>
    <w:rsid w:val="007229DB"/>
    <w:rsid w:val="00724BED"/>
    <w:rsid w:val="00725BA4"/>
    <w:rsid w:val="00725D0E"/>
    <w:rsid w:val="00726244"/>
    <w:rsid w:val="007262AE"/>
    <w:rsid w:val="00726457"/>
    <w:rsid w:val="00727124"/>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072"/>
    <w:rsid w:val="00742CC2"/>
    <w:rsid w:val="0074371B"/>
    <w:rsid w:val="00744D85"/>
    <w:rsid w:val="007458BE"/>
    <w:rsid w:val="00745BE0"/>
    <w:rsid w:val="0074694B"/>
    <w:rsid w:val="0074720F"/>
    <w:rsid w:val="00747599"/>
    <w:rsid w:val="00747D00"/>
    <w:rsid w:val="0075060B"/>
    <w:rsid w:val="00750672"/>
    <w:rsid w:val="007508A4"/>
    <w:rsid w:val="0075174C"/>
    <w:rsid w:val="00751AF3"/>
    <w:rsid w:val="0075275F"/>
    <w:rsid w:val="0075281D"/>
    <w:rsid w:val="00752A25"/>
    <w:rsid w:val="007538AE"/>
    <w:rsid w:val="007538F7"/>
    <w:rsid w:val="00753B68"/>
    <w:rsid w:val="0075486D"/>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58D8"/>
    <w:rsid w:val="00766D00"/>
    <w:rsid w:val="0076748B"/>
    <w:rsid w:val="00767D3E"/>
    <w:rsid w:val="00771743"/>
    <w:rsid w:val="00771DA4"/>
    <w:rsid w:val="00772073"/>
    <w:rsid w:val="007723B1"/>
    <w:rsid w:val="0077353F"/>
    <w:rsid w:val="007735C9"/>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F81"/>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563"/>
    <w:rsid w:val="007D66D4"/>
    <w:rsid w:val="007D6FE7"/>
    <w:rsid w:val="007D78E3"/>
    <w:rsid w:val="007E0DA3"/>
    <w:rsid w:val="007E16BF"/>
    <w:rsid w:val="007E1AEE"/>
    <w:rsid w:val="007E218B"/>
    <w:rsid w:val="007E297F"/>
    <w:rsid w:val="007E2F15"/>
    <w:rsid w:val="007E50BC"/>
    <w:rsid w:val="007E5951"/>
    <w:rsid w:val="007E5D89"/>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7F91"/>
    <w:rsid w:val="00817FCD"/>
    <w:rsid w:val="0082101E"/>
    <w:rsid w:val="00821A39"/>
    <w:rsid w:val="00821CBC"/>
    <w:rsid w:val="008224FD"/>
    <w:rsid w:val="00822A00"/>
    <w:rsid w:val="0082327C"/>
    <w:rsid w:val="008246D9"/>
    <w:rsid w:val="00824767"/>
    <w:rsid w:val="008249CD"/>
    <w:rsid w:val="008255D2"/>
    <w:rsid w:val="00825892"/>
    <w:rsid w:val="00825D3C"/>
    <w:rsid w:val="00825D91"/>
    <w:rsid w:val="00826639"/>
    <w:rsid w:val="008269E2"/>
    <w:rsid w:val="00827321"/>
    <w:rsid w:val="008275F9"/>
    <w:rsid w:val="0082798C"/>
    <w:rsid w:val="00827AD8"/>
    <w:rsid w:val="00830B21"/>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22C9"/>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0B31"/>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0A96"/>
    <w:rsid w:val="008A1A1E"/>
    <w:rsid w:val="008A1E8C"/>
    <w:rsid w:val="008A232B"/>
    <w:rsid w:val="008A23F5"/>
    <w:rsid w:val="008A262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3CA6"/>
    <w:rsid w:val="008D43AD"/>
    <w:rsid w:val="008D460C"/>
    <w:rsid w:val="008D4BAD"/>
    <w:rsid w:val="008D63F3"/>
    <w:rsid w:val="008D7C89"/>
    <w:rsid w:val="008E0439"/>
    <w:rsid w:val="008E1502"/>
    <w:rsid w:val="008E1BF0"/>
    <w:rsid w:val="008E1FB9"/>
    <w:rsid w:val="008E3EC4"/>
    <w:rsid w:val="008E44B6"/>
    <w:rsid w:val="008E47AD"/>
    <w:rsid w:val="008E4F39"/>
    <w:rsid w:val="008E4F50"/>
    <w:rsid w:val="008E56C7"/>
    <w:rsid w:val="008E7018"/>
    <w:rsid w:val="008E7919"/>
    <w:rsid w:val="008F119B"/>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BF1"/>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202D3"/>
    <w:rsid w:val="00920A0E"/>
    <w:rsid w:val="0092133E"/>
    <w:rsid w:val="00921914"/>
    <w:rsid w:val="00922393"/>
    <w:rsid w:val="00922438"/>
    <w:rsid w:val="00923DC3"/>
    <w:rsid w:val="00923F75"/>
    <w:rsid w:val="00924964"/>
    <w:rsid w:val="00924E89"/>
    <w:rsid w:val="00925253"/>
    <w:rsid w:val="00925776"/>
    <w:rsid w:val="009257D8"/>
    <w:rsid w:val="009260D2"/>
    <w:rsid w:val="00927257"/>
    <w:rsid w:val="00927478"/>
    <w:rsid w:val="00927856"/>
    <w:rsid w:val="00927B11"/>
    <w:rsid w:val="00927F71"/>
    <w:rsid w:val="0093030B"/>
    <w:rsid w:val="00930BCC"/>
    <w:rsid w:val="009315CC"/>
    <w:rsid w:val="00931967"/>
    <w:rsid w:val="0093204A"/>
    <w:rsid w:val="00932DC8"/>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0CB9"/>
    <w:rsid w:val="00962A6C"/>
    <w:rsid w:val="00962D35"/>
    <w:rsid w:val="00962E1B"/>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60AC"/>
    <w:rsid w:val="009C02E4"/>
    <w:rsid w:val="009C09DE"/>
    <w:rsid w:val="009C0C1A"/>
    <w:rsid w:val="009C1B6E"/>
    <w:rsid w:val="009C2F37"/>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B73"/>
    <w:rsid w:val="009F1C97"/>
    <w:rsid w:val="009F1DB5"/>
    <w:rsid w:val="009F43CB"/>
    <w:rsid w:val="009F5836"/>
    <w:rsid w:val="009F701A"/>
    <w:rsid w:val="00A03231"/>
    <w:rsid w:val="00A03746"/>
    <w:rsid w:val="00A03ED8"/>
    <w:rsid w:val="00A04BA7"/>
    <w:rsid w:val="00A04FD8"/>
    <w:rsid w:val="00A05E42"/>
    <w:rsid w:val="00A06A27"/>
    <w:rsid w:val="00A06DCE"/>
    <w:rsid w:val="00A07C33"/>
    <w:rsid w:val="00A10BA3"/>
    <w:rsid w:val="00A114A4"/>
    <w:rsid w:val="00A11C53"/>
    <w:rsid w:val="00A12A9B"/>
    <w:rsid w:val="00A12FD5"/>
    <w:rsid w:val="00A13649"/>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E67"/>
    <w:rsid w:val="00A35919"/>
    <w:rsid w:val="00A36999"/>
    <w:rsid w:val="00A36AC5"/>
    <w:rsid w:val="00A36B2D"/>
    <w:rsid w:val="00A36CB0"/>
    <w:rsid w:val="00A36EF5"/>
    <w:rsid w:val="00A404A0"/>
    <w:rsid w:val="00A407CC"/>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6748"/>
    <w:rsid w:val="00A573A7"/>
    <w:rsid w:val="00A57A3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7031"/>
    <w:rsid w:val="00A97A96"/>
    <w:rsid w:val="00AA1105"/>
    <w:rsid w:val="00AA1AFD"/>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04B9"/>
    <w:rsid w:val="00AC13D5"/>
    <w:rsid w:val="00AC157C"/>
    <w:rsid w:val="00AC16B9"/>
    <w:rsid w:val="00AC249A"/>
    <w:rsid w:val="00AC311C"/>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D2D"/>
    <w:rsid w:val="00B16D61"/>
    <w:rsid w:val="00B17A1B"/>
    <w:rsid w:val="00B17D4C"/>
    <w:rsid w:val="00B21357"/>
    <w:rsid w:val="00B2241B"/>
    <w:rsid w:val="00B22730"/>
    <w:rsid w:val="00B22B33"/>
    <w:rsid w:val="00B2322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03E"/>
    <w:rsid w:val="00B55960"/>
    <w:rsid w:val="00B566A1"/>
    <w:rsid w:val="00B56AD5"/>
    <w:rsid w:val="00B56D5A"/>
    <w:rsid w:val="00B6012F"/>
    <w:rsid w:val="00B60C8D"/>
    <w:rsid w:val="00B61363"/>
    <w:rsid w:val="00B6238B"/>
    <w:rsid w:val="00B6312B"/>
    <w:rsid w:val="00B632F4"/>
    <w:rsid w:val="00B64986"/>
    <w:rsid w:val="00B64C0B"/>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441"/>
    <w:rsid w:val="00B81857"/>
    <w:rsid w:val="00B81D51"/>
    <w:rsid w:val="00B820C3"/>
    <w:rsid w:val="00B830CD"/>
    <w:rsid w:val="00B831CC"/>
    <w:rsid w:val="00B83C3B"/>
    <w:rsid w:val="00B83C46"/>
    <w:rsid w:val="00B85A2F"/>
    <w:rsid w:val="00B85DA4"/>
    <w:rsid w:val="00B86A51"/>
    <w:rsid w:val="00B87E8F"/>
    <w:rsid w:val="00B9141B"/>
    <w:rsid w:val="00B922B4"/>
    <w:rsid w:val="00B931AE"/>
    <w:rsid w:val="00B93713"/>
    <w:rsid w:val="00B947C3"/>
    <w:rsid w:val="00B94F53"/>
    <w:rsid w:val="00B94FD6"/>
    <w:rsid w:val="00B950A4"/>
    <w:rsid w:val="00B95D03"/>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EF8"/>
    <w:rsid w:val="00BC699A"/>
    <w:rsid w:val="00BD017A"/>
    <w:rsid w:val="00BD0646"/>
    <w:rsid w:val="00BD08B6"/>
    <w:rsid w:val="00BD11DA"/>
    <w:rsid w:val="00BD1BD2"/>
    <w:rsid w:val="00BD24E7"/>
    <w:rsid w:val="00BD2614"/>
    <w:rsid w:val="00BD2A16"/>
    <w:rsid w:val="00BD2A57"/>
    <w:rsid w:val="00BD415F"/>
    <w:rsid w:val="00BD5428"/>
    <w:rsid w:val="00BD54F1"/>
    <w:rsid w:val="00BD5867"/>
    <w:rsid w:val="00BD6867"/>
    <w:rsid w:val="00BD6D86"/>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1026A"/>
    <w:rsid w:val="00C10CD8"/>
    <w:rsid w:val="00C11257"/>
    <w:rsid w:val="00C1203F"/>
    <w:rsid w:val="00C122D8"/>
    <w:rsid w:val="00C14013"/>
    <w:rsid w:val="00C140F6"/>
    <w:rsid w:val="00C141E9"/>
    <w:rsid w:val="00C14239"/>
    <w:rsid w:val="00C14352"/>
    <w:rsid w:val="00C15A41"/>
    <w:rsid w:val="00C15E8B"/>
    <w:rsid w:val="00C16583"/>
    <w:rsid w:val="00C202EA"/>
    <w:rsid w:val="00C210B6"/>
    <w:rsid w:val="00C21F04"/>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64A"/>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87068"/>
    <w:rsid w:val="00C901AC"/>
    <w:rsid w:val="00C91884"/>
    <w:rsid w:val="00C9224D"/>
    <w:rsid w:val="00C92B60"/>
    <w:rsid w:val="00C93692"/>
    <w:rsid w:val="00C939F4"/>
    <w:rsid w:val="00C941EB"/>
    <w:rsid w:val="00C9422A"/>
    <w:rsid w:val="00C95447"/>
    <w:rsid w:val="00C95BD3"/>
    <w:rsid w:val="00C96166"/>
    <w:rsid w:val="00C9700C"/>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20655"/>
    <w:rsid w:val="00D20F51"/>
    <w:rsid w:val="00D21586"/>
    <w:rsid w:val="00D2177D"/>
    <w:rsid w:val="00D21AC3"/>
    <w:rsid w:val="00D2266C"/>
    <w:rsid w:val="00D233A7"/>
    <w:rsid w:val="00D24F85"/>
    <w:rsid w:val="00D2578E"/>
    <w:rsid w:val="00D265AB"/>
    <w:rsid w:val="00D3169F"/>
    <w:rsid w:val="00D31748"/>
    <w:rsid w:val="00D323B3"/>
    <w:rsid w:val="00D340C2"/>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99F"/>
    <w:rsid w:val="00DB45B6"/>
    <w:rsid w:val="00DB4B69"/>
    <w:rsid w:val="00DB5194"/>
    <w:rsid w:val="00DB5DF9"/>
    <w:rsid w:val="00DB6722"/>
    <w:rsid w:val="00DB77E2"/>
    <w:rsid w:val="00DC0747"/>
    <w:rsid w:val="00DC1BC5"/>
    <w:rsid w:val="00DC1FCB"/>
    <w:rsid w:val="00DC210A"/>
    <w:rsid w:val="00DC2FF4"/>
    <w:rsid w:val="00DC319E"/>
    <w:rsid w:val="00DC337D"/>
    <w:rsid w:val="00DC4B88"/>
    <w:rsid w:val="00DC5716"/>
    <w:rsid w:val="00DC5AB3"/>
    <w:rsid w:val="00DC5F6F"/>
    <w:rsid w:val="00DC65D6"/>
    <w:rsid w:val="00DC69B9"/>
    <w:rsid w:val="00DC6FFA"/>
    <w:rsid w:val="00DC7539"/>
    <w:rsid w:val="00DC79C7"/>
    <w:rsid w:val="00DC7EE9"/>
    <w:rsid w:val="00DC7FBD"/>
    <w:rsid w:val="00DD05CF"/>
    <w:rsid w:val="00DD1B7E"/>
    <w:rsid w:val="00DD24E9"/>
    <w:rsid w:val="00DD2C8E"/>
    <w:rsid w:val="00DD436B"/>
    <w:rsid w:val="00DD4893"/>
    <w:rsid w:val="00DD4AC3"/>
    <w:rsid w:val="00DD4F1D"/>
    <w:rsid w:val="00DD5490"/>
    <w:rsid w:val="00DD54A5"/>
    <w:rsid w:val="00DD5526"/>
    <w:rsid w:val="00DD6C27"/>
    <w:rsid w:val="00DD7D9F"/>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68D6"/>
    <w:rsid w:val="00DF7B69"/>
    <w:rsid w:val="00DF7CA5"/>
    <w:rsid w:val="00E014D3"/>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2262"/>
    <w:rsid w:val="00E345CE"/>
    <w:rsid w:val="00E34AD0"/>
    <w:rsid w:val="00E35694"/>
    <w:rsid w:val="00E366EF"/>
    <w:rsid w:val="00E37811"/>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AF"/>
    <w:rsid w:val="00E60BE0"/>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95"/>
    <w:rsid w:val="00E70CF8"/>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CB"/>
    <w:rsid w:val="00EB4B81"/>
    <w:rsid w:val="00EB4DA0"/>
    <w:rsid w:val="00EB5036"/>
    <w:rsid w:val="00EB5045"/>
    <w:rsid w:val="00EB6066"/>
    <w:rsid w:val="00EB66C2"/>
    <w:rsid w:val="00EB6D7F"/>
    <w:rsid w:val="00EB73C0"/>
    <w:rsid w:val="00EB7D35"/>
    <w:rsid w:val="00EC0B9A"/>
    <w:rsid w:val="00EC23E7"/>
    <w:rsid w:val="00EC46E7"/>
    <w:rsid w:val="00EC492E"/>
    <w:rsid w:val="00EC4D8D"/>
    <w:rsid w:val="00EC4F80"/>
    <w:rsid w:val="00EC5DC8"/>
    <w:rsid w:val="00EC6070"/>
    <w:rsid w:val="00EC7586"/>
    <w:rsid w:val="00EC7A39"/>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DC2"/>
    <w:rsid w:val="00EE45ED"/>
    <w:rsid w:val="00EE49FD"/>
    <w:rsid w:val="00EE580E"/>
    <w:rsid w:val="00EE725D"/>
    <w:rsid w:val="00EE7CC1"/>
    <w:rsid w:val="00EE7D7E"/>
    <w:rsid w:val="00EF04C1"/>
    <w:rsid w:val="00EF0C8E"/>
    <w:rsid w:val="00EF31E7"/>
    <w:rsid w:val="00EF3E62"/>
    <w:rsid w:val="00EF40EB"/>
    <w:rsid w:val="00EF42AF"/>
    <w:rsid w:val="00EF50F8"/>
    <w:rsid w:val="00EF545F"/>
    <w:rsid w:val="00EF5AE8"/>
    <w:rsid w:val="00EF6001"/>
    <w:rsid w:val="00EF62C1"/>
    <w:rsid w:val="00EF661B"/>
    <w:rsid w:val="00EF714B"/>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C5A"/>
    <w:rsid w:val="00F066D6"/>
    <w:rsid w:val="00F06F67"/>
    <w:rsid w:val="00F0728B"/>
    <w:rsid w:val="00F0763B"/>
    <w:rsid w:val="00F1028D"/>
    <w:rsid w:val="00F10A79"/>
    <w:rsid w:val="00F11744"/>
    <w:rsid w:val="00F119C0"/>
    <w:rsid w:val="00F12BF1"/>
    <w:rsid w:val="00F1327F"/>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B1E"/>
    <w:rsid w:val="00F37413"/>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195"/>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254A"/>
    <w:rsid w:val="00F74B0B"/>
    <w:rsid w:val="00F75384"/>
    <w:rsid w:val="00F76983"/>
    <w:rsid w:val="00F76C13"/>
    <w:rsid w:val="00F80B98"/>
    <w:rsid w:val="00F810A5"/>
    <w:rsid w:val="00F81D08"/>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151"/>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6D3"/>
    <w:rsid w:val="00FE37D3"/>
    <w:rsid w:val="00FE6380"/>
    <w:rsid w:val="00FE6B5D"/>
    <w:rsid w:val="00FE6D80"/>
    <w:rsid w:val="00FF102A"/>
    <w:rsid w:val="00FF1435"/>
    <w:rsid w:val="00FF2956"/>
    <w:rsid w:val="00FF3326"/>
    <w:rsid w:val="00FF4C34"/>
    <w:rsid w:val="00FF589E"/>
    <w:rsid w:val="00FF7030"/>
    <w:rsid w:val="0B894205"/>
    <w:rsid w:val="111533AD"/>
    <w:rsid w:val="17AD7DC6"/>
    <w:rsid w:val="188D493C"/>
    <w:rsid w:val="19576A1C"/>
    <w:rsid w:val="1B4F1C59"/>
    <w:rsid w:val="2E6A153F"/>
    <w:rsid w:val="307A2CE3"/>
    <w:rsid w:val="31671E88"/>
    <w:rsid w:val="36B55F0A"/>
    <w:rsid w:val="3D232759"/>
    <w:rsid w:val="402E16CA"/>
    <w:rsid w:val="42671128"/>
    <w:rsid w:val="42901A53"/>
    <w:rsid w:val="56A87C0C"/>
    <w:rsid w:val="5CF46281"/>
    <w:rsid w:val="5EA95406"/>
    <w:rsid w:val="64F30BD8"/>
    <w:rsid w:val="65777969"/>
    <w:rsid w:val="68E71107"/>
    <w:rsid w:val="69100D36"/>
    <w:rsid w:val="710F3A90"/>
    <w:rsid w:val="75711FFE"/>
    <w:rsid w:val="75D51C75"/>
    <w:rsid w:val="76730F8E"/>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0"/>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spacing w:before="260" w:after="260" w:line="416" w:lineRule="auto"/>
      <w:outlineLvl w:val="2"/>
    </w:pPr>
    <w:rPr>
      <w:b/>
      <w:bCs/>
      <w:sz w:val="32"/>
      <w:szCs w:val="32"/>
    </w:rPr>
  </w:style>
  <w:style w:type="paragraph" w:styleId="5">
    <w:name w:val="heading 4"/>
    <w:basedOn w:val="1"/>
    <w:next w:val="1"/>
    <w:link w:val="2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4"/>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28"/>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1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68"/>
    <w:qFormat/>
    <w:uiPriority w:val="0"/>
    <w:pPr>
      <w:ind w:firstLine="420"/>
    </w:pPr>
    <w:rPr>
      <w:szCs w:val="20"/>
    </w:rPr>
  </w:style>
  <w:style w:type="paragraph" w:styleId="18">
    <w:name w:val="caption"/>
    <w:basedOn w:val="1"/>
    <w:next w:val="1"/>
    <w:link w:val="74"/>
    <w:qFormat/>
    <w:uiPriority w:val="0"/>
    <w:pPr>
      <w:spacing w:before="152" w:after="160"/>
    </w:pPr>
    <w:rPr>
      <w:rFonts w:ascii="Arial" w:hAnsi="Arial" w:eastAsia="黑体"/>
      <w:sz w:val="20"/>
      <w:szCs w:val="20"/>
    </w:rPr>
  </w:style>
  <w:style w:type="paragraph" w:styleId="19">
    <w:name w:val="List Bullet"/>
    <w:basedOn w:val="1"/>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
    <w:qFormat/>
    <w:uiPriority w:val="99"/>
    <w:rPr>
      <w:rFonts w:ascii="宋体"/>
      <w:sz w:val="18"/>
      <w:szCs w:val="18"/>
    </w:rPr>
  </w:style>
  <w:style w:type="paragraph" w:styleId="21">
    <w:name w:val="annotation text"/>
    <w:basedOn w:val="1"/>
    <w:link w:val="207"/>
    <w:qFormat/>
    <w:uiPriority w:val="99"/>
    <w:pPr>
      <w:jc w:val="left"/>
    </w:pPr>
  </w:style>
  <w:style w:type="paragraph" w:styleId="22">
    <w:name w:val="Salutation"/>
    <w:basedOn w:val="1"/>
    <w:next w:val="1"/>
    <w:link w:val="98"/>
    <w:qFormat/>
    <w:uiPriority w:val="0"/>
    <w:rPr>
      <w:rFonts w:ascii="宋体" w:hAnsi="Times New Roman"/>
      <w:b/>
      <w:sz w:val="28"/>
      <w:szCs w:val="20"/>
    </w:rPr>
  </w:style>
  <w:style w:type="paragraph" w:styleId="23">
    <w:name w:val="Body Text 3"/>
    <w:basedOn w:val="1"/>
    <w:link w:val="220"/>
    <w:qFormat/>
    <w:uiPriority w:val="0"/>
    <w:pPr>
      <w:snapToGrid w:val="0"/>
      <w:spacing w:before="50" w:after="50"/>
    </w:pPr>
    <w:rPr>
      <w:rFonts w:ascii="Times New Roman" w:hAnsi="宋体" w:eastAsia="仿宋_GB2312"/>
      <w:b/>
      <w:bCs/>
      <w:sz w:val="24"/>
      <w:szCs w:val="20"/>
    </w:rPr>
  </w:style>
  <w:style w:type="paragraph" w:styleId="24">
    <w:name w:val="Body Text"/>
    <w:basedOn w:val="1"/>
    <w:link w:val="195"/>
    <w:qFormat/>
    <w:uiPriority w:val="0"/>
    <w:pPr>
      <w:spacing w:after="120"/>
    </w:pPr>
    <w:rPr>
      <w:sz w:val="28"/>
      <w:szCs w:val="24"/>
    </w:rPr>
  </w:style>
  <w:style w:type="paragraph" w:styleId="25">
    <w:name w:val="Body Text Indent"/>
    <w:basedOn w:val="1"/>
    <w:link w:val="228"/>
    <w:qFormat/>
    <w:uiPriority w:val="0"/>
    <w:pPr>
      <w:spacing w:line="200" w:lineRule="exact"/>
      <w:ind w:firstLine="301"/>
    </w:pPr>
    <w:rPr>
      <w:rFonts w:ascii="宋体" w:hAnsi="Courier New"/>
      <w:spacing w:val="-4"/>
      <w:sz w:val="18"/>
      <w:szCs w:val="20"/>
    </w:rPr>
  </w:style>
  <w:style w:type="paragraph" w:styleId="26">
    <w:name w:val="List Number 3"/>
    <w:basedOn w:val="1"/>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376"/>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378"/>
    <w:qFormat/>
    <w:uiPriority w:val="0"/>
    <w:pPr>
      <w:ind w:left="2500" w:leftChars="2500"/>
    </w:pPr>
    <w:rPr>
      <w:rFonts w:eastAsia="楷体_GB2312"/>
      <w:sz w:val="32"/>
      <w:szCs w:val="20"/>
    </w:rPr>
  </w:style>
  <w:style w:type="paragraph" w:styleId="35">
    <w:name w:val="Body Text Indent 2"/>
    <w:basedOn w:val="1"/>
    <w:link w:val="264"/>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65"/>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285"/>
    <w:qFormat/>
    <w:uiPriority w:val="99"/>
    <w:rPr>
      <w:sz w:val="18"/>
      <w:szCs w:val="18"/>
    </w:rPr>
  </w:style>
  <w:style w:type="paragraph" w:styleId="38">
    <w:name w:val="footer"/>
    <w:basedOn w:val="1"/>
    <w:link w:val="232"/>
    <w:unhideWhenUsed/>
    <w:qFormat/>
    <w:uiPriority w:val="99"/>
    <w:pPr>
      <w:tabs>
        <w:tab w:val="center" w:pos="4153"/>
        <w:tab w:val="right" w:pos="8306"/>
      </w:tabs>
      <w:snapToGrid w:val="0"/>
      <w:jc w:val="left"/>
    </w:pPr>
    <w:rPr>
      <w:sz w:val="18"/>
      <w:szCs w:val="18"/>
    </w:rPr>
  </w:style>
  <w:style w:type="paragraph" w:styleId="39">
    <w:name w:val="header"/>
    <w:basedOn w:val="1"/>
    <w:link w:val="3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363"/>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60"/>
    <w:unhideWhenUsed/>
    <w:qFormat/>
    <w:uiPriority w:val="99"/>
    <w:pPr>
      <w:snapToGrid w:val="0"/>
      <w:jc w:val="left"/>
    </w:pPr>
    <w:rPr>
      <w:sz w:val="18"/>
      <w:szCs w:val="18"/>
    </w:rPr>
  </w:style>
  <w:style w:type="paragraph" w:styleId="45">
    <w:name w:val="toc 6"/>
    <w:basedOn w:val="1"/>
    <w:next w:val="1"/>
    <w:uiPriority w:val="39"/>
    <w:pPr>
      <w:ind w:left="1050"/>
      <w:jc w:val="left"/>
    </w:pPr>
    <w:rPr>
      <w:rFonts w:ascii="Times New Roman" w:hAnsi="Times New Roman"/>
      <w:sz w:val="18"/>
      <w:szCs w:val="18"/>
    </w:rPr>
  </w:style>
  <w:style w:type="paragraph" w:styleId="46">
    <w:name w:val="Body Text Indent 3"/>
    <w:basedOn w:val="1"/>
    <w:link w:val="298"/>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39"/>
    <w:pPr>
      <w:ind w:left="1680"/>
      <w:jc w:val="left"/>
    </w:pPr>
    <w:rPr>
      <w:rFonts w:ascii="Times New Roman" w:hAnsi="Times New Roman"/>
      <w:sz w:val="18"/>
      <w:szCs w:val="18"/>
    </w:rPr>
  </w:style>
  <w:style w:type="paragraph" w:styleId="50">
    <w:name w:val="Body Text 2"/>
    <w:basedOn w:val="1"/>
    <w:link w:val="379"/>
    <w:uiPriority w:val="0"/>
    <w:pPr>
      <w:widowControl/>
      <w:snapToGrid w:val="0"/>
      <w:spacing w:before="50" w:afterLines="50" w:line="400" w:lineRule="exact"/>
      <w:jc w:val="left"/>
    </w:pPr>
    <w:rPr>
      <w:rFonts w:ascii="宋体" w:hAnsi="宋体"/>
      <w:color w:val="000000"/>
      <w:sz w:val="24"/>
      <w:szCs w:val="24"/>
    </w:rPr>
  </w:style>
  <w:style w:type="paragraph" w:styleId="51">
    <w:name w:val="HTML Preformatted"/>
    <w:basedOn w:val="1"/>
    <w:link w:val="105"/>
    <w:qFormat/>
    <w:uiPriority w:val="0"/>
    <w:rPr>
      <w:rFonts w:ascii="Courier New" w:hAnsi="Courier New"/>
      <w:sz w:val="20"/>
      <w:szCs w:val="20"/>
    </w:rPr>
  </w:style>
  <w:style w:type="paragraph" w:styleId="5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qFormat/>
    <w:uiPriority w:val="0"/>
    <w:rPr>
      <w:rFonts w:ascii="Times New Roman" w:hAnsi="Times New Roman"/>
      <w:szCs w:val="20"/>
    </w:rPr>
  </w:style>
  <w:style w:type="paragraph" w:styleId="54">
    <w:name w:val="Title"/>
    <w:basedOn w:val="1"/>
    <w:link w:val="173"/>
    <w:qFormat/>
    <w:uiPriority w:val="0"/>
    <w:pPr>
      <w:spacing w:before="240" w:after="60"/>
      <w:jc w:val="center"/>
      <w:outlineLvl w:val="0"/>
    </w:pPr>
    <w:rPr>
      <w:rFonts w:ascii="Arial" w:hAnsi="Arial"/>
      <w:b/>
      <w:bCs/>
      <w:sz w:val="32"/>
      <w:szCs w:val="32"/>
    </w:rPr>
  </w:style>
  <w:style w:type="paragraph" w:styleId="55">
    <w:name w:val="annotation subject"/>
    <w:basedOn w:val="21"/>
    <w:next w:val="21"/>
    <w:qFormat/>
    <w:uiPriority w:val="99"/>
    <w:rPr>
      <w:b/>
      <w:bCs/>
    </w:rPr>
  </w:style>
  <w:style w:type="paragraph" w:styleId="56">
    <w:name w:val="Body Text First Indent"/>
    <w:basedOn w:val="24"/>
    <w:link w:val="197"/>
    <w:uiPriority w:val="0"/>
    <w:pPr>
      <w:ind w:firstLine="420" w:firstLineChars="100"/>
    </w:pPr>
    <w:rPr>
      <w:sz w:val="21"/>
      <w:szCs w:val="22"/>
    </w:rPr>
  </w:style>
  <w:style w:type="paragraph" w:styleId="57">
    <w:name w:val="Body Text First Indent 2"/>
    <w:basedOn w:val="25"/>
    <w:qFormat/>
    <w:uiPriority w:val="0"/>
    <w:pPr>
      <w:spacing w:after="120" w:line="240" w:lineRule="auto"/>
      <w:ind w:left="420" w:leftChars="200" w:firstLine="420" w:firstLineChars="200"/>
    </w:pPr>
    <w:rPr>
      <w:rFonts w:ascii="Times New Roman" w:hAnsi="Times New Roman"/>
      <w:spacing w:val="0"/>
      <w:sz w:val="21"/>
    </w:rPr>
  </w:style>
  <w:style w:type="table" w:styleId="59">
    <w:name w:val="Table Grid"/>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Simple 1"/>
    <w:basedOn w:val="58"/>
    <w:qFormat/>
    <w:uiPriority w:val="0"/>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1">
    <w:name w:val="Table Grid 1"/>
    <w:basedOn w:val="5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Light List Accent 5"/>
    <w:basedOn w:val="5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4">
    <w:name w:val="Strong"/>
    <w:qFormat/>
    <w:uiPriority w:val="22"/>
    <w:rPr>
      <w:b/>
      <w:bCs/>
    </w:rPr>
  </w:style>
  <w:style w:type="character" w:styleId="65">
    <w:name w:val="page number"/>
    <w:basedOn w:val="63"/>
    <w:uiPriority w:val="0"/>
  </w:style>
  <w:style w:type="character" w:styleId="66">
    <w:name w:val="FollowedHyperlink"/>
    <w:qFormat/>
    <w:uiPriority w:val="0"/>
    <w:rPr>
      <w:color w:val="800080"/>
      <w:u w:val="single"/>
    </w:rPr>
  </w:style>
  <w:style w:type="character" w:styleId="67">
    <w:name w:val="Emphasis"/>
    <w:qFormat/>
    <w:uiPriority w:val="0"/>
    <w:rPr>
      <w:color w:val="CC0033"/>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unhideWhenUsed/>
    <w:qFormat/>
    <w:uiPriority w:val="99"/>
    <w:rPr>
      <w:vertAlign w:val="superscript"/>
    </w:rPr>
  </w:style>
  <w:style w:type="character" w:customStyle="1" w:styleId="71">
    <w:name w:val="标题 3 Char"/>
    <w:link w:val="4"/>
    <w:qFormat/>
    <w:uiPriority w:val="0"/>
    <w:rPr>
      <w:rFonts w:ascii="Calibri" w:hAnsi="Calibri" w:eastAsia="宋体"/>
      <w:b/>
      <w:bCs/>
      <w:kern w:val="2"/>
      <w:sz w:val="32"/>
      <w:szCs w:val="32"/>
      <w:lang w:val="en-US" w:eastAsia="zh-CN" w:bidi="ar-SA"/>
    </w:rPr>
  </w:style>
  <w:style w:type="paragraph" w:customStyle="1" w:styleId="72">
    <w:name w:val="样式1"/>
    <w:basedOn w:val="1"/>
    <w:qFormat/>
    <w:uiPriority w:val="0"/>
    <w:pPr>
      <w:pBdr>
        <w:bottom w:val="single" w:color="auto" w:sz="4" w:space="1"/>
      </w:pBdr>
    </w:pPr>
    <w:rPr>
      <w:rFonts w:ascii="Times New Roman" w:hAnsi="Times New Roman"/>
      <w:szCs w:val="24"/>
    </w:rPr>
  </w:style>
  <w:style w:type="character" w:customStyle="1" w:styleId="73">
    <w:name w:val="ca-8"/>
    <w:basedOn w:val="63"/>
    <w:uiPriority w:val="0"/>
  </w:style>
  <w:style w:type="character" w:customStyle="1" w:styleId="74">
    <w:name w:val="题注 Char"/>
    <w:link w:val="18"/>
    <w:qFormat/>
    <w:uiPriority w:val="0"/>
    <w:rPr>
      <w:rFonts w:ascii="Arial" w:hAnsi="Arial" w:eastAsia="黑体" w:cs="Arial"/>
      <w:kern w:val="2"/>
    </w:rPr>
  </w:style>
  <w:style w:type="character" w:customStyle="1" w:styleId="75">
    <w:name w:val="正文2 Char Char"/>
    <w:link w:val="76"/>
    <w:qFormat/>
    <w:uiPriority w:val="0"/>
    <w:rPr>
      <w:rFonts w:ascii="Times New Roman" w:hAnsi="Times New Roman"/>
      <w:kern w:val="2"/>
      <w:sz w:val="24"/>
    </w:rPr>
  </w:style>
  <w:style w:type="paragraph" w:customStyle="1" w:styleId="76">
    <w:name w:val="正文2"/>
    <w:basedOn w:val="1"/>
    <w:link w:val="75"/>
    <w:qFormat/>
    <w:uiPriority w:val="0"/>
    <w:pPr>
      <w:spacing w:before="156" w:line="360" w:lineRule="auto"/>
      <w:ind w:firstLine="510" w:firstLineChars="200"/>
    </w:pPr>
    <w:rPr>
      <w:rFonts w:ascii="Times New Roman" w:hAnsi="Times New Roman"/>
      <w:sz w:val="24"/>
      <w:szCs w:val="20"/>
    </w:rPr>
  </w:style>
  <w:style w:type="character" w:customStyle="1" w:styleId="77">
    <w:name w:val="新昌正文 Char"/>
    <w:link w:val="78"/>
    <w:qFormat/>
    <w:uiPriority w:val="0"/>
    <w:rPr>
      <w:rFonts w:ascii="Times New Roman" w:hAnsi="宋体"/>
      <w:sz w:val="24"/>
      <w:szCs w:val="24"/>
    </w:rPr>
  </w:style>
  <w:style w:type="paragraph" w:customStyle="1" w:styleId="78">
    <w:name w:val="新昌正文"/>
    <w:basedOn w:val="1"/>
    <w:link w:val="77"/>
    <w:qFormat/>
    <w:uiPriority w:val="0"/>
    <w:pPr>
      <w:spacing w:line="360" w:lineRule="auto"/>
      <w:ind w:firstLine="480" w:firstLineChars="200"/>
    </w:pPr>
    <w:rPr>
      <w:rFonts w:ascii="Times New Roman" w:hAnsi="宋体"/>
      <w:kern w:val="0"/>
      <w:sz w:val="24"/>
      <w:szCs w:val="24"/>
    </w:rPr>
  </w:style>
  <w:style w:type="character" w:customStyle="1" w:styleId="79">
    <w:name w:val="样式 首行缩进:  0.85 厘米 Char Char"/>
    <w:qFormat/>
    <w:uiPriority w:val="0"/>
    <w:rPr>
      <w:rFonts w:eastAsia="宋体" w:cs="宋体"/>
      <w:kern w:val="2"/>
      <w:sz w:val="24"/>
      <w:lang w:val="en-US" w:eastAsia="zh-CN" w:bidi="ar-SA"/>
    </w:rPr>
  </w:style>
  <w:style w:type="character" w:customStyle="1" w:styleId="80">
    <w:name w:val="表正文 Char1"/>
    <w:qFormat/>
    <w:uiPriority w:val="0"/>
    <w:rPr>
      <w:rFonts w:eastAsia="宋体"/>
      <w:kern w:val="2"/>
      <w:sz w:val="24"/>
      <w:lang w:val="en-US" w:eastAsia="zh-CN"/>
    </w:rPr>
  </w:style>
  <w:style w:type="character" w:customStyle="1" w:styleId="81">
    <w:name w:val="标题 6 Char"/>
    <w:link w:val="7"/>
    <w:qFormat/>
    <w:uiPriority w:val="9"/>
    <w:rPr>
      <w:rFonts w:ascii="Arial" w:hAnsi="Arial" w:eastAsia="黑体"/>
      <w:b/>
      <w:bCs/>
      <w:kern w:val="2"/>
      <w:sz w:val="24"/>
      <w:szCs w:val="24"/>
      <w:lang w:val="en-US" w:eastAsia="zh-CN" w:bidi="ar-SA"/>
    </w:rPr>
  </w:style>
  <w:style w:type="character" w:customStyle="1" w:styleId="82">
    <w:name w:val="A C"/>
    <w:qFormat/>
    <w:uiPriority w:val="0"/>
    <w:rPr>
      <w:rFonts w:ascii="仿宋_GB2312"/>
      <w:bCs/>
      <w:iCs/>
      <w:sz w:val="24"/>
    </w:rPr>
  </w:style>
  <w:style w:type="character" w:customStyle="1" w:styleId="83">
    <w:name w:val="大汉方案正文 Char1"/>
    <w:link w:val="84"/>
    <w:qFormat/>
    <w:uiPriority w:val="0"/>
    <w:rPr>
      <w:rFonts w:ascii="Arial" w:hAnsi="Arial" w:eastAsia="宋体"/>
      <w:sz w:val="24"/>
      <w:szCs w:val="24"/>
      <w:lang w:bidi="ar-SA"/>
    </w:rPr>
  </w:style>
  <w:style w:type="paragraph" w:customStyle="1" w:styleId="84">
    <w:name w:val="大汉方案正文"/>
    <w:basedOn w:val="1"/>
    <w:link w:val="83"/>
    <w:qFormat/>
    <w:uiPriority w:val="0"/>
    <w:pPr>
      <w:spacing w:line="360" w:lineRule="auto"/>
      <w:ind w:firstLine="200" w:firstLineChars="200"/>
    </w:pPr>
    <w:rPr>
      <w:rFonts w:ascii="Arial" w:hAnsi="Arial"/>
      <w:kern w:val="0"/>
      <w:sz w:val="24"/>
      <w:szCs w:val="24"/>
    </w:rPr>
  </w:style>
  <w:style w:type="character" w:customStyle="1" w:styleId="85">
    <w:name w:val="正 文 1 Char Char"/>
    <w:qFormat/>
    <w:uiPriority w:val="0"/>
    <w:rPr>
      <w:rFonts w:ascii="宋体" w:hAnsi="Courier New" w:eastAsia="宋体"/>
      <w:kern w:val="2"/>
      <w:sz w:val="21"/>
      <w:lang w:val="en-US" w:eastAsia="zh-CN" w:bidi="ar-SA"/>
    </w:rPr>
  </w:style>
  <w:style w:type="character" w:customStyle="1" w:styleId="86">
    <w:name w:val="Char Char6"/>
    <w:qFormat/>
    <w:uiPriority w:val="0"/>
    <w:rPr>
      <w:rFonts w:ascii="Calibri" w:hAnsi="Calibri" w:eastAsia="宋体"/>
      <w:b/>
      <w:bCs/>
      <w:kern w:val="2"/>
      <w:sz w:val="28"/>
      <w:szCs w:val="28"/>
      <w:lang w:bidi="ar-SA"/>
    </w:rPr>
  </w:style>
  <w:style w:type="character" w:customStyle="1" w:styleId="87">
    <w:name w:val="标题 1 Char1"/>
    <w:qFormat/>
    <w:uiPriority w:val="0"/>
    <w:rPr>
      <w:rFonts w:cs="Times New Roman"/>
      <w:b/>
      <w:bCs/>
      <w:kern w:val="44"/>
      <w:sz w:val="44"/>
      <w:szCs w:val="44"/>
    </w:rPr>
  </w:style>
  <w:style w:type="character" w:customStyle="1" w:styleId="88">
    <w:name w:val="标题 2 Char"/>
    <w:qFormat/>
    <w:uiPriority w:val="9"/>
    <w:rPr>
      <w:rFonts w:ascii="Arial" w:hAnsi="Arial" w:eastAsia="黑体"/>
      <w:b/>
      <w:kern w:val="2"/>
      <w:sz w:val="32"/>
      <w:lang w:val="en-US" w:eastAsia="zh-CN"/>
    </w:rPr>
  </w:style>
  <w:style w:type="character" w:customStyle="1" w:styleId="89">
    <w:name w:val="仙居正文 Char"/>
    <w:link w:val="90"/>
    <w:qFormat/>
    <w:uiPriority w:val="0"/>
    <w:rPr>
      <w:rFonts w:ascii="宋体" w:hAnsi="宋体"/>
      <w:sz w:val="24"/>
      <w:szCs w:val="24"/>
    </w:rPr>
  </w:style>
  <w:style w:type="paragraph" w:customStyle="1" w:styleId="90">
    <w:name w:val="仙居正文"/>
    <w:basedOn w:val="1"/>
    <w:link w:val="89"/>
    <w:qFormat/>
    <w:uiPriority w:val="0"/>
    <w:pPr>
      <w:spacing w:line="360" w:lineRule="auto"/>
      <w:ind w:firstLine="480" w:firstLineChars="200"/>
    </w:pPr>
    <w:rPr>
      <w:rFonts w:ascii="宋体" w:hAnsi="宋体"/>
      <w:kern w:val="0"/>
      <w:sz w:val="24"/>
      <w:szCs w:val="24"/>
    </w:rPr>
  </w:style>
  <w:style w:type="character" w:customStyle="1" w:styleId="91">
    <w:name w:val="tw4winJump"/>
    <w:qFormat/>
    <w:uiPriority w:val="0"/>
    <w:rPr>
      <w:rFonts w:ascii="Courier New" w:hAnsi="Courier New"/>
      <w:color w:val="008080"/>
    </w:rPr>
  </w:style>
  <w:style w:type="character" w:customStyle="1" w:styleId="92">
    <w:name w:val="unnamed1"/>
    <w:basedOn w:val="63"/>
    <w:qFormat/>
    <w:uiPriority w:val="0"/>
  </w:style>
  <w:style w:type="character" w:customStyle="1" w:styleId="93">
    <w:name w:val="样式(-) Char"/>
    <w:link w:val="94"/>
    <w:qFormat/>
    <w:locked/>
    <w:uiPriority w:val="0"/>
    <w:rPr>
      <w:rFonts w:eastAsia="仿宋"/>
      <w:b/>
      <w:kern w:val="2"/>
      <w:sz w:val="28"/>
      <w:szCs w:val="21"/>
    </w:rPr>
  </w:style>
  <w:style w:type="paragraph" w:customStyle="1" w:styleId="94">
    <w:name w:val="样式(-)"/>
    <w:basedOn w:val="95"/>
    <w:link w:val="93"/>
    <w:qFormat/>
    <w:uiPriority w:val="0"/>
    <w:pPr>
      <w:numPr>
        <w:ilvl w:val="0"/>
        <w:numId w:val="6"/>
      </w:numPr>
      <w:spacing w:line="360" w:lineRule="auto"/>
      <w:ind w:firstLine="0" w:firstLineChars="0"/>
      <w:jc w:val="left"/>
    </w:pPr>
    <w:rPr>
      <w:rFonts w:eastAsia="仿宋"/>
      <w:b/>
      <w:sz w:val="28"/>
      <w:szCs w:val="21"/>
    </w:rPr>
  </w:style>
  <w:style w:type="paragraph" w:customStyle="1" w:styleId="95">
    <w:name w:val="浅色网格 - 强调文字颜色 31"/>
    <w:basedOn w:val="1"/>
    <w:link w:val="153"/>
    <w:qFormat/>
    <w:uiPriority w:val="0"/>
    <w:pPr>
      <w:ind w:firstLine="420" w:firstLineChars="200"/>
    </w:pPr>
    <w:rPr>
      <w:szCs w:val="24"/>
    </w:rPr>
  </w:style>
  <w:style w:type="character" w:customStyle="1" w:styleId="96">
    <w:name w:val="表正文 Char2"/>
    <w:qFormat/>
    <w:uiPriority w:val="0"/>
    <w:rPr>
      <w:rFonts w:eastAsia="宋体"/>
      <w:kern w:val="2"/>
      <w:sz w:val="21"/>
      <w:lang w:val="en-US" w:eastAsia="zh-CN" w:bidi="ar-SA"/>
    </w:rPr>
  </w:style>
  <w:style w:type="character" w:customStyle="1" w:styleId="97">
    <w:name w:val="表格中文字 Char Char"/>
    <w:qFormat/>
    <w:uiPriority w:val="0"/>
    <w:rPr>
      <w:rFonts w:ascii="新宋体" w:hAnsi="新宋体" w:eastAsia="新宋体"/>
      <w:sz w:val="24"/>
      <w:szCs w:val="24"/>
      <w:lang w:bidi="ar-SA"/>
    </w:rPr>
  </w:style>
  <w:style w:type="character" w:customStyle="1" w:styleId="98">
    <w:name w:val="称呼 Char"/>
    <w:link w:val="22"/>
    <w:qFormat/>
    <w:uiPriority w:val="0"/>
    <w:rPr>
      <w:rFonts w:ascii="宋体" w:hAnsi="Times New Roman"/>
      <w:b/>
      <w:kern w:val="2"/>
      <w:sz w:val="28"/>
    </w:rPr>
  </w:style>
  <w:style w:type="character" w:customStyle="1" w:styleId="99">
    <w:name w:val="文档结构图 Char"/>
    <w:link w:val="20"/>
    <w:qFormat/>
    <w:uiPriority w:val="99"/>
    <w:rPr>
      <w:rFonts w:ascii="宋体"/>
      <w:kern w:val="2"/>
      <w:sz w:val="18"/>
      <w:szCs w:val="18"/>
    </w:rPr>
  </w:style>
  <w:style w:type="character" w:customStyle="1" w:styleId="100">
    <w:name w:val="ca-7"/>
    <w:basedOn w:val="63"/>
    <w:qFormat/>
    <w:uiPriority w:val="0"/>
  </w:style>
  <w:style w:type="character" w:customStyle="1" w:styleId="101">
    <w:name w:val="公司一级标题"/>
    <w:qFormat/>
    <w:uiPriority w:val="0"/>
    <w:rPr>
      <w:rFonts w:ascii="黑体" w:hAnsi="黑体" w:eastAsia="黑体"/>
      <w:color w:val="333300"/>
      <w:sz w:val="30"/>
    </w:rPr>
  </w:style>
  <w:style w:type="character" w:customStyle="1" w:styleId="102">
    <w:name w:val="a Char"/>
    <w:link w:val="103"/>
    <w:qFormat/>
    <w:uiPriority w:val="0"/>
    <w:rPr>
      <w:rFonts w:ascii="宋体" w:hAnsi="宋体" w:eastAsia="仿宋_GB2312"/>
      <w:sz w:val="24"/>
      <w:lang w:val="en-US" w:eastAsia="zh-CN" w:bidi="ar-SA"/>
    </w:rPr>
  </w:style>
  <w:style w:type="paragraph" w:customStyle="1" w:styleId="103">
    <w:name w:val="a"/>
    <w:basedOn w:val="1"/>
    <w:link w:val="10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headline-content2"/>
    <w:basedOn w:val="63"/>
    <w:qFormat/>
    <w:uiPriority w:val="0"/>
  </w:style>
  <w:style w:type="character" w:customStyle="1" w:styleId="105">
    <w:name w:val="HTML 预设格式 Char"/>
    <w:link w:val="51"/>
    <w:qFormat/>
    <w:uiPriority w:val="0"/>
    <w:rPr>
      <w:rFonts w:ascii="Courier New" w:hAnsi="Courier New" w:cs="Courier New"/>
      <w:kern w:val="2"/>
    </w:rPr>
  </w:style>
  <w:style w:type="character" w:customStyle="1" w:styleId="106">
    <w:name w:val="tw4winTerm"/>
    <w:qFormat/>
    <w:uiPriority w:val="0"/>
    <w:rPr>
      <w:color w:val="0000FF"/>
    </w:rPr>
  </w:style>
  <w:style w:type="character" w:customStyle="1" w:styleId="107">
    <w:name w:val="正文样式_首行缩进2字符 Char"/>
    <w:link w:val="108"/>
    <w:qFormat/>
    <w:uiPriority w:val="0"/>
    <w:rPr>
      <w:sz w:val="24"/>
      <w:szCs w:val="24"/>
    </w:rPr>
  </w:style>
  <w:style w:type="paragraph" w:customStyle="1" w:styleId="108">
    <w:name w:val="正文样式_首行缩进2字符"/>
    <w:basedOn w:val="1"/>
    <w:link w:val="107"/>
    <w:qFormat/>
    <w:uiPriority w:val="0"/>
    <w:pPr>
      <w:spacing w:line="360" w:lineRule="auto"/>
      <w:ind w:firstLine="480" w:firstLineChars="200"/>
    </w:pPr>
    <w:rPr>
      <w:kern w:val="0"/>
      <w:sz w:val="24"/>
      <w:szCs w:val="24"/>
    </w:rPr>
  </w:style>
  <w:style w:type="character" w:customStyle="1" w:styleId="109">
    <w:name w:val="正文4 Char Char"/>
    <w:qFormat/>
    <w:uiPriority w:val="0"/>
    <w:rPr>
      <w:rFonts w:ascii="Calibri" w:hAnsi="Calibri" w:eastAsia="宋体"/>
      <w:kern w:val="2"/>
      <w:sz w:val="24"/>
      <w:szCs w:val="24"/>
      <w:lang w:bidi="ar-SA"/>
    </w:rPr>
  </w:style>
  <w:style w:type="character" w:customStyle="1" w:styleId="110">
    <w:name w:val="BodyText 2 Char Char"/>
    <w:link w:val="111"/>
    <w:qFormat/>
    <w:uiPriority w:val="0"/>
    <w:rPr>
      <w:snapToGrid w:val="0"/>
      <w:sz w:val="24"/>
    </w:rPr>
  </w:style>
  <w:style w:type="paragraph" w:customStyle="1" w:styleId="111">
    <w:name w:val="BodyText 2"/>
    <w:basedOn w:val="1"/>
    <w:link w:val="110"/>
    <w:qFormat/>
    <w:uiPriority w:val="0"/>
    <w:pPr>
      <w:widowControl/>
      <w:spacing w:before="120"/>
      <w:ind w:left="994"/>
    </w:pPr>
    <w:rPr>
      <w:snapToGrid w:val="0"/>
      <w:kern w:val="0"/>
      <w:sz w:val="24"/>
      <w:szCs w:val="20"/>
    </w:rPr>
  </w:style>
  <w:style w:type="character" w:customStyle="1" w:styleId="112">
    <w:name w:val="tw4winInternal"/>
    <w:qFormat/>
    <w:uiPriority w:val="0"/>
    <w:rPr>
      <w:rFonts w:ascii="Courier New" w:hAnsi="Courier New"/>
      <w:color w:val="FF0000"/>
    </w:rPr>
  </w:style>
  <w:style w:type="character" w:customStyle="1" w:styleId="113">
    <w:name w:val="Z图表 Char"/>
    <w:link w:val="114"/>
    <w:qFormat/>
    <w:uiPriority w:val="0"/>
    <w:rPr>
      <w:rFonts w:ascii="Times New Roman" w:hAnsi="Times New Roman" w:eastAsia="黑体"/>
      <w:sz w:val="24"/>
      <w:szCs w:val="24"/>
    </w:rPr>
  </w:style>
  <w:style w:type="paragraph" w:customStyle="1" w:styleId="114">
    <w:name w:val="Z图表"/>
    <w:basedOn w:val="18"/>
    <w:link w:val="113"/>
    <w:qFormat/>
    <w:uiPriority w:val="0"/>
    <w:pPr>
      <w:spacing w:beforeLines="50" w:afterLines="50"/>
      <w:jc w:val="center"/>
    </w:pPr>
    <w:rPr>
      <w:rFonts w:ascii="Times New Roman" w:hAnsi="Times New Roman"/>
      <w:kern w:val="0"/>
      <w:sz w:val="24"/>
      <w:szCs w:val="24"/>
    </w:rPr>
  </w:style>
  <w:style w:type="character" w:customStyle="1" w:styleId="115">
    <w:name w:val="标题 8 Char"/>
    <w:link w:val="9"/>
    <w:qFormat/>
    <w:uiPriority w:val="0"/>
    <w:rPr>
      <w:rFonts w:ascii="Cambria" w:hAnsi="Cambria" w:eastAsia="宋体"/>
      <w:kern w:val="2"/>
      <w:sz w:val="24"/>
      <w:szCs w:val="24"/>
      <w:lang w:val="en-US" w:eastAsia="zh-CN" w:bidi="ar-SA"/>
    </w:rPr>
  </w:style>
  <w:style w:type="character" w:customStyle="1" w:styleId="116">
    <w:name w:val="标题4-dyf Char"/>
    <w:link w:val="117"/>
    <w:qFormat/>
    <w:uiPriority w:val="0"/>
    <w:rPr>
      <w:rFonts w:ascii="Cambria" w:hAnsi="Cambria" w:eastAsia="宋体"/>
      <w:b/>
      <w:bCs/>
      <w:color w:val="000000"/>
      <w:kern w:val="2"/>
      <w:sz w:val="21"/>
      <w:szCs w:val="21"/>
      <w:lang w:val="en-US" w:eastAsia="zh-CN" w:bidi="ar-SA"/>
    </w:rPr>
  </w:style>
  <w:style w:type="paragraph" w:customStyle="1" w:styleId="117">
    <w:name w:val="标题4-dyf"/>
    <w:basedOn w:val="5"/>
    <w:link w:val="116"/>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8">
    <w:name w:val="无间隔 Char"/>
    <w:link w:val="119"/>
    <w:qFormat/>
    <w:uiPriority w:val="0"/>
    <w:rPr>
      <w:rFonts w:ascii="Times New Roman" w:hAnsi="Times New Roman" w:eastAsia="Times New Roman"/>
      <w:sz w:val="22"/>
      <w:lang w:val="en-US" w:eastAsia="zh-CN" w:bidi="ar-SA"/>
    </w:rPr>
  </w:style>
  <w:style w:type="paragraph" w:customStyle="1" w:styleId="119">
    <w:name w:val="无间隔1"/>
    <w:link w:val="118"/>
    <w:qFormat/>
    <w:uiPriority w:val="0"/>
    <w:rPr>
      <w:rFonts w:ascii="Times New Roman" w:hAnsi="Times New Roman" w:eastAsia="Times New Roman" w:cs="Times New Roman"/>
      <w:sz w:val="22"/>
      <w:lang w:val="en-US" w:eastAsia="zh-CN" w:bidi="ar-SA"/>
    </w:rPr>
  </w:style>
  <w:style w:type="character" w:customStyle="1" w:styleId="120">
    <w:name w:val="ZJGIS图表 Char"/>
    <w:link w:val="121"/>
    <w:qFormat/>
    <w:uiPriority w:val="0"/>
    <w:rPr>
      <w:rFonts w:ascii="Times New Roman" w:hAnsi="Times New Roman" w:eastAsia="黑体"/>
      <w:color w:val="000000"/>
      <w:sz w:val="24"/>
      <w:szCs w:val="24"/>
    </w:rPr>
  </w:style>
  <w:style w:type="paragraph" w:customStyle="1" w:styleId="121">
    <w:name w:val="ZJGIS图表"/>
    <w:basedOn w:val="1"/>
    <w:link w:val="120"/>
    <w:qFormat/>
    <w:uiPriority w:val="0"/>
    <w:pPr>
      <w:jc w:val="center"/>
    </w:pPr>
    <w:rPr>
      <w:rFonts w:ascii="Times New Roman" w:hAnsi="Times New Roman" w:eastAsia="黑体"/>
      <w:color w:val="000000"/>
      <w:kern w:val="0"/>
      <w:sz w:val="24"/>
      <w:szCs w:val="24"/>
    </w:rPr>
  </w:style>
  <w:style w:type="character" w:customStyle="1" w:styleId="122">
    <w:name w:val="H1 Char2"/>
    <w:qFormat/>
    <w:uiPriority w:val="0"/>
    <w:rPr>
      <w:rFonts w:eastAsia="隶书"/>
      <w:b/>
      <w:bCs/>
      <w:sz w:val="36"/>
      <w:szCs w:val="36"/>
      <w:lang w:val="en-US" w:eastAsia="zh-CN" w:bidi="ar-SA"/>
    </w:rPr>
  </w:style>
  <w:style w:type="character" w:customStyle="1" w:styleId="123">
    <w:name w:val="info4"/>
    <w:basedOn w:val="63"/>
    <w:qFormat/>
    <w:uiPriority w:val="0"/>
  </w:style>
  <w:style w:type="character" w:customStyle="1" w:styleId="124">
    <w:name w:val="content"/>
    <w:basedOn w:val="63"/>
    <w:qFormat/>
    <w:uiPriority w:val="0"/>
  </w:style>
  <w:style w:type="character" w:customStyle="1" w:styleId="125">
    <w:name w:val="普通文字 Char Char2"/>
    <w:qFormat/>
    <w:uiPriority w:val="0"/>
    <w:rPr>
      <w:rFonts w:ascii="宋体" w:hAnsi="Courier New" w:eastAsia="宋体"/>
      <w:sz w:val="21"/>
      <w:lang w:val="en-US" w:eastAsia="zh-CN" w:bidi="ar-SA"/>
    </w:rPr>
  </w:style>
  <w:style w:type="character" w:customStyle="1" w:styleId="126">
    <w:name w:val="列表1 Char Char"/>
    <w:link w:val="127"/>
    <w:qFormat/>
    <w:uiPriority w:val="0"/>
    <w:rPr>
      <w:rFonts w:ascii="Century" w:hAnsi="Century"/>
      <w:kern w:val="2"/>
      <w:sz w:val="21"/>
      <w:szCs w:val="21"/>
    </w:rPr>
  </w:style>
  <w:style w:type="paragraph" w:customStyle="1" w:styleId="127">
    <w:name w:val="列表11"/>
    <w:basedOn w:val="1"/>
    <w:link w:val="126"/>
    <w:qFormat/>
    <w:uiPriority w:val="0"/>
    <w:pPr>
      <w:tabs>
        <w:tab w:val="left" w:pos="840"/>
      </w:tabs>
      <w:spacing w:line="360" w:lineRule="auto"/>
      <w:ind w:left="840" w:hanging="420"/>
      <w:jc w:val="left"/>
    </w:pPr>
    <w:rPr>
      <w:rFonts w:ascii="Century" w:hAnsi="Century"/>
      <w:szCs w:val="21"/>
    </w:rPr>
  </w:style>
  <w:style w:type="character" w:customStyle="1" w:styleId="128">
    <w:name w:val="标题 7 Char"/>
    <w:link w:val="8"/>
    <w:qFormat/>
    <w:uiPriority w:val="9"/>
    <w:rPr>
      <w:rFonts w:eastAsia="宋体"/>
      <w:b/>
      <w:bCs/>
      <w:kern w:val="2"/>
      <w:sz w:val="24"/>
      <w:szCs w:val="24"/>
      <w:lang w:val="en-US" w:eastAsia="zh-CN" w:bidi="ar-SA"/>
    </w:rPr>
  </w:style>
  <w:style w:type="character" w:customStyle="1" w:styleId="129">
    <w:name w:val="Head 2"/>
    <w:qFormat/>
    <w:uiPriority w:val="0"/>
    <w:rPr>
      <w:rFonts w:ascii="仿宋_GB2312"/>
      <w:bCs/>
      <w:iCs/>
      <w:sz w:val="24"/>
    </w:rPr>
  </w:style>
  <w:style w:type="character" w:customStyle="1" w:styleId="130">
    <w:name w:val="ZJ正文 Char"/>
    <w:link w:val="131"/>
    <w:qFormat/>
    <w:uiPriority w:val="0"/>
    <w:rPr>
      <w:rFonts w:ascii="Times New Roman" w:hAnsi="Times New Roman"/>
      <w:sz w:val="24"/>
      <w:szCs w:val="24"/>
    </w:rPr>
  </w:style>
  <w:style w:type="paragraph" w:customStyle="1" w:styleId="131">
    <w:name w:val="ZJ正文"/>
    <w:basedOn w:val="1"/>
    <w:link w:val="130"/>
    <w:qFormat/>
    <w:uiPriority w:val="0"/>
    <w:pPr>
      <w:spacing w:line="360" w:lineRule="auto"/>
      <w:ind w:firstLine="480" w:firstLineChars="200"/>
    </w:pPr>
    <w:rPr>
      <w:rFonts w:ascii="Times New Roman" w:hAnsi="Times New Roman"/>
      <w:kern w:val="0"/>
      <w:sz w:val="24"/>
      <w:szCs w:val="24"/>
    </w:rPr>
  </w:style>
  <w:style w:type="character" w:customStyle="1" w:styleId="132">
    <w:name w:val="t_tag"/>
    <w:basedOn w:val="63"/>
    <w:qFormat/>
    <w:uiPriority w:val="0"/>
  </w:style>
  <w:style w:type="character" w:customStyle="1" w:styleId="133">
    <w:name w:val="p71"/>
    <w:qFormat/>
    <w:uiPriority w:val="0"/>
    <w:rPr>
      <w:sz w:val="21"/>
    </w:rPr>
  </w:style>
  <w:style w:type="character" w:customStyle="1" w:styleId="134">
    <w:name w:val="文档结构图 Char1"/>
    <w:qFormat/>
    <w:uiPriority w:val="0"/>
    <w:rPr>
      <w:rFonts w:ascii="宋体" w:hAnsi="Courier New" w:eastAsia="宋体"/>
      <w:sz w:val="21"/>
      <w:lang w:val="en-US" w:eastAsia="zh-CN" w:bidi="ar-SA"/>
    </w:rPr>
  </w:style>
  <w:style w:type="character" w:customStyle="1" w:styleId="135">
    <w:name w:val="样式 小四"/>
    <w:qFormat/>
    <w:uiPriority w:val="0"/>
    <w:rPr>
      <w:sz w:val="21"/>
    </w:rPr>
  </w:style>
  <w:style w:type="character" w:customStyle="1" w:styleId="136">
    <w:name w:val="页眉 Char Char"/>
    <w:qFormat/>
    <w:uiPriority w:val="0"/>
    <w:rPr>
      <w:kern w:val="2"/>
      <w:sz w:val="18"/>
      <w:szCs w:val="18"/>
      <w:lang w:bidi="ar-SA"/>
    </w:rPr>
  </w:style>
  <w:style w:type="character" w:customStyle="1" w:styleId="137">
    <w:name w:val="font9_black_line14"/>
    <w:basedOn w:val="63"/>
    <w:qFormat/>
    <w:uiPriority w:val="0"/>
  </w:style>
  <w:style w:type="character" w:customStyle="1" w:styleId="138">
    <w:name w:val="粘贴正文 Char"/>
    <w:link w:val="139"/>
    <w:qFormat/>
    <w:uiPriority w:val="0"/>
    <w:rPr>
      <w:rFonts w:ascii="Times New Roman" w:hAnsi="Times New Roman"/>
      <w:kern w:val="2"/>
      <w:sz w:val="24"/>
      <w:szCs w:val="21"/>
      <w:lang w:val="en-US" w:eastAsia="zh-CN" w:bidi="ar-SA"/>
    </w:rPr>
  </w:style>
  <w:style w:type="paragraph" w:customStyle="1" w:styleId="139">
    <w:name w:val="粘贴正文"/>
    <w:link w:val="138"/>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0">
    <w:name w:val="tpc_content1"/>
    <w:uiPriority w:val="0"/>
    <w:rPr>
      <w:sz w:val="20"/>
      <w:szCs w:val="20"/>
    </w:rPr>
  </w:style>
  <w:style w:type="character" w:customStyle="1" w:styleId="141">
    <w:name w:val="Char Char7"/>
    <w:uiPriority w:val="0"/>
    <w:rPr>
      <w:rFonts w:eastAsia="宋体"/>
      <w:b/>
      <w:kern w:val="2"/>
      <w:sz w:val="32"/>
      <w:lang w:bidi="ar-SA"/>
    </w:rPr>
  </w:style>
  <w:style w:type="character" w:customStyle="1" w:styleId="142">
    <w:name w:val="Heading 2 Char"/>
    <w:uiPriority w:val="0"/>
    <w:rPr>
      <w:rFonts w:ascii="Cambria" w:hAnsi="Cambria" w:eastAsia="宋体" w:cs="Cambria"/>
      <w:b/>
      <w:bCs/>
      <w:sz w:val="32"/>
      <w:szCs w:val="32"/>
      <w:lang w:val="en-US" w:eastAsia="zh-CN" w:bidi="ar-SA"/>
    </w:rPr>
  </w:style>
  <w:style w:type="character" w:customStyle="1" w:styleId="143">
    <w:name w:val="maywed421"/>
    <w:uiPriority w:val="0"/>
    <w:rPr>
      <w:color w:val="366FB6"/>
      <w:u w:val="none"/>
    </w:rPr>
  </w:style>
  <w:style w:type="character" w:customStyle="1" w:styleId="144">
    <w:name w:val="表格抬头 Char"/>
    <w:link w:val="145"/>
    <w:locked/>
    <w:uiPriority w:val="0"/>
    <w:rPr>
      <w:rFonts w:ascii="黑体" w:eastAsia="黑体"/>
      <w:b/>
      <w:kern w:val="2"/>
      <w:sz w:val="21"/>
    </w:rPr>
  </w:style>
  <w:style w:type="paragraph" w:customStyle="1" w:styleId="145">
    <w:name w:val="表格抬头"/>
    <w:basedOn w:val="1"/>
    <w:link w:val="144"/>
    <w:uiPriority w:val="0"/>
    <w:pPr>
      <w:jc w:val="center"/>
    </w:pPr>
    <w:rPr>
      <w:rFonts w:ascii="黑体" w:eastAsia="黑体"/>
      <w:b/>
      <w:szCs w:val="20"/>
    </w:rPr>
  </w:style>
  <w:style w:type="character" w:customStyle="1" w:styleId="146">
    <w:name w:val="greyfont1"/>
    <w:uiPriority w:val="0"/>
    <w:rPr>
      <w:b/>
      <w:bCs/>
      <w:color w:val="666666"/>
    </w:rPr>
  </w:style>
  <w:style w:type="character" w:customStyle="1" w:styleId="147">
    <w:name w:val="pt91"/>
    <w:uiPriority w:val="0"/>
    <w:rPr>
      <w:rFonts w:hint="default"/>
      <w:spacing w:val="240"/>
      <w:sz w:val="18"/>
      <w:szCs w:val="18"/>
    </w:rPr>
  </w:style>
  <w:style w:type="character" w:customStyle="1" w:styleId="148">
    <w:name w:val="title14"/>
    <w:basedOn w:val="63"/>
    <w:uiPriority w:val="0"/>
  </w:style>
  <w:style w:type="character" w:customStyle="1" w:styleId="149">
    <w:name w:val="样式41"/>
    <w:uiPriority w:val="0"/>
    <w:rPr>
      <w:color w:val="3366CC"/>
      <w:sz w:val="21"/>
      <w:szCs w:val="21"/>
    </w:rPr>
  </w:style>
  <w:style w:type="character" w:customStyle="1" w:styleId="150">
    <w:name w:val="正文s Char"/>
    <w:link w:val="151"/>
    <w:uiPriority w:val="0"/>
    <w:rPr>
      <w:rFonts w:ascii="Arial" w:hAnsi="Arial"/>
    </w:rPr>
  </w:style>
  <w:style w:type="paragraph" w:customStyle="1" w:styleId="151">
    <w:name w:val="正文s"/>
    <w:basedOn w:val="1"/>
    <w:link w:val="150"/>
    <w:uiPriority w:val="0"/>
    <w:pPr>
      <w:spacing w:beforeLines="50" w:line="360" w:lineRule="exact"/>
      <w:ind w:left="420"/>
    </w:pPr>
    <w:rPr>
      <w:rFonts w:ascii="Arial" w:hAnsi="Arial"/>
      <w:kern w:val="0"/>
      <w:sz w:val="20"/>
      <w:szCs w:val="20"/>
    </w:rPr>
  </w:style>
  <w:style w:type="character" w:customStyle="1" w:styleId="152">
    <w:name w:val="标题 9 Char"/>
    <w:link w:val="10"/>
    <w:uiPriority w:val="0"/>
    <w:rPr>
      <w:rFonts w:ascii="Cambria" w:hAnsi="Cambria" w:eastAsia="宋体"/>
      <w:kern w:val="2"/>
      <w:sz w:val="21"/>
      <w:szCs w:val="21"/>
      <w:lang w:val="en-US" w:eastAsia="zh-CN" w:bidi="ar-SA"/>
    </w:rPr>
  </w:style>
  <w:style w:type="character" w:customStyle="1" w:styleId="153">
    <w:name w:val="浅色网格 - 强调文字颜色 3 Char1"/>
    <w:link w:val="95"/>
    <w:uiPriority w:val="0"/>
    <w:rPr>
      <w:rFonts w:eastAsia="宋体"/>
      <w:kern w:val="2"/>
      <w:sz w:val="21"/>
      <w:szCs w:val="24"/>
      <w:lang w:val="en-US" w:eastAsia="zh-CN" w:bidi="ar-SA"/>
    </w:rPr>
  </w:style>
  <w:style w:type="character" w:customStyle="1" w:styleId="154">
    <w:name w:val="b11_01b Char"/>
    <w:link w:val="155"/>
    <w:uiPriority w:val="0"/>
    <w:rPr>
      <w:rFonts w:ascii="Verdana" w:hAnsi="Verdana" w:eastAsia="宋体"/>
      <w:b/>
      <w:bCs/>
      <w:color w:val="4A82CA"/>
      <w:sz w:val="17"/>
      <w:szCs w:val="17"/>
      <w:lang w:val="en-US" w:eastAsia="zh-CN" w:bidi="ar-SA"/>
    </w:rPr>
  </w:style>
  <w:style w:type="paragraph" w:customStyle="1" w:styleId="155">
    <w:name w:val="b11_01b"/>
    <w:basedOn w:val="1"/>
    <w:next w:val="1"/>
    <w:link w:val="154"/>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6">
    <w:name w:val="列出段落 Char"/>
    <w:link w:val="157"/>
    <w:qFormat/>
    <w:uiPriority w:val="99"/>
    <w:rPr>
      <w:kern w:val="2"/>
      <w:sz w:val="21"/>
      <w:szCs w:val="22"/>
    </w:rPr>
  </w:style>
  <w:style w:type="paragraph" w:styleId="157">
    <w:name w:val="List Paragraph"/>
    <w:basedOn w:val="1"/>
    <w:link w:val="156"/>
    <w:qFormat/>
    <w:uiPriority w:val="99"/>
    <w:pPr>
      <w:ind w:firstLine="420" w:firstLineChars="200"/>
    </w:pPr>
  </w:style>
  <w:style w:type="character" w:customStyle="1" w:styleId="158">
    <w:name w:val="para"/>
    <w:basedOn w:val="63"/>
    <w:uiPriority w:val="0"/>
  </w:style>
  <w:style w:type="character" w:customStyle="1" w:styleId="159">
    <w:name w:val="文档正文1 Char Char"/>
    <w:uiPriority w:val="0"/>
    <w:rPr>
      <w:rFonts w:ascii="仿宋_GB2312" w:hAnsi="仿宋" w:eastAsia="仿宋_GB2312"/>
      <w:kern w:val="2"/>
      <w:sz w:val="30"/>
      <w:szCs w:val="30"/>
      <w:lang w:bidi="ar-SA"/>
    </w:rPr>
  </w:style>
  <w:style w:type="character" w:customStyle="1" w:styleId="160">
    <w:name w:val="脚注文本 Char"/>
    <w:link w:val="44"/>
    <w:uiPriority w:val="99"/>
    <w:rPr>
      <w:kern w:val="2"/>
      <w:sz w:val="18"/>
      <w:szCs w:val="18"/>
    </w:rPr>
  </w:style>
  <w:style w:type="character" w:customStyle="1" w:styleId="161">
    <w:name w:val="加重文字 Char"/>
    <w:link w:val="162"/>
    <w:locked/>
    <w:uiPriority w:val="0"/>
    <w:rPr>
      <w:b/>
      <w:bCs/>
      <w:kern w:val="2"/>
      <w:sz w:val="24"/>
      <w:szCs w:val="24"/>
      <w:u w:val="thick"/>
    </w:rPr>
  </w:style>
  <w:style w:type="paragraph" w:customStyle="1" w:styleId="162">
    <w:name w:val="加重文字"/>
    <w:basedOn w:val="163"/>
    <w:link w:val="161"/>
    <w:uiPriority w:val="0"/>
    <w:pPr>
      <w:ind w:firstLine="0" w:firstLineChars="0"/>
    </w:pPr>
    <w:rPr>
      <w:b/>
      <w:bCs/>
      <w:u w:val="thick"/>
    </w:rPr>
  </w:style>
  <w:style w:type="paragraph" w:customStyle="1" w:styleId="163">
    <w:name w:val="标准文本"/>
    <w:basedOn w:val="1"/>
    <w:link w:val="178"/>
    <w:uiPriority w:val="0"/>
    <w:pPr>
      <w:spacing w:line="360" w:lineRule="auto"/>
      <w:ind w:firstLine="480" w:firstLineChars="200"/>
    </w:pPr>
    <w:rPr>
      <w:sz w:val="24"/>
      <w:szCs w:val="24"/>
    </w:rPr>
  </w:style>
  <w:style w:type="character" w:customStyle="1" w:styleId="164">
    <w:name w:val="H1 Char3"/>
    <w:uiPriority w:val="0"/>
    <w:rPr>
      <w:rFonts w:eastAsia="隶书"/>
      <w:b/>
      <w:bCs/>
      <w:sz w:val="36"/>
      <w:szCs w:val="36"/>
      <w:lang w:val="en-US" w:eastAsia="zh-CN" w:bidi="ar-SA"/>
    </w:rPr>
  </w:style>
  <w:style w:type="character" w:customStyle="1" w:styleId="165">
    <w:name w:val="尾注文本 Char"/>
    <w:link w:val="36"/>
    <w:uiPriority w:val="0"/>
    <w:rPr>
      <w:rFonts w:ascii="宋体"/>
      <w:snapToGrid w:val="0"/>
      <w:sz w:val="21"/>
    </w:rPr>
  </w:style>
  <w:style w:type="character" w:customStyle="1" w:styleId="166">
    <w:name w:val="style181"/>
    <w:uiPriority w:val="0"/>
    <w:rPr>
      <w:rFonts w:hint="default" w:ascii="Arial" w:hAnsi="Arial" w:cs="Arial"/>
      <w:color w:val="000000"/>
      <w:sz w:val="18"/>
      <w:szCs w:val="18"/>
    </w:rPr>
  </w:style>
  <w:style w:type="character" w:customStyle="1" w:styleId="167">
    <w:name w:val="吉奥正文 Char2"/>
    <w:link w:val="168"/>
    <w:qFormat/>
    <w:uiPriority w:val="0"/>
    <w:rPr>
      <w:rFonts w:ascii="Times New Roman" w:hAnsi="Times New Roman" w:eastAsia="仿宋_GB2312"/>
      <w:sz w:val="24"/>
    </w:rPr>
  </w:style>
  <w:style w:type="paragraph" w:customStyle="1" w:styleId="168">
    <w:name w:val="吉奥正文"/>
    <w:basedOn w:val="1"/>
    <w:link w:val="167"/>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69">
    <w:name w:val="flname7"/>
    <w:basedOn w:val="63"/>
    <w:uiPriority w:val="0"/>
  </w:style>
  <w:style w:type="character" w:customStyle="1" w:styleId="170">
    <w:name w:val="header odd Char Char1"/>
    <w:uiPriority w:val="0"/>
    <w:rPr>
      <w:rFonts w:eastAsia="宋体"/>
      <w:kern w:val="2"/>
      <w:sz w:val="18"/>
      <w:szCs w:val="18"/>
      <w:lang w:val="en-US" w:eastAsia="zh-CN" w:bidi="ar-SA"/>
    </w:rPr>
  </w:style>
  <w:style w:type="character" w:customStyle="1" w:styleId="171">
    <w:name w:val="一级标题 Char Char"/>
    <w:uiPriority w:val="0"/>
    <w:rPr>
      <w:rFonts w:eastAsia="仿宋"/>
      <w:b/>
      <w:kern w:val="44"/>
      <w:sz w:val="28"/>
      <w:lang w:val="en-US" w:eastAsia="zh-CN" w:bidi="ar-SA"/>
    </w:rPr>
  </w:style>
  <w:style w:type="character" w:customStyle="1" w:styleId="172">
    <w:name w:val="Char Char12"/>
    <w:uiPriority w:val="0"/>
    <w:rPr>
      <w:rFonts w:ascii="宋体" w:hAnsi="Courier New" w:eastAsia="宋体" w:cs="Times New Roman"/>
      <w:spacing w:val="-4"/>
      <w:sz w:val="18"/>
      <w:szCs w:val="20"/>
    </w:rPr>
  </w:style>
  <w:style w:type="character" w:customStyle="1" w:styleId="173">
    <w:name w:val="标题 Char"/>
    <w:link w:val="54"/>
    <w:uiPriority w:val="0"/>
    <w:rPr>
      <w:rFonts w:ascii="Arial" w:hAnsi="Arial" w:cs="Arial"/>
      <w:b/>
      <w:bCs/>
      <w:kern w:val="2"/>
      <w:sz w:val="32"/>
      <w:szCs w:val="32"/>
    </w:rPr>
  </w:style>
  <w:style w:type="character" w:customStyle="1" w:styleId="174">
    <w:name w:val="标题 5 Char"/>
    <w:link w:val="6"/>
    <w:uiPriority w:val="9"/>
    <w:rPr>
      <w:rFonts w:eastAsia="宋体"/>
      <w:b/>
      <w:bCs/>
      <w:kern w:val="2"/>
      <w:sz w:val="28"/>
      <w:szCs w:val="28"/>
      <w:lang w:bidi="ar-SA"/>
    </w:rPr>
  </w:style>
  <w:style w:type="character" w:customStyle="1" w:styleId="175">
    <w:name w:val="huide001"/>
    <w:uiPriority w:val="0"/>
    <w:rPr>
      <w:rFonts w:hint="default" w:ascii="Arial" w:hAnsi="Arial" w:cs="Arial"/>
      <w:color w:val="666666"/>
      <w:sz w:val="18"/>
      <w:szCs w:val="18"/>
    </w:rPr>
  </w:style>
  <w:style w:type="character" w:customStyle="1" w:styleId="176">
    <w:name w:val="Title Char"/>
    <w:uiPriority w:val="0"/>
    <w:rPr>
      <w:rFonts w:ascii="Cambria" w:hAnsi="Cambria" w:eastAsia="宋体" w:cs="Cambria"/>
      <w:b/>
      <w:bCs/>
      <w:sz w:val="32"/>
      <w:szCs w:val="32"/>
      <w:lang w:val="en-US" w:eastAsia="zh-CN" w:bidi="ar-SA"/>
    </w:rPr>
  </w:style>
  <w:style w:type="character" w:customStyle="1" w:styleId="177">
    <w:name w:val="text_show1"/>
    <w:uiPriority w:val="0"/>
    <w:rPr>
      <w:color w:val="000000"/>
      <w:sz w:val="21"/>
      <w:szCs w:val="21"/>
      <w:u w:val="none"/>
    </w:rPr>
  </w:style>
  <w:style w:type="character" w:customStyle="1" w:styleId="178">
    <w:name w:val="标准文本 Char"/>
    <w:link w:val="163"/>
    <w:locked/>
    <w:uiPriority w:val="0"/>
    <w:rPr>
      <w:kern w:val="2"/>
      <w:sz w:val="24"/>
      <w:szCs w:val="24"/>
    </w:rPr>
  </w:style>
  <w:style w:type="character" w:customStyle="1" w:styleId="179">
    <w:name w:val="Char Char4"/>
    <w:uiPriority w:val="0"/>
    <w:rPr>
      <w:rFonts w:ascii="Calibri" w:hAnsi="Calibri" w:eastAsia="宋体"/>
      <w:sz w:val="18"/>
      <w:szCs w:val="18"/>
      <w:lang w:bidi="ar-SA"/>
    </w:rPr>
  </w:style>
  <w:style w:type="character" w:customStyle="1" w:styleId="180">
    <w:name w:val="Char Char141"/>
    <w:uiPriority w:val="0"/>
    <w:rPr>
      <w:rFonts w:ascii="楷体_GB2312" w:eastAsia="楷体_GB2312"/>
      <w:kern w:val="2"/>
      <w:sz w:val="32"/>
      <w:lang w:val="en-US" w:eastAsia="zh-CN" w:bidi="ar-SA"/>
    </w:rPr>
  </w:style>
  <w:style w:type="character" w:customStyle="1" w:styleId="181">
    <w:name w:val="Header Char"/>
    <w:semiHidden/>
    <w:locked/>
    <w:uiPriority w:val="0"/>
    <w:rPr>
      <w:rFonts w:ascii="Times New Roman" w:hAnsi="Times New Roman" w:eastAsia="宋体" w:cs="Times New Roman"/>
      <w:sz w:val="18"/>
      <w:szCs w:val="18"/>
    </w:rPr>
  </w:style>
  <w:style w:type="character" w:customStyle="1" w:styleId="182">
    <w:name w:val="p21"/>
    <w:uiPriority w:val="0"/>
    <w:rPr>
      <w:rFonts w:hint="default" w:ascii="Arial" w:hAnsi="Arial"/>
      <w:color w:val="333333"/>
      <w:sz w:val="18"/>
      <w:u w:val="none"/>
    </w:rPr>
  </w:style>
  <w:style w:type="character" w:customStyle="1" w:styleId="183">
    <w:name w:val="Footer Char"/>
    <w:semiHidden/>
    <w:locked/>
    <w:uiPriority w:val="0"/>
    <w:rPr>
      <w:rFonts w:ascii="Times New Roman" w:hAnsi="Times New Roman" w:eastAsia="宋体" w:cs="Times New Roman"/>
      <w:sz w:val="18"/>
      <w:szCs w:val="18"/>
    </w:rPr>
  </w:style>
  <w:style w:type="character" w:customStyle="1" w:styleId="184">
    <w:name w:val="Normal Indent Char Char"/>
    <w:uiPriority w:val="0"/>
    <w:rPr>
      <w:rFonts w:eastAsia="宋体"/>
      <w:kern w:val="2"/>
      <w:sz w:val="21"/>
      <w:szCs w:val="24"/>
      <w:lang w:val="en-US" w:eastAsia="zh-CN" w:bidi="ar-SA"/>
    </w:rPr>
  </w:style>
  <w:style w:type="character" w:customStyle="1" w:styleId="185">
    <w:name w:val="Char Char8"/>
    <w:uiPriority w:val="0"/>
    <w:rPr>
      <w:rFonts w:ascii="Arial" w:hAnsi="Arial" w:eastAsia="黑体"/>
      <w:b/>
      <w:bCs/>
      <w:kern w:val="2"/>
      <w:sz w:val="32"/>
      <w:szCs w:val="32"/>
      <w:lang w:val="en-US" w:eastAsia="zh-CN" w:bidi="ar-SA"/>
    </w:rPr>
  </w:style>
  <w:style w:type="character" w:customStyle="1" w:styleId="186">
    <w:name w:val="List Paragraph Char"/>
    <w:link w:val="187"/>
    <w:locked/>
    <w:uiPriority w:val="0"/>
    <w:rPr>
      <w:rFonts w:ascii="Times New Roman" w:hAnsi="Times New Roman"/>
      <w:kern w:val="2"/>
      <w:sz w:val="21"/>
      <w:szCs w:val="24"/>
    </w:rPr>
  </w:style>
  <w:style w:type="paragraph" w:customStyle="1" w:styleId="187">
    <w:name w:val="列出段落1"/>
    <w:basedOn w:val="1"/>
    <w:link w:val="186"/>
    <w:qFormat/>
    <w:uiPriority w:val="99"/>
    <w:pPr>
      <w:ind w:firstLine="420" w:firstLineChars="200"/>
    </w:pPr>
    <w:rPr>
      <w:rFonts w:ascii="Times New Roman" w:hAnsi="Times New Roman"/>
      <w:szCs w:val="24"/>
    </w:rPr>
  </w:style>
  <w:style w:type="character" w:customStyle="1" w:styleId="188">
    <w:name w:val="Balloon Text Char"/>
    <w:semiHidden/>
    <w:locked/>
    <w:uiPriority w:val="0"/>
    <w:rPr>
      <w:rFonts w:ascii="Times New Roman" w:hAnsi="Times New Roman" w:eastAsia="宋体" w:cs="Times New Roman"/>
      <w:sz w:val="18"/>
      <w:szCs w:val="18"/>
    </w:rPr>
  </w:style>
  <w:style w:type="character" w:customStyle="1" w:styleId="189">
    <w:name w:val="书籍标题1"/>
    <w:qFormat/>
    <w:uiPriority w:val="33"/>
    <w:rPr>
      <w:b/>
      <w:bCs/>
      <w:smallCaps/>
      <w:spacing w:val="5"/>
    </w:rPr>
  </w:style>
  <w:style w:type="character" w:customStyle="1" w:styleId="190">
    <w:name w:val="标题 1 Char"/>
    <w:link w:val="2"/>
    <w:qFormat/>
    <w:uiPriority w:val="9"/>
    <w:rPr>
      <w:rFonts w:eastAsia="隶书"/>
      <w:b/>
      <w:bCs/>
      <w:sz w:val="36"/>
      <w:szCs w:val="36"/>
      <w:lang w:val="en-US" w:eastAsia="zh-CN" w:bidi="ar-SA"/>
    </w:rPr>
  </w:style>
  <w:style w:type="character" w:customStyle="1" w:styleId="191">
    <w:name w:val="tw4winMark"/>
    <w:uiPriority w:val="0"/>
    <w:rPr>
      <w:rFonts w:ascii="Courier New" w:hAnsi="Courier New"/>
      <w:vanish/>
      <w:color w:val="800080"/>
      <w:vertAlign w:val="subscript"/>
    </w:rPr>
  </w:style>
  <w:style w:type="character" w:customStyle="1" w:styleId="192">
    <w:name w:val="Item List in Table Char Char"/>
    <w:link w:val="193"/>
    <w:locked/>
    <w:uiPriority w:val="0"/>
    <w:rPr>
      <w:rFonts w:ascii="Arial" w:hAnsi="Arial"/>
      <w:sz w:val="18"/>
      <w:szCs w:val="18"/>
    </w:rPr>
  </w:style>
  <w:style w:type="paragraph" w:customStyle="1" w:styleId="193">
    <w:name w:val="Item List in Table"/>
    <w:link w:val="192"/>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4">
    <w:name w:val="Char Char2"/>
    <w:uiPriority w:val="0"/>
    <w:rPr>
      <w:rFonts w:ascii="宋体" w:hAnsi="Courier New" w:eastAsia="宋体"/>
      <w:sz w:val="21"/>
      <w:lang w:val="en-US" w:eastAsia="zh-CN" w:bidi="ar-SA"/>
    </w:rPr>
  </w:style>
  <w:style w:type="character" w:customStyle="1" w:styleId="195">
    <w:name w:val="正文文本 Char"/>
    <w:link w:val="24"/>
    <w:qFormat/>
    <w:uiPriority w:val="0"/>
    <w:rPr>
      <w:rFonts w:eastAsia="宋体"/>
      <w:kern w:val="2"/>
      <w:sz w:val="28"/>
      <w:szCs w:val="24"/>
      <w:lang w:val="en-US" w:eastAsia="zh-CN" w:bidi="ar-SA"/>
    </w:rPr>
  </w:style>
  <w:style w:type="character" w:customStyle="1" w:styleId="196">
    <w:name w:val="paragraph1 Char Char"/>
    <w:uiPriority w:val="0"/>
    <w:rPr>
      <w:rFonts w:eastAsia="楷体_GB2312"/>
      <w:kern w:val="2"/>
      <w:sz w:val="24"/>
      <w:lang w:val="en-US" w:eastAsia="zh-CN" w:bidi="ar-SA"/>
    </w:rPr>
  </w:style>
  <w:style w:type="character" w:customStyle="1" w:styleId="197">
    <w:name w:val="正文首行缩进 Char"/>
    <w:link w:val="56"/>
    <w:uiPriority w:val="0"/>
    <w:rPr>
      <w:rFonts w:ascii="Calibri" w:hAnsi="Calibri" w:eastAsia="宋体"/>
      <w:kern w:val="2"/>
      <w:sz w:val="21"/>
      <w:szCs w:val="22"/>
      <w:lang w:val="en-US" w:eastAsia="zh-CN" w:bidi="ar-SA"/>
    </w:rPr>
  </w:style>
  <w:style w:type="character" w:customStyle="1" w:styleId="198">
    <w:name w:val="grame"/>
    <w:basedOn w:val="63"/>
    <w:uiPriority w:val="0"/>
  </w:style>
  <w:style w:type="character" w:customStyle="1" w:styleId="199">
    <w:name w:val="Char Char5"/>
    <w:uiPriority w:val="0"/>
    <w:rPr>
      <w:rFonts w:ascii="Calibri" w:hAnsi="Calibri" w:eastAsia="宋体"/>
      <w:sz w:val="18"/>
      <w:szCs w:val="18"/>
      <w:lang w:bidi="ar-SA"/>
    </w:rPr>
  </w:style>
  <w:style w:type="character" w:customStyle="1" w:styleId="200">
    <w:name w:val="fontdz1"/>
    <w:uiPriority w:val="0"/>
    <w:rPr>
      <w:sz w:val="18"/>
      <w:szCs w:val="18"/>
    </w:rPr>
  </w:style>
  <w:style w:type="character" w:customStyle="1" w:styleId="201">
    <w:name w:val="自定义正文 Char"/>
    <w:link w:val="202"/>
    <w:uiPriority w:val="0"/>
    <w:rPr>
      <w:rFonts w:ascii="仿宋_GB2312" w:eastAsia="仿宋_GB2312"/>
      <w:kern w:val="2"/>
      <w:sz w:val="28"/>
      <w:szCs w:val="24"/>
    </w:rPr>
  </w:style>
  <w:style w:type="paragraph" w:customStyle="1" w:styleId="202">
    <w:name w:val="自定义正文"/>
    <w:basedOn w:val="1"/>
    <w:link w:val="201"/>
    <w:uiPriority w:val="0"/>
    <w:pPr>
      <w:spacing w:before="120" w:after="120" w:line="480" w:lineRule="exact"/>
      <w:ind w:firstLine="200" w:firstLineChars="200"/>
      <w:jc w:val="left"/>
    </w:pPr>
    <w:rPr>
      <w:rFonts w:ascii="仿宋_GB2312" w:eastAsia="仿宋_GB2312"/>
      <w:sz w:val="28"/>
      <w:szCs w:val="24"/>
    </w:rPr>
  </w:style>
  <w:style w:type="character" w:customStyle="1" w:styleId="203">
    <w:name w:val="公文正文 Char"/>
    <w:link w:val="204"/>
    <w:uiPriority w:val="0"/>
    <w:rPr>
      <w:rFonts w:ascii="仿宋_GB2312" w:eastAsia="仿宋_GB2312"/>
      <w:kern w:val="2"/>
      <w:sz w:val="24"/>
      <w:szCs w:val="24"/>
      <w:lang w:val="en-US" w:eastAsia="zh-CN" w:bidi="ar-SA"/>
    </w:rPr>
  </w:style>
  <w:style w:type="paragraph" w:customStyle="1" w:styleId="204">
    <w:name w:val="公文正文"/>
    <w:basedOn w:val="1"/>
    <w:link w:val="203"/>
    <w:uiPriority w:val="0"/>
    <w:pPr>
      <w:spacing w:before="156" w:line="360" w:lineRule="auto"/>
      <w:ind w:firstLine="360" w:firstLineChars="200"/>
    </w:pPr>
    <w:rPr>
      <w:rFonts w:ascii="仿宋_GB2312" w:eastAsia="仿宋_GB2312"/>
      <w:sz w:val="24"/>
      <w:szCs w:val="24"/>
    </w:rPr>
  </w:style>
  <w:style w:type="character" w:customStyle="1" w:styleId="205">
    <w:name w:val="Char Char14"/>
    <w:uiPriority w:val="0"/>
    <w:rPr>
      <w:rFonts w:ascii="Calibri" w:hAnsi="Calibri" w:eastAsia="宋体" w:cs="Times New Roman"/>
      <w:b/>
      <w:bCs/>
      <w:sz w:val="28"/>
      <w:szCs w:val="28"/>
    </w:rPr>
  </w:style>
  <w:style w:type="character" w:customStyle="1" w:styleId="206">
    <w:name w:val="列表1、 Char Char"/>
    <w:uiPriority w:val="0"/>
    <w:rPr>
      <w:rFonts w:ascii="仿宋" w:hAnsi="仿宋" w:eastAsia="仿宋"/>
      <w:kern w:val="2"/>
      <w:sz w:val="28"/>
      <w:szCs w:val="21"/>
      <w:lang w:bidi="ar-SA"/>
    </w:rPr>
  </w:style>
  <w:style w:type="character" w:customStyle="1" w:styleId="207">
    <w:name w:val="批注文字 Char"/>
    <w:link w:val="21"/>
    <w:qFormat/>
    <w:uiPriority w:val="99"/>
    <w:rPr>
      <w:kern w:val="2"/>
      <w:sz w:val="21"/>
      <w:szCs w:val="22"/>
    </w:rPr>
  </w:style>
  <w:style w:type="character" w:customStyle="1" w:styleId="208">
    <w:name w:val="批注主题 Char"/>
    <w:link w:val="209"/>
    <w:qFormat/>
    <w:uiPriority w:val="99"/>
    <w:rPr>
      <w:b/>
      <w:bCs/>
    </w:rPr>
  </w:style>
  <w:style w:type="paragraph" w:customStyle="1" w:styleId="209">
    <w:name w:val="批注主题1"/>
    <w:basedOn w:val="21"/>
    <w:next w:val="21"/>
    <w:link w:val="208"/>
    <w:uiPriority w:val="0"/>
    <w:rPr>
      <w:b/>
      <w:bCs/>
      <w:kern w:val="0"/>
      <w:sz w:val="20"/>
      <w:szCs w:val="20"/>
    </w:rPr>
  </w:style>
  <w:style w:type="character" w:customStyle="1" w:styleId="210">
    <w:name w:val="表名 Char"/>
    <w:uiPriority w:val="0"/>
    <w:rPr>
      <w:rFonts w:ascii="Arial" w:hAnsi="Arial" w:eastAsia="黑体"/>
      <w:sz w:val="24"/>
      <w:szCs w:val="24"/>
    </w:rPr>
  </w:style>
  <w:style w:type="character" w:customStyle="1" w:styleId="211">
    <w:name w:val="ZJ图表 Char"/>
    <w:link w:val="212"/>
    <w:uiPriority w:val="0"/>
    <w:rPr>
      <w:rFonts w:ascii="Times New Roman" w:hAnsi="Times New Roman" w:eastAsia="黑体"/>
      <w:color w:val="000000"/>
      <w:sz w:val="24"/>
      <w:szCs w:val="24"/>
    </w:rPr>
  </w:style>
  <w:style w:type="paragraph" w:customStyle="1" w:styleId="212">
    <w:name w:val="ZJ图表"/>
    <w:basedOn w:val="8"/>
    <w:link w:val="211"/>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3">
    <w:name w:val="h Char"/>
    <w:uiPriority w:val="0"/>
    <w:rPr>
      <w:rFonts w:ascii="Calibri" w:hAnsi="Calibri" w:eastAsia="宋体" w:cs="Times New Roman"/>
      <w:sz w:val="18"/>
      <w:szCs w:val="18"/>
    </w:rPr>
  </w:style>
  <w:style w:type="character" w:customStyle="1" w:styleId="214">
    <w:name w:val="标题 2 Char1"/>
    <w:link w:val="3"/>
    <w:uiPriority w:val="0"/>
    <w:rPr>
      <w:rFonts w:ascii="Arial" w:hAnsi="Arial" w:eastAsia="黑体"/>
      <w:b/>
      <w:bCs/>
      <w:kern w:val="2"/>
      <w:sz w:val="32"/>
      <w:szCs w:val="32"/>
      <w:lang w:val="en-US" w:eastAsia="zh-CN" w:bidi="ar-SA"/>
    </w:rPr>
  </w:style>
  <w:style w:type="character" w:customStyle="1" w:styleId="215">
    <w:name w:val="z-窗体底端 Char"/>
    <w:link w:val="216"/>
    <w:uiPriority w:val="0"/>
    <w:rPr>
      <w:rFonts w:ascii="Arial" w:hAnsi="Arial" w:cs="Arial"/>
      <w:vanish/>
      <w:sz w:val="16"/>
      <w:szCs w:val="16"/>
    </w:rPr>
  </w:style>
  <w:style w:type="paragraph" w:customStyle="1" w:styleId="216">
    <w:name w:val="z-窗体底端1"/>
    <w:basedOn w:val="1"/>
    <w:next w:val="1"/>
    <w:link w:val="215"/>
    <w:uiPriority w:val="0"/>
    <w:pPr>
      <w:widowControl/>
      <w:pBdr>
        <w:top w:val="single" w:color="auto" w:sz="6" w:space="1"/>
      </w:pBdr>
      <w:jc w:val="center"/>
    </w:pPr>
    <w:rPr>
      <w:rFonts w:ascii="Arial" w:hAnsi="Arial"/>
      <w:vanish/>
      <w:kern w:val="0"/>
      <w:sz w:val="16"/>
      <w:szCs w:val="16"/>
    </w:rPr>
  </w:style>
  <w:style w:type="character" w:customStyle="1" w:styleId="217">
    <w:name w:val="title_sub_blue1"/>
    <w:uiPriority w:val="0"/>
    <w:rPr>
      <w:rFonts w:hint="default" w:ascii="Arial" w:hAnsi="Arial"/>
      <w:b/>
      <w:color w:val="16344F"/>
      <w:spacing w:val="15"/>
      <w:sz w:val="18"/>
      <w:u w:val="none"/>
    </w:rPr>
  </w:style>
  <w:style w:type="character" w:customStyle="1" w:styleId="218">
    <w:name w:val="二级标题 Char Char"/>
    <w:uiPriority w:val="0"/>
    <w:rPr>
      <w:rFonts w:eastAsia="仿宋"/>
      <w:b/>
      <w:sz w:val="28"/>
      <w:lang w:val="en-US" w:eastAsia="zh-CN" w:bidi="ar-SA"/>
    </w:rPr>
  </w:style>
  <w:style w:type="character" w:customStyle="1" w:styleId="219">
    <w:name w:val="明显参考1"/>
    <w:qFormat/>
    <w:uiPriority w:val="0"/>
    <w:rPr>
      <w:b/>
      <w:sz w:val="24"/>
      <w:u w:val="single"/>
    </w:rPr>
  </w:style>
  <w:style w:type="character" w:customStyle="1" w:styleId="220">
    <w:name w:val="正文文本 3 Char"/>
    <w:link w:val="23"/>
    <w:uiPriority w:val="0"/>
    <w:rPr>
      <w:rFonts w:ascii="Times New Roman" w:hAnsi="宋体" w:eastAsia="仿宋_GB2312"/>
      <w:b/>
      <w:bCs/>
      <w:kern w:val="2"/>
      <w:sz w:val="24"/>
    </w:rPr>
  </w:style>
  <w:style w:type="character" w:customStyle="1" w:styleId="221">
    <w:name w:val="中等深浅网格 11"/>
    <w:semiHidden/>
    <w:uiPriority w:val="0"/>
    <w:rPr>
      <w:color w:val="808080"/>
    </w:rPr>
  </w:style>
  <w:style w:type="character" w:customStyle="1" w:styleId="222">
    <w:name w:val="Char Char9"/>
    <w:uiPriority w:val="0"/>
    <w:rPr>
      <w:rFonts w:eastAsia="宋体"/>
      <w:b/>
      <w:kern w:val="44"/>
      <w:sz w:val="44"/>
      <w:lang w:bidi="ar-SA"/>
    </w:rPr>
  </w:style>
  <w:style w:type="character" w:customStyle="1" w:styleId="223">
    <w:name w:val="正文文本缩进 Char1"/>
    <w:uiPriority w:val="99"/>
    <w:rPr>
      <w:rFonts w:ascii="Times New Roman" w:hAnsi="Times New Roman" w:eastAsia="宋体" w:cs="Times New Roman"/>
      <w:sz w:val="28"/>
      <w:szCs w:val="20"/>
    </w:rPr>
  </w:style>
  <w:style w:type="character" w:customStyle="1" w:styleId="22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5">
    <w:name w:val="大标题 Char"/>
    <w:link w:val="226"/>
    <w:uiPriority w:val="0"/>
    <w:rPr>
      <w:b/>
      <w:sz w:val="28"/>
      <w:lang w:val="en-US" w:eastAsia="zh-CN" w:bidi="ar-SA"/>
    </w:rPr>
  </w:style>
  <w:style w:type="paragraph" w:customStyle="1" w:styleId="226">
    <w:name w:val="大标题"/>
    <w:next w:val="1"/>
    <w:link w:val="225"/>
    <w:uiPriority w:val="0"/>
    <w:pPr>
      <w:spacing w:before="120" w:after="120" w:line="360" w:lineRule="auto"/>
    </w:pPr>
    <w:rPr>
      <w:rFonts w:ascii="Calibri" w:hAnsi="Calibri" w:eastAsia="宋体" w:cs="Times New Roman"/>
      <w:b/>
      <w:sz w:val="28"/>
      <w:lang w:val="en-US" w:eastAsia="zh-CN" w:bidi="ar-SA"/>
    </w:rPr>
  </w:style>
  <w:style w:type="character" w:customStyle="1" w:styleId="227">
    <w:name w:val="样式4 Char Char"/>
    <w:uiPriority w:val="0"/>
    <w:rPr>
      <w:rFonts w:ascii="Calibri" w:hAnsi="Calibri" w:eastAsia="宋体"/>
      <w:kern w:val="2"/>
      <w:sz w:val="24"/>
      <w:szCs w:val="22"/>
      <w:lang w:val="en-US" w:eastAsia="zh-CN" w:bidi="ar-SA"/>
    </w:rPr>
  </w:style>
  <w:style w:type="character" w:customStyle="1" w:styleId="228">
    <w:name w:val="正文文本缩进 Char"/>
    <w:link w:val="25"/>
    <w:uiPriority w:val="0"/>
    <w:rPr>
      <w:rFonts w:ascii="宋体" w:hAnsi="Courier New" w:eastAsia="宋体"/>
      <w:spacing w:val="-4"/>
      <w:kern w:val="2"/>
      <w:sz w:val="18"/>
      <w:lang w:val="en-US" w:eastAsia="zh-CN" w:bidi="ar-SA"/>
    </w:rPr>
  </w:style>
  <w:style w:type="character" w:customStyle="1" w:styleId="229">
    <w:name w:val="正文（首行缩进2字符） Char Char"/>
    <w:link w:val="230"/>
    <w:uiPriority w:val="0"/>
    <w:rPr>
      <w:szCs w:val="21"/>
    </w:rPr>
  </w:style>
  <w:style w:type="paragraph" w:customStyle="1" w:styleId="230">
    <w:name w:val="正文（首行缩进2字符）"/>
    <w:basedOn w:val="1"/>
    <w:link w:val="229"/>
    <w:uiPriority w:val="0"/>
    <w:pPr>
      <w:spacing w:line="360" w:lineRule="auto"/>
      <w:ind w:firstLine="420" w:firstLineChars="200"/>
    </w:pPr>
    <w:rPr>
      <w:kern w:val="0"/>
      <w:sz w:val="20"/>
      <w:szCs w:val="21"/>
    </w:rPr>
  </w:style>
  <w:style w:type="character" w:customStyle="1" w:styleId="231">
    <w:name w:val="tw4winPopup"/>
    <w:uiPriority w:val="0"/>
    <w:rPr>
      <w:rFonts w:ascii="Courier New" w:hAnsi="Courier New"/>
      <w:color w:val="008000"/>
    </w:rPr>
  </w:style>
  <w:style w:type="character" w:customStyle="1" w:styleId="232">
    <w:name w:val="页脚 Char1"/>
    <w:link w:val="38"/>
    <w:uiPriority w:val="99"/>
    <w:rPr>
      <w:kern w:val="2"/>
      <w:sz w:val="18"/>
      <w:szCs w:val="18"/>
    </w:rPr>
  </w:style>
  <w:style w:type="character" w:customStyle="1" w:styleId="233">
    <w:name w:val="浅色网格 - 强调文字颜色 3 Char"/>
    <w:locked/>
    <w:uiPriority w:val="0"/>
    <w:rPr>
      <w:rFonts w:ascii="Calibri" w:hAnsi="Calibri" w:eastAsia="宋体" w:cs="Times New Roman"/>
    </w:rPr>
  </w:style>
  <w:style w:type="character" w:customStyle="1" w:styleId="234">
    <w:name w:val="Char Char21"/>
    <w:uiPriority w:val="0"/>
    <w:rPr>
      <w:rFonts w:ascii="宋体" w:hAnsi="Courier New" w:eastAsia="宋体"/>
      <w:sz w:val="21"/>
      <w:lang w:val="en-US" w:eastAsia="zh-CN" w:bidi="ar-SA"/>
    </w:rPr>
  </w:style>
  <w:style w:type="character" w:customStyle="1" w:styleId="235">
    <w:name w:val="H2 Char3"/>
    <w:uiPriority w:val="0"/>
    <w:rPr>
      <w:rFonts w:ascii="Arial" w:hAnsi="Arial" w:eastAsia="黑体"/>
      <w:b/>
      <w:bCs/>
      <w:kern w:val="2"/>
      <w:sz w:val="32"/>
      <w:szCs w:val="32"/>
      <w:lang w:val="en-US" w:eastAsia="zh-CN" w:bidi="ar-SA"/>
    </w:rPr>
  </w:style>
  <w:style w:type="character" w:customStyle="1" w:styleId="236">
    <w:name w:val="新昌图表 Char"/>
    <w:link w:val="237"/>
    <w:uiPriority w:val="0"/>
    <w:rPr>
      <w:rFonts w:ascii="Times New Roman" w:hAnsi="Times New Roman" w:eastAsia="黑体"/>
      <w:color w:val="000000"/>
      <w:sz w:val="24"/>
      <w:szCs w:val="24"/>
    </w:rPr>
  </w:style>
  <w:style w:type="paragraph" w:customStyle="1" w:styleId="237">
    <w:name w:val="新昌图表"/>
    <w:basedOn w:val="1"/>
    <w:link w:val="236"/>
    <w:qFormat/>
    <w:uiPriority w:val="0"/>
    <w:pPr>
      <w:jc w:val="center"/>
    </w:pPr>
    <w:rPr>
      <w:rFonts w:ascii="Times New Roman" w:hAnsi="Times New Roman" w:eastAsia="黑体"/>
      <w:color w:val="000000"/>
      <w:kern w:val="0"/>
      <w:sz w:val="24"/>
      <w:szCs w:val="24"/>
    </w:rPr>
  </w:style>
  <w:style w:type="character" w:customStyle="1" w:styleId="238">
    <w:name w:val="Char Char142"/>
    <w:locked/>
    <w:uiPriority w:val="0"/>
    <w:rPr>
      <w:rFonts w:ascii="楷体_GB2312" w:eastAsia="楷体_GB2312"/>
      <w:kern w:val="2"/>
      <w:sz w:val="32"/>
      <w:lang w:val="en-US" w:eastAsia="zh-CN" w:bidi="ar-SA"/>
    </w:rPr>
  </w:style>
  <w:style w:type="character" w:customStyle="1" w:styleId="239">
    <w:name w:val="tw4winError"/>
    <w:uiPriority w:val="0"/>
    <w:rPr>
      <w:rFonts w:ascii="Courier New" w:hAnsi="Courier New"/>
      <w:color w:val="00FF00"/>
      <w:sz w:val="40"/>
    </w:rPr>
  </w:style>
  <w:style w:type="character" w:customStyle="1" w:styleId="240">
    <w:name w:val="正文4 Char"/>
    <w:link w:val="241"/>
    <w:uiPriority w:val="0"/>
    <w:rPr>
      <w:kern w:val="2"/>
      <w:sz w:val="24"/>
      <w:szCs w:val="24"/>
    </w:rPr>
  </w:style>
  <w:style w:type="paragraph" w:customStyle="1" w:styleId="241">
    <w:name w:val="正文4"/>
    <w:basedOn w:val="1"/>
    <w:link w:val="240"/>
    <w:uiPriority w:val="0"/>
    <w:pPr>
      <w:numPr>
        <w:ilvl w:val="0"/>
        <w:numId w:val="8"/>
      </w:numPr>
      <w:spacing w:before="60" w:after="60" w:line="360" w:lineRule="auto"/>
      <w:ind w:firstLine="0"/>
    </w:pPr>
    <w:rPr>
      <w:sz w:val="24"/>
      <w:szCs w:val="24"/>
    </w:rPr>
  </w:style>
  <w:style w:type="character" w:customStyle="1" w:styleId="242">
    <w:name w:val="z-窗体顶端 Char"/>
    <w:link w:val="243"/>
    <w:uiPriority w:val="0"/>
    <w:rPr>
      <w:rFonts w:ascii="Arial" w:hAnsi="Arial" w:cs="Arial"/>
      <w:vanish/>
      <w:sz w:val="16"/>
      <w:szCs w:val="16"/>
    </w:rPr>
  </w:style>
  <w:style w:type="paragraph" w:customStyle="1" w:styleId="243">
    <w:name w:val="z-窗体顶端1"/>
    <w:basedOn w:val="1"/>
    <w:next w:val="1"/>
    <w:link w:val="242"/>
    <w:uiPriority w:val="0"/>
    <w:pPr>
      <w:widowControl/>
      <w:pBdr>
        <w:bottom w:val="single" w:color="auto" w:sz="6" w:space="1"/>
      </w:pBdr>
      <w:jc w:val="center"/>
    </w:pPr>
    <w:rPr>
      <w:rFonts w:ascii="Arial" w:hAnsi="Arial"/>
      <w:vanish/>
      <w:kern w:val="0"/>
      <w:sz w:val="16"/>
      <w:szCs w:val="16"/>
    </w:rPr>
  </w:style>
  <w:style w:type="character" w:customStyle="1" w:styleId="244">
    <w:name w:val="衢州正文 Char"/>
    <w:link w:val="245"/>
    <w:uiPriority w:val="0"/>
    <w:rPr>
      <w:rFonts w:ascii="Times New Roman" w:hAnsi="宋体"/>
      <w:sz w:val="24"/>
      <w:szCs w:val="24"/>
    </w:rPr>
  </w:style>
  <w:style w:type="paragraph" w:customStyle="1" w:styleId="245">
    <w:name w:val="衢州正文"/>
    <w:basedOn w:val="1"/>
    <w:link w:val="244"/>
    <w:qFormat/>
    <w:uiPriority w:val="0"/>
    <w:pPr>
      <w:spacing w:line="360" w:lineRule="auto"/>
      <w:ind w:firstLine="480" w:firstLineChars="200"/>
    </w:pPr>
    <w:rPr>
      <w:rFonts w:ascii="Times New Roman" w:hAnsi="宋体"/>
      <w:kern w:val="0"/>
      <w:sz w:val="24"/>
      <w:szCs w:val="24"/>
    </w:rPr>
  </w:style>
  <w:style w:type="character" w:customStyle="1" w:styleId="246">
    <w:name w:val="公文正文 Char Char"/>
    <w:uiPriority w:val="0"/>
    <w:rPr>
      <w:rFonts w:ascii="仿宋_GB2312" w:eastAsia="仿宋_GB2312"/>
      <w:kern w:val="2"/>
      <w:sz w:val="24"/>
      <w:szCs w:val="24"/>
      <w:lang w:val="en-US" w:eastAsia="zh-CN" w:bidi="ar-SA"/>
    </w:rPr>
  </w:style>
  <w:style w:type="character" w:customStyle="1" w:styleId="247">
    <w:name w:val="css21"/>
    <w:uiPriority w:val="0"/>
    <w:rPr>
      <w:sz w:val="18"/>
    </w:rPr>
  </w:style>
  <w:style w:type="character" w:customStyle="1" w:styleId="248">
    <w:name w:val="样式(-) Char Char"/>
    <w:uiPriority w:val="0"/>
    <w:rPr>
      <w:rFonts w:ascii="Calibri" w:hAnsi="Calibri" w:eastAsia="仿宋"/>
      <w:b/>
      <w:kern w:val="2"/>
      <w:sz w:val="28"/>
      <w:szCs w:val="21"/>
      <w:lang w:bidi="ar-SA"/>
    </w:rPr>
  </w:style>
  <w:style w:type="character" w:customStyle="1" w:styleId="249">
    <w:name w:val="列表1、 Char"/>
    <w:link w:val="250"/>
    <w:locked/>
    <w:uiPriority w:val="0"/>
    <w:rPr>
      <w:rFonts w:ascii="仿宋" w:hAnsi="仿宋" w:eastAsia="仿宋"/>
      <w:kern w:val="2"/>
      <w:sz w:val="28"/>
      <w:szCs w:val="21"/>
    </w:rPr>
  </w:style>
  <w:style w:type="paragraph" w:customStyle="1" w:styleId="250">
    <w:name w:val="列表1、"/>
    <w:basedOn w:val="95"/>
    <w:link w:val="249"/>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51">
    <w:name w:val="bt Char2"/>
    <w:uiPriority w:val="0"/>
    <w:rPr>
      <w:rFonts w:eastAsia="宋体"/>
      <w:kern w:val="2"/>
      <w:sz w:val="28"/>
      <w:szCs w:val="24"/>
      <w:lang w:val="en-US" w:eastAsia="zh-CN" w:bidi="ar-SA"/>
    </w:rPr>
  </w:style>
  <w:style w:type="character" w:customStyle="1" w:styleId="252">
    <w:name w:val="news1"/>
    <w:uiPriority w:val="0"/>
    <w:rPr>
      <w:rFonts w:hint="default" w:ascii="Times New Roman" w:hAnsi="Times New Roman" w:cs="Times New Roman"/>
      <w:sz w:val="21"/>
      <w:szCs w:val="21"/>
    </w:rPr>
  </w:style>
  <w:style w:type="character" w:customStyle="1" w:styleId="253">
    <w:name w:val="标题 4 Char"/>
    <w:link w:val="5"/>
    <w:qFormat/>
    <w:uiPriority w:val="9"/>
    <w:rPr>
      <w:rFonts w:ascii="Arial" w:hAnsi="Arial" w:eastAsia="黑体"/>
      <w:b/>
      <w:bCs/>
      <w:kern w:val="2"/>
      <w:sz w:val="28"/>
      <w:szCs w:val="28"/>
      <w:lang w:val="en-US" w:eastAsia="zh-CN" w:bidi="ar-SA"/>
    </w:rPr>
  </w:style>
  <w:style w:type="character" w:customStyle="1" w:styleId="254">
    <w:name w:val="Char Char51"/>
    <w:uiPriority w:val="0"/>
    <w:rPr>
      <w:rFonts w:ascii="Calibri" w:hAnsi="Calibri" w:eastAsia="宋体"/>
      <w:sz w:val="18"/>
      <w:szCs w:val="18"/>
      <w:lang w:bidi="ar-SA"/>
    </w:rPr>
  </w:style>
  <w:style w:type="character" w:customStyle="1" w:styleId="255">
    <w:name w:val="正文文字 Char"/>
    <w:uiPriority w:val="0"/>
    <w:rPr>
      <w:rFonts w:ascii="Arial" w:hAnsi="Arial" w:eastAsia="宋体"/>
      <w:kern w:val="2"/>
      <w:sz w:val="24"/>
      <w:lang w:val="en-US" w:eastAsia="zh-CN"/>
    </w:rPr>
  </w:style>
  <w:style w:type="character" w:customStyle="1" w:styleId="256">
    <w:name w:val="大标题 Char Char"/>
    <w:uiPriority w:val="0"/>
    <w:rPr>
      <w:b/>
      <w:sz w:val="28"/>
      <w:lang w:val="en-US" w:eastAsia="zh-CN" w:bidi="ar-SA"/>
    </w:rPr>
  </w:style>
  <w:style w:type="character" w:customStyle="1" w:styleId="257">
    <w:name w:val="华电 正文 Char"/>
    <w:link w:val="258"/>
    <w:uiPriority w:val="0"/>
    <w:rPr>
      <w:rFonts w:ascii="宋体" w:hAnsi="宋体" w:eastAsia="宋体"/>
      <w:sz w:val="22"/>
      <w:lang w:bidi="ar-SA"/>
    </w:rPr>
  </w:style>
  <w:style w:type="paragraph" w:customStyle="1" w:styleId="258">
    <w:name w:val="华电 正文"/>
    <w:basedOn w:val="1"/>
    <w:link w:val="257"/>
    <w:uiPriority w:val="0"/>
    <w:pPr>
      <w:widowControl/>
      <w:spacing w:line="360" w:lineRule="auto"/>
      <w:ind w:firstLine="440" w:firstLineChars="200"/>
      <w:jc w:val="left"/>
    </w:pPr>
    <w:rPr>
      <w:rFonts w:ascii="宋体" w:hAnsi="宋体"/>
      <w:kern w:val="0"/>
      <w:sz w:val="22"/>
      <w:szCs w:val="20"/>
    </w:rPr>
  </w:style>
  <w:style w:type="character" w:customStyle="1" w:styleId="259">
    <w:name w:val="标准正文格式 Char"/>
    <w:link w:val="260"/>
    <w:uiPriority w:val="0"/>
    <w:rPr>
      <w:rFonts w:ascii="宋体" w:eastAsia="仿宋_GB2312" w:cs="宋体"/>
      <w:color w:val="000000"/>
      <w:sz w:val="24"/>
      <w:lang w:val="en-US" w:eastAsia="zh-CN" w:bidi="ar-SA"/>
    </w:rPr>
  </w:style>
  <w:style w:type="paragraph" w:customStyle="1" w:styleId="260">
    <w:name w:val="标准正文格式"/>
    <w:basedOn w:val="1"/>
    <w:link w:val="259"/>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1">
    <w:name w:val="标题 3 Char1"/>
    <w:uiPriority w:val="0"/>
    <w:rPr>
      <w:rFonts w:ascii="Calibri" w:hAnsi="Calibri" w:eastAsia="宋体"/>
      <w:b/>
      <w:bCs/>
      <w:kern w:val="2"/>
      <w:sz w:val="32"/>
      <w:szCs w:val="32"/>
      <w:lang w:val="en-US" w:eastAsia="zh-CN" w:bidi="ar-SA"/>
    </w:rPr>
  </w:style>
  <w:style w:type="character" w:customStyle="1" w:styleId="262">
    <w:name w:val="Indent Normal Char"/>
    <w:link w:val="263"/>
    <w:uiPriority w:val="0"/>
    <w:rPr>
      <w:kern w:val="2"/>
      <w:sz w:val="21"/>
      <w:lang w:bidi="ar-SA"/>
    </w:rPr>
  </w:style>
  <w:style w:type="paragraph" w:customStyle="1" w:styleId="263">
    <w:name w:val="Indent Normal"/>
    <w:basedOn w:val="1"/>
    <w:link w:val="262"/>
    <w:uiPriority w:val="0"/>
    <w:pPr>
      <w:ind w:firstLine="420"/>
    </w:pPr>
    <w:rPr>
      <w:szCs w:val="20"/>
    </w:rPr>
  </w:style>
  <w:style w:type="character" w:customStyle="1" w:styleId="264">
    <w:name w:val="正文文本缩进 2 Char"/>
    <w:link w:val="35"/>
    <w:uiPriority w:val="0"/>
    <w:rPr>
      <w:rFonts w:ascii="仿宋_GB2312" w:hAnsi="宋体" w:cs="Arial"/>
      <w:b/>
      <w:bCs/>
      <w:color w:val="000000"/>
      <w:kern w:val="2"/>
      <w:sz w:val="24"/>
      <w:szCs w:val="24"/>
    </w:rPr>
  </w:style>
  <w:style w:type="character" w:customStyle="1" w:styleId="265">
    <w:name w:val="line1"/>
    <w:uiPriority w:val="0"/>
    <w:rPr>
      <w:spacing w:val="360"/>
      <w:u w:val="none"/>
    </w:rPr>
  </w:style>
  <w:style w:type="character" w:customStyle="1" w:styleId="266">
    <w:name w:val="页脚 Char"/>
    <w:qFormat/>
    <w:uiPriority w:val="99"/>
    <w:rPr>
      <w:kern w:val="2"/>
      <w:sz w:val="18"/>
      <w:szCs w:val="18"/>
      <w:lang w:bidi="ar-SA"/>
    </w:rPr>
  </w:style>
  <w:style w:type="character" w:customStyle="1" w:styleId="267">
    <w:name w:val="point_normal1"/>
    <w:uiPriority w:val="0"/>
    <w:rPr>
      <w:rFonts w:hint="default" w:ascii="Arial" w:hAnsi="Arial" w:cs="Arial"/>
      <w:sz w:val="18"/>
      <w:szCs w:val="18"/>
    </w:rPr>
  </w:style>
  <w:style w:type="character" w:customStyle="1" w:styleId="268">
    <w:name w:val="unnamed11"/>
    <w:uiPriority w:val="0"/>
    <w:rPr>
      <w:color w:val="000000"/>
      <w:sz w:val="20"/>
      <w:szCs w:val="20"/>
    </w:rPr>
  </w:style>
  <w:style w:type="character" w:customStyle="1" w:styleId="269">
    <w:name w:val="模板正文 Char"/>
    <w:link w:val="270"/>
    <w:uiPriority w:val="0"/>
    <w:rPr>
      <w:rFonts w:ascii="Arial" w:hAnsi="Arial"/>
      <w:szCs w:val="21"/>
    </w:rPr>
  </w:style>
  <w:style w:type="paragraph" w:customStyle="1" w:styleId="270">
    <w:name w:val="模板正文"/>
    <w:basedOn w:val="1"/>
    <w:link w:val="269"/>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1">
    <w:name w:val="*Body Text Char1"/>
    <w:link w:val="272"/>
    <w:uiPriority w:val="0"/>
    <w:rPr>
      <w:rFonts w:ascii="Futura Lt" w:hAnsi="Futura Lt" w:cs="Futura Lt"/>
      <w:sz w:val="21"/>
      <w:szCs w:val="21"/>
      <w:lang w:val="en-US" w:eastAsia="en-US" w:bidi="ar-SA"/>
    </w:rPr>
  </w:style>
  <w:style w:type="paragraph" w:customStyle="1" w:styleId="272">
    <w:name w:val="*Body Text"/>
    <w:link w:val="271"/>
    <w:uiPriority w:val="0"/>
    <w:pPr>
      <w:spacing w:line="360" w:lineRule="auto"/>
    </w:pPr>
    <w:rPr>
      <w:rFonts w:ascii="Futura Lt" w:hAnsi="Futura Lt" w:eastAsia="宋体" w:cs="Futura Lt"/>
      <w:sz w:val="21"/>
      <w:szCs w:val="21"/>
      <w:lang w:val="en-US" w:eastAsia="en-US" w:bidi="ar-SA"/>
    </w:rPr>
  </w:style>
  <w:style w:type="character" w:customStyle="1" w:styleId="273">
    <w:name w:val="14_black1"/>
    <w:uiPriority w:val="0"/>
    <w:rPr>
      <w:color w:val="000000"/>
      <w:sz w:val="21"/>
    </w:rPr>
  </w:style>
  <w:style w:type="character" w:customStyle="1" w:styleId="274">
    <w:name w:val="样式 小四1"/>
    <w:uiPriority w:val="0"/>
    <w:rPr>
      <w:rFonts w:ascii="Tahoma" w:hAnsi="Tahoma" w:eastAsia="仿宋_GB2312"/>
      <w:kern w:val="2"/>
      <w:sz w:val="24"/>
      <w:lang w:val="en-US" w:eastAsia="zh-CN" w:bidi="ar-SA"/>
    </w:rPr>
  </w:style>
  <w:style w:type="character" w:customStyle="1" w:styleId="275">
    <w:name w:val="Char Char3"/>
    <w:uiPriority w:val="0"/>
    <w:rPr>
      <w:rFonts w:ascii="Arial" w:hAnsi="Arial" w:eastAsia="黑体"/>
      <w:b/>
      <w:kern w:val="2"/>
      <w:sz w:val="32"/>
      <w:lang w:val="en-US" w:eastAsia="zh-CN" w:bidi="ar-SA"/>
    </w:rPr>
  </w:style>
  <w:style w:type="character" w:customStyle="1" w:styleId="276">
    <w:name w:val="style51"/>
    <w:uiPriority w:val="0"/>
    <w:rPr>
      <w:rFonts w:hint="eastAsia" w:ascii="宋体" w:hAnsi="宋体" w:eastAsia="宋体"/>
      <w:color w:val="333333"/>
      <w:sz w:val="23"/>
      <w:szCs w:val="23"/>
      <w:u w:val="none"/>
    </w:rPr>
  </w:style>
  <w:style w:type="character" w:customStyle="1" w:styleId="277">
    <w:name w:val="font3"/>
    <w:basedOn w:val="63"/>
    <w:uiPriority w:val="0"/>
  </w:style>
  <w:style w:type="character" w:customStyle="1" w:styleId="278">
    <w:name w:val="样式4 Char"/>
    <w:link w:val="279"/>
    <w:uiPriority w:val="0"/>
    <w:rPr>
      <w:rFonts w:ascii="Calibri" w:hAnsi="Calibri" w:eastAsia="宋体"/>
      <w:kern w:val="2"/>
      <w:sz w:val="24"/>
      <w:szCs w:val="22"/>
      <w:lang w:val="en-US" w:eastAsia="zh-CN" w:bidi="ar-SA"/>
    </w:rPr>
  </w:style>
  <w:style w:type="paragraph" w:customStyle="1" w:styleId="279">
    <w:name w:val="样式4"/>
    <w:basedOn w:val="1"/>
    <w:link w:val="278"/>
    <w:qFormat/>
    <w:uiPriority w:val="0"/>
    <w:pPr>
      <w:spacing w:line="360" w:lineRule="auto"/>
    </w:pPr>
    <w:rPr>
      <w:sz w:val="24"/>
    </w:rPr>
  </w:style>
  <w:style w:type="character" w:customStyle="1" w:styleId="280">
    <w:name w:val="样式 正文缩进 + 首行缩进:  2 字符 Char"/>
    <w:link w:val="281"/>
    <w:uiPriority w:val="0"/>
    <w:rPr>
      <w:rFonts w:ascii="Times New Roman" w:hAnsi="Times New Roman"/>
      <w:kern w:val="2"/>
      <w:sz w:val="24"/>
    </w:rPr>
  </w:style>
  <w:style w:type="paragraph" w:customStyle="1" w:styleId="281">
    <w:name w:val="样式 正文缩进 + 首行缩进:  2 字符"/>
    <w:basedOn w:val="17"/>
    <w:link w:val="280"/>
    <w:uiPriority w:val="0"/>
    <w:pPr>
      <w:spacing w:line="360" w:lineRule="auto"/>
      <w:ind w:firstLine="200" w:firstLineChars="200"/>
    </w:pPr>
    <w:rPr>
      <w:rFonts w:ascii="Times New Roman" w:hAnsi="Times New Roman"/>
      <w:sz w:val="24"/>
    </w:rPr>
  </w:style>
  <w:style w:type="character" w:customStyle="1" w:styleId="282">
    <w:name w:val="inf1"/>
    <w:uiPriority w:val="0"/>
    <w:rPr>
      <w:rFonts w:hint="eastAsia" w:ascii="宋体" w:hAnsi="宋体" w:eastAsia="宋体"/>
      <w:color w:val="000000"/>
      <w:sz w:val="20"/>
      <w:szCs w:val="20"/>
    </w:rPr>
  </w:style>
  <w:style w:type="character" w:customStyle="1" w:styleId="283">
    <w:name w:val="h3 Char"/>
    <w:uiPriority w:val="0"/>
    <w:rPr>
      <w:rFonts w:ascii="Times New Roman" w:hAnsi="Times New Roman"/>
      <w:b/>
      <w:bCs/>
      <w:kern w:val="2"/>
      <w:sz w:val="32"/>
      <w:szCs w:val="32"/>
    </w:rPr>
  </w:style>
  <w:style w:type="character" w:customStyle="1" w:styleId="284">
    <w:name w:val="apple-style-span"/>
    <w:basedOn w:val="63"/>
    <w:uiPriority w:val="0"/>
  </w:style>
  <w:style w:type="character" w:customStyle="1" w:styleId="285">
    <w:name w:val="批注框文本 Char"/>
    <w:link w:val="37"/>
    <w:qFormat/>
    <w:uiPriority w:val="99"/>
    <w:rPr>
      <w:kern w:val="2"/>
      <w:sz w:val="18"/>
      <w:szCs w:val="18"/>
    </w:rPr>
  </w:style>
  <w:style w:type="character" w:customStyle="1" w:styleId="286">
    <w:name w:val="样式 首行缩进:  0.85 厘米 Char"/>
    <w:link w:val="287"/>
    <w:uiPriority w:val="0"/>
    <w:rPr>
      <w:rFonts w:eastAsia="宋体" w:cs="宋体"/>
      <w:kern w:val="2"/>
      <w:sz w:val="24"/>
      <w:lang w:val="en-US" w:eastAsia="zh-CN" w:bidi="ar-SA"/>
    </w:rPr>
  </w:style>
  <w:style w:type="paragraph" w:customStyle="1" w:styleId="287">
    <w:name w:val="样式 首行缩进:  0.85 厘米"/>
    <w:basedOn w:val="1"/>
    <w:link w:val="286"/>
    <w:uiPriority w:val="0"/>
    <w:pPr>
      <w:spacing w:line="360" w:lineRule="auto"/>
      <w:ind w:firstLine="480"/>
    </w:pPr>
    <w:rPr>
      <w:rFonts w:cs="宋体"/>
      <w:sz w:val="24"/>
      <w:szCs w:val="20"/>
    </w:rPr>
  </w:style>
  <w:style w:type="character" w:customStyle="1" w:styleId="288">
    <w:name w:val="style31"/>
    <w:uiPriority w:val="0"/>
    <w:rPr>
      <w:color w:val="666666"/>
    </w:rPr>
  </w:style>
  <w:style w:type="character" w:customStyle="1" w:styleId="289">
    <w:name w:val="_正文段落 Char"/>
    <w:link w:val="290"/>
    <w:uiPriority w:val="0"/>
    <w:rPr>
      <w:rFonts w:ascii="Times New Roman" w:hAnsi="Times New Roman"/>
      <w:kern w:val="2"/>
      <w:sz w:val="21"/>
      <w:szCs w:val="24"/>
    </w:rPr>
  </w:style>
  <w:style w:type="paragraph" w:customStyle="1" w:styleId="290">
    <w:name w:val="_正文段落"/>
    <w:basedOn w:val="1"/>
    <w:link w:val="289"/>
    <w:uiPriority w:val="0"/>
    <w:pPr>
      <w:spacing w:beforeLines="15" w:afterLines="15" w:line="360" w:lineRule="auto"/>
      <w:ind w:firstLine="200" w:firstLineChars="200"/>
    </w:pPr>
    <w:rPr>
      <w:rFonts w:ascii="Times New Roman" w:hAnsi="Times New Roman"/>
      <w:szCs w:val="24"/>
    </w:rPr>
  </w:style>
  <w:style w:type="character" w:customStyle="1" w:styleId="291">
    <w:name w:val="列表1"/>
    <w:basedOn w:val="63"/>
    <w:uiPriority w:val="0"/>
  </w:style>
  <w:style w:type="character" w:customStyle="1" w:styleId="292">
    <w:name w:val="Char Char61"/>
    <w:uiPriority w:val="0"/>
    <w:rPr>
      <w:rFonts w:ascii="Calibri" w:hAnsi="Calibri" w:eastAsia="宋体"/>
      <w:b/>
      <w:bCs/>
      <w:kern w:val="2"/>
      <w:sz w:val="28"/>
      <w:szCs w:val="28"/>
      <w:lang w:bidi="ar-SA"/>
    </w:rPr>
  </w:style>
  <w:style w:type="character" w:customStyle="1" w:styleId="293">
    <w:name w:val="数据小节格式"/>
    <w:uiPriority w:val="0"/>
    <w:rPr>
      <w:rFonts w:ascii="新宋体" w:hAnsi="新宋体" w:eastAsia="华文中宋"/>
      <w:b/>
      <w:bCs/>
      <w:sz w:val="27"/>
      <w:szCs w:val="26"/>
      <w:shd w:val="clear" w:color="auto" w:fill="auto"/>
    </w:rPr>
  </w:style>
  <w:style w:type="character" w:customStyle="1" w:styleId="294">
    <w:name w:val="自定义正文 Char Char"/>
    <w:uiPriority w:val="0"/>
    <w:rPr>
      <w:rFonts w:eastAsia="宋体"/>
      <w:kern w:val="2"/>
      <w:sz w:val="24"/>
      <w:szCs w:val="24"/>
      <w:lang w:val="en-US" w:eastAsia="zh-CN" w:bidi="ar-SA"/>
    </w:rPr>
  </w:style>
  <w:style w:type="character" w:customStyle="1" w:styleId="295">
    <w:name w:val="apple-converted-space"/>
    <w:uiPriority w:val="0"/>
  </w:style>
  <w:style w:type="character" w:customStyle="1" w:styleId="296">
    <w:name w:val="表格文字 Char"/>
    <w:link w:val="297"/>
    <w:uiPriority w:val="0"/>
    <w:rPr>
      <w:rFonts w:ascii="Times New Roman" w:hAnsi="Times New Roman"/>
      <w:kern w:val="2"/>
      <w:sz w:val="18"/>
      <w:szCs w:val="24"/>
    </w:rPr>
  </w:style>
  <w:style w:type="paragraph" w:customStyle="1" w:styleId="297">
    <w:name w:val="表格文字"/>
    <w:basedOn w:val="1"/>
    <w:link w:val="296"/>
    <w:uiPriority w:val="0"/>
    <w:pPr>
      <w:jc w:val="left"/>
      <w:textAlignment w:val="top"/>
    </w:pPr>
    <w:rPr>
      <w:rFonts w:ascii="Times New Roman" w:hAnsi="Times New Roman"/>
      <w:sz w:val="18"/>
      <w:szCs w:val="24"/>
    </w:rPr>
  </w:style>
  <w:style w:type="character" w:customStyle="1" w:styleId="298">
    <w:name w:val="正文文本缩进 3 Char"/>
    <w:link w:val="46"/>
    <w:uiPriority w:val="0"/>
    <w:rPr>
      <w:rFonts w:ascii="仿宋_GB2312" w:hAnsi="宋体" w:eastAsia="仿宋_GB2312"/>
      <w:color w:val="000000"/>
      <w:kern w:val="2"/>
      <w:sz w:val="24"/>
      <w:szCs w:val="24"/>
    </w:rPr>
  </w:style>
  <w:style w:type="character" w:customStyle="1" w:styleId="299">
    <w:name w:val="我的正文 Char"/>
    <w:link w:val="300"/>
    <w:uiPriority w:val="0"/>
    <w:rPr>
      <w:rFonts w:eastAsia="仿宋_GB2312" w:cs="宋体"/>
      <w:kern w:val="2"/>
      <w:sz w:val="24"/>
    </w:rPr>
  </w:style>
  <w:style w:type="paragraph" w:customStyle="1" w:styleId="300">
    <w:name w:val="我的正文"/>
    <w:basedOn w:val="1"/>
    <w:link w:val="299"/>
    <w:uiPriority w:val="0"/>
    <w:pPr>
      <w:spacing w:afterLines="100" w:line="360" w:lineRule="auto"/>
      <w:ind w:firstLine="480" w:firstLineChars="200"/>
    </w:pPr>
    <w:rPr>
      <w:rFonts w:eastAsia="仿宋_GB2312"/>
      <w:sz w:val="24"/>
      <w:szCs w:val="20"/>
    </w:rPr>
  </w:style>
  <w:style w:type="character" w:customStyle="1" w:styleId="301">
    <w:name w:val="7.表小四 Char"/>
    <w:link w:val="302"/>
    <w:uiPriority w:val="0"/>
    <w:rPr>
      <w:rFonts w:ascii="宋体" w:hAnsi="宋体" w:eastAsia="宋体"/>
      <w:kern w:val="2"/>
      <w:sz w:val="24"/>
      <w:szCs w:val="24"/>
      <w:lang w:val="en-US" w:eastAsia="zh-CN" w:bidi="ar-SA"/>
    </w:rPr>
  </w:style>
  <w:style w:type="paragraph" w:customStyle="1" w:styleId="302">
    <w:name w:val="7.表小四"/>
    <w:basedOn w:val="1"/>
    <w:link w:val="301"/>
    <w:qFormat/>
    <w:uiPriority w:val="0"/>
    <w:pPr>
      <w:spacing w:beforeLines="50" w:afterLines="50"/>
    </w:pPr>
    <w:rPr>
      <w:rFonts w:ascii="宋体" w:hAnsi="宋体"/>
      <w:sz w:val="24"/>
      <w:szCs w:val="24"/>
    </w:rPr>
  </w:style>
  <w:style w:type="character" w:customStyle="1" w:styleId="303">
    <w:name w:val="标题 1 Char Char"/>
    <w:uiPriority w:val="0"/>
    <w:rPr>
      <w:rFonts w:eastAsia="宋体"/>
      <w:b/>
      <w:spacing w:val="-2"/>
      <w:sz w:val="24"/>
      <w:lang w:val="en-US" w:eastAsia="zh-CN" w:bidi="ar-SA"/>
    </w:rPr>
  </w:style>
  <w:style w:type="character" w:customStyle="1" w:styleId="304">
    <w:name w:val="b11_01b Char Char"/>
    <w:uiPriority w:val="0"/>
    <w:rPr>
      <w:rFonts w:ascii="Verdana" w:hAnsi="Verdana" w:eastAsia="宋体"/>
      <w:b/>
      <w:bCs/>
      <w:color w:val="4A82CA"/>
      <w:sz w:val="17"/>
      <w:szCs w:val="17"/>
      <w:lang w:val="en-US" w:eastAsia="zh-CN" w:bidi="ar-SA"/>
    </w:rPr>
  </w:style>
  <w:style w:type="character" w:customStyle="1" w:styleId="305">
    <w:name w:val="方案正文 Char"/>
    <w:link w:val="306"/>
    <w:uiPriority w:val="0"/>
    <w:rPr>
      <w:rFonts w:ascii="Calibri" w:hAnsi="Calibri" w:eastAsia="仿宋_GB2312"/>
      <w:kern w:val="2"/>
      <w:sz w:val="32"/>
      <w:szCs w:val="24"/>
      <w:lang w:val="en-US" w:eastAsia="zh-CN" w:bidi="ar-SA"/>
    </w:rPr>
  </w:style>
  <w:style w:type="paragraph" w:customStyle="1" w:styleId="306">
    <w:name w:val="方案正文"/>
    <w:basedOn w:val="1"/>
    <w:link w:val="305"/>
    <w:qFormat/>
    <w:uiPriority w:val="0"/>
    <w:pPr>
      <w:adjustRightInd w:val="0"/>
      <w:snapToGrid w:val="0"/>
      <w:spacing w:line="560" w:lineRule="exact"/>
      <w:ind w:firstLine="200" w:firstLineChars="200"/>
    </w:pPr>
    <w:rPr>
      <w:rFonts w:eastAsia="仿宋_GB2312"/>
      <w:sz w:val="32"/>
      <w:szCs w:val="24"/>
    </w:rPr>
  </w:style>
  <w:style w:type="character" w:customStyle="1" w:styleId="307">
    <w:name w:val="Char Char81"/>
    <w:uiPriority w:val="0"/>
    <w:rPr>
      <w:rFonts w:ascii="Arial" w:hAnsi="Arial" w:eastAsia="黑体"/>
      <w:b/>
      <w:bCs/>
      <w:kern w:val="2"/>
      <w:sz w:val="32"/>
      <w:szCs w:val="32"/>
      <w:lang w:val="en-US" w:eastAsia="zh-CN" w:bidi="ar-SA"/>
    </w:rPr>
  </w:style>
  <w:style w:type="character" w:customStyle="1" w:styleId="308">
    <w:name w:val="标准正文格式 Char Char"/>
    <w:uiPriority w:val="0"/>
    <w:rPr>
      <w:rFonts w:ascii="宋体" w:eastAsia="仿宋_GB2312" w:cs="宋体"/>
      <w:color w:val="000000"/>
      <w:sz w:val="24"/>
      <w:lang w:val="en-US" w:eastAsia="zh-CN" w:bidi="ar-SA"/>
    </w:rPr>
  </w:style>
  <w:style w:type="character" w:customStyle="1" w:styleId="309">
    <w:name w:val="页脚 Char Char"/>
    <w:uiPriority w:val="0"/>
    <w:rPr>
      <w:kern w:val="2"/>
      <w:sz w:val="18"/>
      <w:szCs w:val="18"/>
      <w:lang w:bidi="ar-SA"/>
    </w:rPr>
  </w:style>
  <w:style w:type="character" w:customStyle="1" w:styleId="310">
    <w:name w:val="Char Char22"/>
    <w:uiPriority w:val="0"/>
    <w:rPr>
      <w:rFonts w:ascii="宋体" w:hAnsi="Courier New" w:eastAsia="宋体"/>
      <w:sz w:val="21"/>
      <w:lang w:val="en-US" w:eastAsia="zh-CN" w:bidi="ar-SA"/>
    </w:rPr>
  </w:style>
  <w:style w:type="character" w:customStyle="1" w:styleId="311">
    <w:name w:val="投标正文 Char"/>
    <w:link w:val="312"/>
    <w:uiPriority w:val="0"/>
    <w:rPr>
      <w:rFonts w:ascii="宋体" w:hAnsi="宋体" w:eastAsia="宋体"/>
      <w:kern w:val="2"/>
      <w:sz w:val="24"/>
      <w:szCs w:val="24"/>
      <w:lang w:val="en-US" w:eastAsia="zh-CN" w:bidi="ar-SA"/>
    </w:rPr>
  </w:style>
  <w:style w:type="paragraph" w:customStyle="1" w:styleId="312">
    <w:name w:val="投标正文"/>
    <w:basedOn w:val="1"/>
    <w:link w:val="311"/>
    <w:qFormat/>
    <w:uiPriority w:val="0"/>
    <w:pPr>
      <w:adjustRightInd w:val="0"/>
      <w:snapToGrid w:val="0"/>
      <w:spacing w:line="360" w:lineRule="auto"/>
      <w:ind w:firstLine="480" w:firstLineChars="200"/>
    </w:pPr>
    <w:rPr>
      <w:rFonts w:ascii="宋体" w:hAnsi="宋体"/>
      <w:sz w:val="24"/>
      <w:szCs w:val="24"/>
    </w:rPr>
  </w:style>
  <w:style w:type="character" w:customStyle="1" w:styleId="313">
    <w:name w:val="封面日期 Char Char"/>
    <w:uiPriority w:val="0"/>
    <w:rPr>
      <w:rFonts w:eastAsia="楷体_GB2312"/>
      <w:kern w:val="2"/>
      <w:sz w:val="32"/>
      <w:lang w:val="en-US" w:eastAsia="zh-CN" w:bidi="ar-SA"/>
    </w:rPr>
  </w:style>
  <w:style w:type="character" w:customStyle="1" w:styleId="314">
    <w:name w:val="正文0缩进 Char"/>
    <w:link w:val="315"/>
    <w:uiPriority w:val="0"/>
    <w:rPr>
      <w:rFonts w:ascii="宋体" w:hAnsi="宋体"/>
      <w:sz w:val="24"/>
      <w:szCs w:val="24"/>
    </w:rPr>
  </w:style>
  <w:style w:type="paragraph" w:customStyle="1" w:styleId="315">
    <w:name w:val="正文0缩进"/>
    <w:basedOn w:val="1"/>
    <w:link w:val="314"/>
    <w:qFormat/>
    <w:uiPriority w:val="0"/>
    <w:pPr>
      <w:spacing w:line="360" w:lineRule="auto"/>
    </w:pPr>
    <w:rPr>
      <w:rFonts w:ascii="宋体" w:hAnsi="宋体"/>
      <w:kern w:val="0"/>
      <w:sz w:val="24"/>
      <w:szCs w:val="24"/>
    </w:rPr>
  </w:style>
  <w:style w:type="character" w:customStyle="1" w:styleId="316">
    <w:name w:val="正文首行缩进 2 Char"/>
    <w:link w:val="317"/>
    <w:uiPriority w:val="0"/>
    <w:rPr>
      <w:rFonts w:eastAsia="仿宋"/>
      <w:sz w:val="24"/>
      <w:szCs w:val="24"/>
    </w:rPr>
  </w:style>
  <w:style w:type="paragraph" w:customStyle="1" w:styleId="317">
    <w:name w:val="正文首行缩进 22"/>
    <w:basedOn w:val="318"/>
    <w:link w:val="316"/>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18">
    <w:name w:val="正文文本缩进1"/>
    <w:basedOn w:val="1"/>
    <w:uiPriority w:val="0"/>
    <w:pPr>
      <w:spacing w:after="120"/>
      <w:ind w:left="420" w:leftChars="200"/>
    </w:pPr>
    <w:rPr>
      <w:rFonts w:cs="黑体"/>
    </w:rPr>
  </w:style>
  <w:style w:type="character" w:customStyle="1" w:styleId="319">
    <w:name w:val="表格中文字 Char"/>
    <w:link w:val="320"/>
    <w:uiPriority w:val="0"/>
    <w:rPr>
      <w:rFonts w:ascii="新宋体" w:hAnsi="新宋体" w:eastAsia="新宋体"/>
      <w:sz w:val="24"/>
      <w:szCs w:val="24"/>
      <w:lang w:bidi="ar-SA"/>
    </w:rPr>
  </w:style>
  <w:style w:type="paragraph" w:customStyle="1" w:styleId="320">
    <w:name w:val="表格中文字"/>
    <w:basedOn w:val="1"/>
    <w:link w:val="319"/>
    <w:uiPriority w:val="0"/>
    <w:pPr>
      <w:spacing w:line="288" w:lineRule="auto"/>
    </w:pPr>
    <w:rPr>
      <w:rFonts w:ascii="新宋体" w:hAnsi="新宋体" w:eastAsia="新宋体"/>
      <w:kern w:val="0"/>
      <w:sz w:val="24"/>
      <w:szCs w:val="24"/>
    </w:rPr>
  </w:style>
  <w:style w:type="character" w:styleId="321">
    <w:name w:val="Placeholder Text"/>
    <w:uiPriority w:val="0"/>
    <w:rPr>
      <w:color w:val="808080"/>
    </w:rPr>
  </w:style>
  <w:style w:type="character" w:customStyle="1" w:styleId="322">
    <w:name w:val="标题4-dyf Char Char"/>
    <w:uiPriority w:val="0"/>
    <w:rPr>
      <w:rFonts w:ascii="Cambria" w:hAnsi="Cambria" w:eastAsia="宋体"/>
      <w:b/>
      <w:bCs/>
      <w:color w:val="000000"/>
      <w:kern w:val="2"/>
      <w:sz w:val="21"/>
      <w:szCs w:val="21"/>
      <w:lang w:val="en-US" w:eastAsia="zh-CN" w:bidi="ar-SA"/>
    </w:rPr>
  </w:style>
  <w:style w:type="character" w:customStyle="1" w:styleId="323">
    <w:name w:val="封面日期 Char Char1"/>
    <w:uiPriority w:val="0"/>
    <w:rPr>
      <w:rFonts w:ascii="Calibri" w:hAnsi="Calibri" w:eastAsia="楷体_GB2312"/>
      <w:kern w:val="2"/>
      <w:sz w:val="32"/>
      <w:lang w:val="en-US" w:eastAsia="zh-CN" w:bidi="ar-SA"/>
    </w:rPr>
  </w:style>
  <w:style w:type="character" w:customStyle="1" w:styleId="324">
    <w:name w:val="viewdoctitle"/>
    <w:basedOn w:val="63"/>
    <w:uiPriority w:val="0"/>
  </w:style>
  <w:style w:type="character" w:customStyle="1" w:styleId="325">
    <w:name w:val="black10"/>
    <w:basedOn w:val="63"/>
    <w:uiPriority w:val="0"/>
  </w:style>
  <w:style w:type="character" w:customStyle="1" w:styleId="326">
    <w:name w:val="Char Char121"/>
    <w:uiPriority w:val="0"/>
    <w:rPr>
      <w:rFonts w:ascii="宋体" w:hAnsi="Courier New" w:eastAsia="宋体" w:cs="Times New Roman"/>
      <w:spacing w:val="-4"/>
      <w:sz w:val="18"/>
      <w:szCs w:val="20"/>
    </w:rPr>
  </w:style>
  <w:style w:type="character" w:customStyle="1" w:styleId="327">
    <w:name w:val="段 Char Char"/>
    <w:link w:val="328"/>
    <w:uiPriority w:val="0"/>
    <w:rPr>
      <w:rFonts w:ascii="宋体" w:hAnsi="Times New Roman"/>
      <w:sz w:val="21"/>
      <w:lang w:val="en-US" w:eastAsia="zh-CN" w:bidi="ar-SA"/>
    </w:rPr>
  </w:style>
  <w:style w:type="paragraph" w:customStyle="1" w:styleId="328">
    <w:name w:val="段"/>
    <w:link w:val="327"/>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9">
    <w:name w:val="f9"/>
    <w:basedOn w:val="63"/>
    <w:uiPriority w:val="0"/>
  </w:style>
  <w:style w:type="character" w:customStyle="1" w:styleId="330">
    <w:name w:val="ZJGIS-四级标题 Char"/>
    <w:link w:val="331"/>
    <w:uiPriority w:val="0"/>
    <w:rPr>
      <w:rFonts w:ascii="Arial" w:hAnsi="Arial" w:eastAsia="仿宋_GB2312"/>
      <w:b/>
      <w:bCs/>
      <w:sz w:val="28"/>
      <w:szCs w:val="28"/>
    </w:rPr>
  </w:style>
  <w:style w:type="paragraph" w:customStyle="1" w:styleId="331">
    <w:name w:val="ZJGIS-四级标题"/>
    <w:basedOn w:val="5"/>
    <w:link w:val="330"/>
    <w:qFormat/>
    <w:uiPriority w:val="0"/>
    <w:pPr>
      <w:numPr>
        <w:ilvl w:val="3"/>
        <w:numId w:val="10"/>
      </w:numPr>
      <w:spacing w:before="120" w:after="120" w:line="240" w:lineRule="auto"/>
    </w:pPr>
    <w:rPr>
      <w:rFonts w:eastAsia="仿宋_GB2312"/>
      <w:kern w:val="0"/>
    </w:rPr>
  </w:style>
  <w:style w:type="character" w:customStyle="1" w:styleId="332">
    <w:name w:val="不明显参考1"/>
    <w:qFormat/>
    <w:uiPriority w:val="31"/>
    <w:rPr>
      <w:smallCaps/>
      <w:color w:val="C0504D"/>
      <w:u w:val="single"/>
    </w:rPr>
  </w:style>
  <w:style w:type="character" w:customStyle="1" w:styleId="333">
    <w:name w:val="样式 样式 正文首行缩进 + 首行缩进:  2 字符 + 首行缩进:  2 字符 Char"/>
    <w:link w:val="334"/>
    <w:uiPriority w:val="0"/>
    <w:rPr>
      <w:rFonts w:cs="宋体"/>
      <w:kern w:val="2"/>
      <w:sz w:val="24"/>
    </w:rPr>
  </w:style>
  <w:style w:type="paragraph" w:customStyle="1" w:styleId="334">
    <w:name w:val="样式 样式 正文首行缩进 + 首行缩进:  2 字符 + 首行缩进:  2 字符"/>
    <w:basedOn w:val="1"/>
    <w:link w:val="333"/>
    <w:qFormat/>
    <w:uiPriority w:val="0"/>
    <w:pPr>
      <w:spacing w:line="440" w:lineRule="exact"/>
      <w:ind w:firstLine="200" w:firstLineChars="200"/>
    </w:pPr>
    <w:rPr>
      <w:sz w:val="24"/>
      <w:szCs w:val="20"/>
    </w:rPr>
  </w:style>
  <w:style w:type="character" w:customStyle="1" w:styleId="335">
    <w:name w:val="Char Char31"/>
    <w:uiPriority w:val="0"/>
    <w:rPr>
      <w:rFonts w:ascii="Arial" w:hAnsi="Arial" w:eastAsia="黑体"/>
      <w:b/>
      <w:kern w:val="2"/>
      <w:sz w:val="32"/>
      <w:lang w:val="en-US" w:eastAsia="zh-CN" w:bidi="ar-SA"/>
    </w:rPr>
  </w:style>
  <w:style w:type="character" w:customStyle="1" w:styleId="336">
    <w:name w:val="b titlename wangputoptitle"/>
    <w:basedOn w:val="63"/>
    <w:uiPriority w:val="0"/>
  </w:style>
  <w:style w:type="character" w:customStyle="1" w:styleId="337">
    <w:name w:val="tw4winExternal"/>
    <w:uiPriority w:val="0"/>
    <w:rPr>
      <w:rFonts w:ascii="Courier New" w:hAnsi="Courier New"/>
      <w:color w:val="808080"/>
    </w:rPr>
  </w:style>
  <w:style w:type="character" w:customStyle="1" w:styleId="338">
    <w:name w:val="glossaryitem"/>
    <w:uiPriority w:val="0"/>
    <w:rPr>
      <w:u w:val="none"/>
    </w:rPr>
  </w:style>
  <w:style w:type="character" w:customStyle="1" w:styleId="339">
    <w:name w:val="title_emph1"/>
    <w:uiPriority w:val="0"/>
    <w:rPr>
      <w:rFonts w:hint="default" w:ascii="Arial" w:hAnsi="Arial" w:cs="Arial"/>
      <w:b/>
      <w:bCs/>
      <w:sz w:val="18"/>
      <w:szCs w:val="18"/>
    </w:rPr>
  </w:style>
  <w:style w:type="character" w:customStyle="1" w:styleId="340">
    <w:name w:val="Char Char1"/>
    <w:uiPriority w:val="0"/>
    <w:rPr>
      <w:kern w:val="2"/>
      <w:sz w:val="18"/>
      <w:szCs w:val="18"/>
    </w:rPr>
  </w:style>
  <w:style w:type="character" w:customStyle="1" w:styleId="341">
    <w:name w:val="正文段落 Char"/>
    <w:link w:val="342"/>
    <w:uiPriority w:val="0"/>
    <w:rPr>
      <w:rFonts w:ascii="Times New Roman" w:hAnsi="Times New Roman"/>
      <w:kern w:val="2"/>
      <w:sz w:val="24"/>
    </w:rPr>
  </w:style>
  <w:style w:type="paragraph" w:customStyle="1" w:styleId="342">
    <w:name w:val="正文段落"/>
    <w:basedOn w:val="1"/>
    <w:link w:val="341"/>
    <w:uiPriority w:val="0"/>
    <w:pPr>
      <w:spacing w:line="300" w:lineRule="auto"/>
      <w:ind w:firstLine="510"/>
    </w:pPr>
    <w:rPr>
      <w:rFonts w:ascii="Times New Roman" w:hAnsi="Times New Roman"/>
      <w:sz w:val="24"/>
      <w:szCs w:val="20"/>
    </w:rPr>
  </w:style>
  <w:style w:type="character" w:customStyle="1" w:styleId="343">
    <w:name w:val="paramname2"/>
    <w:basedOn w:val="63"/>
    <w:uiPriority w:val="0"/>
  </w:style>
  <w:style w:type="character" w:customStyle="1" w:styleId="344">
    <w:name w:val="样式 首行缩进:  2 字符 Char"/>
    <w:link w:val="345"/>
    <w:uiPriority w:val="0"/>
    <w:rPr>
      <w:rFonts w:ascii="宋体" w:hAnsi="宋体"/>
      <w:bCs/>
      <w:color w:val="000000"/>
      <w:sz w:val="24"/>
      <w:szCs w:val="24"/>
    </w:rPr>
  </w:style>
  <w:style w:type="paragraph" w:customStyle="1" w:styleId="345">
    <w:name w:val="样式 首行缩进:  2 字符"/>
    <w:basedOn w:val="1"/>
    <w:link w:val="344"/>
    <w:uiPriority w:val="0"/>
    <w:pPr>
      <w:widowControl/>
      <w:numPr>
        <w:ilvl w:val="0"/>
        <w:numId w:val="11"/>
      </w:numPr>
    </w:pPr>
    <w:rPr>
      <w:rFonts w:ascii="宋体" w:hAnsi="宋体"/>
      <w:bCs/>
      <w:color w:val="000000"/>
      <w:kern w:val="0"/>
      <w:sz w:val="24"/>
      <w:szCs w:val="24"/>
    </w:rPr>
  </w:style>
  <w:style w:type="character" w:customStyle="1" w:styleId="346">
    <w:name w:val="h4 Char2"/>
    <w:uiPriority w:val="0"/>
    <w:rPr>
      <w:rFonts w:ascii="Arial" w:hAnsi="Arial" w:eastAsia="黑体"/>
      <w:b/>
      <w:bCs/>
      <w:kern w:val="2"/>
      <w:sz w:val="28"/>
      <w:szCs w:val="28"/>
      <w:lang w:val="en-US" w:eastAsia="zh-CN" w:bidi="ar-SA"/>
    </w:rPr>
  </w:style>
  <w:style w:type="character" w:customStyle="1" w:styleId="347">
    <w:name w:val="大汉方案正文 Char Char Char"/>
    <w:link w:val="348"/>
    <w:uiPriority w:val="0"/>
    <w:rPr>
      <w:rFonts w:ascii="Arial" w:hAnsi="Arial" w:eastAsia="宋体"/>
      <w:sz w:val="24"/>
      <w:szCs w:val="24"/>
      <w:lang w:bidi="ar-SA"/>
    </w:rPr>
  </w:style>
  <w:style w:type="paragraph" w:customStyle="1" w:styleId="348">
    <w:name w:val="大汉方案正文 Char"/>
    <w:basedOn w:val="1"/>
    <w:link w:val="347"/>
    <w:uiPriority w:val="0"/>
    <w:pPr>
      <w:spacing w:line="360" w:lineRule="auto"/>
      <w:ind w:firstLine="200" w:firstLineChars="200"/>
    </w:pPr>
    <w:rPr>
      <w:rFonts w:ascii="Arial" w:hAnsi="Arial"/>
      <w:kern w:val="0"/>
      <w:sz w:val="24"/>
      <w:szCs w:val="24"/>
    </w:rPr>
  </w:style>
  <w:style w:type="character" w:customStyle="1" w:styleId="349">
    <w:name w:val="表格正文 Char Char"/>
    <w:link w:val="350"/>
    <w:uiPriority w:val="0"/>
    <w:rPr>
      <w:rFonts w:ascii="Times New Roman" w:hAnsi="Times New Roman" w:eastAsia="仿宋_GB2312"/>
      <w:szCs w:val="21"/>
    </w:rPr>
  </w:style>
  <w:style w:type="paragraph" w:customStyle="1" w:styleId="350">
    <w:name w:val="表格正文"/>
    <w:basedOn w:val="1"/>
    <w:link w:val="349"/>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1">
    <w:name w:val="正文标准样式ty Char2"/>
    <w:link w:val="352"/>
    <w:uiPriority w:val="0"/>
    <w:rPr>
      <w:rFonts w:eastAsia="宋体" w:cs="宋体"/>
      <w:kern w:val="2"/>
      <w:sz w:val="24"/>
      <w:lang w:val="en-US" w:eastAsia="zh-CN" w:bidi="ar-SA"/>
    </w:rPr>
  </w:style>
  <w:style w:type="paragraph" w:customStyle="1" w:styleId="352">
    <w:name w:val="正文标准样式ty"/>
    <w:basedOn w:val="1"/>
    <w:link w:val="351"/>
    <w:uiPriority w:val="0"/>
    <w:pPr>
      <w:spacing w:line="360" w:lineRule="auto"/>
      <w:ind w:firstLine="480" w:firstLineChars="200"/>
    </w:pPr>
    <w:rPr>
      <w:rFonts w:cs="宋体"/>
      <w:sz w:val="24"/>
      <w:szCs w:val="20"/>
    </w:rPr>
  </w:style>
  <w:style w:type="character" w:customStyle="1" w:styleId="353">
    <w:name w:val="Char Char13"/>
    <w:uiPriority w:val="0"/>
    <w:rPr>
      <w:rFonts w:ascii="Calibri" w:hAnsi="Calibri" w:eastAsia="宋体" w:cs="Times New Roman"/>
      <w:sz w:val="18"/>
      <w:szCs w:val="18"/>
    </w:rPr>
  </w:style>
  <w:style w:type="character" w:customStyle="1" w:styleId="354">
    <w:name w:val="Char Char71"/>
    <w:uiPriority w:val="0"/>
    <w:rPr>
      <w:rFonts w:eastAsia="宋体"/>
      <w:b/>
      <w:kern w:val="2"/>
      <w:sz w:val="32"/>
      <w:lang w:bidi="ar-SA"/>
    </w:rPr>
  </w:style>
  <w:style w:type="character" w:customStyle="1" w:styleId="355">
    <w:name w:val="Char Char91"/>
    <w:uiPriority w:val="0"/>
    <w:rPr>
      <w:rFonts w:eastAsia="宋体"/>
      <w:b/>
      <w:kern w:val="44"/>
      <w:sz w:val="44"/>
      <w:lang w:bidi="ar-SA"/>
    </w:rPr>
  </w:style>
  <w:style w:type="character" w:customStyle="1" w:styleId="356">
    <w:name w:val="吉奥表格正文 Char"/>
    <w:link w:val="357"/>
    <w:uiPriority w:val="0"/>
    <w:rPr>
      <w:rFonts w:ascii="Times New Roman" w:hAnsi="Times New Roman" w:eastAsia="仿宋_GB2312"/>
      <w:szCs w:val="21"/>
    </w:rPr>
  </w:style>
  <w:style w:type="paragraph" w:customStyle="1" w:styleId="357">
    <w:name w:val="吉奥表格正文"/>
    <w:basedOn w:val="1"/>
    <w:link w:val="356"/>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8">
    <w:name w:val="+SymcPara Char"/>
    <w:link w:val="359"/>
    <w:locked/>
    <w:uiPriority w:val="0"/>
    <w:rPr>
      <w:rFonts w:ascii="宋体" w:hAnsi="宋体" w:cs="Arial"/>
      <w:lang w:val="en-US" w:eastAsia="en-US" w:bidi="ar-SA"/>
    </w:rPr>
  </w:style>
  <w:style w:type="paragraph" w:customStyle="1" w:styleId="359">
    <w:name w:val="+SymcPara"/>
    <w:link w:val="358"/>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0">
    <w:name w:val="a Char Char"/>
    <w:uiPriority w:val="0"/>
    <w:rPr>
      <w:rFonts w:ascii="宋体" w:hAnsi="宋体" w:eastAsia="仿宋_GB2312"/>
      <w:sz w:val="24"/>
      <w:lang w:val="en-US" w:eastAsia="zh-CN" w:bidi="ar-SA"/>
    </w:rPr>
  </w:style>
  <w:style w:type="character" w:customStyle="1" w:styleId="361">
    <w:name w:val="7.表小四 Char Char"/>
    <w:uiPriority w:val="0"/>
    <w:rPr>
      <w:rFonts w:ascii="宋体" w:hAnsi="宋体" w:eastAsia="宋体"/>
      <w:kern w:val="2"/>
      <w:sz w:val="24"/>
      <w:szCs w:val="24"/>
      <w:lang w:val="en-US" w:eastAsia="zh-CN" w:bidi="ar-SA"/>
    </w:rPr>
  </w:style>
  <w:style w:type="character" w:customStyle="1" w:styleId="362">
    <w:name w:val="ca-16"/>
    <w:basedOn w:val="63"/>
    <w:uiPriority w:val="0"/>
  </w:style>
  <w:style w:type="character" w:customStyle="1" w:styleId="363">
    <w:name w:val="副标题 Char"/>
    <w:link w:val="42"/>
    <w:uiPriority w:val="11"/>
    <w:rPr>
      <w:rFonts w:ascii="Times New Roman" w:hAnsi="Times New Roman" w:eastAsia="Times New Roman"/>
      <w:kern w:val="2"/>
      <w:sz w:val="18"/>
      <w:szCs w:val="18"/>
      <w:lang w:val="en-US" w:eastAsia="zh-CN"/>
    </w:rPr>
  </w:style>
  <w:style w:type="character" w:customStyle="1" w:styleId="364">
    <w:name w:val="正文（缩进） Char"/>
    <w:link w:val="365"/>
    <w:uiPriority w:val="0"/>
    <w:rPr>
      <w:kern w:val="2"/>
      <w:sz w:val="24"/>
      <w:szCs w:val="24"/>
    </w:rPr>
  </w:style>
  <w:style w:type="paragraph" w:customStyle="1" w:styleId="365">
    <w:name w:val="正文（缩进）"/>
    <w:basedOn w:val="1"/>
    <w:link w:val="364"/>
    <w:uiPriority w:val="0"/>
    <w:pPr>
      <w:spacing w:beforeLines="50" w:afterLines="50" w:line="360" w:lineRule="auto"/>
      <w:ind w:firstLine="480" w:firstLineChars="200"/>
    </w:pPr>
    <w:rPr>
      <w:sz w:val="24"/>
      <w:szCs w:val="24"/>
    </w:rPr>
  </w:style>
  <w:style w:type="character" w:customStyle="1" w:styleId="366">
    <w:name w:val="文档正文1 Char"/>
    <w:link w:val="367"/>
    <w:uiPriority w:val="0"/>
    <w:rPr>
      <w:rFonts w:ascii="仿宋_GB2312" w:hAnsi="仿宋" w:eastAsia="仿宋_GB2312"/>
      <w:kern w:val="2"/>
      <w:sz w:val="30"/>
      <w:szCs w:val="30"/>
      <w:lang w:bidi="ar-SA"/>
    </w:rPr>
  </w:style>
  <w:style w:type="paragraph" w:customStyle="1" w:styleId="367">
    <w:name w:val="文档正文1"/>
    <w:basedOn w:val="1"/>
    <w:link w:val="366"/>
    <w:qFormat/>
    <w:uiPriority w:val="0"/>
    <w:pPr>
      <w:spacing w:line="360" w:lineRule="auto"/>
      <w:ind w:firstLine="600"/>
    </w:pPr>
    <w:rPr>
      <w:rFonts w:ascii="仿宋_GB2312" w:hAnsi="仿宋" w:eastAsia="仿宋_GB2312"/>
      <w:sz w:val="30"/>
      <w:szCs w:val="30"/>
    </w:rPr>
  </w:style>
  <w:style w:type="character" w:customStyle="1" w:styleId="368">
    <w:name w:val="正文缩进 Char"/>
    <w:link w:val="17"/>
    <w:uiPriority w:val="0"/>
    <w:rPr>
      <w:rFonts w:eastAsia="宋体"/>
      <w:kern w:val="2"/>
      <w:sz w:val="21"/>
      <w:lang w:val="en-US" w:eastAsia="zh-CN" w:bidi="ar-SA"/>
    </w:rPr>
  </w:style>
  <w:style w:type="character" w:customStyle="1" w:styleId="369">
    <w:name w:val="Indent Normal Char Char"/>
    <w:uiPriority w:val="0"/>
    <w:rPr>
      <w:kern w:val="2"/>
      <w:sz w:val="21"/>
      <w:lang w:bidi="ar-SA"/>
    </w:rPr>
  </w:style>
  <w:style w:type="character" w:customStyle="1" w:styleId="370">
    <w:name w:val="标题 4 Char1"/>
    <w:uiPriority w:val="0"/>
    <w:rPr>
      <w:rFonts w:ascii="Cambria" w:hAnsi="Cambria" w:eastAsia="宋体" w:cs="Times New Roman"/>
      <w:b/>
      <w:bCs/>
      <w:kern w:val="2"/>
      <w:sz w:val="28"/>
      <w:szCs w:val="28"/>
    </w:rPr>
  </w:style>
  <w:style w:type="character" w:customStyle="1" w:styleId="371">
    <w:name w:val="列出段落 Char Char"/>
    <w:uiPriority w:val="0"/>
    <w:rPr>
      <w:rFonts w:ascii="Calibri" w:hAnsi="Calibri" w:eastAsia="宋体"/>
      <w:kern w:val="2"/>
      <w:sz w:val="21"/>
      <w:szCs w:val="24"/>
      <w:lang w:val="en-US" w:eastAsia="zh-CN" w:bidi="ar-SA"/>
    </w:rPr>
  </w:style>
  <w:style w:type="character" w:customStyle="1" w:styleId="372">
    <w:name w:val="mark8"/>
    <w:uiPriority w:val="0"/>
    <w:rPr>
      <w:b/>
      <w:bCs/>
      <w:sz w:val="21"/>
      <w:szCs w:val="21"/>
    </w:rPr>
  </w:style>
  <w:style w:type="character" w:customStyle="1" w:styleId="373">
    <w:name w:val="paragraph1 Char"/>
    <w:link w:val="374"/>
    <w:uiPriority w:val="0"/>
    <w:rPr>
      <w:rFonts w:eastAsia="楷体_GB2312"/>
      <w:kern w:val="2"/>
      <w:sz w:val="24"/>
      <w:lang w:val="en-US" w:eastAsia="zh-CN" w:bidi="ar-SA"/>
    </w:rPr>
  </w:style>
  <w:style w:type="paragraph" w:customStyle="1" w:styleId="374">
    <w:name w:val="paragraph1"/>
    <w:basedOn w:val="1"/>
    <w:link w:val="373"/>
    <w:uiPriority w:val="0"/>
    <w:pPr>
      <w:spacing w:afterLines="30" w:line="360" w:lineRule="auto"/>
      <w:ind w:firstLine="420" w:firstLineChars="200"/>
    </w:pPr>
    <w:rPr>
      <w:rFonts w:eastAsia="楷体_GB2312"/>
      <w:sz w:val="24"/>
      <w:szCs w:val="20"/>
    </w:rPr>
  </w:style>
  <w:style w:type="character" w:customStyle="1" w:styleId="375">
    <w:name w:val="页眉 Char1"/>
    <w:link w:val="39"/>
    <w:uiPriority w:val="0"/>
    <w:rPr>
      <w:kern w:val="2"/>
      <w:sz w:val="18"/>
      <w:szCs w:val="18"/>
    </w:rPr>
  </w:style>
  <w:style w:type="character" w:customStyle="1" w:styleId="376">
    <w:name w:val="纯文本 Char"/>
    <w:link w:val="31"/>
    <w:uiPriority w:val="0"/>
    <w:rPr>
      <w:rFonts w:ascii="宋体" w:hAnsi="Courier New"/>
      <w:kern w:val="2"/>
      <w:sz w:val="24"/>
      <w:szCs w:val="24"/>
    </w:rPr>
  </w:style>
  <w:style w:type="character" w:customStyle="1" w:styleId="377">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378">
    <w:name w:val="日期 Char"/>
    <w:link w:val="34"/>
    <w:uiPriority w:val="0"/>
    <w:rPr>
      <w:rFonts w:eastAsia="楷体_GB2312"/>
      <w:kern w:val="2"/>
      <w:sz w:val="32"/>
      <w:lang w:val="en-US" w:eastAsia="zh-CN" w:bidi="ar-SA"/>
    </w:rPr>
  </w:style>
  <w:style w:type="character" w:customStyle="1" w:styleId="379">
    <w:name w:val="正文文本 2 Char"/>
    <w:link w:val="50"/>
    <w:uiPriority w:val="0"/>
    <w:rPr>
      <w:rFonts w:ascii="宋体" w:hAnsi="宋体" w:eastAsia="宋体"/>
      <w:color w:val="000000"/>
      <w:kern w:val="2"/>
      <w:sz w:val="24"/>
      <w:szCs w:val="24"/>
      <w:lang w:val="en-US" w:eastAsia="zh-CN" w:bidi="ar-SA"/>
    </w:rPr>
  </w:style>
  <w:style w:type="character" w:customStyle="1" w:styleId="380">
    <w:name w:val="mark"/>
    <w:uiPriority w:val="0"/>
    <w:rPr>
      <w:rFonts w:cs="Times New Roman"/>
    </w:rPr>
  </w:style>
  <w:style w:type="character" w:customStyle="1" w:styleId="381">
    <w:name w:val="Char Char131"/>
    <w:uiPriority w:val="0"/>
    <w:rPr>
      <w:rFonts w:ascii="Calibri" w:hAnsi="Calibri" w:eastAsia="宋体" w:cs="Times New Roman"/>
      <w:sz w:val="18"/>
      <w:szCs w:val="18"/>
    </w:rPr>
  </w:style>
  <w:style w:type="character" w:customStyle="1" w:styleId="382">
    <w:name w:val="Char2 Char"/>
    <w:uiPriority w:val="0"/>
    <w:rPr>
      <w:rFonts w:ascii="Verdana" w:hAnsi="宋体" w:eastAsia="宋体" w:cs="Times New Roman"/>
      <w:sz w:val="28"/>
      <w:szCs w:val="28"/>
    </w:rPr>
  </w:style>
  <w:style w:type="character" w:customStyle="1" w:styleId="383">
    <w:name w:val="页眉 Char"/>
    <w:qFormat/>
    <w:uiPriority w:val="99"/>
    <w:rPr>
      <w:kern w:val="2"/>
      <w:sz w:val="18"/>
      <w:szCs w:val="18"/>
      <w:lang w:bidi="ar-SA"/>
    </w:rPr>
  </w:style>
  <w:style w:type="character" w:customStyle="1" w:styleId="384">
    <w:name w:val="正文 首行缩进:  2 字符 Char"/>
    <w:link w:val="385"/>
    <w:uiPriority w:val="0"/>
    <w:rPr>
      <w:rFonts w:cs="宋体"/>
      <w:sz w:val="24"/>
    </w:rPr>
  </w:style>
  <w:style w:type="paragraph" w:customStyle="1" w:styleId="385">
    <w:name w:val="正文 首行缩进:  2 字符"/>
    <w:basedOn w:val="1"/>
    <w:next w:val="1"/>
    <w:link w:val="384"/>
    <w:uiPriority w:val="0"/>
    <w:pPr>
      <w:spacing w:line="360" w:lineRule="auto"/>
      <w:ind w:firstLine="480" w:firstLineChars="200"/>
      <w:jc w:val="left"/>
    </w:pPr>
    <w:rPr>
      <w:kern w:val="0"/>
      <w:sz w:val="24"/>
      <w:szCs w:val="20"/>
    </w:rPr>
  </w:style>
  <w:style w:type="character" w:customStyle="1" w:styleId="386">
    <w:name w:val="paramname3"/>
    <w:uiPriority w:val="0"/>
    <w:rPr>
      <w:color w:val="999999"/>
    </w:rPr>
  </w:style>
  <w:style w:type="character" w:customStyle="1" w:styleId="387">
    <w:name w:val="Char Char41"/>
    <w:uiPriority w:val="0"/>
    <w:rPr>
      <w:rFonts w:ascii="Calibri" w:hAnsi="Calibri" w:eastAsia="宋体"/>
      <w:sz w:val="18"/>
      <w:szCs w:val="18"/>
      <w:lang w:bidi="ar-SA"/>
    </w:rPr>
  </w:style>
  <w:style w:type="character" w:customStyle="1" w:styleId="388">
    <w:name w:val="华电 正文 Char Char"/>
    <w:uiPriority w:val="0"/>
    <w:rPr>
      <w:rFonts w:ascii="宋体" w:hAnsi="宋体" w:eastAsia="宋体"/>
      <w:sz w:val="22"/>
      <w:lang w:bidi="ar-SA"/>
    </w:rPr>
  </w:style>
  <w:style w:type="character" w:customStyle="1" w:styleId="389">
    <w:name w:val="Char Char"/>
    <w:uiPriority w:val="0"/>
    <w:rPr>
      <w:rFonts w:ascii="Arial" w:hAnsi="Arial" w:eastAsia="黑体"/>
      <w:b/>
      <w:bCs/>
      <w:kern w:val="2"/>
      <w:sz w:val="28"/>
      <w:szCs w:val="28"/>
      <w:lang w:val="en-US" w:eastAsia="zh-CN" w:bidi="ar-SA"/>
    </w:rPr>
  </w:style>
  <w:style w:type="paragraph" w:customStyle="1" w:styleId="390">
    <w:name w:val="表文字"/>
    <w:uiPriority w:val="0"/>
    <w:rPr>
      <w:rFonts w:ascii="宋体" w:hAnsi="Times New Roman" w:eastAsia="宋体" w:cs="Times New Roman"/>
      <w:kern w:val="2"/>
      <w:lang w:val="en-US" w:eastAsia="zh-CN" w:bidi="ar-SA"/>
    </w:rPr>
  </w:style>
  <w:style w:type="paragraph" w:customStyle="1" w:styleId="391">
    <w:name w:val="样式 标题 2Chapter X.X. Statementh22Header 2l2Level 2 Headhea..."/>
    <w:basedOn w:val="3"/>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15"/>
    <w:qFormat/>
    <w:uiPriority w:val="0"/>
    <w:pPr>
      <w:ind w:firstLine="480" w:firstLineChars="200"/>
    </w:pPr>
  </w:style>
  <w:style w:type="paragraph" w:customStyle="1" w:styleId="397">
    <w:name w:val="正文段"/>
    <w:basedOn w:val="1"/>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uiPriority w:val="0"/>
    <w:pPr>
      <w:ind w:firstLine="420" w:firstLineChars="200"/>
    </w:pPr>
  </w:style>
  <w:style w:type="paragraph" w:customStyle="1" w:styleId="400">
    <w:name w:val="15"/>
    <w:basedOn w:val="1"/>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uiPriority w:val="0"/>
    <w:pPr>
      <w:spacing w:line="288" w:lineRule="auto"/>
      <w:jc w:val="center"/>
    </w:pPr>
    <w:rPr>
      <w:rFonts w:ascii="新宋体" w:hAnsi="Times New Roman" w:eastAsia="新宋体"/>
      <w:sz w:val="24"/>
      <w:szCs w:val="24"/>
    </w:rPr>
  </w:style>
  <w:style w:type="paragraph" w:customStyle="1" w:styleId="402">
    <w:name w:val="xl76"/>
    <w:basedOn w:val="1"/>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uiPriority w:val="0"/>
    <w:pPr>
      <w:spacing w:afterLines="50"/>
      <w:ind w:left="720" w:hanging="432"/>
      <w:jc w:val="left"/>
    </w:pPr>
    <w:rPr>
      <w:rFonts w:ascii="宋体" w:hAnsi="Times New Roman"/>
      <w:snapToGrid w:val="0"/>
      <w:kern w:val="0"/>
      <w:szCs w:val="20"/>
    </w:rPr>
  </w:style>
  <w:style w:type="paragraph" w:customStyle="1" w:styleId="404">
    <w:name w:val="S4-I-L15-U"/>
    <w:basedOn w:val="1"/>
    <w:uiPriority w:val="0"/>
    <w:pPr>
      <w:spacing w:line="360" w:lineRule="auto"/>
    </w:pPr>
    <w:rPr>
      <w:rFonts w:ascii="Times New Roman" w:hAnsi="Times New Roman"/>
      <w:b/>
      <w:i/>
      <w:sz w:val="24"/>
      <w:szCs w:val="24"/>
      <w:u w:val="single"/>
    </w:rPr>
  </w:style>
  <w:style w:type="paragraph" w:customStyle="1" w:styleId="40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uiPriority w:val="0"/>
    <w:pPr>
      <w:spacing w:after="120"/>
    </w:pPr>
    <w:rPr>
      <w:rFonts w:ascii="Times New Roman" w:hAnsi="Times New Roman"/>
      <w:sz w:val="28"/>
      <w:szCs w:val="24"/>
    </w:rPr>
  </w:style>
  <w:style w:type="paragraph" w:customStyle="1" w:styleId="407">
    <w:name w:val="xl70"/>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uiPriority w:val="0"/>
    <w:rPr>
      <w:rFonts w:ascii="仿宋_GB2312" w:hAnsi="Times New Roman" w:eastAsia="仿宋_GB2312"/>
      <w:b/>
      <w:sz w:val="32"/>
      <w:szCs w:val="32"/>
    </w:rPr>
  </w:style>
  <w:style w:type="paragraph" w:customStyle="1" w:styleId="413">
    <w:name w:val="font11"/>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5">
    <w:name w:val="图表"/>
    <w:basedOn w:val="1"/>
    <w:uiPriority w:val="0"/>
    <w:pPr>
      <w:adjustRightInd w:val="0"/>
      <w:snapToGrid w:val="0"/>
      <w:jc w:val="center"/>
    </w:pPr>
    <w:rPr>
      <w:rFonts w:ascii="宋体" w:hAnsi="宋体"/>
      <w:szCs w:val="21"/>
    </w:rPr>
  </w:style>
  <w:style w:type="paragraph" w:customStyle="1" w:styleId="416">
    <w:name w:val="正文浙江中烟安全"/>
    <w:basedOn w:val="1"/>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9">
    <w:name w:val="样式 样式 正文文本缩进 + 仿宋_GB2312 小四 首行缩进:  0 厘米 行距: 1.5 倍行距 + (中文) 仿宋_GB..."/>
    <w:basedOn w:val="420"/>
    <w:uiPriority w:val="0"/>
    <w:pPr>
      <w:ind w:firstLine="480" w:firstLineChars="200"/>
    </w:pPr>
  </w:style>
  <w:style w:type="paragraph" w:customStyle="1" w:styleId="420">
    <w:name w:val="样式 正文文本缩进 + 仿宋_GB2312 小四 首行缩进:  0 厘米 行距: 1.5 倍行距"/>
    <w:basedOn w:val="25"/>
    <w:uiPriority w:val="0"/>
    <w:pPr>
      <w:spacing w:line="360" w:lineRule="auto"/>
      <w:ind w:firstLine="0"/>
    </w:pPr>
    <w:rPr>
      <w:rFonts w:ascii="仿宋_GB2312" w:hAnsi="Times New Roman" w:eastAsia="新宋体"/>
      <w:spacing w:val="0"/>
      <w:sz w:val="24"/>
    </w:rPr>
  </w:style>
  <w:style w:type="paragraph" w:customStyle="1" w:styleId="421">
    <w:name w:val="xl86"/>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08"/>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431">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uiPriority w:val="0"/>
    <w:rPr>
      <w:rFonts w:ascii="Tahoma" w:hAnsi="Tahoma"/>
      <w:sz w:val="24"/>
      <w:szCs w:val="20"/>
    </w:rPr>
  </w:style>
  <w:style w:type="paragraph" w:customStyle="1" w:styleId="435">
    <w:name w:val="样式 样式 标题 4 + 段后: 0.5 行1"/>
    <w:basedOn w:val="436"/>
    <w:next w:val="36"/>
    <w:uiPriority w:val="0"/>
    <w:pPr>
      <w:numPr>
        <w:ilvl w:val="1"/>
        <w:numId w:val="5"/>
      </w:numPr>
      <w:tabs>
        <w:tab w:val="left" w:pos="2040"/>
      </w:tabs>
      <w:spacing w:after="120"/>
      <w:ind w:left="0" w:firstLine="0"/>
    </w:pPr>
  </w:style>
  <w:style w:type="paragraph" w:customStyle="1" w:styleId="436">
    <w:name w:val="样式 标题 4 + 段后: 0.5 行"/>
    <w:basedOn w:val="5"/>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uiPriority w:val="0"/>
    <w:pPr>
      <w:tabs>
        <w:tab w:val="left" w:pos="709"/>
      </w:tabs>
      <w:spacing w:line="360" w:lineRule="auto"/>
    </w:pPr>
    <w:rPr>
      <w:rFonts w:ascii="Times New Roman" w:hAnsi="Times New Roman"/>
      <w:kern w:val="0"/>
      <w:sz w:val="28"/>
      <w:szCs w:val="28"/>
    </w:rPr>
  </w:style>
  <w:style w:type="paragraph" w:customStyle="1" w:styleId="43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uiPriority w:val="0"/>
    <w:pPr>
      <w:ind w:left="1890" w:leftChars="900"/>
    </w:pPr>
    <w:rPr>
      <w:rFonts w:ascii="Times New Roman" w:hAnsi="Times New Roman"/>
      <w:sz w:val="24"/>
      <w:szCs w:val="24"/>
    </w:rPr>
  </w:style>
  <w:style w:type="paragraph" w:customStyle="1" w:styleId="440">
    <w:name w:val="linyang-正文"/>
    <w:basedOn w:val="1"/>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uiPriority w:val="0"/>
    <w:pPr>
      <w:shd w:val="clear" w:color="auto" w:fill="000080"/>
    </w:pPr>
    <w:rPr>
      <w:rFonts w:ascii="Tahoma" w:hAnsi="Tahoma" w:cs="Tahoma"/>
      <w:kern w:val="0"/>
      <w:szCs w:val="24"/>
    </w:rPr>
  </w:style>
  <w:style w:type="paragraph" w:customStyle="1" w:styleId="444">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uiPriority w:val="0"/>
    <w:pPr>
      <w:spacing w:after="120" w:line="360" w:lineRule="auto"/>
      <w:jc w:val="center"/>
    </w:pPr>
    <w:rPr>
      <w:rFonts w:ascii="Times New Roman" w:hAnsi="Times New Roman"/>
      <w:szCs w:val="21"/>
    </w:rPr>
  </w:style>
  <w:style w:type="paragraph" w:customStyle="1" w:styleId="452">
    <w:name w:val="P2"/>
    <w:basedOn w:val="1"/>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uiPriority w:val="0"/>
    <w:pPr>
      <w:spacing w:beforeLines="0" w:afterLines="0" w:line="360" w:lineRule="auto"/>
    </w:pPr>
    <w:rPr>
      <w:b/>
      <w:sz w:val="30"/>
      <w:szCs w:val="20"/>
    </w:rPr>
  </w:style>
  <w:style w:type="paragraph" w:customStyle="1" w:styleId="455">
    <w:name w:val="Normal0"/>
    <w:uiPriority w:val="0"/>
    <w:rPr>
      <w:rFonts w:ascii="Times New Roman" w:hAnsi="Times New Roman" w:eastAsia="宋体" w:cs="Times New Roman"/>
      <w:lang w:val="en-US" w:eastAsia="en-US" w:bidi="ar-SA"/>
    </w:rPr>
  </w:style>
  <w:style w:type="paragraph" w:customStyle="1" w:styleId="456">
    <w:name w:val="Char6"/>
    <w:basedOn w:val="1"/>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uiPriority w:val="0"/>
    <w:rPr>
      <w:rFonts w:ascii="Arial" w:hAnsi="Arial"/>
      <w:sz w:val="30"/>
    </w:rPr>
  </w:style>
  <w:style w:type="paragraph" w:customStyle="1" w:styleId="458">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uiPriority w:val="0"/>
    <w:pPr>
      <w:spacing w:beforeLines="20" w:afterLines="20"/>
    </w:pPr>
    <w:rPr>
      <w:rFonts w:ascii="楷体_GB2312" w:hAnsi="宋体" w:eastAsia="楷体_GB2312" w:cs="Arial"/>
      <w:kern w:val="0"/>
      <w:sz w:val="24"/>
      <w:szCs w:val="24"/>
    </w:rPr>
  </w:style>
  <w:style w:type="paragraph" w:customStyle="1" w:styleId="460">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uiPriority w:val="0"/>
    <w:pPr>
      <w:ind w:firstLine="420"/>
    </w:pPr>
    <w:rPr>
      <w:rFonts w:ascii="Times New Roman" w:hAnsi="Times New Roman"/>
      <w:szCs w:val="20"/>
    </w:rPr>
  </w:style>
  <w:style w:type="paragraph" w:customStyle="1" w:styleId="469">
    <w:name w:val="pa-17"/>
    <w:basedOn w:val="1"/>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uiPriority w:val="0"/>
    <w:pPr>
      <w:spacing w:line="360" w:lineRule="auto"/>
      <w:ind w:firstLine="480" w:firstLineChars="200"/>
    </w:pPr>
    <w:rPr>
      <w:rFonts w:ascii="宋体" w:hAnsi="宋体"/>
      <w:sz w:val="24"/>
      <w:szCs w:val="24"/>
    </w:rPr>
  </w:style>
  <w:style w:type="paragraph" w:customStyle="1" w:styleId="471">
    <w:name w:val="Char9"/>
    <w:basedOn w:val="1"/>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
    <w:basedOn w:val="21"/>
    <w:next w:val="21"/>
    <w:uiPriority w:val="0"/>
    <w:rPr>
      <w:b/>
      <w:bCs/>
      <w:kern w:val="0"/>
      <w:sz w:val="20"/>
      <w:szCs w:val="20"/>
    </w:rPr>
  </w:style>
  <w:style w:type="paragraph" w:customStyle="1" w:styleId="47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uiPriority w:val="0"/>
    <w:pPr>
      <w:tabs>
        <w:tab w:val="left" w:pos="1140"/>
      </w:tabs>
      <w:spacing w:after="120"/>
    </w:pPr>
    <w:rPr>
      <w:bCs/>
    </w:rPr>
  </w:style>
  <w:style w:type="paragraph" w:customStyle="1" w:styleId="476">
    <w:name w:val="样式 标题1"/>
    <w:basedOn w:val="477"/>
    <w:next w:val="478"/>
    <w:uiPriority w:val="0"/>
    <w:pPr>
      <w:tabs>
        <w:tab w:val="left" w:pos="1140"/>
      </w:tabs>
      <w:spacing w:after="50"/>
      <w:ind w:left="1140" w:hanging="720"/>
    </w:pPr>
    <w:rPr>
      <w:bCs w:val="0"/>
      <w:sz w:val="32"/>
    </w:rPr>
  </w:style>
  <w:style w:type="paragraph" w:customStyle="1" w:styleId="477">
    <w:name w:val="样式 标题 1 + 段后: 0.5 行"/>
    <w:basedOn w:val="2"/>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uiPriority w:val="0"/>
    <w:pPr>
      <w:spacing w:after="120"/>
    </w:pPr>
  </w:style>
  <w:style w:type="paragraph" w:customStyle="1" w:styleId="479">
    <w:name w:val="样式 标题 2"/>
    <w:basedOn w:val="3"/>
    <w:next w:val="480"/>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uiPriority w:val="0"/>
    <w:pPr>
      <w:spacing w:after="120"/>
    </w:pPr>
  </w:style>
  <w:style w:type="paragraph" w:customStyle="1" w:styleId="481">
    <w:name w:val="样式 标题 3"/>
    <w:basedOn w:val="4"/>
    <w:next w:val="482"/>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uiPriority w:val="0"/>
    <w:pPr>
      <w:tabs>
        <w:tab w:val="left" w:pos="864"/>
        <w:tab w:val="left" w:pos="2040"/>
        <w:tab w:val="left" w:pos="2100"/>
      </w:tabs>
      <w:spacing w:after="120"/>
      <w:ind w:left="0" w:firstLine="0"/>
    </w:pPr>
  </w:style>
  <w:style w:type="paragraph" w:customStyle="1" w:styleId="483">
    <w:name w:val="样式 标题 4"/>
    <w:basedOn w:val="484"/>
    <w:next w:val="485"/>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uiPriority w:val="0"/>
    <w:pPr>
      <w:numPr>
        <w:numId w:val="0"/>
      </w:numPr>
      <w:tabs>
        <w:tab w:val="left" w:pos="864"/>
      </w:tabs>
      <w:spacing w:after="120"/>
      <w:ind w:left="864" w:hanging="864"/>
    </w:pPr>
  </w:style>
  <w:style w:type="paragraph" w:customStyle="1" w:styleId="485">
    <w:name w:val="样式 正文"/>
    <w:basedOn w:val="1"/>
    <w:next w:val="1"/>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uiPriority w:val="0"/>
    <w:pPr>
      <w:spacing w:before="80" w:afterLines="50"/>
    </w:pPr>
    <w:rPr>
      <w:rFonts w:ascii="宋体" w:hAnsi="Times New Roman"/>
      <w:snapToGrid w:val="0"/>
      <w:kern w:val="0"/>
      <w:szCs w:val="20"/>
    </w:rPr>
  </w:style>
  <w:style w:type="paragraph" w:customStyle="1" w:styleId="490">
    <w:name w:val="4"/>
    <w:basedOn w:val="1"/>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uiPriority w:val="99"/>
    <w:rPr>
      <w:rFonts w:ascii="Calibri" w:hAnsi="Calibri" w:eastAsia="宋体" w:cs="Times New Roman"/>
      <w:kern w:val="2"/>
      <w:sz w:val="21"/>
      <w:szCs w:val="22"/>
      <w:lang w:val="en-US" w:eastAsia="zh-CN" w:bidi="ar-SA"/>
    </w:rPr>
  </w:style>
  <w:style w:type="paragraph" w:customStyle="1" w:styleId="493">
    <w:name w:val="xl77"/>
    <w:basedOn w:val="1"/>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uiPriority w:val="0"/>
    <w:pPr>
      <w:tabs>
        <w:tab w:val="left" w:pos="432"/>
      </w:tabs>
      <w:ind w:left="432" w:hanging="432"/>
    </w:pPr>
    <w:rPr>
      <w:rFonts w:ascii="Times New Roman" w:hAnsi="Times New Roman"/>
      <w:sz w:val="24"/>
      <w:szCs w:val="24"/>
    </w:rPr>
  </w:style>
  <w:style w:type="paragraph" w:customStyle="1" w:styleId="500">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uiPriority w:val="0"/>
    <w:pPr>
      <w:spacing w:beforeLines="50" w:after="120" w:line="300" w:lineRule="auto"/>
      <w:ind w:firstLine="480"/>
    </w:pPr>
    <w:rPr>
      <w:rFonts w:ascii="Helvetica" w:hAnsi="Helvetica"/>
      <w:kern w:val="0"/>
      <w:sz w:val="24"/>
      <w:szCs w:val="24"/>
    </w:rPr>
  </w:style>
  <w:style w:type="paragraph" w:customStyle="1" w:styleId="502">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uiPriority w:val="0"/>
    <w:pPr>
      <w:widowControl/>
      <w:spacing w:before="360" w:after="360"/>
      <w:jc w:val="center"/>
    </w:pPr>
    <w:rPr>
      <w:rFonts w:ascii="宋体" w:hAnsi="宋体" w:cs="宋体"/>
      <w:kern w:val="0"/>
      <w:sz w:val="24"/>
      <w:szCs w:val="24"/>
    </w:rPr>
  </w:style>
  <w:style w:type="paragraph" w:customStyle="1" w:styleId="506">
    <w:name w:val="pbullet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3">
    <w:name w:val="圆点"/>
    <w:basedOn w:val="1"/>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uiPriority w:val="0"/>
    <w:rPr>
      <w:rFonts w:ascii="仿宋_GB2312" w:hAnsi="Times New Roman" w:eastAsia="仿宋_GB2312"/>
      <w:b/>
      <w:sz w:val="32"/>
      <w:szCs w:val="32"/>
    </w:rPr>
  </w:style>
  <w:style w:type="paragraph" w:customStyle="1" w:styleId="519">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6"/>
    <w:uiPriority w:val="0"/>
    <w:pPr>
      <w:spacing w:after="60"/>
      <w:ind w:left="420" w:firstLine="200" w:firstLineChars="200"/>
    </w:pPr>
    <w:rPr>
      <w:rFonts w:ascii="Times New Roman" w:hAnsi="Times New Roman"/>
      <w:szCs w:val="24"/>
    </w:rPr>
  </w:style>
  <w:style w:type="paragraph" w:customStyle="1" w:styleId="521">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uiPriority w:val="0"/>
    <w:pPr>
      <w:numPr>
        <w:ilvl w:val="0"/>
        <w:numId w:val="14"/>
      </w:numPr>
      <w:spacing w:line="400" w:lineRule="exact"/>
    </w:pPr>
    <w:rPr>
      <w:rFonts w:ascii="Arial" w:hAnsi="Arial"/>
      <w:szCs w:val="24"/>
    </w:rPr>
  </w:style>
  <w:style w:type="paragraph" w:customStyle="1" w:styleId="523">
    <w:name w:val="GP有序编号2级"/>
    <w:basedOn w:val="1"/>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uiPriority w:val="0"/>
    <w:pPr>
      <w:spacing w:after="120"/>
    </w:pPr>
  </w:style>
  <w:style w:type="paragraph" w:customStyle="1" w:styleId="526">
    <w:name w:val="标题 3Chapter X.X.X. + 段后: 0.5 行 + 段后: 0.5 行 + 段后: 0.5 行1"/>
    <w:basedOn w:val="527"/>
    <w:uiPriority w:val="0"/>
  </w:style>
  <w:style w:type="paragraph" w:customStyle="1" w:styleId="527">
    <w:name w:val="样式 样式 标题 3Chapter X.X.X. + 段后: 0.5 行 + 段后: 0.5 行"/>
    <w:basedOn w:val="528"/>
    <w:uiPriority w:val="0"/>
  </w:style>
  <w:style w:type="paragraph" w:customStyle="1" w:styleId="528">
    <w:name w:val="样式 标题 3Chapter X.X.X. + 段后: 0.5 行"/>
    <w:basedOn w:val="4"/>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3">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4">
    <w:name w:val="S4-L15-No"/>
    <w:basedOn w:val="535"/>
    <w:uiPriority w:val="0"/>
    <w:pPr>
      <w:tabs>
        <w:tab w:val="left" w:pos="720"/>
      </w:tabs>
      <w:ind w:hanging="720"/>
    </w:pPr>
  </w:style>
  <w:style w:type="paragraph" w:customStyle="1" w:styleId="535">
    <w:name w:val="S4-L15"/>
    <w:basedOn w:val="1"/>
    <w:uiPriority w:val="0"/>
    <w:pPr>
      <w:spacing w:after="120" w:line="360" w:lineRule="auto"/>
      <w:ind w:left="720" w:firstLine="392"/>
    </w:pPr>
    <w:rPr>
      <w:rFonts w:ascii="Times New Roman" w:hAnsi="Times New Roman"/>
      <w:szCs w:val="21"/>
      <w:lang w:val="fr-FR"/>
    </w:rPr>
  </w:style>
  <w:style w:type="paragraph" w:customStyle="1" w:styleId="536">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4"/>
    <w:next w:val="1"/>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uiPriority w:val="0"/>
    <w:pPr>
      <w:tabs>
        <w:tab w:val="left" w:pos="432"/>
      </w:tabs>
      <w:ind w:left="432" w:hanging="432"/>
    </w:pPr>
    <w:rPr>
      <w:rFonts w:ascii="Tahoma" w:hAnsi="Tahoma"/>
      <w:sz w:val="24"/>
      <w:szCs w:val="20"/>
    </w:rPr>
  </w:style>
  <w:style w:type="paragraph" w:customStyle="1" w:styleId="542">
    <w:name w:val="Bullet2"/>
    <w:basedOn w:val="1"/>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546">
    <w:name w:val="文本框内文字"/>
    <w:basedOn w:val="1"/>
    <w:uiPriority w:val="0"/>
    <w:pPr>
      <w:spacing w:line="0" w:lineRule="atLeast"/>
    </w:pPr>
    <w:rPr>
      <w:rFonts w:ascii="Times New Roman" w:hAnsi="Times New Roman" w:eastAsia="仿宋_GB2312"/>
      <w:sz w:val="22"/>
      <w:szCs w:val="24"/>
    </w:rPr>
  </w:style>
  <w:style w:type="paragraph" w:customStyle="1" w:styleId="547">
    <w:name w:val="Char3"/>
    <w:basedOn w:val="1"/>
    <w:uiPriority w:val="0"/>
    <w:rPr>
      <w:rFonts w:ascii="仿宋_GB2312" w:hAnsi="Times New Roman" w:eastAsia="仿宋_GB2312"/>
      <w:b/>
      <w:sz w:val="32"/>
      <w:szCs w:val="20"/>
    </w:rPr>
  </w:style>
  <w:style w:type="paragraph" w:customStyle="1" w:styleId="548">
    <w:name w:val="此正文"/>
    <w:basedOn w:val="1"/>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uiPriority w:val="0"/>
    <w:pPr>
      <w:tabs>
        <w:tab w:val="left" w:pos="360"/>
      </w:tabs>
      <w:ind w:firstLine="420" w:firstLineChars="150"/>
    </w:pPr>
    <w:rPr>
      <w:rFonts w:ascii="Times New Roman" w:hAnsi="Times New Roman"/>
      <w:szCs w:val="20"/>
    </w:rPr>
  </w:style>
  <w:style w:type="paragraph" w:customStyle="1" w:styleId="551">
    <w:name w:val="Bullet 2"/>
    <w:basedOn w:val="24"/>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53">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uiPriority w:val="0"/>
    <w:pPr>
      <w:keepNext/>
      <w:widowControl/>
      <w:spacing w:before="80" w:after="80"/>
      <w:jc w:val="center"/>
    </w:pPr>
    <w:rPr>
      <w:rFonts w:ascii="Times New Roman" w:hAnsi="Times New Roman"/>
      <w:szCs w:val="20"/>
    </w:rPr>
  </w:style>
  <w:style w:type="paragraph" w:customStyle="1" w:styleId="556">
    <w:name w:val="Char Char1 Char11"/>
    <w:basedOn w:val="1"/>
    <w:uiPriority w:val="0"/>
    <w:rPr>
      <w:rFonts w:ascii="仿宋_GB2312" w:hAnsi="Times New Roman" w:eastAsia="仿宋_GB2312"/>
      <w:b/>
      <w:sz w:val="32"/>
      <w:szCs w:val="32"/>
    </w:rPr>
  </w:style>
  <w:style w:type="paragraph" w:customStyle="1" w:styleId="557">
    <w:name w:val="xl73"/>
    <w:basedOn w:val="1"/>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uiPriority w:val="0"/>
    <w:rPr>
      <w:rFonts w:ascii="Tahoma" w:hAnsi="Tahoma"/>
      <w:sz w:val="24"/>
      <w:szCs w:val="20"/>
    </w:rPr>
  </w:style>
  <w:style w:type="paragraph" w:customStyle="1" w:styleId="559">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563">
    <w:name w:val="_Style 118"/>
    <w:basedOn w:val="1"/>
    <w:uiPriority w:val="0"/>
  </w:style>
  <w:style w:type="paragraph" w:customStyle="1" w:styleId="564">
    <w:name w:val="标准有序列表（L1）"/>
    <w:basedOn w:val="17"/>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uiPriority w:val="0"/>
    <w:pPr>
      <w:jc w:val="center"/>
    </w:pPr>
    <w:rPr>
      <w:rFonts w:ascii="Times New Roman" w:hAnsi="Times New Roman" w:eastAsia="幼圆" w:cs="宋体"/>
      <w:b/>
      <w:sz w:val="28"/>
      <w:szCs w:val="28"/>
    </w:rPr>
  </w:style>
  <w:style w:type="paragraph" w:customStyle="1" w:styleId="566">
    <w:name w:val="_Style 11811"/>
    <w:basedOn w:val="1"/>
    <w:uiPriority w:val="0"/>
  </w:style>
  <w:style w:type="paragraph" w:customStyle="1" w:styleId="567">
    <w:name w:val="Char Char Char Char Char Char Char Char"/>
    <w:basedOn w:val="1"/>
    <w:uiPriority w:val="0"/>
    <w:pPr>
      <w:tabs>
        <w:tab w:val="left" w:pos="360"/>
      </w:tabs>
    </w:pPr>
    <w:rPr>
      <w:rFonts w:ascii="Times New Roman" w:hAnsi="Times New Roman"/>
      <w:sz w:val="24"/>
      <w:szCs w:val="24"/>
    </w:rPr>
  </w:style>
  <w:style w:type="paragraph" w:customStyle="1" w:styleId="568">
    <w:name w:val="xl66"/>
    <w:basedOn w:val="1"/>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uiPriority w:val="0"/>
    <w:rPr>
      <w:rFonts w:ascii="Times New Roman" w:hAnsi="Times New Roman" w:eastAsia="仿宋_GB2312" w:cs="宋体"/>
      <w:sz w:val="24"/>
      <w:szCs w:val="20"/>
    </w:rPr>
  </w:style>
  <w:style w:type="paragraph" w:customStyle="1" w:styleId="570">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uiPriority w:val="0"/>
    <w:pPr>
      <w:ind w:firstLine="420" w:firstLineChars="200"/>
    </w:pPr>
    <w:rPr>
      <w:szCs w:val="24"/>
    </w:rPr>
  </w:style>
  <w:style w:type="paragraph" w:customStyle="1" w:styleId="576">
    <w:name w:val="样式 标题 2 + 五号"/>
    <w:basedOn w:val="3"/>
    <w:uiPriority w:val="0"/>
    <w:pPr>
      <w:spacing w:before="0" w:after="0" w:line="240" w:lineRule="auto"/>
    </w:pPr>
    <w:rPr>
      <w:rFonts w:ascii="宋体" w:hAnsi="宋体" w:eastAsia="宋体"/>
      <w:sz w:val="21"/>
    </w:rPr>
  </w:style>
  <w:style w:type="paragraph" w:customStyle="1" w:styleId="57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uiPriority w:val="0"/>
    <w:pPr>
      <w:spacing w:line="360" w:lineRule="auto"/>
    </w:pPr>
    <w:rPr>
      <w:sz w:val="24"/>
      <w:szCs w:val="24"/>
    </w:rPr>
  </w:style>
  <w:style w:type="paragraph" w:customStyle="1" w:styleId="579">
    <w:name w:val="Style-正文"/>
    <w:basedOn w:val="1"/>
    <w:uiPriority w:val="0"/>
    <w:pPr>
      <w:spacing w:line="360" w:lineRule="auto"/>
      <w:ind w:firstLine="420"/>
    </w:pPr>
    <w:rPr>
      <w:rFonts w:ascii="宋体" w:hAnsi="宋体"/>
      <w:sz w:val="24"/>
      <w:szCs w:val="24"/>
    </w:rPr>
  </w:style>
  <w:style w:type="paragraph" w:customStyle="1" w:styleId="580">
    <w:name w:val="金保文档标准正文 Char"/>
    <w:basedOn w:val="1"/>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uiPriority w:val="0"/>
    <w:rPr>
      <w:rFonts w:ascii="Times New Roman" w:hAnsi="Times New Roman"/>
      <w:szCs w:val="24"/>
    </w:rPr>
  </w:style>
  <w:style w:type="paragraph" w:customStyle="1" w:styleId="583">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uiPriority w:val="0"/>
    <w:rPr>
      <w:rFonts w:ascii="宋体" w:hAnsi="Courier New"/>
      <w:szCs w:val="20"/>
    </w:rPr>
  </w:style>
  <w:style w:type="paragraph" w:customStyle="1" w:styleId="586">
    <w:name w:val="S4-I-U-L15-No-dot"/>
    <w:basedOn w:val="1"/>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uiPriority w:val="0"/>
    <w:rPr>
      <w:rFonts w:ascii="Tahoma" w:hAnsi="Tahoma"/>
      <w:sz w:val="24"/>
      <w:szCs w:val="20"/>
    </w:rPr>
  </w:style>
  <w:style w:type="paragraph" w:customStyle="1" w:styleId="590">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uiPriority w:val="0"/>
    <w:pPr>
      <w:spacing w:after="120"/>
    </w:pPr>
  </w:style>
  <w:style w:type="paragraph" w:customStyle="1" w:styleId="592">
    <w:name w:val="样式 标题 2 + 宋体 小四 段前: 0 磅 段后: 0 磅 行距: 1.5 倍行距"/>
    <w:basedOn w:val="3"/>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0"/>
    <w:pPr>
      <w:tabs>
        <w:tab w:val="left" w:pos="1116"/>
      </w:tabs>
      <w:ind w:left="1116" w:hanging="576"/>
    </w:pPr>
    <w:rPr>
      <w:rFonts w:ascii="黑体" w:hAnsi="Cambria"/>
      <w:kern w:val="0"/>
    </w:rPr>
  </w:style>
  <w:style w:type="paragraph" w:customStyle="1" w:styleId="595">
    <w:name w:val="文档结构图1"/>
    <w:basedOn w:val="1"/>
    <w:uiPriority w:val="0"/>
    <w:rPr>
      <w:rFonts w:ascii="宋体"/>
      <w:kern w:val="0"/>
      <w:sz w:val="18"/>
      <w:szCs w:val="18"/>
    </w:rPr>
  </w:style>
  <w:style w:type="paragraph" w:customStyle="1" w:styleId="596">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uiPriority w:val="0"/>
    <w:pPr>
      <w:tabs>
        <w:tab w:val="left" w:pos="432"/>
      </w:tabs>
      <w:ind w:left="432" w:hanging="432"/>
    </w:pPr>
    <w:rPr>
      <w:rFonts w:ascii="Tahoma" w:hAnsi="Tahoma"/>
      <w:sz w:val="24"/>
      <w:szCs w:val="20"/>
    </w:rPr>
  </w:style>
  <w:style w:type="paragraph" w:customStyle="1" w:styleId="598">
    <w:name w:val="正文文本 New New"/>
    <w:basedOn w:val="524"/>
    <w:uiPriority w:val="0"/>
    <w:pPr>
      <w:spacing w:after="120"/>
    </w:pPr>
    <w:rPr>
      <w:sz w:val="28"/>
      <w:szCs w:val="24"/>
    </w:rPr>
  </w:style>
  <w:style w:type="paragraph" w:customStyle="1" w:styleId="599">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uiPriority w:val="0"/>
    <w:rPr>
      <w:rFonts w:ascii="宋体" w:hAnsi="宋体" w:eastAsia="宋体" w:cs="Times New Roman"/>
      <w:sz w:val="24"/>
      <w:lang w:val="zh-CN" w:eastAsia="zh-CN" w:bidi="ar-SA"/>
    </w:rPr>
  </w:style>
  <w:style w:type="paragraph" w:customStyle="1" w:styleId="603">
    <w:name w:val="SZF表"/>
    <w:basedOn w:val="604"/>
    <w:uiPriority w:val="0"/>
    <w:rPr>
      <w:rFonts w:ascii="宋体" w:hAnsi="宋体"/>
      <w:bCs/>
      <w:szCs w:val="21"/>
    </w:rPr>
  </w:style>
  <w:style w:type="paragraph" w:customStyle="1" w:styleId="604">
    <w:name w:val="SZF图"/>
    <w:basedOn w:val="1"/>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uiPriority w:val="0"/>
    <w:rPr>
      <w:rFonts w:ascii="Tahoma" w:hAnsi="Tahoma"/>
      <w:sz w:val="24"/>
      <w:szCs w:val="20"/>
    </w:rPr>
  </w:style>
  <w:style w:type="paragraph" w:customStyle="1" w:styleId="608">
    <w:name w:val="文档结构图2"/>
    <w:basedOn w:val="1"/>
    <w:uiPriority w:val="0"/>
    <w:rPr>
      <w:rFonts w:ascii="宋体"/>
      <w:kern w:val="0"/>
      <w:sz w:val="18"/>
      <w:szCs w:val="18"/>
    </w:rPr>
  </w:style>
  <w:style w:type="paragraph" w:customStyle="1" w:styleId="609">
    <w:name w:val="xl72"/>
    <w:basedOn w:val="1"/>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uiPriority w:val="0"/>
    <w:pPr>
      <w:ind w:firstLine="480" w:firstLineChars="200"/>
    </w:pPr>
  </w:style>
  <w:style w:type="paragraph" w:customStyle="1" w:styleId="611">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uiPriority w:val="0"/>
    <w:rPr>
      <w:sz w:val="18"/>
    </w:rPr>
  </w:style>
  <w:style w:type="paragraph" w:customStyle="1" w:styleId="613">
    <w:name w:val="IBM 正文"/>
    <w:basedOn w:val="1"/>
    <w:uiPriority w:val="0"/>
    <w:pPr>
      <w:spacing w:line="360" w:lineRule="atLeast"/>
    </w:pPr>
    <w:rPr>
      <w:rFonts w:ascii="Times New Roman" w:hAnsi="Times New Roman"/>
      <w:sz w:val="24"/>
      <w:szCs w:val="20"/>
    </w:rPr>
  </w:style>
  <w:style w:type="paragraph" w:customStyle="1" w:styleId="614">
    <w:name w:val="Char Char1 Char1"/>
    <w:basedOn w:val="1"/>
    <w:uiPriority w:val="0"/>
    <w:rPr>
      <w:rFonts w:ascii="仿宋_GB2312" w:hAnsi="Times New Roman" w:eastAsia="仿宋_GB2312"/>
      <w:b/>
      <w:sz w:val="32"/>
      <w:szCs w:val="32"/>
    </w:rPr>
  </w:style>
  <w:style w:type="paragraph" w:customStyle="1" w:styleId="61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
    <w:basedOn w:val="1"/>
    <w:uiPriority w:val="0"/>
    <w:pPr>
      <w:tabs>
        <w:tab w:val="left" w:pos="432"/>
      </w:tabs>
      <w:ind w:left="432" w:hanging="432"/>
    </w:pPr>
    <w:rPr>
      <w:rFonts w:ascii="Tahoma" w:hAnsi="Tahoma"/>
      <w:sz w:val="24"/>
      <w:szCs w:val="20"/>
    </w:rPr>
  </w:style>
  <w:style w:type="paragraph" w:customStyle="1" w:styleId="617">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19">
    <w:name w:val="Tabletext"/>
    <w:basedOn w:val="1"/>
    <w:uiPriority w:val="0"/>
    <w:pPr>
      <w:keepLines/>
      <w:spacing w:afterLines="50"/>
      <w:jc w:val="left"/>
    </w:pPr>
    <w:rPr>
      <w:rFonts w:ascii="宋体" w:hAnsi="Times New Roman"/>
      <w:snapToGrid w:val="0"/>
      <w:kern w:val="0"/>
      <w:szCs w:val="20"/>
    </w:rPr>
  </w:style>
  <w:style w:type="paragraph" w:customStyle="1" w:styleId="620">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uiPriority w:val="0"/>
    <w:pPr>
      <w:tabs>
        <w:tab w:val="left" w:pos="1050"/>
      </w:tabs>
      <w:spacing w:line="240" w:lineRule="auto"/>
      <w:ind w:left="-258" w:leftChars="-258"/>
    </w:pPr>
    <w:rPr>
      <w:rFonts w:eastAsia="仿宋_GB2312"/>
      <w:sz w:val="28"/>
    </w:rPr>
  </w:style>
  <w:style w:type="paragraph" w:customStyle="1" w:styleId="622">
    <w:name w:val="大表 mt"/>
    <w:basedOn w:val="1"/>
    <w:uiPriority w:val="0"/>
    <w:pPr>
      <w:widowControl/>
      <w:jc w:val="left"/>
    </w:pPr>
    <w:rPr>
      <w:rFonts w:ascii="宋体" w:hAnsi="宋体" w:cs="宋体"/>
      <w:kern w:val="0"/>
      <w:szCs w:val="21"/>
    </w:rPr>
  </w:style>
  <w:style w:type="paragraph" w:customStyle="1" w:styleId="623">
    <w:name w:val="Char Char Char11"/>
    <w:basedOn w:val="1"/>
    <w:uiPriority w:val="0"/>
  </w:style>
  <w:style w:type="paragraph" w:customStyle="1" w:styleId="624">
    <w:name w:val="段落正文"/>
    <w:basedOn w:val="1"/>
    <w:uiPriority w:val="0"/>
    <w:pPr>
      <w:spacing w:line="360" w:lineRule="auto"/>
      <w:ind w:firstLine="560" w:firstLineChars="200"/>
    </w:pPr>
    <w:rPr>
      <w:rFonts w:ascii="Times New Roman" w:hAnsi="Times New Roman"/>
      <w:sz w:val="28"/>
      <w:szCs w:val="28"/>
    </w:rPr>
  </w:style>
  <w:style w:type="paragraph" w:customStyle="1" w:styleId="625">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2"/>
    <w:uiPriority w:val="0"/>
    <w:pPr>
      <w:spacing w:line="360" w:lineRule="auto"/>
      <w:ind w:firstLine="0"/>
    </w:pPr>
    <w:rPr>
      <w:rFonts w:ascii="宋体" w:hAnsi="宋体" w:cs="宋体"/>
      <w:kern w:val="0"/>
    </w:rPr>
  </w:style>
  <w:style w:type="paragraph" w:customStyle="1" w:styleId="631">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63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uiPriority w:val="0"/>
    <w:pPr>
      <w:numPr>
        <w:numId w:val="0"/>
      </w:numPr>
      <w:tabs>
        <w:tab w:val="left" w:pos="864"/>
      </w:tabs>
      <w:ind w:left="425" w:hanging="425"/>
    </w:pPr>
    <w:rPr>
      <w:szCs w:val="21"/>
    </w:rPr>
  </w:style>
  <w:style w:type="paragraph" w:customStyle="1" w:styleId="643">
    <w:name w:val="样式 标题 4Chapter X.X.X. + 段后: 0.5 行1"/>
    <w:basedOn w:val="5"/>
    <w:next w:val="5"/>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
    <w:basedOn w:val="1"/>
    <w:uiPriority w:val="0"/>
    <w:rPr>
      <w:rFonts w:ascii="仿宋_GB2312" w:hAnsi="Times New Roman" w:eastAsia="仿宋_GB2312"/>
      <w:b/>
      <w:sz w:val="32"/>
      <w:szCs w:val="32"/>
    </w:rPr>
  </w:style>
  <w:style w:type="paragraph" w:customStyle="1" w:styleId="650">
    <w:name w:val="正文文本 2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uiPriority w:val="0"/>
    <w:pPr>
      <w:ind w:firstLine="420" w:firstLineChars="200"/>
    </w:pPr>
  </w:style>
  <w:style w:type="paragraph" w:customStyle="1" w:styleId="65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uiPriority w:val="0"/>
    <w:pPr>
      <w:suppressLineNumbers/>
      <w:suppressAutoHyphens/>
    </w:pPr>
    <w:rPr>
      <w:kern w:val="1"/>
      <w:sz w:val="21"/>
      <w:lang w:eastAsia="ar-SA"/>
    </w:rPr>
  </w:style>
  <w:style w:type="paragraph" w:customStyle="1" w:styleId="661">
    <w:name w:val="样式　标题4"/>
    <w:basedOn w:val="643"/>
    <w:next w:val="1"/>
    <w:uiPriority w:val="0"/>
    <w:pPr>
      <w:numPr>
        <w:ilvl w:val="0"/>
        <w:numId w:val="0"/>
      </w:numPr>
      <w:ind w:left="425" w:hanging="425"/>
    </w:pPr>
  </w:style>
  <w:style w:type="paragraph" w:customStyle="1" w:styleId="662">
    <w:name w:val="Char2 Char Char Char"/>
    <w:basedOn w:val="1"/>
    <w:uiPriority w:val="0"/>
    <w:rPr>
      <w:rFonts w:ascii="仿宋_GB2312" w:hAnsi="Times New Roman" w:eastAsia="仿宋_GB2312"/>
      <w:b/>
      <w:sz w:val="32"/>
      <w:szCs w:val="32"/>
    </w:rPr>
  </w:style>
  <w:style w:type="paragraph" w:customStyle="1" w:styleId="663">
    <w:name w:val="Paragraph4"/>
    <w:basedOn w:val="1"/>
    <w:uiPriority w:val="0"/>
    <w:pPr>
      <w:spacing w:before="80" w:afterLines="50"/>
      <w:ind w:left="2250"/>
    </w:pPr>
    <w:rPr>
      <w:rFonts w:ascii="宋体" w:hAnsi="Times New Roman"/>
      <w:snapToGrid w:val="0"/>
      <w:kern w:val="0"/>
      <w:szCs w:val="20"/>
    </w:rPr>
  </w:style>
  <w:style w:type="paragraph" w:customStyle="1" w:styleId="664">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67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5">
    <w:name w:val="Char1 Char Char Char"/>
    <w:basedOn w:val="1"/>
    <w:uiPriority w:val="0"/>
    <w:rPr>
      <w:rFonts w:ascii="Tahoma" w:hAnsi="Tahoma"/>
      <w:sz w:val="24"/>
      <w:szCs w:val="20"/>
    </w:rPr>
  </w:style>
  <w:style w:type="paragraph" w:customStyle="1" w:styleId="67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Char31"/>
    <w:basedOn w:val="1"/>
    <w:uiPriority w:val="0"/>
    <w:rPr>
      <w:rFonts w:ascii="仿宋_GB2312" w:hAnsi="Times New Roman" w:eastAsia="仿宋_GB2312"/>
      <w:b/>
      <w:sz w:val="32"/>
      <w:szCs w:val="32"/>
    </w:rPr>
  </w:style>
  <w:style w:type="paragraph" w:customStyle="1" w:styleId="678">
    <w:name w:val="要点2"/>
    <w:basedOn w:val="1"/>
    <w:uiPriority w:val="0"/>
    <w:pPr>
      <w:spacing w:line="360" w:lineRule="auto"/>
      <w:ind w:left="420" w:hanging="420"/>
    </w:pPr>
    <w:rPr>
      <w:rFonts w:ascii="Times New Roman" w:hAnsi="Times New Roman"/>
      <w:b/>
      <w:szCs w:val="21"/>
      <w:shd w:val="pct10" w:color="auto" w:fill="FFFFFF"/>
    </w:rPr>
  </w:style>
  <w:style w:type="paragraph" w:customStyle="1" w:styleId="679">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680">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1">
    <w:name w:val="样式 模板描述"/>
    <w:basedOn w:val="1"/>
    <w:next w:val="485"/>
    <w:uiPriority w:val="0"/>
    <w:pPr>
      <w:spacing w:afterLines="50"/>
      <w:jc w:val="left"/>
    </w:pPr>
    <w:rPr>
      <w:rFonts w:ascii="宋体" w:hAnsi="Times New Roman" w:cs="宋体"/>
      <w:i/>
      <w:iCs/>
      <w:snapToGrid w:val="0"/>
      <w:color w:val="0000FF"/>
      <w:kern w:val="0"/>
      <w:szCs w:val="21"/>
    </w:rPr>
  </w:style>
  <w:style w:type="paragraph" w:customStyle="1" w:styleId="682">
    <w:name w:val="Main Title"/>
    <w:basedOn w:val="1"/>
    <w:uiPriority w:val="0"/>
    <w:pPr>
      <w:spacing w:before="480" w:afterLines="50"/>
      <w:jc w:val="center"/>
    </w:pPr>
    <w:rPr>
      <w:rFonts w:ascii="宋体" w:hAnsi="Times New Roman"/>
      <w:b/>
      <w:snapToGrid w:val="0"/>
      <w:kern w:val="28"/>
      <w:sz w:val="32"/>
      <w:szCs w:val="20"/>
    </w:rPr>
  </w:style>
  <w:style w:type="paragraph" w:customStyle="1" w:styleId="683">
    <w:name w:val="font12"/>
    <w:basedOn w:val="1"/>
    <w:uiPriority w:val="0"/>
    <w:pPr>
      <w:widowControl/>
      <w:spacing w:before="100" w:beforeAutospacing="1" w:after="100" w:afterAutospacing="1"/>
      <w:jc w:val="left"/>
    </w:pPr>
    <w:rPr>
      <w:rFonts w:ascii="宋体" w:hAnsi="宋体" w:cs="宋体"/>
      <w:color w:val="333333"/>
      <w:kern w:val="0"/>
      <w:sz w:val="22"/>
    </w:rPr>
  </w:style>
  <w:style w:type="paragraph" w:customStyle="1" w:styleId="684">
    <w:name w:val="正文文本缩进11"/>
    <w:basedOn w:val="1"/>
    <w:uiPriority w:val="0"/>
    <w:pPr>
      <w:spacing w:after="120"/>
      <w:ind w:left="420" w:leftChars="200"/>
    </w:pPr>
    <w:rPr>
      <w:rFonts w:cs="黑体"/>
    </w:rPr>
  </w:style>
  <w:style w:type="paragraph" w:customStyle="1" w:styleId="685">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7">
    <w:name w:val="标书_正文"/>
    <w:basedOn w:val="1"/>
    <w:uiPriority w:val="0"/>
    <w:pPr>
      <w:spacing w:line="360" w:lineRule="auto"/>
    </w:pPr>
    <w:rPr>
      <w:rFonts w:ascii="宋体" w:hAnsi="Times New Roman"/>
      <w:b/>
      <w:kern w:val="0"/>
      <w:sz w:val="32"/>
      <w:szCs w:val="32"/>
    </w:rPr>
  </w:style>
  <w:style w:type="paragraph" w:customStyle="1" w:styleId="688">
    <w:name w:val="样式 正文段落 + (西文) 仿宋_GB2312 行距: 1.5 倍行距"/>
    <w:basedOn w:val="342"/>
    <w:uiPriority w:val="0"/>
    <w:pPr>
      <w:spacing w:line="360" w:lineRule="auto"/>
      <w:ind w:firstLine="560" w:firstLineChars="200"/>
    </w:pPr>
    <w:rPr>
      <w:rFonts w:ascii="仿宋" w:hAnsi="宋体" w:eastAsia="仿宋" w:cs="宋体"/>
      <w:kern w:val="0"/>
      <w:sz w:val="28"/>
    </w:rPr>
  </w:style>
  <w:style w:type="paragraph" w:customStyle="1" w:styleId="689">
    <w:name w:val="样式 三号 加粗 段后: 0.5 行"/>
    <w:basedOn w:val="1"/>
    <w:uiPriority w:val="0"/>
    <w:pPr>
      <w:spacing w:afterLines="50"/>
      <w:jc w:val="left"/>
    </w:pPr>
    <w:rPr>
      <w:rFonts w:ascii="宋体" w:hAnsi="Times New Roman" w:cs="宋体"/>
      <w:b/>
      <w:bCs/>
      <w:snapToGrid w:val="0"/>
      <w:kern w:val="0"/>
      <w:sz w:val="32"/>
      <w:szCs w:val="20"/>
    </w:rPr>
  </w:style>
  <w:style w:type="paragraph" w:customStyle="1" w:styleId="690">
    <w:name w:val="Blockquote"/>
    <w:basedOn w:val="1"/>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1">
    <w:name w:val="GP有序编号1级"/>
    <w:basedOn w:val="1"/>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2">
    <w:name w:val="样式 纯文本 + 首行缩进:  2 字符 Char Char Char Char Char Char Char Char Char Char Char Char Char Char Char Char Char Char Char Char Char Char Char Char"/>
    <w:basedOn w:val="31"/>
    <w:uiPriority w:val="0"/>
    <w:pPr>
      <w:spacing w:beforeLines="0" w:afterLines="0" w:line="360" w:lineRule="auto"/>
      <w:jc w:val="left"/>
    </w:pPr>
    <w:rPr>
      <w:rFonts w:eastAsia="仿宋_GB2312" w:cs="Arial"/>
      <w:sz w:val="28"/>
      <w:szCs w:val="20"/>
    </w:rPr>
  </w:style>
  <w:style w:type="paragraph" w:customStyle="1" w:styleId="693">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694">
    <w:name w:val="Char Char Char Char Char Char Char Char Char Char1"/>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695">
    <w:name w:val="FA正文+标号"/>
    <w:basedOn w:val="1"/>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6">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7">
    <w:name w:val="样式 标题 3Chapter X.X.X. + 段后: 0.5 行1"/>
    <w:basedOn w:val="4"/>
    <w:next w:val="1"/>
    <w:uiPriority w:val="0"/>
    <w:pPr>
      <w:keepLines w:val="0"/>
      <w:spacing w:before="120" w:afterLines="50" w:line="240" w:lineRule="auto"/>
      <w:jc w:val="left"/>
    </w:pPr>
    <w:rPr>
      <w:rFonts w:ascii="宋体" w:cs="宋体"/>
      <w:snapToGrid w:val="0"/>
      <w:kern w:val="0"/>
      <w:sz w:val="24"/>
      <w:szCs w:val="20"/>
    </w:rPr>
  </w:style>
  <w:style w:type="paragraph" w:customStyle="1" w:styleId="698">
    <w:name w:val="公司名"/>
    <w:basedOn w:val="1"/>
    <w:next w:val="1"/>
    <w:uiPriority w:val="0"/>
    <w:pPr>
      <w:widowControl/>
      <w:spacing w:before="420" w:after="60" w:line="320" w:lineRule="exact"/>
      <w:jc w:val="left"/>
    </w:pPr>
    <w:rPr>
      <w:rFonts w:ascii="Garamond" w:hAnsi="Garamond"/>
      <w:caps/>
      <w:kern w:val="36"/>
      <w:sz w:val="38"/>
      <w:szCs w:val="20"/>
      <w:lang w:bidi="he-IL"/>
    </w:rPr>
  </w:style>
  <w:style w:type="paragraph" w:customStyle="1" w:styleId="699">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0">
    <w:name w:val="正文样式1"/>
    <w:basedOn w:val="1"/>
    <w:uiPriority w:val="0"/>
    <w:pPr>
      <w:spacing w:line="360" w:lineRule="auto"/>
      <w:ind w:firstLine="200" w:firstLineChars="200"/>
    </w:pPr>
    <w:rPr>
      <w:rFonts w:ascii="Times New Roman" w:hAnsi="Times New Roman" w:cs="宋体"/>
      <w:sz w:val="24"/>
      <w:szCs w:val="20"/>
    </w:rPr>
  </w:style>
  <w:style w:type="paragraph" w:customStyle="1" w:styleId="701">
    <w:name w:val="mod_selection1"/>
    <w:basedOn w:val="1"/>
    <w:uiPriority w:val="0"/>
    <w:pPr>
      <w:widowControl/>
      <w:ind w:left="75"/>
      <w:jc w:val="left"/>
    </w:pPr>
    <w:rPr>
      <w:rFonts w:ascii="Arial" w:hAnsi="Arial" w:cs="Arial"/>
      <w:b/>
      <w:bCs/>
      <w:kern w:val="0"/>
      <w:sz w:val="20"/>
      <w:szCs w:val="20"/>
    </w:rPr>
  </w:style>
  <w:style w:type="paragraph" w:customStyle="1" w:styleId="702">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3">
    <w:name w:val="Char5"/>
    <w:basedOn w:val="1"/>
    <w:uiPriority w:val="0"/>
    <w:pPr>
      <w:tabs>
        <w:tab w:val="left" w:pos="432"/>
      </w:tabs>
      <w:ind w:left="432" w:hanging="432"/>
    </w:pPr>
    <w:rPr>
      <w:rFonts w:ascii="Times New Roman" w:hAnsi="Times New Roman"/>
      <w:sz w:val="24"/>
      <w:szCs w:val="24"/>
    </w:rPr>
  </w:style>
  <w:style w:type="paragraph" w:customStyle="1" w:styleId="704">
    <w:name w:val="二级."/>
    <w:basedOn w:val="3"/>
    <w:uiPriority w:val="0"/>
    <w:pPr>
      <w:tabs>
        <w:tab w:val="left" w:pos="0"/>
      </w:tabs>
      <w:spacing w:before="0" w:after="0" w:line="528" w:lineRule="auto"/>
      <w:ind w:left="181" w:hanging="181"/>
    </w:pPr>
    <w:rPr>
      <w:bCs w:val="0"/>
      <w:kern w:val="0"/>
      <w:sz w:val="36"/>
      <w:szCs w:val="20"/>
    </w:rPr>
  </w:style>
  <w:style w:type="paragraph" w:customStyle="1" w:styleId="705">
    <w:name w:val="标准小四"/>
    <w:basedOn w:val="1"/>
    <w:uiPriority w:val="0"/>
    <w:pPr>
      <w:spacing w:line="360" w:lineRule="auto"/>
      <w:ind w:firstLine="480" w:firstLineChars="200"/>
    </w:pPr>
    <w:rPr>
      <w:rFonts w:ascii="Arial" w:hAnsi="Arial"/>
      <w:sz w:val="24"/>
      <w:szCs w:val="21"/>
    </w:rPr>
  </w:style>
  <w:style w:type="paragraph" w:customStyle="1" w:styleId="706">
    <w:name w:val="xl65"/>
    <w:basedOn w:val="1"/>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7">
    <w:name w:val="Char Char Char Char Char Char Char Char1"/>
    <w:basedOn w:val="1"/>
    <w:uiPriority w:val="0"/>
    <w:rPr>
      <w:rFonts w:ascii="仿宋_GB2312" w:hAnsi="Times New Roman" w:eastAsia="仿宋_GB2312"/>
      <w:b/>
      <w:sz w:val="32"/>
      <w:szCs w:val="32"/>
    </w:rPr>
  </w:style>
  <w:style w:type="paragraph" w:customStyle="1" w:styleId="70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9">
    <w:name w:val="列出段落12"/>
    <w:basedOn w:val="1"/>
    <w:qFormat/>
    <w:uiPriority w:val="0"/>
    <w:pPr>
      <w:ind w:firstLine="420" w:firstLineChars="200"/>
    </w:pPr>
  </w:style>
  <w:style w:type="paragraph" w:customStyle="1" w:styleId="710">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711">
    <w:name w:val="列出段落2"/>
    <w:basedOn w:val="1"/>
    <w:qFormat/>
    <w:uiPriority w:val="34"/>
    <w:pPr>
      <w:ind w:firstLine="420" w:firstLineChars="200"/>
    </w:pPr>
    <w:rPr>
      <w:szCs w:val="24"/>
    </w:rPr>
  </w:style>
  <w:style w:type="paragraph" w:customStyle="1" w:styleId="712">
    <w:name w:val="正文首行缩进 21"/>
    <w:basedOn w:val="684"/>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3">
    <w:name w:val="psubhead2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4">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5">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6">
    <w:name w:val="日期1"/>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717">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8">
    <w:name w:val="左对齐的表内文字"/>
    <w:basedOn w:val="1"/>
    <w:uiPriority w:val="0"/>
    <w:rPr>
      <w:rFonts w:ascii="Times New Roman" w:hAnsi="Times New Roman" w:eastAsia="仿宋_GB2312" w:cs="宋体"/>
      <w:szCs w:val="20"/>
    </w:rPr>
  </w:style>
  <w:style w:type="paragraph" w:customStyle="1" w:styleId="719">
    <w:name w:val="样式 标题 2Chapter X.X. Statementh22Header 2l2Level 2 Headhea...1"/>
    <w:basedOn w:val="4"/>
    <w:uiPriority w:val="0"/>
    <w:pPr>
      <w:keepLines w:val="0"/>
      <w:spacing w:before="120" w:afterLines="50" w:line="240" w:lineRule="auto"/>
      <w:jc w:val="left"/>
    </w:pPr>
    <w:rPr>
      <w:rFonts w:ascii="宋体" w:cs="宋体"/>
      <w:snapToGrid w:val="0"/>
      <w:kern w:val="0"/>
      <w:sz w:val="24"/>
      <w:szCs w:val="20"/>
    </w:rPr>
  </w:style>
  <w:style w:type="paragraph" w:customStyle="1" w:styleId="720">
    <w:name w:val="样式 Arial 小四 首行缩进:  0.85 厘米"/>
    <w:basedOn w:val="1"/>
    <w:uiPriority w:val="0"/>
    <w:pPr>
      <w:spacing w:line="360" w:lineRule="auto"/>
      <w:ind w:left="-2" w:leftChars="-1" w:firstLine="479" w:firstLineChars="228"/>
    </w:pPr>
    <w:rPr>
      <w:rFonts w:ascii="Times New Roman" w:hAnsi="Arial" w:cs="宋体"/>
      <w:szCs w:val="21"/>
    </w:rPr>
  </w:style>
  <w:style w:type="paragraph" w:customStyle="1" w:styleId="721">
    <w:name w:val="样式 左侧:  1 厘米 段后: 0.5 行"/>
    <w:basedOn w:val="1"/>
    <w:uiPriority w:val="0"/>
    <w:pPr>
      <w:spacing w:afterLines="50"/>
      <w:ind w:firstLine="425"/>
      <w:jc w:val="left"/>
    </w:pPr>
    <w:rPr>
      <w:rFonts w:ascii="宋体" w:hAnsi="Times New Roman" w:cs="宋体"/>
      <w:snapToGrid w:val="0"/>
      <w:kern w:val="0"/>
      <w:szCs w:val="20"/>
    </w:rPr>
  </w:style>
  <w:style w:type="paragraph" w:customStyle="1" w:styleId="722">
    <w:name w:val="首行缩进"/>
    <w:basedOn w:val="1"/>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3">
    <w:name w:val="样式 标题 5 + 五号 居中 段前: 1.5 磅 段后: 1.5 磅 行距: 多倍行距 1.57 字行"/>
    <w:basedOn w:val="6"/>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4">
    <w:name w:val="xl28"/>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5">
    <w:name w:val="插图"/>
    <w:next w:val="56"/>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6">
    <w:name w:val="无间隔2"/>
    <w:uiPriority w:val="0"/>
    <w:rPr>
      <w:rFonts w:ascii="Times New Roman" w:hAnsi="Times New Roman" w:eastAsia="Times New Roman" w:cs="Times New Roman"/>
      <w:kern w:val="2"/>
      <w:sz w:val="22"/>
      <w:szCs w:val="22"/>
      <w:lang w:val="en-US" w:eastAsia="zh-CN" w:bidi="ar-SA"/>
    </w:rPr>
  </w:style>
  <w:style w:type="paragraph" w:customStyle="1" w:styleId="727">
    <w:name w:val="S4-B-L15"/>
    <w:basedOn w:val="1"/>
    <w:uiPriority w:val="0"/>
    <w:pPr>
      <w:spacing w:line="360" w:lineRule="auto"/>
    </w:pPr>
    <w:rPr>
      <w:rFonts w:ascii="Times New Roman" w:hAnsi="Times New Roman"/>
      <w:b/>
      <w:bCs/>
      <w:sz w:val="24"/>
      <w:szCs w:val="24"/>
    </w:rPr>
  </w:style>
  <w:style w:type="paragraph" w:customStyle="1" w:styleId="728">
    <w:name w:val="GP标题1"/>
    <w:basedOn w:val="1"/>
    <w:next w:val="1"/>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29">
    <w:name w:val="Char11"/>
    <w:basedOn w:val="1"/>
    <w:uiPriority w:val="0"/>
    <w:pPr>
      <w:spacing w:beforeLines="20" w:afterLines="20"/>
    </w:pPr>
    <w:rPr>
      <w:rFonts w:ascii="楷体_GB2312" w:hAnsi="宋体" w:eastAsia="楷体_GB2312" w:cs="Arial"/>
      <w:kern w:val="0"/>
      <w:sz w:val="24"/>
      <w:szCs w:val="24"/>
    </w:rPr>
  </w:style>
  <w:style w:type="paragraph" w:customStyle="1" w:styleId="730">
    <w:name w:val="正文文本缩进 21"/>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1">
    <w:name w:val="Char1 Char Char Char2"/>
    <w:basedOn w:val="1"/>
    <w:uiPriority w:val="0"/>
    <w:rPr>
      <w:rFonts w:ascii="Tahoma" w:hAnsi="Tahoma"/>
      <w:sz w:val="24"/>
      <w:szCs w:val="20"/>
    </w:rPr>
  </w:style>
  <w:style w:type="paragraph" w:customStyle="1" w:styleId="732">
    <w:name w:val="列表（编号二级）（绿盟科技）"/>
    <w:basedOn w:val="656"/>
    <w:qFormat/>
    <w:uiPriority w:val="0"/>
    <w:pPr>
      <w:numPr>
        <w:ilvl w:val="1"/>
      </w:numPr>
      <w:spacing w:beforeLines="0"/>
      <w:ind w:left="1260"/>
    </w:pPr>
  </w:style>
  <w:style w:type="paragraph" w:customStyle="1" w:styleId="733">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4">
    <w:name w:val="xl117"/>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5">
    <w:name w:val="Paragraph3"/>
    <w:basedOn w:val="1"/>
    <w:uiPriority w:val="0"/>
    <w:pPr>
      <w:spacing w:before="80" w:afterLines="50"/>
      <w:ind w:left="1530"/>
    </w:pPr>
    <w:rPr>
      <w:rFonts w:ascii="宋体" w:hAnsi="Times New Roman"/>
      <w:snapToGrid w:val="0"/>
      <w:kern w:val="0"/>
      <w:szCs w:val="20"/>
    </w:rPr>
  </w:style>
  <w:style w:type="paragraph" w:customStyle="1" w:styleId="736">
    <w:name w:val="正文样式"/>
    <w:basedOn w:val="1"/>
    <w:uiPriority w:val="0"/>
    <w:pPr>
      <w:spacing w:line="360" w:lineRule="auto"/>
      <w:ind w:firstLine="200" w:firstLineChars="200"/>
    </w:pPr>
    <w:rPr>
      <w:rFonts w:ascii="宋体" w:hAnsi="Times New Roman"/>
      <w:sz w:val="24"/>
      <w:szCs w:val="24"/>
    </w:rPr>
  </w:style>
  <w:style w:type="paragraph" w:customStyle="1" w:styleId="73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标书_标题2"/>
    <w:basedOn w:val="3"/>
    <w:uiPriority w:val="0"/>
    <w:pPr>
      <w:spacing w:after="0" w:line="415" w:lineRule="auto"/>
    </w:pPr>
    <w:rPr>
      <w:sz w:val="28"/>
      <w:szCs w:val="20"/>
    </w:rPr>
  </w:style>
  <w:style w:type="paragraph" w:customStyle="1" w:styleId="739">
    <w:name w:val="表格标题"/>
    <w:basedOn w:val="660"/>
    <w:uiPriority w:val="0"/>
    <w:pPr>
      <w:numPr>
        <w:ilvl w:val="0"/>
        <w:numId w:val="26"/>
      </w:numPr>
      <w:tabs>
        <w:tab w:val="clear" w:pos="360"/>
      </w:tabs>
      <w:ind w:left="0" w:firstLine="0"/>
      <w:jc w:val="center"/>
    </w:pPr>
    <w:rPr>
      <w:b/>
      <w:bCs/>
      <w:i/>
      <w:iCs/>
    </w:rPr>
  </w:style>
  <w:style w:type="paragraph" w:customStyle="1" w:styleId="740">
    <w:name w:val="_Style 1181"/>
    <w:basedOn w:val="1"/>
    <w:uiPriority w:val="0"/>
  </w:style>
  <w:style w:type="paragraph" w:customStyle="1" w:styleId="741">
    <w:name w:val="Char2"/>
    <w:basedOn w:val="1"/>
    <w:uiPriority w:val="0"/>
    <w:rPr>
      <w:rFonts w:ascii="仿宋_GB2312" w:hAnsi="Times New Roman" w:eastAsia="仿宋_GB2312"/>
      <w:b/>
      <w:sz w:val="32"/>
      <w:szCs w:val="20"/>
    </w:rPr>
  </w:style>
  <w:style w:type="paragraph" w:customStyle="1" w:styleId="742">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4">
    <w:name w:val="Char Char1 Char Char Char Char1 Char Char Char1"/>
    <w:basedOn w:val="1"/>
    <w:uiPriority w:val="0"/>
    <w:pPr>
      <w:adjustRightInd w:val="0"/>
      <w:spacing w:line="360" w:lineRule="atLeast"/>
      <w:textAlignment w:val="baseline"/>
    </w:pPr>
    <w:rPr>
      <w:rFonts w:ascii="Tahoma" w:hAnsi="Tahoma"/>
      <w:sz w:val="24"/>
      <w:szCs w:val="20"/>
    </w:rPr>
  </w:style>
  <w:style w:type="paragraph" w:customStyle="1" w:styleId="745">
    <w:name w:val="Char Char10"/>
    <w:basedOn w:val="1"/>
    <w:uiPriority w:val="0"/>
    <w:rPr>
      <w:rFonts w:ascii="Tahoma" w:hAnsi="Tahoma"/>
      <w:sz w:val="24"/>
      <w:szCs w:val="20"/>
    </w:rPr>
  </w:style>
  <w:style w:type="paragraph" w:customStyle="1" w:styleId="746">
    <w:name w:val="Table Contents"/>
    <w:basedOn w:val="1"/>
    <w:uiPriority w:val="0"/>
    <w:pPr>
      <w:suppressAutoHyphens/>
      <w:autoSpaceDE w:val="0"/>
      <w:spacing w:after="120"/>
      <w:jc w:val="left"/>
    </w:pPr>
    <w:rPr>
      <w:rFonts w:ascii="Helvetica" w:hAnsi="Helvetica"/>
      <w:kern w:val="1"/>
      <w:sz w:val="20"/>
      <w:szCs w:val="20"/>
    </w:rPr>
  </w:style>
  <w:style w:type="paragraph" w:customStyle="1" w:styleId="747">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8">
    <w:name w:val="列表内容"/>
    <w:basedOn w:val="1"/>
    <w:next w:val="1"/>
    <w:uiPriority w:val="0"/>
    <w:pPr>
      <w:widowControl/>
      <w:numPr>
        <w:ilvl w:val="0"/>
        <w:numId w:val="27"/>
      </w:numPr>
      <w:jc w:val="left"/>
    </w:pPr>
    <w:rPr>
      <w:rFonts w:ascii="Times New Roman" w:hAnsi="Times New Roman"/>
      <w:kern w:val="0"/>
      <w:sz w:val="18"/>
      <w:szCs w:val="24"/>
    </w:rPr>
  </w:style>
  <w:style w:type="paragraph" w:customStyle="1" w:styleId="749">
    <w:name w:val="正文样式 首行缩进:  0.74 厘米"/>
    <w:basedOn w:val="1"/>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0">
    <w:name w:val="一级项目符号"/>
    <w:basedOn w:val="1"/>
    <w:uiPriority w:val="0"/>
    <w:pPr>
      <w:widowControl/>
      <w:numPr>
        <w:ilvl w:val="0"/>
        <w:numId w:val="28"/>
      </w:numPr>
      <w:spacing w:line="360" w:lineRule="auto"/>
    </w:pPr>
    <w:rPr>
      <w:rFonts w:ascii="Times New Roman" w:hAnsi="Times New Roman"/>
      <w:kern w:val="0"/>
      <w:sz w:val="24"/>
      <w:szCs w:val="20"/>
    </w:rPr>
  </w:style>
  <w:style w:type="paragraph" w:customStyle="1" w:styleId="751">
    <w:name w:val="pa-30"/>
    <w:basedOn w:val="1"/>
    <w:uiPriority w:val="0"/>
    <w:pPr>
      <w:widowControl/>
      <w:spacing w:before="150" w:after="150"/>
      <w:jc w:val="left"/>
    </w:pPr>
    <w:rPr>
      <w:rFonts w:ascii="宋体" w:hAnsi="宋体" w:cs="宋体"/>
      <w:kern w:val="0"/>
      <w:sz w:val="24"/>
      <w:szCs w:val="24"/>
    </w:rPr>
  </w:style>
  <w:style w:type="paragraph" w:customStyle="1" w:styleId="752">
    <w:name w:val="表格_内容"/>
    <w:basedOn w:val="1"/>
    <w:qFormat/>
    <w:uiPriority w:val="0"/>
    <w:rPr>
      <w:rFonts w:ascii="宋体" w:hAnsi="宋体"/>
      <w:szCs w:val="21"/>
    </w:rPr>
  </w:style>
  <w:style w:type="paragraph" w:customStyle="1" w:styleId="753">
    <w:name w:val="MM Title"/>
    <w:basedOn w:val="54"/>
    <w:uiPriority w:val="0"/>
    <w:rPr>
      <w:rFonts w:ascii="Calibri" w:hAnsi="Calibri" w:cs="Arial"/>
      <w:b w:val="0"/>
      <w:sz w:val="18"/>
    </w:rPr>
  </w:style>
  <w:style w:type="paragraph" w:customStyle="1" w:styleId="754">
    <w:name w:val="样式 正文 段落文字 + 宋体 小四 左侧:  0 厘米 首行缩进:  2 字符 段后: 0 磅 行距: 固定值 24..."/>
    <w:basedOn w:val="1"/>
    <w:uiPriority w:val="0"/>
    <w:pPr>
      <w:spacing w:line="480" w:lineRule="exact"/>
      <w:ind w:firstLine="480" w:firstLineChars="200"/>
    </w:pPr>
    <w:rPr>
      <w:rFonts w:ascii="宋体" w:hAnsi="宋体" w:cs="宋体"/>
      <w:sz w:val="24"/>
      <w:szCs w:val="20"/>
    </w:rPr>
  </w:style>
  <w:style w:type="paragraph" w:customStyle="1" w:styleId="755">
    <w:name w:val="xl79"/>
    <w:basedOn w:val="1"/>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6">
    <w:name w:val="表格"/>
    <w:basedOn w:val="1"/>
    <w:uiPriority w:val="0"/>
    <w:pPr>
      <w:adjustRightInd w:val="0"/>
      <w:spacing w:beforeLines="25" w:afterLines="25"/>
      <w:textAlignment w:val="baseline"/>
    </w:pPr>
    <w:rPr>
      <w:rFonts w:ascii="Arial" w:hAnsi="Arial" w:eastAsia="仿宋_GB2312"/>
      <w:kern w:val="0"/>
      <w:sz w:val="24"/>
      <w:szCs w:val="28"/>
    </w:rPr>
  </w:style>
  <w:style w:type="paragraph" w:customStyle="1" w:styleId="757">
    <w:name w:val="修订1"/>
    <w:semiHidden/>
    <w:uiPriority w:val="99"/>
    <w:rPr>
      <w:rFonts w:ascii="Calibri" w:hAnsi="Calibri" w:eastAsia="宋体" w:cs="Times New Roman"/>
      <w:kern w:val="2"/>
      <w:sz w:val="21"/>
      <w:szCs w:val="22"/>
      <w:lang w:val="en-US" w:eastAsia="zh-CN" w:bidi="ar-SA"/>
    </w:rPr>
  </w:style>
  <w:style w:type="paragraph" w:customStyle="1" w:styleId="758">
    <w:name w:val="封面1级标题"/>
    <w:basedOn w:val="1"/>
    <w:next w:val="1"/>
    <w:uiPriority w:val="0"/>
    <w:pPr>
      <w:spacing w:beforeLines="800"/>
      <w:jc w:val="center"/>
    </w:pPr>
    <w:rPr>
      <w:rFonts w:ascii="Arial" w:hAnsi="Arial" w:eastAsia="黑体" w:cs="宋体"/>
      <w:b/>
      <w:sz w:val="72"/>
      <w:szCs w:val="72"/>
    </w:rPr>
  </w:style>
  <w:style w:type="paragraph" w:customStyle="1" w:styleId="759">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0">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761">
    <w:name w:val="5级"/>
    <w:basedOn w:val="1"/>
    <w:next w:val="17"/>
    <w:uiPriority w:val="0"/>
    <w:pPr>
      <w:numPr>
        <w:ilvl w:val="4"/>
        <w:numId w:val="29"/>
      </w:numPr>
    </w:pPr>
    <w:rPr>
      <w:rFonts w:eastAsia="黑体"/>
      <w:kern w:val="0"/>
      <w:sz w:val="24"/>
      <w:szCs w:val="20"/>
    </w:rPr>
  </w:style>
  <w:style w:type="paragraph" w:customStyle="1" w:styleId="762">
    <w:name w:val="Body"/>
    <w:basedOn w:val="1"/>
    <w:uiPriority w:val="0"/>
    <w:pPr>
      <w:widowControl/>
      <w:spacing w:before="120" w:afterLines="50"/>
    </w:pPr>
    <w:rPr>
      <w:rFonts w:ascii="宋体" w:hAnsi="Times New Roman"/>
      <w:snapToGrid w:val="0"/>
      <w:kern w:val="0"/>
      <w:szCs w:val="20"/>
    </w:rPr>
  </w:style>
  <w:style w:type="paragraph" w:customStyle="1" w:styleId="763">
    <w:name w:val="标准标题2"/>
    <w:basedOn w:val="3"/>
    <w:uiPriority w:val="0"/>
    <w:pPr>
      <w:spacing w:line="360" w:lineRule="auto"/>
    </w:pPr>
    <w:rPr>
      <w:rFonts w:eastAsia="仿宋_GB2312"/>
      <w:bCs w:val="0"/>
      <w:sz w:val="28"/>
    </w:rPr>
  </w:style>
  <w:style w:type="paragraph" w:customStyle="1" w:styleId="764">
    <w:name w:val="xl8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6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一"/>
    <w:basedOn w:val="157"/>
    <w:uiPriority w:val="0"/>
    <w:pPr>
      <w:widowControl/>
      <w:spacing w:line="560" w:lineRule="exact"/>
      <w:ind w:left="720" w:firstLine="0" w:firstLineChars="0"/>
      <w:jc w:val="left"/>
      <w:outlineLvl w:val="0"/>
    </w:pPr>
    <w:rPr>
      <w:rFonts w:ascii="宋体" w:hAnsi="宋体"/>
      <w:b/>
      <w:bCs/>
      <w:sz w:val="30"/>
      <w:szCs w:val="30"/>
    </w:rPr>
  </w:style>
  <w:style w:type="paragraph" w:customStyle="1" w:styleId="768">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0">
    <w:name w:val="样式 标题 3h33rd levelHeading 3 - oldH3Fab-3level_3PIM 3Leve..."/>
    <w:basedOn w:val="4"/>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1">
    <w:name w:val="Char Char Char Char3"/>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2">
    <w:name w:val="样式 四号 行距: 1.5 倍行距"/>
    <w:basedOn w:val="1"/>
    <w:uiPriority w:val="0"/>
    <w:pPr>
      <w:spacing w:line="312" w:lineRule="auto"/>
      <w:ind w:firstLine="202" w:firstLineChars="202"/>
    </w:pPr>
    <w:rPr>
      <w:rFonts w:ascii="Times New Roman" w:hAnsi="Times New Roman" w:cs="宋体"/>
      <w:sz w:val="24"/>
      <w:szCs w:val="20"/>
    </w:rPr>
  </w:style>
  <w:style w:type="paragraph" w:customStyle="1" w:styleId="773">
    <w:name w:val="浅色列表 - 强调文字颜色 31"/>
    <w:uiPriority w:val="71"/>
    <w:rPr>
      <w:rFonts w:ascii="Calibri" w:hAnsi="Calibri" w:eastAsia="宋体" w:cs="Times New Roman"/>
      <w:kern w:val="2"/>
      <w:sz w:val="21"/>
      <w:szCs w:val="22"/>
      <w:lang w:val="en-US" w:eastAsia="zh-CN" w:bidi="ar-SA"/>
    </w:rPr>
  </w:style>
  <w:style w:type="paragraph" w:customStyle="1" w:styleId="774">
    <w:name w:val="_Style 164"/>
    <w:basedOn w:val="1"/>
    <w:uiPriority w:val="0"/>
    <w:rPr>
      <w:rFonts w:ascii="Times New Roman" w:hAnsi="Times New Roman"/>
      <w:szCs w:val="20"/>
    </w:rPr>
  </w:style>
  <w:style w:type="paragraph" w:customStyle="1" w:styleId="775">
    <w:name w:val="GP公文标题1"/>
    <w:basedOn w:val="1"/>
    <w:next w:val="1"/>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6">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7">
    <w:name w:val="Char Char Char Char Char Char Char1"/>
    <w:basedOn w:val="1"/>
    <w:uiPriority w:val="0"/>
    <w:pPr>
      <w:tabs>
        <w:tab w:val="left" w:pos="432"/>
      </w:tabs>
      <w:ind w:left="432" w:hanging="432"/>
    </w:pPr>
    <w:rPr>
      <w:rFonts w:ascii="Tahoma" w:hAnsi="Tahoma"/>
      <w:sz w:val="24"/>
      <w:szCs w:val="20"/>
    </w:rPr>
  </w:style>
  <w:style w:type="paragraph" w:customStyle="1" w:styleId="778">
    <w:name w:val="Table Text"/>
    <w:basedOn w:val="1"/>
    <w:uiPriority w:val="0"/>
    <w:pPr>
      <w:widowControl/>
      <w:spacing w:before="60" w:after="60"/>
      <w:jc w:val="left"/>
    </w:pPr>
    <w:rPr>
      <w:rFonts w:ascii="Times New Roman" w:hAnsi="Times New Roman"/>
      <w:kern w:val="0"/>
      <w:sz w:val="24"/>
      <w:szCs w:val="24"/>
    </w:rPr>
  </w:style>
  <w:style w:type="paragraph" w:customStyle="1" w:styleId="779">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1">
    <w:name w:val="xl75"/>
    <w:basedOn w:val="1"/>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2">
    <w:name w:val="彩色列表1"/>
    <w:basedOn w:val="1"/>
    <w:uiPriority w:val="0"/>
    <w:pPr>
      <w:tabs>
        <w:tab w:val="left" w:pos="1200"/>
      </w:tabs>
      <w:ind w:left="1200" w:hanging="360"/>
    </w:pPr>
  </w:style>
  <w:style w:type="paragraph" w:customStyle="1" w:styleId="783">
    <w:name w:val="封面2级标题"/>
    <w:basedOn w:val="1"/>
    <w:next w:val="270"/>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4">
    <w:name w:val="彩色列表 - 强调文字颜色 11"/>
    <w:basedOn w:val="1"/>
    <w:qFormat/>
    <w:uiPriority w:val="34"/>
    <w:pPr>
      <w:ind w:firstLine="420" w:firstLineChars="200"/>
    </w:pPr>
  </w:style>
  <w:style w:type="paragraph" w:customStyle="1" w:styleId="785">
    <w:name w:val="样式 标题 3Chapter X.X.X. + 五号 段后: 0.5 行"/>
    <w:basedOn w:val="4"/>
    <w:uiPriority w:val="0"/>
    <w:pPr>
      <w:keepLines w:val="0"/>
      <w:spacing w:before="120" w:afterLines="50" w:line="240" w:lineRule="auto"/>
      <w:jc w:val="left"/>
    </w:pPr>
    <w:rPr>
      <w:rFonts w:ascii="宋体" w:cs="宋体"/>
      <w:snapToGrid w:val="0"/>
      <w:kern w:val="0"/>
      <w:sz w:val="21"/>
      <w:szCs w:val="20"/>
    </w:rPr>
  </w:style>
  <w:style w:type="paragraph" w:customStyle="1" w:styleId="786">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7">
    <w:name w:val="pa-7"/>
    <w:basedOn w:val="1"/>
    <w:uiPriority w:val="0"/>
    <w:pPr>
      <w:widowControl/>
      <w:spacing w:before="150" w:after="150"/>
      <w:jc w:val="left"/>
    </w:pPr>
    <w:rPr>
      <w:rFonts w:ascii="宋体" w:hAnsi="宋体" w:cs="宋体"/>
      <w:kern w:val="0"/>
      <w:sz w:val="24"/>
      <w:szCs w:val="24"/>
    </w:rPr>
  </w:style>
  <w:style w:type="paragraph" w:customStyle="1" w:styleId="788">
    <w:name w:val="注意事项"/>
    <w:basedOn w:val="1"/>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89">
    <w:name w:val="标书正文格式"/>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0">
    <w:name w:val="Char Char1 Char Char Char Char Char Char Char Char Char Char Char Char Char Char1"/>
    <w:basedOn w:val="1"/>
    <w:uiPriority w:val="0"/>
    <w:pPr>
      <w:widowControl/>
      <w:spacing w:after="160" w:line="240" w:lineRule="exact"/>
      <w:jc w:val="left"/>
    </w:pPr>
    <w:rPr>
      <w:rFonts w:ascii="Times New Roman" w:hAnsi="Times New Roman"/>
      <w:szCs w:val="20"/>
    </w:rPr>
  </w:style>
  <w:style w:type="paragraph" w:customStyle="1" w:styleId="791">
    <w:name w:val="CM12"/>
    <w:basedOn w:val="674"/>
    <w:next w:val="674"/>
    <w:uiPriority w:val="0"/>
    <w:pPr>
      <w:spacing w:line="468" w:lineRule="atLeast"/>
    </w:pPr>
    <w:rPr>
      <w:rFonts w:ascii="宋体" w:hAnsi="Times New Roman" w:eastAsia="宋体" w:cs="Times New Roman"/>
      <w:color w:val="auto"/>
    </w:rPr>
  </w:style>
  <w:style w:type="paragraph" w:customStyle="1" w:styleId="792">
    <w:name w:val="样式 楷体_GB2312 四号 行距: 多倍行距 1.25 字行"/>
    <w:basedOn w:val="1"/>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3">
    <w:name w:val="四级"/>
    <w:basedOn w:val="5"/>
    <w:uiPriority w:val="0"/>
    <w:pPr>
      <w:tabs>
        <w:tab w:val="left" w:pos="284"/>
      </w:tabs>
      <w:spacing w:before="160" w:after="170" w:line="240" w:lineRule="auto"/>
      <w:ind w:left="828" w:hanging="544"/>
    </w:pPr>
    <w:rPr>
      <w:bCs w:val="0"/>
      <w:sz w:val="30"/>
      <w:szCs w:val="20"/>
    </w:rPr>
  </w:style>
  <w:style w:type="paragraph" w:customStyle="1" w:styleId="794">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95">
    <w:name w:val="图表引用"/>
    <w:basedOn w:val="1"/>
    <w:qFormat/>
    <w:uiPriority w:val="0"/>
    <w:pPr>
      <w:spacing w:line="360" w:lineRule="auto"/>
      <w:jc w:val="center"/>
    </w:pPr>
    <w:rPr>
      <w:rFonts w:ascii="仿宋_GB2312" w:eastAsia="仿宋_GB2312"/>
      <w:b/>
      <w:sz w:val="24"/>
      <w:szCs w:val="28"/>
    </w:rPr>
  </w:style>
  <w:style w:type="paragraph" w:customStyle="1" w:styleId="796">
    <w:name w:val="样式 正文段落 + 首行缩进:  0 字符"/>
    <w:basedOn w:val="342"/>
    <w:uiPriority w:val="0"/>
    <w:pPr>
      <w:spacing w:line="360" w:lineRule="auto"/>
      <w:ind w:firstLine="0"/>
    </w:pPr>
    <w:rPr>
      <w:rFonts w:ascii="宋体" w:hAnsi="宋体" w:cs="宋体"/>
      <w:kern w:val="0"/>
    </w:rPr>
  </w:style>
  <w:style w:type="paragraph" w:customStyle="1" w:styleId="797">
    <w:name w:val="Char8"/>
    <w:basedOn w:val="1"/>
    <w:uiPriority w:val="0"/>
    <w:pPr>
      <w:tabs>
        <w:tab w:val="left" w:pos="432"/>
      </w:tabs>
      <w:ind w:left="432" w:hanging="432"/>
    </w:pPr>
    <w:rPr>
      <w:rFonts w:ascii="Times New Roman" w:hAnsi="Times New Roman"/>
      <w:sz w:val="24"/>
      <w:szCs w:val="24"/>
    </w:rPr>
  </w:style>
  <w:style w:type="paragraph" w:customStyle="1" w:styleId="798">
    <w:name w:val="Char Char Char1"/>
    <w:basedOn w:val="1"/>
    <w:uiPriority w:val="0"/>
    <w:rPr>
      <w:rFonts w:ascii="Times New Roman" w:hAnsi="Times New Roman" w:eastAsia="仿宋_GB2312" w:cs="宋体"/>
      <w:sz w:val="24"/>
      <w:szCs w:val="20"/>
    </w:rPr>
  </w:style>
  <w:style w:type="paragraph" w:customStyle="1" w:styleId="799">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1">
    <w:name w:val="ZJGIS表格表头"/>
    <w:basedOn w:val="1"/>
    <w:qFormat/>
    <w:uiPriority w:val="0"/>
    <w:pPr>
      <w:jc w:val="center"/>
    </w:pPr>
    <w:rPr>
      <w:rFonts w:ascii="Arial" w:hAnsi="Arial" w:eastAsia="黑体"/>
      <w:b/>
    </w:rPr>
  </w:style>
  <w:style w:type="paragraph" w:customStyle="1" w:styleId="802">
    <w:name w:val="吉奥封面(黑体小初)"/>
    <w:basedOn w:val="168"/>
    <w:uiPriority w:val="0"/>
    <w:pPr>
      <w:spacing w:before="480"/>
      <w:ind w:firstLine="0" w:firstLineChars="0"/>
      <w:jc w:val="center"/>
    </w:pPr>
    <w:rPr>
      <w:rFonts w:eastAsia="黑体"/>
      <w:sz w:val="72"/>
      <w:szCs w:val="72"/>
    </w:rPr>
  </w:style>
  <w:style w:type="paragraph" w:customStyle="1" w:styleId="803">
    <w:name w:val="样式 标题 3 + 首行缩进:  2 字符1"/>
    <w:basedOn w:val="4"/>
    <w:uiPriority w:val="0"/>
    <w:pPr>
      <w:spacing w:line="360" w:lineRule="auto"/>
    </w:pPr>
    <w:rPr>
      <w:rFonts w:ascii="Times New Roman" w:hAnsi="Times New Roman" w:cs="宋体"/>
      <w:szCs w:val="20"/>
    </w:rPr>
  </w:style>
  <w:style w:type="character" w:customStyle="1" w:styleId="804">
    <w:name w:val="一级标题 Char"/>
    <w:link w:val="805"/>
    <w:locked/>
    <w:uiPriority w:val="0"/>
    <w:rPr>
      <w:rFonts w:ascii="宋体" w:hAnsi="宋体"/>
      <w:b/>
      <w:kern w:val="2"/>
      <w:sz w:val="36"/>
      <w:szCs w:val="36"/>
    </w:rPr>
  </w:style>
  <w:style w:type="paragraph" w:customStyle="1" w:styleId="805">
    <w:name w:val="一级标题"/>
    <w:basedOn w:val="31"/>
    <w:link w:val="804"/>
    <w:qFormat/>
    <w:uiPriority w:val="0"/>
    <w:pPr>
      <w:spacing w:line="360" w:lineRule="auto"/>
      <w:jc w:val="center"/>
    </w:pPr>
    <w:rPr>
      <w:rFonts w:hAnsi="宋体"/>
      <w:b/>
      <w:sz w:val="36"/>
      <w:szCs w:val="36"/>
    </w:rPr>
  </w:style>
  <w:style w:type="character" w:customStyle="1" w:styleId="806">
    <w:name w:val="纯文本 Char1"/>
    <w:uiPriority w:val="0"/>
    <w:rPr>
      <w:rFonts w:ascii="宋体" w:hAnsi="Courier New"/>
      <w:kern w:val="2"/>
      <w:sz w:val="24"/>
      <w:szCs w:val="24"/>
    </w:rPr>
  </w:style>
  <w:style w:type="paragraph" w:customStyle="1" w:styleId="807">
    <w:name w:val="正文5"/>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纯文本2"/>
    <w:basedOn w:val="807"/>
    <w:uiPriority w:val="0"/>
    <w:pPr>
      <w:widowControl/>
      <w:jc w:val="left"/>
    </w:pPr>
    <w:rPr>
      <w:rFonts w:ascii="宋体" w:hAnsi="Courier New"/>
    </w:rPr>
  </w:style>
  <w:style w:type="character" w:customStyle="1" w:styleId="809">
    <w:name w:val="正文文本 Char1"/>
    <w:basedOn w:val="63"/>
    <w:semiHidden/>
    <w:uiPriority w:val="0"/>
  </w:style>
  <w:style w:type="character" w:customStyle="1" w:styleId="810">
    <w:name w:val="正文文本 字符1"/>
    <w:basedOn w:val="63"/>
    <w:semiHidden/>
    <w:qFormat/>
    <w:uiPriority w:val="99"/>
  </w:style>
  <w:style w:type="paragraph" w:customStyle="1" w:styleId="811">
    <w:name w:val="修订2"/>
    <w:hidden/>
    <w:semiHidden/>
    <w:uiPriority w:val="99"/>
    <w:rPr>
      <w:rFonts w:ascii="Calibri" w:hAnsi="Calibri" w:eastAsia="宋体" w:cs="Times New Roman"/>
      <w:kern w:val="2"/>
      <w:sz w:val="21"/>
      <w:szCs w:val="22"/>
      <w:lang w:val="en-US" w:eastAsia="zh-CN" w:bidi="ar-SA"/>
    </w:rPr>
  </w:style>
  <w:style w:type="character" w:customStyle="1" w:styleId="812">
    <w:name w:val="列表段落 字符"/>
    <w:qFormat/>
    <w:uiPriority w:val="99"/>
    <w:rPr>
      <w:rFonts w:ascii="Calibri" w:hAnsi="Calibri"/>
      <w:sz w:val="24"/>
      <w:szCs w:val="24"/>
      <w:lang w:eastAsia="en-US" w:bidi="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3FB95-739F-4D58-9D9F-403C8A58FF7A}">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70</Pages>
  <Words>6327</Words>
  <Characters>36069</Characters>
  <Lines>300</Lines>
  <Paragraphs>84</Paragraphs>
  <TotalTime>590</TotalTime>
  <ScaleCrop>false</ScaleCrop>
  <LinksUpToDate>false</LinksUpToDate>
  <CharactersWithSpaces>42312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2020-10-19T03:11:00Z</dcterms:created>
  <dc:creator>NTKO</dc:creator>
  <cp:lastModifiedBy>map</cp:lastModifiedBy>
  <cp:lastPrinted>2020-10-28T00:47:00Z</cp:lastPrinted>
  <dcterms:modified xsi:type="dcterms:W3CDTF">2020-11-25T10:38:40Z</dcterms:modified>
  <dc:title>浙江省政府采购中心关于浙江省</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