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方正小标宋简体" w:hAnsi="仿宋" w:eastAsia="方正小标宋简体"/>
          <w:sz w:val="44"/>
          <w:szCs w:val="44"/>
        </w:rPr>
      </w:pPr>
    </w:p>
    <w:p>
      <w:pPr>
        <w:spacing w:line="640" w:lineRule="exact"/>
        <w:jc w:val="center"/>
        <w:rPr>
          <w:rFonts w:ascii="方正小标宋简体" w:hAnsi="宋体" w:eastAsia="方正小标宋简体"/>
          <w:kern w:val="0"/>
          <w:sz w:val="44"/>
          <w:szCs w:val="44"/>
        </w:rPr>
      </w:pPr>
    </w:p>
    <w:p>
      <w:pPr>
        <w:spacing w:line="64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前期物业服务合同</w:t>
      </w:r>
    </w:p>
    <w:p>
      <w:pPr>
        <w:spacing w:line="640" w:lineRule="exact"/>
        <w:jc w:val="center"/>
        <w:rPr>
          <w:rFonts w:ascii="楷体_GB2312" w:hAnsi="宋体" w:eastAsia="楷体_GB2312"/>
          <w:kern w:val="0"/>
          <w:szCs w:val="32"/>
        </w:rPr>
      </w:pPr>
      <w:r>
        <w:rPr>
          <w:rFonts w:hint="eastAsia" w:ascii="楷体_GB2312" w:hAnsi="宋体" w:eastAsia="楷体_GB2312"/>
          <w:kern w:val="0"/>
          <w:szCs w:val="32"/>
        </w:rPr>
        <w:t>（示范文本）</w:t>
      </w:r>
    </w:p>
    <w:p>
      <w:pPr>
        <w:spacing w:line="640" w:lineRule="exact"/>
        <w:ind w:firstLine="632" w:firstLineChars="200"/>
        <w:rPr>
          <w:rFonts w:ascii="宋体" w:hAnsi="宋体" w:eastAsia="宋体"/>
          <w:szCs w:val="32"/>
        </w:rPr>
      </w:pPr>
    </w:p>
    <w:p>
      <w:pPr>
        <w:spacing w:line="640" w:lineRule="exact"/>
        <w:ind w:firstLine="632" w:firstLineChars="200"/>
        <w:rPr>
          <w:rFonts w:ascii="宋体" w:hAnsi="宋体" w:eastAsia="宋体"/>
          <w:szCs w:val="32"/>
        </w:rPr>
      </w:pPr>
      <w:bookmarkStart w:id="0" w:name="_GoBack"/>
      <w:bookmarkEnd w:id="0"/>
    </w:p>
    <w:p>
      <w:pPr>
        <w:spacing w:line="640" w:lineRule="exact"/>
        <w:ind w:firstLine="632" w:firstLineChars="200"/>
        <w:rPr>
          <w:rFonts w:ascii="宋体" w:hAnsi="宋体" w:eastAsia="宋体"/>
          <w:szCs w:val="32"/>
        </w:rPr>
      </w:pPr>
    </w:p>
    <w:p>
      <w:pPr>
        <w:spacing w:line="640" w:lineRule="exact"/>
        <w:ind w:firstLine="632" w:firstLineChars="200"/>
        <w:rPr>
          <w:rFonts w:ascii="宋体" w:hAnsi="宋体" w:eastAsia="宋体"/>
          <w:szCs w:val="32"/>
        </w:rPr>
      </w:pPr>
    </w:p>
    <w:p>
      <w:pPr>
        <w:spacing w:line="640" w:lineRule="exact"/>
        <w:ind w:firstLine="632" w:firstLineChars="200"/>
        <w:rPr>
          <w:rFonts w:ascii="宋体" w:hAnsi="宋体" w:eastAsia="宋体"/>
          <w:szCs w:val="32"/>
        </w:rPr>
      </w:pPr>
    </w:p>
    <w:p>
      <w:pPr>
        <w:spacing w:line="640" w:lineRule="exact"/>
        <w:ind w:firstLine="632" w:firstLineChars="200"/>
        <w:rPr>
          <w:rFonts w:ascii="宋体" w:hAnsi="宋体" w:eastAsia="宋体"/>
          <w:szCs w:val="32"/>
        </w:rPr>
      </w:pPr>
    </w:p>
    <w:p>
      <w:pPr>
        <w:spacing w:line="640" w:lineRule="exact"/>
        <w:ind w:firstLine="632" w:firstLineChars="200"/>
        <w:rPr>
          <w:rFonts w:ascii="宋体" w:hAnsi="宋体" w:eastAsia="宋体"/>
          <w:szCs w:val="32"/>
        </w:rPr>
      </w:pPr>
    </w:p>
    <w:p>
      <w:pPr>
        <w:spacing w:line="480" w:lineRule="auto"/>
        <w:ind w:firstLine="632" w:firstLineChars="200"/>
        <w:jc w:val="left"/>
        <w:rPr>
          <w:rFonts w:ascii="宋体" w:hAnsi="宋体" w:eastAsia="宋体"/>
          <w:szCs w:val="32"/>
        </w:rPr>
      </w:pPr>
      <w:r>
        <w:rPr>
          <w:rFonts w:hint="eastAsia" w:ascii="宋体" w:hAnsi="宋体" w:eastAsia="宋体"/>
          <w:szCs w:val="32"/>
        </w:rPr>
        <w:t>项目名称：</w:t>
      </w:r>
      <w:r>
        <w:rPr>
          <w:rFonts w:hint="eastAsia" w:ascii="宋体" w:hAnsi="宋体" w:eastAsia="宋体"/>
          <w:szCs w:val="32"/>
          <w:u w:val="single"/>
        </w:rPr>
        <w:t xml:space="preserve">                              </w:t>
      </w:r>
    </w:p>
    <w:p>
      <w:pPr>
        <w:spacing w:line="480" w:lineRule="auto"/>
        <w:ind w:firstLine="632" w:firstLineChars="200"/>
        <w:rPr>
          <w:rFonts w:ascii="宋体" w:hAnsi="宋体" w:eastAsia="宋体"/>
          <w:szCs w:val="32"/>
        </w:rPr>
      </w:pPr>
      <w:r>
        <w:rPr>
          <w:rFonts w:hint="eastAsia" w:ascii="宋体" w:hAnsi="宋体" w:eastAsia="宋体"/>
          <w:szCs w:val="32"/>
        </w:rPr>
        <w:t>项目地址：</w:t>
      </w:r>
      <w:r>
        <w:rPr>
          <w:rFonts w:hint="eastAsia" w:ascii="宋体" w:hAnsi="宋体" w:eastAsia="宋体"/>
          <w:szCs w:val="32"/>
          <w:u w:val="single"/>
        </w:rPr>
        <w:t xml:space="preserve">                              </w:t>
      </w:r>
    </w:p>
    <w:p>
      <w:pPr>
        <w:spacing w:line="480" w:lineRule="auto"/>
        <w:ind w:firstLine="632" w:firstLineChars="200"/>
        <w:rPr>
          <w:rFonts w:ascii="宋体" w:hAnsi="宋体" w:eastAsia="宋体"/>
          <w:szCs w:val="32"/>
        </w:rPr>
      </w:pPr>
      <w:r>
        <w:rPr>
          <w:rFonts w:hint="eastAsia" w:ascii="宋体" w:hAnsi="宋体" w:eastAsia="宋体"/>
          <w:szCs w:val="32"/>
        </w:rPr>
        <w:t>委 托 方：</w:t>
      </w:r>
      <w:r>
        <w:rPr>
          <w:rFonts w:hint="eastAsia" w:ascii="宋体" w:hAnsi="宋体" w:eastAsia="宋体"/>
          <w:szCs w:val="32"/>
          <w:u w:val="single"/>
        </w:rPr>
        <w:t xml:space="preserve">                              </w:t>
      </w:r>
    </w:p>
    <w:p>
      <w:pPr>
        <w:spacing w:line="480" w:lineRule="auto"/>
        <w:ind w:firstLine="632" w:firstLineChars="200"/>
        <w:rPr>
          <w:rFonts w:ascii="宋体" w:hAnsi="宋体" w:eastAsia="宋体"/>
          <w:szCs w:val="32"/>
        </w:rPr>
      </w:pPr>
      <w:r>
        <w:rPr>
          <w:rFonts w:hint="eastAsia" w:ascii="宋体" w:hAnsi="宋体" w:eastAsia="宋体"/>
          <w:szCs w:val="32"/>
        </w:rPr>
        <w:t xml:space="preserve">受 托 方: </w:t>
      </w:r>
      <w:r>
        <w:rPr>
          <w:rFonts w:hint="eastAsia" w:ascii="宋体" w:hAnsi="宋体" w:eastAsia="宋体"/>
          <w:szCs w:val="32"/>
          <w:u w:val="single"/>
        </w:rPr>
        <w:t xml:space="preserve">                              </w:t>
      </w:r>
    </w:p>
    <w:p>
      <w:pPr>
        <w:spacing w:line="480" w:lineRule="auto"/>
        <w:ind w:firstLine="632" w:firstLineChars="200"/>
        <w:rPr>
          <w:rFonts w:ascii="宋体" w:hAnsi="宋体" w:eastAsia="宋体"/>
          <w:szCs w:val="32"/>
        </w:rPr>
      </w:pPr>
      <w:r>
        <w:rPr>
          <w:rFonts w:hint="eastAsia" w:ascii="宋体" w:hAnsi="宋体" w:eastAsia="宋体"/>
          <w:szCs w:val="32"/>
        </w:rPr>
        <w:t>签订日期：</w:t>
      </w:r>
      <w:r>
        <w:rPr>
          <w:rFonts w:hint="eastAsia" w:ascii="宋体" w:hAnsi="宋体" w:eastAsia="宋体"/>
          <w:szCs w:val="32"/>
          <w:u w:val="single"/>
        </w:rPr>
        <w:t xml:space="preserve">                              </w:t>
      </w:r>
    </w:p>
    <w:p>
      <w:pPr>
        <w:widowControl/>
        <w:jc w:val="left"/>
        <w:rPr>
          <w:rFonts w:ascii="仿宋_GB2312" w:hAnsi="仿宋"/>
          <w:sz w:val="28"/>
          <w:szCs w:val="28"/>
        </w:rPr>
      </w:pPr>
      <w:r>
        <w:rPr>
          <w:rFonts w:ascii="仿宋_GB2312" w:hAnsi="仿宋"/>
          <w:sz w:val="28"/>
          <w:szCs w:val="28"/>
        </w:rPr>
        <w:br w:type="page"/>
      </w:r>
    </w:p>
    <w:p>
      <w:pPr>
        <w:spacing w:line="640" w:lineRule="exact"/>
        <w:jc w:val="center"/>
        <w:rPr>
          <w:rFonts w:ascii="方正小标宋简体" w:hAnsi="宋体" w:eastAsia="方正小标宋简体"/>
          <w:kern w:val="0"/>
          <w:sz w:val="44"/>
          <w:szCs w:val="44"/>
        </w:rPr>
      </w:pPr>
    </w:p>
    <w:p>
      <w:pPr>
        <w:spacing w:line="64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使用说明</w:t>
      </w:r>
    </w:p>
    <w:p>
      <w:pPr>
        <w:spacing w:line="540" w:lineRule="exact"/>
        <w:ind w:firstLine="632" w:firstLineChars="200"/>
        <w:rPr>
          <w:rFonts w:ascii="仿宋_GB2312" w:hAnsi="宋体"/>
          <w:kern w:val="0"/>
          <w:szCs w:val="32"/>
        </w:rPr>
      </w:pPr>
    </w:p>
    <w:p>
      <w:pPr>
        <w:spacing w:line="540" w:lineRule="exact"/>
        <w:ind w:firstLine="632" w:firstLineChars="200"/>
        <w:rPr>
          <w:rFonts w:ascii="仿宋_GB2312" w:hAnsi="宋体"/>
          <w:szCs w:val="32"/>
        </w:rPr>
      </w:pPr>
      <w:r>
        <w:rPr>
          <w:rFonts w:hint="eastAsia"/>
          <w:szCs w:val="32"/>
        </w:rPr>
        <w:t>1</w:t>
      </w:r>
      <w:r>
        <w:rPr>
          <w:rFonts w:hint="eastAsia" w:ascii="仿宋_GB2312" w:hAnsi="宋体"/>
          <w:smallCaps/>
          <w:szCs w:val="32"/>
        </w:rPr>
        <w:t>．</w:t>
      </w:r>
      <w:r>
        <w:rPr>
          <w:rFonts w:hint="eastAsia" w:ascii="仿宋_GB2312" w:hAnsi="宋体"/>
          <w:szCs w:val="32"/>
        </w:rPr>
        <w:t>本示范文本供物业项目建设单位与其选聘的物业服务企业签订前期物业服务合同时参考使用。</w:t>
      </w:r>
    </w:p>
    <w:p>
      <w:pPr>
        <w:spacing w:line="540" w:lineRule="exact"/>
        <w:ind w:firstLine="632" w:firstLineChars="200"/>
        <w:rPr>
          <w:rFonts w:ascii="仿宋_GB2312" w:hAnsi="宋体"/>
          <w:szCs w:val="32"/>
        </w:rPr>
      </w:pPr>
      <w:r>
        <w:rPr>
          <w:rFonts w:hint="eastAsia"/>
          <w:szCs w:val="32"/>
        </w:rPr>
        <w:t>2</w:t>
      </w:r>
      <w:r>
        <w:rPr>
          <w:rFonts w:hint="eastAsia" w:ascii="仿宋_GB2312" w:hAnsi="宋体"/>
          <w:szCs w:val="32"/>
        </w:rPr>
        <w:t>．经建设单位与物业服务企业双方同意，可根据本物业管理区域的具体情况对示范文本的条款内容进行选择、增补；如需对示范文本的条款内容进行修改、删减的，应当说明理由，并报项目所在物业主管部门审核；涉及选择性条款的选项内容排序无先后。</w:t>
      </w:r>
    </w:p>
    <w:p>
      <w:pPr>
        <w:spacing w:line="540" w:lineRule="exact"/>
        <w:ind w:firstLine="632" w:firstLineChars="200"/>
        <w:rPr>
          <w:rFonts w:ascii="仿宋_GB2312" w:hAnsi="宋体"/>
          <w:szCs w:val="32"/>
        </w:rPr>
      </w:pPr>
      <w:r>
        <w:rPr>
          <w:rFonts w:hint="eastAsia"/>
          <w:szCs w:val="32"/>
        </w:rPr>
        <w:t>3</w:t>
      </w:r>
      <w:r>
        <w:rPr>
          <w:rFonts w:hint="eastAsia" w:ascii="仿宋_GB2312" w:hAnsi="宋体"/>
          <w:szCs w:val="32"/>
        </w:rPr>
        <w:t>．物业服务企业应在合同签订之日起</w:t>
      </w:r>
      <w:r>
        <w:rPr>
          <w:szCs w:val="32"/>
        </w:rPr>
        <w:t>15</w:t>
      </w:r>
      <w:r>
        <w:rPr>
          <w:rFonts w:hint="eastAsia" w:ascii="仿宋_GB2312" w:hAnsi="宋体"/>
          <w:szCs w:val="32"/>
        </w:rPr>
        <w:t>日内，将本物业服务合同、服务内容、服务成本及收费标准报价格主管部门和项目所在地区县物业主管部门备案。</w:t>
      </w:r>
    </w:p>
    <w:p>
      <w:pPr>
        <w:spacing w:line="540" w:lineRule="exact"/>
        <w:ind w:firstLine="632" w:firstLineChars="200"/>
        <w:rPr>
          <w:rFonts w:ascii="仿宋_GB2312" w:hAnsi="宋体"/>
          <w:szCs w:val="32"/>
        </w:rPr>
      </w:pPr>
      <w:r>
        <w:rPr>
          <w:rFonts w:hint="eastAsia"/>
          <w:szCs w:val="32"/>
        </w:rPr>
        <w:t>4</w:t>
      </w:r>
      <w:r>
        <w:rPr>
          <w:rFonts w:hint="eastAsia" w:ascii="仿宋_GB2312" w:hAnsi="宋体"/>
          <w:szCs w:val="32"/>
        </w:rPr>
        <w:t>．建设单位与物业买受人签订的买卖合同应当包含本合同约定的内容。</w:t>
      </w:r>
    </w:p>
    <w:p>
      <w:pPr>
        <w:tabs>
          <w:tab w:val="left" w:pos="7584"/>
        </w:tabs>
        <w:spacing w:line="540" w:lineRule="exact"/>
        <w:ind w:firstLine="632" w:firstLineChars="200"/>
        <w:rPr>
          <w:rFonts w:ascii="仿宋_GB2312" w:hAnsi="宋体"/>
          <w:szCs w:val="32"/>
        </w:rPr>
      </w:pPr>
      <w:r>
        <w:rPr>
          <w:rFonts w:hint="eastAsia"/>
          <w:szCs w:val="32"/>
        </w:rPr>
        <w:t>5</w:t>
      </w:r>
      <w:r>
        <w:rPr>
          <w:rFonts w:hint="eastAsia" w:ascii="仿宋_GB2312" w:hAnsi="宋体"/>
          <w:szCs w:val="32"/>
        </w:rPr>
        <w:t>．建设单位应当在销售物业之前，拟定前期物业服务方案，确定物业服务等级标准，在公布的相应等级的基准收费及浮动幅度内，通过招标或与物业服务企业协议确定具体的收费标准，并在前期物业服务合同中明确。</w:t>
      </w:r>
    </w:p>
    <w:p>
      <w:pPr>
        <w:widowControl/>
        <w:spacing w:line="540" w:lineRule="exact"/>
        <w:jc w:val="left"/>
        <w:rPr>
          <w:rFonts w:ascii="宋体" w:hAnsi="宋体" w:eastAsia="宋体"/>
          <w:sz w:val="28"/>
          <w:szCs w:val="28"/>
        </w:rPr>
      </w:pPr>
      <w:r>
        <w:rPr>
          <w:rFonts w:ascii="宋体" w:hAnsi="宋体" w:eastAsia="宋体"/>
          <w:sz w:val="28"/>
          <w:szCs w:val="28"/>
        </w:rPr>
        <w:br w:type="page"/>
      </w:r>
    </w:p>
    <w:p>
      <w:pPr>
        <w:spacing w:line="540" w:lineRule="exact"/>
        <w:jc w:val="center"/>
        <w:rPr>
          <w:rFonts w:ascii="方正小标宋简体" w:hAnsi="宋体" w:eastAsia="方正小标宋简体"/>
          <w:kern w:val="0"/>
          <w:sz w:val="44"/>
          <w:szCs w:val="44"/>
        </w:rPr>
      </w:pPr>
    </w:p>
    <w:p>
      <w:pPr>
        <w:spacing w:line="54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前期物业服务合同</w:t>
      </w:r>
    </w:p>
    <w:p>
      <w:pPr>
        <w:spacing w:line="540" w:lineRule="exact"/>
        <w:jc w:val="center"/>
        <w:rPr>
          <w:rFonts w:ascii="仿宋_GB2312" w:hAnsi="宋体"/>
          <w:kern w:val="0"/>
          <w:szCs w:val="32"/>
        </w:rPr>
      </w:pPr>
    </w:p>
    <w:p>
      <w:pPr>
        <w:spacing w:line="540" w:lineRule="exact"/>
        <w:rPr>
          <w:rFonts w:ascii="仿宋_GB2312" w:hAnsi="宋体"/>
          <w:snapToGrid w:val="0"/>
          <w:kern w:val="32"/>
          <w:szCs w:val="32"/>
        </w:rPr>
      </w:pPr>
      <w:r>
        <w:rPr>
          <w:rFonts w:hint="eastAsia" w:ascii="仿宋_GB2312" w:hAnsi="宋体"/>
          <w:snapToGrid w:val="0"/>
          <w:kern w:val="32"/>
          <w:szCs w:val="32"/>
        </w:rPr>
        <w:t>甲方（开发建设单位）：</w:t>
      </w:r>
      <w:r>
        <w:rPr>
          <w:rFonts w:hint="eastAsia" w:ascii="仿宋_GB2312" w:hAnsi="宋体"/>
          <w:snapToGrid w:val="0"/>
          <w:kern w:val="32"/>
          <w:szCs w:val="32"/>
          <w:u w:val="single"/>
        </w:rPr>
        <w:t xml:space="preserve">                     </w:t>
      </w:r>
    </w:p>
    <w:p>
      <w:pPr>
        <w:spacing w:line="540" w:lineRule="exact"/>
        <w:rPr>
          <w:rFonts w:ascii="仿宋_GB2312" w:hAnsi="宋体"/>
          <w:snapToGrid w:val="0"/>
          <w:kern w:val="32"/>
          <w:szCs w:val="32"/>
        </w:rPr>
      </w:pPr>
      <w:r>
        <w:rPr>
          <w:rFonts w:hint="eastAsia" w:ascii="仿宋_GB2312" w:hAnsi="宋体"/>
          <w:snapToGrid w:val="0"/>
          <w:kern w:val="32"/>
          <w:szCs w:val="32"/>
        </w:rPr>
        <w:t>营业执照注册号：</w:t>
      </w:r>
      <w:r>
        <w:rPr>
          <w:rFonts w:hint="eastAsia" w:ascii="仿宋_GB2312" w:hAnsi="宋体"/>
          <w:snapToGrid w:val="0"/>
          <w:kern w:val="32"/>
          <w:szCs w:val="32"/>
          <w:u w:val="single"/>
        </w:rPr>
        <w:t xml:space="preserve">                                 </w:t>
      </w:r>
    </w:p>
    <w:p>
      <w:pPr>
        <w:spacing w:line="540" w:lineRule="exact"/>
        <w:rPr>
          <w:rFonts w:ascii="仿宋_GB2312" w:hAnsi="宋体"/>
          <w:snapToGrid w:val="0"/>
          <w:kern w:val="32"/>
          <w:szCs w:val="32"/>
        </w:rPr>
      </w:pPr>
      <w:r>
        <w:rPr>
          <w:rFonts w:hint="eastAsia" w:ascii="仿宋_GB2312" w:hAnsi="宋体"/>
          <w:snapToGrid w:val="0"/>
          <w:kern w:val="32"/>
          <w:szCs w:val="32"/>
        </w:rPr>
        <w:t>法定代表人：</w:t>
      </w:r>
      <w:r>
        <w:rPr>
          <w:rFonts w:hint="eastAsia" w:ascii="仿宋_GB2312" w:hAnsi="宋体"/>
          <w:snapToGrid w:val="0"/>
          <w:kern w:val="32"/>
          <w:szCs w:val="32"/>
          <w:u w:val="single"/>
        </w:rPr>
        <w:t xml:space="preserve">               </w:t>
      </w:r>
      <w:r>
        <w:rPr>
          <w:rFonts w:hint="eastAsia" w:ascii="仿宋_GB2312" w:hAnsi="宋体"/>
          <w:snapToGrid w:val="0"/>
          <w:kern w:val="32"/>
          <w:szCs w:val="32"/>
        </w:rPr>
        <w:t xml:space="preserve">  联系电话：</w:t>
      </w:r>
      <w:r>
        <w:rPr>
          <w:rFonts w:hint="eastAsia" w:ascii="仿宋_GB2312" w:hAnsi="宋体"/>
          <w:snapToGrid w:val="0"/>
          <w:kern w:val="32"/>
          <w:szCs w:val="32"/>
          <w:u w:val="single"/>
        </w:rPr>
        <w:t xml:space="preserve">          </w:t>
      </w:r>
    </w:p>
    <w:p>
      <w:pPr>
        <w:spacing w:line="540" w:lineRule="exact"/>
        <w:rPr>
          <w:rFonts w:ascii="仿宋_GB2312" w:hAnsi="宋体"/>
          <w:snapToGrid w:val="0"/>
          <w:kern w:val="32"/>
          <w:szCs w:val="32"/>
        </w:rPr>
      </w:pPr>
      <w:r>
        <w:rPr>
          <w:rFonts w:hint="eastAsia" w:ascii="仿宋_GB2312" w:hAnsi="宋体"/>
          <w:snapToGrid w:val="0"/>
          <w:kern w:val="32"/>
          <w:szCs w:val="32"/>
        </w:rPr>
        <w:t>委托代理人：</w:t>
      </w:r>
      <w:r>
        <w:rPr>
          <w:rFonts w:hint="eastAsia" w:ascii="仿宋_GB2312" w:hAnsi="宋体"/>
          <w:snapToGrid w:val="0"/>
          <w:kern w:val="32"/>
          <w:szCs w:val="32"/>
          <w:u w:val="single"/>
        </w:rPr>
        <w:t xml:space="preserve">               </w:t>
      </w:r>
      <w:r>
        <w:rPr>
          <w:rFonts w:hint="eastAsia" w:ascii="仿宋_GB2312" w:hAnsi="宋体"/>
          <w:snapToGrid w:val="0"/>
          <w:kern w:val="32"/>
          <w:szCs w:val="32"/>
        </w:rPr>
        <w:t xml:space="preserve">  联系电话：</w:t>
      </w:r>
      <w:r>
        <w:rPr>
          <w:rFonts w:hint="eastAsia" w:ascii="仿宋_GB2312" w:hAnsi="宋体"/>
          <w:snapToGrid w:val="0"/>
          <w:kern w:val="32"/>
          <w:szCs w:val="32"/>
          <w:u w:val="single"/>
        </w:rPr>
        <w:t xml:space="preserve">          </w:t>
      </w:r>
    </w:p>
    <w:p>
      <w:pPr>
        <w:spacing w:line="540" w:lineRule="exact"/>
        <w:rPr>
          <w:rFonts w:ascii="仿宋_GB2312" w:hAnsi="宋体"/>
          <w:snapToGrid w:val="0"/>
          <w:kern w:val="32"/>
          <w:szCs w:val="32"/>
        </w:rPr>
      </w:pPr>
      <w:r>
        <w:rPr>
          <w:rFonts w:hint="eastAsia" w:ascii="仿宋_GB2312" w:hAnsi="宋体"/>
          <w:snapToGrid w:val="0"/>
          <w:kern w:val="32"/>
          <w:szCs w:val="32"/>
        </w:rPr>
        <w:t>通讯地址：</w:t>
      </w:r>
      <w:r>
        <w:rPr>
          <w:rFonts w:hint="eastAsia" w:ascii="仿宋_GB2312" w:hAnsi="宋体"/>
          <w:snapToGrid w:val="0"/>
          <w:kern w:val="32"/>
          <w:szCs w:val="32"/>
          <w:u w:val="single"/>
        </w:rPr>
        <w:t xml:space="preserve">                                       </w:t>
      </w:r>
    </w:p>
    <w:p>
      <w:pPr>
        <w:spacing w:line="540" w:lineRule="exact"/>
        <w:rPr>
          <w:rFonts w:ascii="仿宋_GB2312" w:hAnsi="宋体"/>
          <w:snapToGrid w:val="0"/>
          <w:kern w:val="32"/>
          <w:szCs w:val="32"/>
        </w:rPr>
      </w:pPr>
      <w:r>
        <w:rPr>
          <w:rFonts w:hint="eastAsia" w:ascii="仿宋_GB2312" w:hAnsi="宋体"/>
          <w:snapToGrid w:val="0"/>
          <w:kern w:val="32"/>
          <w:szCs w:val="32"/>
        </w:rPr>
        <w:t>邮政编码：</w:t>
      </w:r>
      <w:r>
        <w:rPr>
          <w:rFonts w:hint="eastAsia" w:ascii="仿宋_GB2312" w:hAnsi="宋体"/>
          <w:snapToGrid w:val="0"/>
          <w:kern w:val="32"/>
          <w:szCs w:val="32"/>
          <w:u w:val="single"/>
        </w:rPr>
        <w:t xml:space="preserve">                </w:t>
      </w:r>
    </w:p>
    <w:p>
      <w:pPr>
        <w:spacing w:line="540" w:lineRule="exact"/>
        <w:rPr>
          <w:rFonts w:ascii="仿宋_GB2312" w:hAnsi="宋体"/>
          <w:snapToGrid w:val="0"/>
          <w:kern w:val="32"/>
          <w:szCs w:val="32"/>
          <w:u w:val="single"/>
        </w:rPr>
      </w:pPr>
      <w:r>
        <w:rPr>
          <w:rFonts w:hint="eastAsia" w:ascii="仿宋_GB2312" w:hAnsi="宋体"/>
          <w:snapToGrid w:val="0"/>
          <w:kern w:val="32"/>
          <w:szCs w:val="32"/>
        </w:rPr>
        <w:t>乙方（物业服务企业）：</w:t>
      </w:r>
      <w:r>
        <w:rPr>
          <w:rFonts w:hint="eastAsia" w:ascii="仿宋_GB2312" w:hAnsi="宋体"/>
          <w:snapToGrid w:val="0"/>
          <w:kern w:val="32"/>
          <w:szCs w:val="32"/>
          <w:u w:val="single"/>
        </w:rPr>
        <w:t xml:space="preserve">                      </w:t>
      </w:r>
    </w:p>
    <w:p>
      <w:pPr>
        <w:spacing w:line="540" w:lineRule="exact"/>
        <w:rPr>
          <w:rFonts w:ascii="仿宋_GB2312" w:hAnsi="宋体"/>
          <w:snapToGrid w:val="0"/>
          <w:kern w:val="32"/>
          <w:szCs w:val="32"/>
        </w:rPr>
      </w:pPr>
      <w:r>
        <w:rPr>
          <w:rFonts w:hint="eastAsia" w:ascii="仿宋_GB2312" w:hAnsi="宋体"/>
          <w:snapToGrid w:val="0"/>
          <w:kern w:val="32"/>
          <w:szCs w:val="32"/>
        </w:rPr>
        <w:t>营业执照注册号：</w:t>
      </w:r>
      <w:r>
        <w:rPr>
          <w:rFonts w:hint="eastAsia" w:ascii="仿宋_GB2312" w:hAnsi="宋体"/>
          <w:snapToGrid w:val="0"/>
          <w:kern w:val="32"/>
          <w:szCs w:val="32"/>
          <w:u w:val="single"/>
        </w:rPr>
        <w:t xml:space="preserve">                                 </w:t>
      </w:r>
    </w:p>
    <w:p>
      <w:pPr>
        <w:spacing w:line="540" w:lineRule="exact"/>
        <w:rPr>
          <w:rFonts w:ascii="仿宋_GB2312" w:hAnsi="宋体"/>
          <w:snapToGrid w:val="0"/>
          <w:kern w:val="32"/>
          <w:szCs w:val="32"/>
          <w:u w:val="single"/>
        </w:rPr>
      </w:pPr>
      <w:r>
        <w:rPr>
          <w:rFonts w:hint="eastAsia" w:ascii="仿宋_GB2312" w:hAnsi="宋体"/>
          <w:snapToGrid w:val="0"/>
          <w:kern w:val="32"/>
          <w:szCs w:val="32"/>
        </w:rPr>
        <w:t>法定代表人：</w:t>
      </w:r>
      <w:r>
        <w:rPr>
          <w:rFonts w:hint="eastAsia" w:ascii="仿宋_GB2312" w:hAnsi="宋体"/>
          <w:snapToGrid w:val="0"/>
          <w:kern w:val="32"/>
          <w:szCs w:val="32"/>
          <w:u w:val="single"/>
        </w:rPr>
        <w:t xml:space="preserve">              </w:t>
      </w:r>
      <w:r>
        <w:rPr>
          <w:rFonts w:hint="eastAsia" w:ascii="仿宋_GB2312" w:hAnsi="宋体"/>
          <w:snapToGrid w:val="0"/>
          <w:kern w:val="32"/>
          <w:szCs w:val="32"/>
        </w:rPr>
        <w:t xml:space="preserve">   联系电话：</w:t>
      </w:r>
      <w:r>
        <w:rPr>
          <w:rFonts w:hint="eastAsia" w:ascii="仿宋_GB2312" w:hAnsi="宋体"/>
          <w:snapToGrid w:val="0"/>
          <w:kern w:val="32"/>
          <w:szCs w:val="32"/>
          <w:u w:val="single"/>
        </w:rPr>
        <w:t xml:space="preserve">         </w:t>
      </w:r>
    </w:p>
    <w:p>
      <w:pPr>
        <w:spacing w:line="540" w:lineRule="exact"/>
        <w:rPr>
          <w:rFonts w:ascii="仿宋_GB2312" w:hAnsi="宋体"/>
          <w:snapToGrid w:val="0"/>
          <w:kern w:val="32"/>
          <w:szCs w:val="32"/>
        </w:rPr>
      </w:pPr>
      <w:r>
        <w:rPr>
          <w:rFonts w:hint="eastAsia" w:ascii="仿宋_GB2312" w:hAnsi="宋体"/>
          <w:snapToGrid w:val="0"/>
          <w:kern w:val="32"/>
          <w:szCs w:val="32"/>
        </w:rPr>
        <w:t>委托代理人：</w:t>
      </w:r>
      <w:r>
        <w:rPr>
          <w:rFonts w:hint="eastAsia" w:ascii="仿宋_GB2312" w:hAnsi="宋体"/>
          <w:snapToGrid w:val="0"/>
          <w:kern w:val="32"/>
          <w:szCs w:val="32"/>
          <w:u w:val="single"/>
        </w:rPr>
        <w:t xml:space="preserve">              </w:t>
      </w:r>
      <w:r>
        <w:rPr>
          <w:rFonts w:hint="eastAsia" w:ascii="仿宋_GB2312" w:hAnsi="宋体"/>
          <w:snapToGrid w:val="0"/>
          <w:kern w:val="32"/>
          <w:szCs w:val="32"/>
        </w:rPr>
        <w:t xml:space="preserve">   联系电话：</w:t>
      </w:r>
      <w:r>
        <w:rPr>
          <w:rFonts w:hint="eastAsia" w:ascii="仿宋_GB2312" w:hAnsi="宋体"/>
          <w:snapToGrid w:val="0"/>
          <w:kern w:val="32"/>
          <w:szCs w:val="32"/>
          <w:u w:val="single"/>
        </w:rPr>
        <w:t xml:space="preserve">         </w:t>
      </w:r>
    </w:p>
    <w:p>
      <w:pPr>
        <w:spacing w:line="540" w:lineRule="exact"/>
        <w:rPr>
          <w:rFonts w:ascii="仿宋_GB2312" w:hAnsi="宋体"/>
          <w:snapToGrid w:val="0"/>
          <w:kern w:val="32"/>
          <w:szCs w:val="32"/>
        </w:rPr>
      </w:pPr>
      <w:r>
        <w:rPr>
          <w:rFonts w:hint="eastAsia" w:ascii="仿宋_GB2312" w:hAnsi="宋体"/>
          <w:snapToGrid w:val="0"/>
          <w:kern w:val="32"/>
          <w:szCs w:val="32"/>
        </w:rPr>
        <w:t>通讯地址：</w:t>
      </w:r>
      <w:r>
        <w:rPr>
          <w:rFonts w:hint="eastAsia" w:ascii="仿宋_GB2312" w:hAnsi="宋体"/>
          <w:snapToGrid w:val="0"/>
          <w:kern w:val="32"/>
          <w:szCs w:val="32"/>
          <w:u w:val="single"/>
        </w:rPr>
        <w:t xml:space="preserve">                                       </w:t>
      </w:r>
    </w:p>
    <w:p>
      <w:pPr>
        <w:spacing w:line="540" w:lineRule="exact"/>
        <w:rPr>
          <w:rFonts w:ascii="仿宋_GB2312" w:hAnsi="宋体"/>
          <w:snapToGrid w:val="0"/>
          <w:kern w:val="32"/>
          <w:szCs w:val="32"/>
          <w:u w:val="single"/>
        </w:rPr>
      </w:pPr>
      <w:r>
        <w:rPr>
          <w:rFonts w:hint="eastAsia" w:ascii="仿宋_GB2312" w:hAnsi="宋体"/>
          <w:snapToGrid w:val="0"/>
          <w:kern w:val="32"/>
          <w:szCs w:val="32"/>
        </w:rPr>
        <w:t>邮政编码：</w:t>
      </w:r>
      <w:r>
        <w:rPr>
          <w:rFonts w:hint="eastAsia" w:ascii="仿宋_GB2312" w:hAnsi="宋体"/>
          <w:snapToGrid w:val="0"/>
          <w:kern w:val="32"/>
          <w:szCs w:val="32"/>
          <w:u w:val="single"/>
        </w:rPr>
        <w:t xml:space="preserve">                 </w:t>
      </w:r>
    </w:p>
    <w:p>
      <w:pPr>
        <w:spacing w:line="540" w:lineRule="exact"/>
        <w:ind w:firstLine="632" w:firstLineChars="200"/>
        <w:rPr>
          <w:rFonts w:ascii="仿宋_GB2312" w:hAnsi="宋体"/>
          <w:snapToGrid w:val="0"/>
          <w:kern w:val="32"/>
          <w:szCs w:val="32"/>
          <w:u w:val="single"/>
        </w:rPr>
      </w:pPr>
      <w:r>
        <w:rPr>
          <w:rFonts w:hint="eastAsia" w:ascii="仿宋_GB2312" w:hAnsi="宋体"/>
          <w:snapToGrid w:val="0"/>
          <w:kern w:val="32"/>
          <w:szCs w:val="32"/>
        </w:rPr>
        <w:t xml:space="preserve">根据《中华人民共和国合同法》《中华人民共和国物权法》《物业管理条例》《浙江省物业管理条例》等法律、法规的规定，在自愿、平等、协商一致的基础上，甲方以 </w:t>
      </w:r>
      <w:r>
        <w:rPr>
          <w:rFonts w:hint="eastAsia" w:ascii="仿宋_GB2312" w:hAnsi="宋体"/>
          <w:snapToGrid w:val="0"/>
          <w:kern w:val="32"/>
          <w:szCs w:val="32"/>
          <w:u w:val="single"/>
        </w:rPr>
        <w:t xml:space="preserve">        </w:t>
      </w:r>
      <w:r>
        <w:rPr>
          <w:rFonts w:hint="eastAsia" w:ascii="仿宋_GB2312" w:hAnsi="宋体"/>
          <w:snapToGrid w:val="0"/>
          <w:kern w:val="32"/>
          <w:szCs w:val="32"/>
        </w:rPr>
        <w:t>（包干制/酬金制）方式选聘乙方对</w:t>
      </w:r>
      <w:r>
        <w:rPr>
          <w:rFonts w:hint="eastAsia" w:ascii="仿宋_GB2312" w:hAnsi="宋体"/>
          <w:snapToGrid w:val="0"/>
          <w:kern w:val="32"/>
          <w:szCs w:val="32"/>
          <w:u w:val="single"/>
        </w:rPr>
        <w:t xml:space="preserve">                 </w:t>
      </w:r>
      <w:r>
        <w:rPr>
          <w:rFonts w:hint="eastAsia" w:ascii="仿宋_GB2312" w:hAnsi="宋体"/>
          <w:snapToGrid w:val="0"/>
          <w:kern w:val="32"/>
          <w:szCs w:val="32"/>
        </w:rPr>
        <w:t>（物业项目名称）提供前期物业服务，签订本合同。</w:t>
      </w:r>
    </w:p>
    <w:p>
      <w:pPr>
        <w:spacing w:line="540" w:lineRule="exact"/>
        <w:ind w:firstLine="632" w:firstLineChars="200"/>
        <w:rPr>
          <w:rFonts w:ascii="宋体" w:hAnsi="宋体" w:eastAsia="宋体"/>
          <w:snapToGrid w:val="0"/>
          <w:kern w:val="32"/>
          <w:sz w:val="28"/>
          <w:szCs w:val="28"/>
        </w:rPr>
      </w:pPr>
      <w:r>
        <w:rPr>
          <w:rFonts w:hint="eastAsia" w:ascii="仿宋_GB2312" w:hAnsi="宋体"/>
          <w:snapToGrid w:val="0"/>
          <w:kern w:val="32"/>
          <w:szCs w:val="32"/>
        </w:rPr>
        <w:t>乙方依照本合同提供服务的受益人为本物业管理区域的全体业主和非业主使用人，全体业主和非业主使用人享受本合同提供的服务并承担按本合同约定及时交纳物业费用等义务。</w:t>
      </w:r>
      <w:r>
        <w:rPr>
          <w:rFonts w:ascii="宋体" w:hAnsi="宋体" w:eastAsia="宋体"/>
          <w:snapToGrid w:val="0"/>
          <w:kern w:val="32"/>
          <w:sz w:val="28"/>
          <w:szCs w:val="28"/>
        </w:rPr>
        <w:br w:type="page"/>
      </w:r>
    </w:p>
    <w:p>
      <w:pPr>
        <w:spacing w:line="540" w:lineRule="exact"/>
        <w:ind w:firstLine="552" w:firstLineChars="200"/>
        <w:rPr>
          <w:rFonts w:ascii="宋体" w:hAnsi="宋体" w:eastAsia="宋体"/>
          <w:snapToGrid w:val="0"/>
          <w:kern w:val="32"/>
          <w:sz w:val="28"/>
          <w:szCs w:val="28"/>
        </w:rPr>
      </w:pPr>
    </w:p>
    <w:p>
      <w:pPr>
        <w:spacing w:line="520" w:lineRule="exact"/>
        <w:jc w:val="center"/>
        <w:rPr>
          <w:rFonts w:ascii="黑体" w:hAnsi="黑体" w:eastAsia="黑体"/>
          <w:szCs w:val="32"/>
        </w:rPr>
      </w:pPr>
      <w:r>
        <w:rPr>
          <w:rFonts w:hint="eastAsia" w:ascii="黑体" w:hAnsi="黑体" w:eastAsia="黑体"/>
          <w:szCs w:val="32"/>
        </w:rPr>
        <w:t>第一章  物业基本情况</w:t>
      </w:r>
    </w:p>
    <w:p>
      <w:pPr>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第一条</w:t>
      </w:r>
      <w:r>
        <w:rPr>
          <w:rFonts w:hint="eastAsia" w:ascii="仿宋_GB2312" w:hAnsi="宋体"/>
          <w:snapToGrid w:val="0"/>
          <w:kern w:val="32"/>
          <w:szCs w:val="32"/>
        </w:rPr>
        <w:t xml:space="preserve">  物业基本情况</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物业项目名称：</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坐落位置：</w:t>
      </w:r>
      <w:r>
        <w:rPr>
          <w:rFonts w:hint="eastAsia" w:ascii="仿宋_GB2312" w:hAnsi="宋体" w:cs="宋体"/>
          <w:snapToGrid w:val="0"/>
          <w:kern w:val="32"/>
          <w:szCs w:val="32"/>
        </w:rPr>
        <w:t>湖州市</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rPr>
        <w:t>区（县、市）</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rPr>
        <w:t>街道（乡、镇）</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rPr>
        <w:t>路（街、巷）</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rPr>
        <w:t>号；</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物业类型：</w:t>
      </w:r>
      <w:r>
        <w:rPr>
          <w:rFonts w:hint="eastAsia" w:ascii="仿宋_GB2312" w:hAnsi="宋体"/>
          <w:snapToGrid w:val="0"/>
          <w:kern w:val="32"/>
          <w:szCs w:val="32"/>
          <w:u w:val="single"/>
        </w:rPr>
        <w:t xml:space="preserve">                  </w:t>
      </w:r>
      <w:r>
        <w:rPr>
          <w:rFonts w:hint="eastAsia" w:ascii="仿宋_GB2312" w:hAnsi="宋体" w:cs="宋体"/>
          <w:snapToGrid w:val="0"/>
          <w:kern w:val="32"/>
          <w:szCs w:val="32"/>
        </w:rPr>
        <w:t>（住宅、非住宅、综合）；</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物业管理区域四至范围：</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东至</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南至</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西至</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北至</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 xml:space="preserve">占地面积： </w:t>
      </w:r>
      <w:r>
        <w:rPr>
          <w:rFonts w:hint="eastAsia" w:ascii="仿宋_GB2312" w:hAnsi="宋体"/>
          <w:snapToGrid w:val="0"/>
          <w:kern w:val="32"/>
          <w:szCs w:val="32"/>
          <w:u w:val="single"/>
        </w:rPr>
        <w:t xml:space="preserve">          </w:t>
      </w:r>
      <w:r>
        <w:rPr>
          <w:rFonts w:hint="eastAsia" w:ascii="仿宋_GB2312" w:hAnsi="宋体"/>
          <w:snapToGrid w:val="0"/>
          <w:kern w:val="32"/>
          <w:szCs w:val="32"/>
        </w:rPr>
        <w:t>平方米；</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总建筑面积：</w:t>
      </w:r>
      <w:r>
        <w:rPr>
          <w:rFonts w:hint="eastAsia" w:ascii="仿宋_GB2312" w:hAnsi="宋体"/>
          <w:snapToGrid w:val="0"/>
          <w:kern w:val="32"/>
          <w:szCs w:val="32"/>
          <w:u w:val="single"/>
        </w:rPr>
        <w:t xml:space="preserve">          </w:t>
      </w:r>
      <w:r>
        <w:rPr>
          <w:rFonts w:hint="eastAsia" w:ascii="仿宋_GB2312" w:hAnsi="宋体"/>
          <w:snapToGrid w:val="0"/>
          <w:kern w:val="32"/>
          <w:szCs w:val="32"/>
        </w:rPr>
        <w:t>平方米；其中住宅</w:t>
      </w:r>
      <w:r>
        <w:rPr>
          <w:rFonts w:hint="eastAsia" w:ascii="仿宋_GB2312" w:hAnsi="宋体"/>
          <w:snapToGrid w:val="0"/>
          <w:kern w:val="32"/>
          <w:szCs w:val="32"/>
          <w:u w:val="single"/>
        </w:rPr>
        <w:t xml:space="preserve">          </w:t>
      </w:r>
      <w:r>
        <w:rPr>
          <w:rFonts w:hint="eastAsia" w:ascii="仿宋_GB2312" w:hAnsi="宋体"/>
          <w:snapToGrid w:val="0"/>
          <w:kern w:val="32"/>
          <w:szCs w:val="32"/>
        </w:rPr>
        <w:t>平方米，</w:t>
      </w:r>
      <w:r>
        <w:rPr>
          <w:rFonts w:hint="eastAsia" w:ascii="仿宋_GB2312" w:hAnsi="宋体" w:cs="宋体"/>
          <w:snapToGrid w:val="0"/>
          <w:kern w:val="32"/>
          <w:szCs w:val="32"/>
        </w:rPr>
        <w:t>非住宅</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rPr>
        <w:t>平</w:t>
      </w:r>
      <w:r>
        <w:rPr>
          <w:rFonts w:hint="eastAsia" w:ascii="仿宋_GB2312" w:hAnsi="宋体"/>
          <w:snapToGrid w:val="0"/>
          <w:kern w:val="32"/>
          <w:szCs w:val="32"/>
        </w:rPr>
        <w:t>方米；</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物业管理用房建筑面积</w:t>
      </w:r>
      <w:r>
        <w:rPr>
          <w:rFonts w:hint="eastAsia" w:ascii="仿宋_GB2312" w:hAnsi="宋体"/>
          <w:snapToGrid w:val="0"/>
          <w:kern w:val="32"/>
          <w:szCs w:val="32"/>
          <w:u w:val="single"/>
        </w:rPr>
        <w:t xml:space="preserve">      </w:t>
      </w:r>
      <w:r>
        <w:rPr>
          <w:rFonts w:hint="eastAsia" w:ascii="仿宋_GB2312" w:hAnsi="宋体"/>
          <w:snapToGrid w:val="0"/>
          <w:kern w:val="32"/>
          <w:szCs w:val="32"/>
        </w:rPr>
        <w:t>平方米，其中包括：物业办公用房</w:t>
      </w:r>
      <w:r>
        <w:rPr>
          <w:rFonts w:hint="eastAsia" w:ascii="仿宋_GB2312" w:hAnsi="宋体"/>
          <w:snapToGrid w:val="0"/>
          <w:kern w:val="32"/>
          <w:szCs w:val="32"/>
          <w:u w:val="single"/>
        </w:rPr>
        <w:t xml:space="preserve">      </w:t>
      </w:r>
      <w:r>
        <w:rPr>
          <w:rFonts w:hint="eastAsia" w:ascii="仿宋_GB2312" w:hAnsi="宋体"/>
          <w:snapToGrid w:val="0"/>
          <w:kern w:val="32"/>
          <w:szCs w:val="32"/>
        </w:rPr>
        <w:t>平方米，位于</w:t>
      </w:r>
      <w:r>
        <w:rPr>
          <w:rFonts w:hint="eastAsia" w:ascii="仿宋_GB2312" w:hAnsi="宋体"/>
          <w:snapToGrid w:val="0"/>
          <w:kern w:val="32"/>
          <w:szCs w:val="32"/>
          <w:u w:val="single"/>
        </w:rPr>
        <w:t xml:space="preserve">            </w:t>
      </w:r>
      <w:r>
        <w:rPr>
          <w:rFonts w:hint="eastAsia" w:ascii="仿宋_GB2312" w:hAnsi="宋体"/>
          <w:snapToGrid w:val="0"/>
          <w:kern w:val="32"/>
          <w:szCs w:val="32"/>
        </w:rPr>
        <w:t>，物业经营用房</w:t>
      </w:r>
      <w:r>
        <w:rPr>
          <w:rFonts w:hint="eastAsia" w:ascii="仿宋_GB2312" w:hAnsi="宋体"/>
          <w:snapToGrid w:val="0"/>
          <w:kern w:val="32"/>
          <w:szCs w:val="32"/>
          <w:u w:val="single"/>
        </w:rPr>
        <w:t xml:space="preserve">      </w:t>
      </w:r>
      <w:r>
        <w:rPr>
          <w:rFonts w:hint="eastAsia" w:ascii="仿宋_GB2312" w:hAnsi="宋体"/>
          <w:snapToGrid w:val="0"/>
          <w:kern w:val="32"/>
          <w:szCs w:val="32"/>
        </w:rPr>
        <w:t>平方米、位于</w:t>
      </w:r>
      <w:r>
        <w:rPr>
          <w:rFonts w:hint="eastAsia" w:ascii="仿宋_GB2312" w:hAnsi="宋体"/>
          <w:snapToGrid w:val="0"/>
          <w:kern w:val="32"/>
          <w:szCs w:val="32"/>
          <w:u w:val="single"/>
        </w:rPr>
        <w:t xml:space="preserve">              </w:t>
      </w:r>
      <w:r>
        <w:rPr>
          <w:rFonts w:hint="eastAsia" w:ascii="仿宋_GB2312" w:hAnsi="宋体"/>
          <w:snapToGrid w:val="0"/>
          <w:kern w:val="32"/>
          <w:szCs w:val="32"/>
        </w:rPr>
        <w:t xml:space="preserve"> 。（总建筑面积以实际竣工验收测绘结果为准）</w:t>
      </w:r>
    </w:p>
    <w:p>
      <w:pPr>
        <w:spacing w:line="520" w:lineRule="exact"/>
        <w:ind w:firstLine="632" w:firstLineChars="200"/>
        <w:rPr>
          <w:rFonts w:ascii="仿宋_GB2312" w:hAnsi="宋体"/>
          <w:snapToGrid w:val="0"/>
          <w:kern w:val="32"/>
          <w:szCs w:val="32"/>
          <w:u w:val="single"/>
        </w:rPr>
      </w:pPr>
      <w:r>
        <w:rPr>
          <w:rFonts w:hint="eastAsia" w:ascii="仿宋_GB2312" w:hAnsi="宋体"/>
          <w:snapToGrid w:val="0"/>
          <w:kern w:val="32"/>
          <w:szCs w:val="32"/>
        </w:rPr>
        <w:t>分期建设的项目，具体情况为：</w:t>
      </w:r>
      <w:r>
        <w:rPr>
          <w:rFonts w:hint="eastAsia" w:ascii="仿宋_GB2312" w:hAnsi="宋体"/>
          <w:snapToGrid w:val="0"/>
          <w:kern w:val="32"/>
          <w:szCs w:val="32"/>
          <w:u w:val="single"/>
        </w:rPr>
        <w:t xml:space="preserve">                        </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（物业管理区域划分意见书或规划平面图见附件</w:t>
      </w:r>
      <w:r>
        <w:rPr>
          <w:snapToGrid w:val="0"/>
          <w:kern w:val="32"/>
          <w:szCs w:val="32"/>
        </w:rPr>
        <w:t>1</w:t>
      </w:r>
      <w:r>
        <w:rPr>
          <w:rFonts w:hint="eastAsia" w:ascii="仿宋_GB2312" w:hAnsi="宋体"/>
          <w:snapToGrid w:val="0"/>
          <w:kern w:val="32"/>
          <w:szCs w:val="32"/>
        </w:rPr>
        <w:t>，物业构成明细见附件</w:t>
      </w:r>
      <w:r>
        <w:rPr>
          <w:rFonts w:hint="eastAsia"/>
          <w:snapToGrid w:val="0"/>
          <w:kern w:val="32"/>
          <w:szCs w:val="32"/>
        </w:rPr>
        <w:t>2</w:t>
      </w:r>
      <w:r>
        <w:rPr>
          <w:rFonts w:hint="eastAsia" w:ascii="仿宋_GB2312" w:hAnsi="宋体"/>
          <w:snapToGrid w:val="0"/>
          <w:kern w:val="32"/>
          <w:szCs w:val="32"/>
        </w:rPr>
        <w:t xml:space="preserve">）                                     </w:t>
      </w:r>
    </w:p>
    <w:p>
      <w:pPr>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 xml:space="preserve">第二条 </w:t>
      </w:r>
      <w:r>
        <w:rPr>
          <w:rFonts w:hint="eastAsia" w:ascii="仿宋_GB2312" w:hAnsi="宋体"/>
          <w:b/>
          <w:snapToGrid w:val="0"/>
          <w:kern w:val="32"/>
          <w:szCs w:val="32"/>
        </w:rPr>
        <w:t xml:space="preserve"> </w:t>
      </w:r>
      <w:r>
        <w:rPr>
          <w:rFonts w:hint="eastAsia" w:ascii="仿宋_GB2312" w:hAnsi="宋体"/>
          <w:snapToGrid w:val="0"/>
          <w:kern w:val="32"/>
          <w:szCs w:val="32"/>
        </w:rPr>
        <w:t>按照约定，乙方应当在前期物业管理期间参与工程的检查，或根据项目建设实际情况，由甲乙双方约定乙方在项目建设阶段参与检查。对检查发现的工程质量问题和其他不利于物业使用和管理的问题，乙方应及时向建设单位或者相关专业管理部门提出整改建议。产生的相关费用由甲方承担。</w:t>
      </w:r>
    </w:p>
    <w:p>
      <w:pPr>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第三条</w:t>
      </w:r>
      <w:r>
        <w:rPr>
          <w:rFonts w:hint="eastAsia" w:ascii="仿宋_GB2312" w:hAnsi="宋体"/>
          <w:b/>
          <w:snapToGrid w:val="0"/>
          <w:kern w:val="32"/>
          <w:szCs w:val="32"/>
        </w:rPr>
        <w:t xml:space="preserve">  </w:t>
      </w:r>
      <w:r>
        <w:rPr>
          <w:rFonts w:hint="eastAsia" w:ascii="仿宋_GB2312" w:hAnsi="宋体"/>
          <w:snapToGrid w:val="0"/>
          <w:kern w:val="32"/>
          <w:szCs w:val="32"/>
        </w:rPr>
        <w:t>甲方应当与乙方完成物业共用部位、共用设施设备的承接查验工作并签订物业承接查验协议，对物业承接查验基本情况、存在问题、解决方法及其时限、双方权利义务、违约责任等事项作出明确约定。（物业承接查验协议见附件</w:t>
      </w:r>
      <w:r>
        <w:rPr>
          <w:snapToGrid w:val="0"/>
          <w:kern w:val="32"/>
          <w:szCs w:val="32"/>
        </w:rPr>
        <w:t>3</w:t>
      </w:r>
      <w:r>
        <w:rPr>
          <w:rFonts w:hint="eastAsia" w:ascii="仿宋_GB2312" w:hAnsi="宋体"/>
          <w:snapToGrid w:val="0"/>
          <w:kern w:val="32"/>
          <w:szCs w:val="32"/>
        </w:rPr>
        <w:t>）物业承接查验费用由甲方承担。</w:t>
      </w:r>
    </w:p>
    <w:p>
      <w:pPr>
        <w:spacing w:line="520" w:lineRule="exact"/>
        <w:ind w:firstLine="552" w:firstLineChars="200"/>
        <w:jc w:val="center"/>
        <w:rPr>
          <w:rFonts w:ascii="宋体" w:hAnsi="宋体" w:eastAsia="宋体"/>
          <w:snapToGrid w:val="0"/>
          <w:kern w:val="32"/>
          <w:sz w:val="28"/>
          <w:szCs w:val="28"/>
        </w:rPr>
      </w:pPr>
    </w:p>
    <w:p>
      <w:pPr>
        <w:spacing w:line="520" w:lineRule="exact"/>
        <w:jc w:val="center"/>
        <w:rPr>
          <w:rFonts w:ascii="黑体" w:hAnsi="黑体" w:eastAsia="黑体"/>
          <w:szCs w:val="32"/>
        </w:rPr>
      </w:pPr>
      <w:r>
        <w:rPr>
          <w:rFonts w:hint="eastAsia" w:ascii="黑体" w:hAnsi="黑体" w:eastAsia="黑体"/>
          <w:szCs w:val="32"/>
        </w:rPr>
        <w:t>第二章  物业服务内容与服务标准</w:t>
      </w:r>
    </w:p>
    <w:p>
      <w:pPr>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第四条</w:t>
      </w:r>
      <w:r>
        <w:rPr>
          <w:rFonts w:hint="eastAsia" w:ascii="仿宋_GB2312" w:hAnsi="宋体"/>
          <w:b/>
          <w:snapToGrid w:val="0"/>
          <w:kern w:val="32"/>
          <w:szCs w:val="32"/>
        </w:rPr>
        <w:t xml:space="preserve">  </w:t>
      </w:r>
      <w:r>
        <w:rPr>
          <w:rFonts w:hint="eastAsia" w:ascii="仿宋_GB2312" w:hAnsi="宋体"/>
          <w:snapToGrid w:val="0"/>
          <w:kern w:val="32"/>
          <w:szCs w:val="32"/>
        </w:rPr>
        <w:t>乙方提供的物业服务包括以下内容：</w:t>
      </w:r>
    </w:p>
    <w:p>
      <w:pPr>
        <w:spacing w:line="520" w:lineRule="exact"/>
        <w:ind w:firstLine="632" w:firstLineChars="200"/>
        <w:rPr>
          <w:rFonts w:ascii="仿宋_GB2312" w:hAnsi="宋体"/>
          <w:snapToGrid w:val="0"/>
          <w:kern w:val="32"/>
          <w:szCs w:val="32"/>
        </w:rPr>
      </w:pPr>
      <w:r>
        <w:rPr>
          <w:snapToGrid w:val="0"/>
          <w:kern w:val="32"/>
          <w:szCs w:val="32"/>
        </w:rPr>
        <w:t>1</w:t>
      </w:r>
      <w:r>
        <w:rPr>
          <w:rFonts w:hint="eastAsia" w:ascii="仿宋_GB2312" w:hAnsi="宋体"/>
          <w:snapToGrid w:val="0"/>
          <w:kern w:val="32"/>
          <w:szCs w:val="32"/>
        </w:rPr>
        <w:t>．房屋建筑共用部位的日常维护和管理，包括：楼盖、外墙面、承重墙体、楼梯间、走廊通道、门厅等。须从业主、非业主使用人室内进入的，或无法进行日常维护的建筑共用部位除外。</w:t>
      </w:r>
    </w:p>
    <w:p>
      <w:pPr>
        <w:spacing w:line="520" w:lineRule="exact"/>
        <w:ind w:firstLine="632"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共用设施、设备的日常养护、运行和管理，包括：共用的上下水管道、落水管、污水管、高压泵房、电梯、共用照明、楼内消防设施设备、监控设备、变频水泵、烟道、天线、建筑物防雷设施等。安装在业主、非业主使用人室内的，或无法进行日常维护的共用设施设备除外。</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物业管理</w:t>
      </w:r>
      <w:r>
        <w:rPr>
          <w:rFonts w:hint="eastAsia"/>
          <w:snapToGrid w:val="0"/>
          <w:kern w:val="32"/>
          <w:szCs w:val="32"/>
        </w:rPr>
        <w:t>区域</w:t>
      </w:r>
      <w:r>
        <w:rPr>
          <w:rFonts w:hint="eastAsia" w:ascii="仿宋_GB2312" w:hAnsi="宋体"/>
          <w:snapToGrid w:val="0"/>
          <w:kern w:val="32"/>
          <w:szCs w:val="32"/>
        </w:rPr>
        <w:t>内保修期限满后，共有部位</w:t>
      </w:r>
      <w:r>
        <w:rPr>
          <w:rFonts w:hint="eastAsia"/>
          <w:snapToGrid w:val="0"/>
          <w:kern w:val="32"/>
          <w:szCs w:val="32"/>
        </w:rPr>
        <w:t>1000</w:t>
      </w:r>
      <w:r>
        <w:rPr>
          <w:rFonts w:hint="eastAsia" w:ascii="仿宋_GB2312" w:hAnsi="宋体"/>
          <w:snapToGrid w:val="0"/>
          <w:kern w:val="32"/>
          <w:szCs w:val="32"/>
        </w:rPr>
        <w:t>元以上、共有设施设备</w:t>
      </w:r>
      <w:r>
        <w:rPr>
          <w:rFonts w:hint="eastAsia"/>
          <w:snapToGrid w:val="0"/>
          <w:kern w:val="32"/>
          <w:szCs w:val="32"/>
        </w:rPr>
        <w:t>3000</w:t>
      </w:r>
      <w:r>
        <w:rPr>
          <w:rFonts w:hint="eastAsia" w:ascii="仿宋_GB2312" w:hAnsi="宋体"/>
          <w:snapToGrid w:val="0"/>
          <w:kern w:val="32"/>
          <w:szCs w:val="32"/>
        </w:rPr>
        <w:t>元以上的维修、更新和改造费用，可在物业专项维修资金中列支，不同性质的部位或设施设备的维修不能归并为单体项目工程。</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物业管理区域内供水、供电、供气、通讯、有线电视等设施的维修和养护，由相关社会企事业单位负责。</w:t>
      </w:r>
    </w:p>
    <w:p>
      <w:pPr>
        <w:spacing w:line="520" w:lineRule="exact"/>
        <w:ind w:firstLine="632" w:firstLineChars="200"/>
        <w:rPr>
          <w:rFonts w:ascii="仿宋_GB2312" w:hAnsi="宋体"/>
          <w:snapToGrid w:val="0"/>
          <w:kern w:val="32"/>
          <w:szCs w:val="32"/>
        </w:rPr>
      </w:pPr>
      <w:r>
        <w:rPr>
          <w:rFonts w:hint="eastAsia"/>
          <w:snapToGrid w:val="0"/>
          <w:kern w:val="32"/>
          <w:szCs w:val="32"/>
        </w:rPr>
        <w:t>3</w:t>
      </w:r>
      <w:r>
        <w:rPr>
          <w:rFonts w:hint="eastAsia" w:ascii="仿宋_GB2312" w:hAnsi="宋体"/>
          <w:snapToGrid w:val="0"/>
          <w:kern w:val="32"/>
          <w:szCs w:val="32"/>
        </w:rPr>
        <w:t>．附属建筑物、构筑物的日常养护，包括道路、室外上下水管道、化粪池、沟渠、水池、物业标识系统等。</w:t>
      </w:r>
    </w:p>
    <w:p>
      <w:pPr>
        <w:spacing w:line="520" w:lineRule="exact"/>
        <w:ind w:firstLine="632" w:firstLineChars="200"/>
        <w:rPr>
          <w:rFonts w:ascii="仿宋_GB2312" w:hAnsi="宋体"/>
          <w:snapToGrid w:val="0"/>
          <w:kern w:val="32"/>
          <w:szCs w:val="32"/>
        </w:rPr>
      </w:pPr>
      <w:r>
        <w:rPr>
          <w:rFonts w:hint="eastAsia"/>
          <w:snapToGrid w:val="0"/>
          <w:kern w:val="32"/>
          <w:szCs w:val="32"/>
        </w:rPr>
        <w:t>4</w:t>
      </w:r>
      <w:r>
        <w:rPr>
          <w:rFonts w:hint="eastAsia" w:ascii="仿宋_GB2312" w:hAnsi="宋体"/>
          <w:snapToGrid w:val="0"/>
          <w:kern w:val="32"/>
          <w:szCs w:val="32"/>
        </w:rPr>
        <w:t>．</w:t>
      </w:r>
      <w:r>
        <w:rPr>
          <w:rFonts w:hint="eastAsia" w:ascii="仿宋_GB2312" w:hAnsi="宋体"/>
          <w:snapToGrid w:val="0"/>
          <w:spacing w:val="-4"/>
          <w:kern w:val="32"/>
          <w:szCs w:val="32"/>
        </w:rPr>
        <w:t>公共绿地、公共区间植物、建筑小品等的日常养护和管理。</w:t>
      </w:r>
    </w:p>
    <w:p>
      <w:pPr>
        <w:spacing w:line="520" w:lineRule="exact"/>
        <w:ind w:firstLine="632" w:firstLineChars="200"/>
        <w:rPr>
          <w:rFonts w:ascii="仿宋_GB2312" w:hAnsi="宋体"/>
          <w:snapToGrid w:val="0"/>
          <w:kern w:val="32"/>
          <w:szCs w:val="32"/>
        </w:rPr>
      </w:pPr>
      <w:r>
        <w:rPr>
          <w:rFonts w:hint="eastAsia"/>
          <w:snapToGrid w:val="0"/>
          <w:kern w:val="32"/>
          <w:szCs w:val="32"/>
        </w:rPr>
        <w:t>5</w:t>
      </w:r>
      <w:r>
        <w:rPr>
          <w:rFonts w:hint="eastAsia" w:ascii="仿宋_GB2312" w:hAnsi="宋体"/>
          <w:snapToGrid w:val="0"/>
          <w:kern w:val="32"/>
          <w:szCs w:val="32"/>
        </w:rPr>
        <w:t>．公共环境卫生保洁，包括公共场所、房屋共用部位的日常保洁，垃圾分类管理，观赏水景的日常清理。</w:t>
      </w:r>
    </w:p>
    <w:p>
      <w:pPr>
        <w:spacing w:line="520" w:lineRule="exact"/>
        <w:ind w:firstLine="632" w:firstLineChars="200"/>
        <w:rPr>
          <w:rFonts w:ascii="仿宋_GB2312" w:hAnsi="宋体"/>
          <w:snapToGrid w:val="0"/>
          <w:kern w:val="32"/>
          <w:szCs w:val="32"/>
        </w:rPr>
      </w:pPr>
      <w:r>
        <w:rPr>
          <w:rFonts w:hint="eastAsia"/>
          <w:snapToGrid w:val="0"/>
          <w:kern w:val="32"/>
          <w:szCs w:val="32"/>
        </w:rPr>
        <w:t>6</w:t>
      </w:r>
      <w:r>
        <w:rPr>
          <w:rFonts w:hint="eastAsia" w:ascii="仿宋_GB2312" w:hAnsi="宋体"/>
          <w:snapToGrid w:val="0"/>
          <w:kern w:val="32"/>
          <w:szCs w:val="32"/>
        </w:rPr>
        <w:t>．协助维护园区公共秩序，包括门岗执勤、巡视、秩序监控、</w:t>
      </w:r>
      <w:r>
        <w:rPr>
          <w:rFonts w:hint="eastAsia"/>
          <w:snapToGrid w:val="0"/>
          <w:kern w:val="32"/>
          <w:szCs w:val="32"/>
        </w:rPr>
        <w:t>交通</w:t>
      </w:r>
      <w:r>
        <w:rPr>
          <w:rFonts w:hint="eastAsia" w:ascii="仿宋_GB2312" w:hAnsi="宋体"/>
          <w:snapToGrid w:val="0"/>
          <w:kern w:val="32"/>
          <w:szCs w:val="32"/>
        </w:rPr>
        <w:t>与车辆停放秩序管理。</w:t>
      </w:r>
    </w:p>
    <w:p>
      <w:pPr>
        <w:spacing w:line="520" w:lineRule="exact"/>
        <w:ind w:firstLine="632" w:firstLineChars="200"/>
        <w:rPr>
          <w:rFonts w:ascii="仿宋_GB2312" w:hAnsi="宋体"/>
          <w:snapToGrid w:val="0"/>
          <w:kern w:val="32"/>
          <w:szCs w:val="32"/>
        </w:rPr>
      </w:pPr>
      <w:r>
        <w:rPr>
          <w:rFonts w:hint="eastAsia"/>
          <w:snapToGrid w:val="0"/>
          <w:kern w:val="32"/>
          <w:szCs w:val="32"/>
        </w:rPr>
        <w:t>7</w:t>
      </w:r>
      <w:r>
        <w:rPr>
          <w:rFonts w:hint="eastAsia" w:ascii="仿宋_GB2312" w:hAnsi="宋体"/>
          <w:snapToGrid w:val="0"/>
          <w:kern w:val="32"/>
          <w:szCs w:val="32"/>
        </w:rPr>
        <w:t>．管理甲方移交的与物业相关的竣工总平面图，单体建筑、结构、设备竣工图，配套设施、地下管网工程竣工图等竣工验收资料，设施设备的安装、使用和维护保养等技术资料，物业质量保修文件和物业使用说明文件。</w:t>
      </w:r>
    </w:p>
    <w:p>
      <w:pPr>
        <w:spacing w:line="520" w:lineRule="exact"/>
        <w:ind w:firstLine="632" w:firstLineChars="200"/>
        <w:rPr>
          <w:rFonts w:ascii="仿宋_GB2312" w:hAnsi="宋体"/>
          <w:snapToGrid w:val="0"/>
          <w:kern w:val="32"/>
          <w:szCs w:val="32"/>
        </w:rPr>
      </w:pPr>
      <w:r>
        <w:rPr>
          <w:rFonts w:hint="eastAsia"/>
          <w:snapToGrid w:val="0"/>
          <w:kern w:val="32"/>
          <w:szCs w:val="32"/>
        </w:rPr>
        <w:t>8</w:t>
      </w:r>
      <w:r>
        <w:rPr>
          <w:rFonts w:hint="eastAsia" w:ascii="仿宋_GB2312" w:hAnsi="宋体"/>
          <w:snapToGrid w:val="0"/>
          <w:kern w:val="32"/>
          <w:szCs w:val="32"/>
        </w:rPr>
        <w:t>．协助组织开展社区文化娱乐活动。</w:t>
      </w:r>
    </w:p>
    <w:p>
      <w:pPr>
        <w:spacing w:line="520" w:lineRule="exact"/>
        <w:ind w:firstLine="632" w:firstLineChars="200"/>
        <w:rPr>
          <w:rFonts w:ascii="仿宋_GB2312" w:hAnsi="宋体"/>
          <w:snapToGrid w:val="0"/>
          <w:kern w:val="32"/>
          <w:szCs w:val="32"/>
        </w:rPr>
      </w:pPr>
      <w:r>
        <w:rPr>
          <w:rFonts w:hint="eastAsia"/>
          <w:snapToGrid w:val="0"/>
          <w:kern w:val="32"/>
          <w:szCs w:val="32"/>
        </w:rPr>
        <w:t>9</w:t>
      </w:r>
      <w:r>
        <w:rPr>
          <w:rFonts w:hint="eastAsia" w:ascii="仿宋_GB2312" w:hAnsi="宋体"/>
          <w:snapToGrid w:val="0"/>
          <w:kern w:val="32"/>
          <w:szCs w:val="32"/>
        </w:rPr>
        <w:t>．对业主和非业主使用人违反《临时管理规约》以及小区装修管理规定的行为，针对具体行为并根据情节轻重进行规劝、制止等措施，规劝、制止未果的，可向有关行政主管部门报告。</w:t>
      </w:r>
    </w:p>
    <w:p>
      <w:pPr>
        <w:spacing w:line="520" w:lineRule="exact"/>
        <w:ind w:firstLine="632" w:firstLineChars="200"/>
        <w:rPr>
          <w:rFonts w:ascii="仿宋_GB2312" w:hAnsi="宋体"/>
          <w:szCs w:val="32"/>
        </w:rPr>
      </w:pPr>
      <w:r>
        <w:rPr>
          <w:rFonts w:hint="eastAsia"/>
          <w:snapToGrid w:val="0"/>
          <w:kern w:val="32"/>
          <w:szCs w:val="32"/>
        </w:rPr>
        <w:t>10</w:t>
      </w:r>
      <w:r>
        <w:rPr>
          <w:rFonts w:hint="eastAsia" w:ascii="仿宋_GB2312" w:hAnsi="宋体"/>
          <w:szCs w:val="32"/>
        </w:rPr>
        <w:t>．业主和非业主使用人房屋自有部位、自用设备及设施的维修、养护，在当事人提出委托时，乙方在能力范围内接受委托，但由当事双方协商后另行收费。</w:t>
      </w:r>
    </w:p>
    <w:p>
      <w:pPr>
        <w:spacing w:line="520" w:lineRule="exact"/>
        <w:ind w:firstLine="632" w:firstLineChars="200"/>
        <w:rPr>
          <w:rFonts w:ascii="仿宋_GB2312" w:hAnsi="宋体"/>
          <w:szCs w:val="32"/>
        </w:rPr>
      </w:pPr>
      <w:r>
        <w:rPr>
          <w:rFonts w:hint="eastAsia" w:ascii="楷体_GB2312" w:hAnsi="宋体" w:eastAsia="楷体_GB2312"/>
          <w:b/>
          <w:bCs/>
          <w:snapToGrid w:val="0"/>
          <w:kern w:val="32"/>
          <w:szCs w:val="32"/>
        </w:rPr>
        <w:t xml:space="preserve">第五条 </w:t>
      </w:r>
      <w:r>
        <w:rPr>
          <w:rFonts w:hint="eastAsia" w:ascii="仿宋_GB2312" w:hAnsi="宋体"/>
          <w:b/>
          <w:szCs w:val="32"/>
        </w:rPr>
        <w:t xml:space="preserve"> </w:t>
      </w:r>
      <w:r>
        <w:rPr>
          <w:rFonts w:hint="eastAsia" w:ascii="仿宋_GB2312" w:hAnsi="宋体"/>
          <w:szCs w:val="32"/>
        </w:rPr>
        <w:t>按照“质价相符”原则，本合同服务标准应达到湖州市普通住宅小区物业服务等级标准</w:t>
      </w:r>
      <w:r>
        <w:rPr>
          <w:rFonts w:hint="eastAsia" w:ascii="仿宋_GB2312" w:hAnsi="宋体"/>
          <w:szCs w:val="32"/>
          <w:u w:val="single"/>
        </w:rPr>
        <w:t xml:space="preserve">     </w:t>
      </w:r>
      <w:r>
        <w:rPr>
          <w:rFonts w:hint="eastAsia" w:ascii="仿宋_GB2312" w:hAnsi="宋体"/>
          <w:szCs w:val="32"/>
        </w:rPr>
        <w:t>级服务等级。（物业服务具体内容与服务标准和生活垃圾分类服务标准见附件</w:t>
      </w:r>
      <w:r>
        <w:rPr>
          <w:szCs w:val="32"/>
        </w:rPr>
        <w:t>4）</w:t>
      </w:r>
      <w:r>
        <w:rPr>
          <w:rFonts w:hint="eastAsia" w:ascii="仿宋_GB2312" w:hAnsi="宋体"/>
          <w:szCs w:val="32"/>
        </w:rPr>
        <w:t>。</w:t>
      </w:r>
    </w:p>
    <w:p>
      <w:pPr>
        <w:spacing w:line="520" w:lineRule="exact"/>
        <w:ind w:firstLine="632" w:firstLineChars="200"/>
        <w:rPr>
          <w:rFonts w:ascii="仿宋_GB2312" w:hAnsi="宋体"/>
          <w:szCs w:val="32"/>
        </w:rPr>
      </w:pPr>
      <w:r>
        <w:rPr>
          <w:rFonts w:hint="eastAsia" w:ascii="仿宋_GB2312" w:hAnsi="宋体"/>
          <w:szCs w:val="32"/>
        </w:rPr>
        <w:t>乙方提供的其他附加服务内容与服务标准：</w:t>
      </w:r>
    </w:p>
    <w:p>
      <w:pPr>
        <w:spacing w:line="520" w:lineRule="exact"/>
        <w:ind w:firstLine="632" w:firstLineChars="200"/>
        <w:rPr>
          <w:rFonts w:ascii="仿宋_GB2312" w:hAnsi="宋体"/>
          <w:szCs w:val="32"/>
        </w:rPr>
      </w:pPr>
      <w:r>
        <w:rPr>
          <w:rFonts w:hint="eastAsia" w:ascii="仿宋_GB2312" w:hAnsi="宋体"/>
          <w:szCs w:val="32"/>
        </w:rPr>
        <w:t>（一）</w:t>
      </w:r>
      <w:r>
        <w:rPr>
          <w:rFonts w:hint="eastAsia" w:ascii="仿宋_GB2312" w:hAnsi="宋体"/>
          <w:szCs w:val="32"/>
          <w:u w:val="single"/>
        </w:rPr>
        <w:t xml:space="preserve">                                          </w:t>
      </w:r>
      <w:r>
        <w:rPr>
          <w:rFonts w:hint="eastAsia" w:ascii="仿宋_GB2312" w:hAnsi="宋体"/>
          <w:szCs w:val="32"/>
        </w:rPr>
        <w:t>；</w:t>
      </w:r>
    </w:p>
    <w:p>
      <w:pPr>
        <w:spacing w:line="520" w:lineRule="exact"/>
        <w:ind w:firstLine="632" w:firstLineChars="200"/>
        <w:rPr>
          <w:rFonts w:ascii="仿宋_GB2312" w:hAnsi="宋体"/>
          <w:szCs w:val="32"/>
        </w:rPr>
      </w:pPr>
      <w:r>
        <w:rPr>
          <w:rFonts w:hint="eastAsia" w:ascii="仿宋_GB2312" w:hAnsi="宋体"/>
          <w:szCs w:val="32"/>
        </w:rPr>
        <w:t>（二）</w:t>
      </w:r>
      <w:r>
        <w:rPr>
          <w:rFonts w:hint="eastAsia" w:ascii="仿宋_GB2312" w:hAnsi="宋体"/>
          <w:szCs w:val="32"/>
          <w:u w:val="single"/>
        </w:rPr>
        <w:t xml:space="preserve">                                          </w:t>
      </w:r>
      <w:r>
        <w:rPr>
          <w:rFonts w:hint="eastAsia" w:ascii="仿宋_GB2312" w:hAnsi="宋体"/>
          <w:szCs w:val="32"/>
        </w:rPr>
        <w:t>。</w:t>
      </w:r>
    </w:p>
    <w:p>
      <w:pPr>
        <w:spacing w:line="520" w:lineRule="exact"/>
        <w:ind w:firstLine="552" w:firstLineChars="200"/>
        <w:jc w:val="center"/>
        <w:rPr>
          <w:rFonts w:ascii="宋体" w:hAnsi="宋体" w:eastAsia="宋体"/>
          <w:b/>
          <w:sz w:val="28"/>
          <w:szCs w:val="28"/>
        </w:rPr>
      </w:pPr>
    </w:p>
    <w:p>
      <w:pPr>
        <w:spacing w:line="520" w:lineRule="exact"/>
        <w:jc w:val="center"/>
        <w:rPr>
          <w:rFonts w:ascii="黑体" w:hAnsi="黑体" w:eastAsia="黑体"/>
          <w:szCs w:val="32"/>
        </w:rPr>
      </w:pPr>
      <w:r>
        <w:rPr>
          <w:rFonts w:hint="eastAsia" w:ascii="黑体" w:hAnsi="黑体" w:eastAsia="黑体"/>
          <w:szCs w:val="32"/>
        </w:rPr>
        <w:t>第三章  物业服务等费用</w:t>
      </w:r>
    </w:p>
    <w:p>
      <w:pPr>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第六条</w:t>
      </w:r>
      <w:r>
        <w:rPr>
          <w:rFonts w:hint="eastAsia" w:ascii="仿宋_GB2312" w:hAnsi="宋体"/>
          <w:snapToGrid w:val="0"/>
          <w:kern w:val="32"/>
          <w:szCs w:val="32"/>
        </w:rPr>
        <w:t xml:space="preserve">  </w:t>
      </w:r>
      <w:r>
        <w:rPr>
          <w:rFonts w:hint="eastAsia" w:ascii="仿宋_GB2312" w:hAnsi="宋体"/>
          <w:snapToGrid w:val="0"/>
          <w:spacing w:val="-4"/>
          <w:kern w:val="32"/>
          <w:szCs w:val="32"/>
        </w:rPr>
        <w:t>本物业管理区域物业服务收费选择以下第</w:t>
      </w:r>
      <w:r>
        <w:rPr>
          <w:rFonts w:hint="eastAsia" w:ascii="仿宋_GB2312" w:hAnsi="宋体"/>
          <w:snapToGrid w:val="0"/>
          <w:spacing w:val="-4"/>
          <w:kern w:val="32"/>
          <w:szCs w:val="32"/>
          <w:u w:val="single"/>
        </w:rPr>
        <w:t xml:space="preserve">     </w:t>
      </w:r>
      <w:r>
        <w:rPr>
          <w:rFonts w:hint="eastAsia" w:ascii="仿宋_GB2312" w:hAnsi="宋体"/>
          <w:snapToGrid w:val="0"/>
          <w:spacing w:val="-4"/>
          <w:kern w:val="32"/>
          <w:szCs w:val="32"/>
        </w:rPr>
        <w:t>种方式：</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（一）包干制</w:t>
      </w:r>
    </w:p>
    <w:p>
      <w:pPr>
        <w:spacing w:line="520" w:lineRule="exact"/>
        <w:ind w:firstLine="632" w:firstLineChars="200"/>
        <w:rPr>
          <w:rFonts w:ascii="仿宋_GB2312" w:hAnsi="宋体"/>
          <w:snapToGrid w:val="0"/>
          <w:kern w:val="32"/>
          <w:szCs w:val="32"/>
        </w:rPr>
      </w:pPr>
      <w:r>
        <w:rPr>
          <w:rFonts w:hint="eastAsia" w:ascii="仿宋_GB2312" w:hAnsi="宋体"/>
          <w:kern w:val="32"/>
          <w:szCs w:val="32"/>
        </w:rPr>
        <mc:AlternateContent>
          <mc:Choice Requires="wps">
            <w:drawing>
              <wp:anchor distT="0" distB="0" distL="114300" distR="114300" simplePos="0" relativeHeight="251659264" behindDoc="0" locked="0" layoutInCell="1" allowOverlap="1">
                <wp:simplePos x="0" y="0"/>
                <wp:positionH relativeFrom="column">
                  <wp:posOffset>8001000</wp:posOffset>
                </wp:positionH>
                <wp:positionV relativeFrom="paragraph">
                  <wp:posOffset>589280</wp:posOffset>
                </wp:positionV>
                <wp:extent cx="114300" cy="198120"/>
                <wp:effectExtent l="0" t="0" r="0" b="3175"/>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300" cy="198120"/>
                        </a:xfrm>
                        <a:prstGeom prst="rect">
                          <a:avLst/>
                        </a:prstGeom>
                        <a:noFill/>
                        <a:ln>
                          <a:noFill/>
                        </a:ln>
                      </wps:spPr>
                      <wps:txbx>
                        <w:txbxContent>
                          <w:p>
                            <w:pPr>
                              <w:pStyle w:val="19"/>
                              <w:rPr>
                                <w:rStyle w:val="31"/>
                                <w:sz w:val="28"/>
                                <w:szCs w:val="28"/>
                              </w:rPr>
                            </w:pPr>
                            <w:r>
                              <w:rPr>
                                <w:rStyle w:val="31"/>
                                <w:sz w:val="28"/>
                                <w:szCs w:val="28"/>
                              </w:rPr>
                              <w:t>- 5 -</w:t>
                            </w:r>
                          </w:p>
                          <w:p>
                            <w:pPr>
                              <w:rPr>
                                <w:rFonts w:ascii="宋体" w:hAnsi="宋体"/>
                                <w:b/>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630pt;margin-top:46.4pt;height:15.6pt;width:9pt;z-index:251659264;mso-width-relative:page;mso-height-relative:page;" filled="f" stroked="f" coordsize="21600,21600" o:gfxdata="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FLle/XAAAADAEAAA8AAAAA&#10;AAAAAQAgAAAAIgAAAGRycy9kb3ducmV2LnhtbFBLAQIUABQAAAAIAIdO4kAPOZIiFQIAABQEAAAO&#10;AAAAAAAAAAEAIAAAACYBAABkcnMvZTJvRG9jLnhtbFBLBQYAAAAABgAGAFkBAACtBQAAAAA=&#10;">
                <v:fill on="f" focussize="0,0"/>
                <v:stroke on="f"/>
                <v:imagedata o:title=""/>
                <o:lock v:ext="edit" aspectratio="f"/>
                <v:textbox>
                  <w:txbxContent>
                    <w:p>
                      <w:pPr>
                        <w:pStyle w:val="19"/>
                        <w:rPr>
                          <w:rStyle w:val="31"/>
                          <w:sz w:val="28"/>
                          <w:szCs w:val="28"/>
                        </w:rPr>
                      </w:pPr>
                      <w:r>
                        <w:rPr>
                          <w:rStyle w:val="31"/>
                          <w:sz w:val="28"/>
                          <w:szCs w:val="28"/>
                        </w:rPr>
                        <w:t>- 5 -</w:t>
                      </w:r>
                    </w:p>
                    <w:p>
                      <w:pPr>
                        <w:rPr>
                          <w:rFonts w:ascii="宋体" w:hAnsi="宋体"/>
                          <w:b/>
                        </w:rPr>
                      </w:pPr>
                    </w:p>
                  </w:txbxContent>
                </v:textbox>
              </v:shape>
            </w:pict>
          </mc:Fallback>
        </mc:AlternateContent>
      </w:r>
      <w:r>
        <w:rPr>
          <w:rFonts w:hint="eastAsia" w:ascii="仿宋_GB2312" w:hAnsi="宋体"/>
          <w:snapToGrid w:val="0"/>
          <w:kern w:val="32"/>
          <w:szCs w:val="32"/>
        </w:rPr>
        <w:t>业主（非业主使用人）按照不动产登记簿记载的面积（尚未进行不动产登记的，按照测绘机构的实测面积；尚未进行实测的，按照房屋买卖合同记载的面积；没有房屋买卖合同的，按照建设工程规划许可证上载明的面积）向乙方支付固定物业服务费用，盈余或亏损均由乙方享有或承担的物业服务计费方式。</w:t>
      </w:r>
    </w:p>
    <w:p>
      <w:pPr>
        <w:spacing w:line="520" w:lineRule="exact"/>
        <w:ind w:firstLine="632"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．具体收费标准如下：</w:t>
      </w:r>
    </w:p>
    <w:tbl>
      <w:tblPr>
        <w:tblStyle w:val="2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17"/>
        <w:gridCol w:w="3260"/>
        <w:gridCol w:w="2578"/>
        <w:gridCol w:w="26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37" w:type="pct"/>
          </w:tcPr>
          <w:p>
            <w:pPr>
              <w:spacing w:line="460" w:lineRule="exact"/>
              <w:jc w:val="center"/>
              <w:rPr>
                <w:rFonts w:ascii="仿宋_GB2312" w:hAnsi="宋体"/>
                <w:snapToGrid w:val="0"/>
                <w:spacing w:val="-10"/>
                <w:kern w:val="32"/>
                <w:szCs w:val="32"/>
              </w:rPr>
            </w:pPr>
            <w:r>
              <w:rPr>
                <w:rFonts w:hint="eastAsia" w:ascii="仿宋_GB2312" w:hAnsi="宋体"/>
                <w:snapToGrid w:val="0"/>
                <w:spacing w:val="-10"/>
                <w:kern w:val="32"/>
                <w:szCs w:val="32"/>
              </w:rPr>
              <w:t>编号</w:t>
            </w:r>
          </w:p>
        </w:tc>
        <w:tc>
          <w:tcPr>
            <w:tcW w:w="1744"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物业类型</w:t>
            </w:r>
          </w:p>
        </w:tc>
        <w:tc>
          <w:tcPr>
            <w:tcW w:w="1379"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物业费标准</w:t>
            </w:r>
          </w:p>
        </w:tc>
        <w:tc>
          <w:tcPr>
            <w:tcW w:w="1439"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37"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1</w:t>
            </w:r>
          </w:p>
        </w:tc>
        <w:tc>
          <w:tcPr>
            <w:tcW w:w="1744"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多层住宅（不带电梯）</w:t>
            </w:r>
          </w:p>
        </w:tc>
        <w:tc>
          <w:tcPr>
            <w:tcW w:w="1379"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1439" w:type="pct"/>
          </w:tcPr>
          <w:p>
            <w:pPr>
              <w:spacing w:line="460" w:lineRule="exact"/>
              <w:jc w:val="center"/>
              <w:rPr>
                <w:rFonts w:ascii="仿宋_GB2312" w:hAnsi="宋体"/>
                <w:snapToGrid w:val="0"/>
                <w:kern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37"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2</w:t>
            </w:r>
          </w:p>
        </w:tc>
        <w:tc>
          <w:tcPr>
            <w:tcW w:w="1744"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多层住宅（带电梯）</w:t>
            </w:r>
          </w:p>
        </w:tc>
        <w:tc>
          <w:tcPr>
            <w:tcW w:w="1379"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1439" w:type="pct"/>
          </w:tcPr>
          <w:p>
            <w:pPr>
              <w:spacing w:line="460" w:lineRule="exact"/>
              <w:jc w:val="center"/>
              <w:rPr>
                <w:rFonts w:ascii="仿宋_GB2312" w:hAnsi="宋体"/>
                <w:snapToGrid w:val="0"/>
                <w:spacing w:val="-6"/>
                <w:kern w:val="32"/>
                <w:szCs w:val="32"/>
              </w:rPr>
            </w:pPr>
            <w:r>
              <w:rPr>
                <w:rFonts w:hint="eastAsia" w:ascii="仿宋_GB2312" w:hAnsi="宋体"/>
                <w:snapToGrid w:val="0"/>
                <w:spacing w:val="-6"/>
                <w:kern w:val="32"/>
                <w:szCs w:val="32"/>
              </w:rPr>
              <w:t>含或不含公共能耗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37"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3</w:t>
            </w:r>
          </w:p>
        </w:tc>
        <w:tc>
          <w:tcPr>
            <w:tcW w:w="1744"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高层住宅</w:t>
            </w:r>
          </w:p>
        </w:tc>
        <w:tc>
          <w:tcPr>
            <w:tcW w:w="1379"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1439" w:type="pct"/>
          </w:tcPr>
          <w:p>
            <w:pPr>
              <w:spacing w:line="460" w:lineRule="exact"/>
              <w:jc w:val="center"/>
              <w:rPr>
                <w:rFonts w:ascii="仿宋_GB2312" w:hAnsi="宋体"/>
                <w:snapToGrid w:val="0"/>
                <w:spacing w:val="-6"/>
                <w:kern w:val="32"/>
                <w:szCs w:val="32"/>
              </w:rPr>
            </w:pPr>
            <w:r>
              <w:rPr>
                <w:rFonts w:hint="eastAsia" w:ascii="仿宋_GB2312" w:hAnsi="宋体"/>
                <w:snapToGrid w:val="0"/>
                <w:spacing w:val="-6"/>
                <w:kern w:val="32"/>
                <w:szCs w:val="32"/>
              </w:rPr>
              <w:t>含或不含公共能耗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37"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4</w:t>
            </w:r>
          </w:p>
        </w:tc>
        <w:tc>
          <w:tcPr>
            <w:tcW w:w="1744"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排屋</w:t>
            </w:r>
          </w:p>
        </w:tc>
        <w:tc>
          <w:tcPr>
            <w:tcW w:w="1379"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1439" w:type="pct"/>
          </w:tcPr>
          <w:p>
            <w:pPr>
              <w:spacing w:line="460" w:lineRule="exact"/>
              <w:jc w:val="center"/>
              <w:rPr>
                <w:rFonts w:ascii="仿宋_GB2312" w:hAnsi="宋体"/>
                <w:snapToGrid w:val="0"/>
                <w:kern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37"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5</w:t>
            </w:r>
          </w:p>
        </w:tc>
        <w:tc>
          <w:tcPr>
            <w:tcW w:w="1744"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别墅</w:t>
            </w:r>
          </w:p>
        </w:tc>
        <w:tc>
          <w:tcPr>
            <w:tcW w:w="1379"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1439" w:type="pct"/>
          </w:tcPr>
          <w:p>
            <w:pPr>
              <w:spacing w:line="460" w:lineRule="exact"/>
              <w:jc w:val="center"/>
              <w:rPr>
                <w:rFonts w:ascii="仿宋_GB2312" w:hAnsi="宋体"/>
                <w:snapToGrid w:val="0"/>
                <w:kern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37"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6</w:t>
            </w:r>
          </w:p>
        </w:tc>
        <w:tc>
          <w:tcPr>
            <w:tcW w:w="1744"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办公楼</w:t>
            </w:r>
          </w:p>
        </w:tc>
        <w:tc>
          <w:tcPr>
            <w:tcW w:w="1379"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1439" w:type="pct"/>
          </w:tcPr>
          <w:p>
            <w:pPr>
              <w:spacing w:line="460" w:lineRule="exact"/>
              <w:jc w:val="center"/>
              <w:rPr>
                <w:rFonts w:ascii="仿宋_GB2312" w:hAnsi="宋体"/>
                <w:snapToGrid w:val="0"/>
                <w:kern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37"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7</w:t>
            </w:r>
          </w:p>
        </w:tc>
        <w:tc>
          <w:tcPr>
            <w:tcW w:w="1744"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商业</w:t>
            </w:r>
          </w:p>
        </w:tc>
        <w:tc>
          <w:tcPr>
            <w:tcW w:w="1379"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1439" w:type="pct"/>
          </w:tcPr>
          <w:p>
            <w:pPr>
              <w:spacing w:line="460" w:lineRule="exact"/>
              <w:jc w:val="center"/>
              <w:rPr>
                <w:rFonts w:ascii="仿宋_GB2312" w:hAnsi="宋体"/>
                <w:snapToGrid w:val="0"/>
                <w:kern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37"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8</w:t>
            </w:r>
          </w:p>
        </w:tc>
        <w:tc>
          <w:tcPr>
            <w:tcW w:w="1744"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配套教育、医疗等物业</w:t>
            </w:r>
          </w:p>
        </w:tc>
        <w:tc>
          <w:tcPr>
            <w:tcW w:w="1379"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1439" w:type="pct"/>
          </w:tcPr>
          <w:p>
            <w:pPr>
              <w:spacing w:line="460" w:lineRule="exact"/>
              <w:jc w:val="center"/>
              <w:rPr>
                <w:rFonts w:ascii="仿宋_GB2312" w:hAnsi="宋体"/>
                <w:snapToGrid w:val="0"/>
                <w:kern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37"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9</w:t>
            </w:r>
          </w:p>
        </w:tc>
        <w:tc>
          <w:tcPr>
            <w:tcW w:w="1744"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地下车位（库）</w:t>
            </w:r>
          </w:p>
        </w:tc>
        <w:tc>
          <w:tcPr>
            <w:tcW w:w="1379"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元/月·个</w:t>
            </w:r>
          </w:p>
        </w:tc>
        <w:tc>
          <w:tcPr>
            <w:tcW w:w="1439" w:type="pct"/>
          </w:tcPr>
          <w:p>
            <w:pPr>
              <w:spacing w:line="460" w:lineRule="exact"/>
              <w:jc w:val="center"/>
              <w:rPr>
                <w:rFonts w:ascii="仿宋_GB2312" w:hAnsi="宋体"/>
                <w:snapToGrid w:val="0"/>
                <w:kern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37"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10</w:t>
            </w:r>
          </w:p>
        </w:tc>
        <w:tc>
          <w:tcPr>
            <w:tcW w:w="1744" w:type="pct"/>
          </w:tcPr>
          <w:p>
            <w:pPr>
              <w:spacing w:line="460" w:lineRule="exact"/>
              <w:jc w:val="center"/>
              <w:rPr>
                <w:rFonts w:ascii="仿宋_GB2312" w:hAnsi="宋体"/>
                <w:snapToGrid w:val="0"/>
                <w:kern w:val="32"/>
                <w:szCs w:val="32"/>
              </w:rPr>
            </w:pPr>
            <w:r>
              <w:rPr>
                <w:rFonts w:hint="eastAsia" w:ascii="仿宋_GB2312" w:hAnsi="宋体"/>
                <w:snapToGrid w:val="0"/>
                <w:kern w:val="32"/>
                <w:szCs w:val="32"/>
              </w:rPr>
              <w:t>其他</w:t>
            </w:r>
          </w:p>
        </w:tc>
        <w:tc>
          <w:tcPr>
            <w:tcW w:w="1379" w:type="pct"/>
          </w:tcPr>
          <w:p>
            <w:pPr>
              <w:spacing w:line="460" w:lineRule="exact"/>
              <w:jc w:val="center"/>
              <w:rPr>
                <w:rFonts w:ascii="仿宋_GB2312" w:hAnsi="宋体"/>
                <w:snapToGrid w:val="0"/>
                <w:kern w:val="32"/>
                <w:szCs w:val="32"/>
              </w:rPr>
            </w:pPr>
          </w:p>
        </w:tc>
        <w:tc>
          <w:tcPr>
            <w:tcW w:w="1439" w:type="pct"/>
          </w:tcPr>
          <w:p>
            <w:pPr>
              <w:spacing w:line="460" w:lineRule="exact"/>
              <w:jc w:val="center"/>
              <w:rPr>
                <w:rFonts w:ascii="仿宋_GB2312" w:hAnsi="宋体"/>
                <w:snapToGrid w:val="0"/>
                <w:kern w:val="32"/>
                <w:szCs w:val="32"/>
              </w:rPr>
            </w:pPr>
          </w:p>
        </w:tc>
      </w:tr>
    </w:tbl>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注：（</w:t>
      </w:r>
      <w:r>
        <w:rPr>
          <w:rFonts w:hint="eastAsia"/>
          <w:snapToGrid w:val="0"/>
          <w:kern w:val="32"/>
          <w:szCs w:val="32"/>
        </w:rPr>
        <w:t>1</w:t>
      </w:r>
      <w:r>
        <w:rPr>
          <w:rFonts w:hint="eastAsia" w:ascii="仿宋_GB2312" w:hAnsi="宋体"/>
          <w:snapToGrid w:val="0"/>
          <w:kern w:val="32"/>
          <w:szCs w:val="32"/>
        </w:rPr>
        <w:t>）公共能耗指电梯、增压水泵等高能耗设备运行的能耗费。</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）以上为示例，具体根据项目实际情况填写。</w:t>
      </w:r>
    </w:p>
    <w:p>
      <w:pPr>
        <w:spacing w:line="520" w:lineRule="exact"/>
        <w:ind w:firstLine="632" w:firstLineChars="200"/>
        <w:rPr>
          <w:rFonts w:ascii="仿宋_GB2312" w:hAnsi="宋体"/>
          <w:snapToGrid w:val="0"/>
          <w:kern w:val="32"/>
          <w:szCs w:val="32"/>
        </w:rPr>
      </w:pPr>
      <w:r>
        <w:rPr>
          <w:rFonts w:hint="eastAsia"/>
          <w:snapToGrid w:val="0"/>
          <w:kern w:val="32"/>
          <w:szCs w:val="32"/>
        </w:rPr>
        <w:t>2．物业服务收费的构成包括物业服务成本、法定税费和乙</w:t>
      </w:r>
      <w:r>
        <w:rPr>
          <w:rFonts w:hint="eastAsia" w:ascii="仿宋_GB2312" w:hAnsi="宋体"/>
          <w:snapToGrid w:val="0"/>
          <w:kern w:val="32"/>
          <w:szCs w:val="32"/>
        </w:rPr>
        <w:t>方的利润，其中物业服务成本构成一般包括：</w:t>
      </w:r>
    </w:p>
    <w:p>
      <w:pPr>
        <w:spacing w:line="520" w:lineRule="exact"/>
        <w:ind w:firstLine="632"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）管理服务人员的工资、社会保险和按规定提取的福利费等；</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物业共用部位、共用设施设备的日常运行、维护费用；</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）物业管理区域清洁卫生、生活垃圾日常分类清运、绿化养护、秩序维护费用；</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4</w:t>
      </w:r>
      <w:r>
        <w:rPr>
          <w:rFonts w:hint="eastAsia" w:ascii="仿宋_GB2312" w:hAnsi="宋体"/>
          <w:snapToGrid w:val="0"/>
          <w:kern w:val="32"/>
          <w:szCs w:val="32"/>
        </w:rPr>
        <w:t>）办公费用；</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5</w:t>
      </w:r>
      <w:r>
        <w:rPr>
          <w:rFonts w:hint="eastAsia" w:ascii="仿宋_GB2312" w:hAnsi="宋体"/>
          <w:snapToGrid w:val="0"/>
          <w:kern w:val="32"/>
          <w:szCs w:val="32"/>
        </w:rPr>
        <w:t>）乙方实施管理必备的固定资产折旧；</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6</w:t>
      </w:r>
      <w:r>
        <w:rPr>
          <w:rFonts w:hint="eastAsia" w:ascii="仿宋_GB2312" w:hAnsi="宋体"/>
          <w:snapToGrid w:val="0"/>
          <w:kern w:val="32"/>
          <w:szCs w:val="32"/>
        </w:rPr>
        <w:t>）物业共用部位、共用设施设备及公众责任保险费用；</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7</w:t>
      </w:r>
      <w:r>
        <w:rPr>
          <w:rFonts w:hint="eastAsia" w:ascii="仿宋_GB2312" w:hAnsi="宋体"/>
          <w:snapToGrid w:val="0"/>
          <w:kern w:val="32"/>
          <w:szCs w:val="32"/>
        </w:rPr>
        <w:t>）其他：</w:t>
      </w:r>
      <w:r>
        <w:rPr>
          <w:rFonts w:hint="eastAsia" w:ascii="仿宋_GB2312" w:hAnsi="宋体"/>
          <w:snapToGrid w:val="0"/>
          <w:kern w:val="32"/>
          <w:szCs w:val="32"/>
          <w:u w:val="single"/>
        </w:rPr>
        <w:t>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（二）酬金制</w:t>
      </w:r>
    </w:p>
    <w:p>
      <w:pPr>
        <w:spacing w:line="520" w:lineRule="exact"/>
        <w:ind w:firstLine="632" w:firstLineChars="200"/>
        <w:rPr>
          <w:rFonts w:ascii="仿宋_GB2312" w:hAnsi="宋体"/>
          <w:snapToGrid w:val="0"/>
          <w:kern w:val="32"/>
          <w:szCs w:val="32"/>
        </w:rPr>
      </w:pPr>
      <w:r>
        <w:rPr>
          <w:rFonts w:hint="eastAsia" w:ascii="仿宋_GB2312" w:hAnsi="宋体"/>
          <w:kern w:val="32"/>
          <w:szCs w:val="32"/>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548640</wp:posOffset>
                </wp:positionV>
                <wp:extent cx="114300" cy="198120"/>
                <wp:effectExtent l="0" t="0" r="0" b="0"/>
                <wp:wrapNone/>
                <wp:docPr id="7"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300" cy="198120"/>
                        </a:xfrm>
                        <a:prstGeom prst="rect">
                          <a:avLst/>
                        </a:prstGeom>
                        <a:noFill/>
                        <a:ln>
                          <a:noFill/>
                        </a:ln>
                      </wps:spPr>
                      <wps:txbx>
                        <w:txbxContent>
                          <w:p>
                            <w:pPr>
                              <w:pStyle w:val="19"/>
                              <w:rPr>
                                <w:rStyle w:val="31"/>
                                <w:sz w:val="28"/>
                                <w:szCs w:val="28"/>
                              </w:rPr>
                            </w:pPr>
                            <w:r>
                              <w:rPr>
                                <w:rStyle w:val="31"/>
                                <w:sz w:val="28"/>
                                <w:szCs w:val="28"/>
                              </w:rPr>
                              <w:t>- 6 -</w:t>
                            </w:r>
                          </w:p>
                          <w:p>
                            <w:pPr>
                              <w:rPr>
                                <w:rFonts w:ascii="宋体" w:hAnsi="宋体"/>
                                <w:b/>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35pt;margin-top:43.2pt;height:15.6pt;width:9pt;z-index:251660288;mso-width-relative:page;mso-height-relative:page;" filled="f" stroked="f" coordsize="21600,21600" o:gfxdata="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SqPD9kAAAAMAQAADwAA&#10;AAAAAAABACAAAAAiAAAAZHJzL2Rvd25yZXYueG1sUEsBAhQAFAAAAAgAh07iQOGBwdwVAgAAFAQA&#10;AA4AAAAAAAAAAQAgAAAAKAEAAGRycy9lMm9Eb2MueG1sUEsFBgAAAAAGAAYAWQEAAK8FAAAAAA==&#10;">
                <v:fill on="f" focussize="0,0"/>
                <v:stroke on="f"/>
                <v:imagedata o:title=""/>
                <o:lock v:ext="edit" aspectratio="f"/>
                <v:textbox>
                  <w:txbxContent>
                    <w:p>
                      <w:pPr>
                        <w:pStyle w:val="19"/>
                        <w:rPr>
                          <w:rStyle w:val="31"/>
                          <w:sz w:val="28"/>
                          <w:szCs w:val="28"/>
                        </w:rPr>
                      </w:pPr>
                      <w:r>
                        <w:rPr>
                          <w:rStyle w:val="31"/>
                          <w:sz w:val="28"/>
                          <w:szCs w:val="28"/>
                        </w:rPr>
                        <w:t>- 6 -</w:t>
                      </w:r>
                    </w:p>
                    <w:p>
                      <w:pPr>
                        <w:rPr>
                          <w:rFonts w:ascii="宋体" w:hAnsi="宋体"/>
                          <w:b/>
                        </w:rPr>
                      </w:pPr>
                    </w:p>
                  </w:txbxContent>
                </v:textbox>
              </v:shape>
            </w:pict>
          </mc:Fallback>
        </mc:AlternateContent>
      </w:r>
      <w:r>
        <w:rPr>
          <w:rFonts w:hint="eastAsia" w:ascii="仿宋_GB2312" w:hAnsi="宋体"/>
          <w:snapToGrid w:val="0"/>
          <w:kern w:val="32"/>
          <w:szCs w:val="32"/>
        </w:rPr>
        <w:t>在预算的物业服务资金中按约定比例或者约定数额提取酬金支付给乙方，其余全部用于物业服务合同约定的支出，结余或不足均由业主享有或者承担的物业服务计费方式。</w:t>
      </w:r>
    </w:p>
    <w:p>
      <w:pPr>
        <w:spacing w:line="520" w:lineRule="exact"/>
        <w:ind w:firstLine="632"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．具体预收标准如下：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260"/>
        <w:gridCol w:w="2578"/>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817" w:type="dxa"/>
            <w:vAlign w:val="center"/>
          </w:tcPr>
          <w:p>
            <w:pPr>
              <w:spacing w:line="460" w:lineRule="exact"/>
              <w:jc w:val="center"/>
              <w:rPr>
                <w:rFonts w:ascii="仿宋_GB2312" w:hAnsi="宋体"/>
                <w:snapToGrid w:val="0"/>
                <w:spacing w:val="-10"/>
                <w:kern w:val="32"/>
                <w:szCs w:val="32"/>
              </w:rPr>
            </w:pPr>
            <w:r>
              <w:rPr>
                <w:rFonts w:hint="eastAsia" w:ascii="仿宋_GB2312" w:hAnsi="宋体"/>
                <w:snapToGrid w:val="0"/>
                <w:spacing w:val="-10"/>
                <w:kern w:val="32"/>
                <w:szCs w:val="32"/>
              </w:rPr>
              <w:t>编号</w:t>
            </w:r>
          </w:p>
        </w:tc>
        <w:tc>
          <w:tcPr>
            <w:tcW w:w="326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物业类型</w:t>
            </w:r>
          </w:p>
        </w:tc>
        <w:tc>
          <w:tcPr>
            <w:tcW w:w="2578"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物业费标准</w:t>
            </w:r>
          </w:p>
        </w:tc>
        <w:tc>
          <w:tcPr>
            <w:tcW w:w="269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1</w:t>
            </w:r>
          </w:p>
        </w:tc>
        <w:tc>
          <w:tcPr>
            <w:tcW w:w="326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多层住宅（不带电梯）</w:t>
            </w:r>
          </w:p>
        </w:tc>
        <w:tc>
          <w:tcPr>
            <w:tcW w:w="2578"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2690" w:type="dxa"/>
            <w:vAlign w:val="center"/>
          </w:tcPr>
          <w:p>
            <w:pPr>
              <w:spacing w:line="460" w:lineRule="exact"/>
              <w:jc w:val="center"/>
              <w:rPr>
                <w:rFonts w:ascii="仿宋_GB2312" w:hAnsi="宋体"/>
                <w:snapToGrid w:val="0"/>
                <w:kern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2</w:t>
            </w:r>
          </w:p>
        </w:tc>
        <w:tc>
          <w:tcPr>
            <w:tcW w:w="326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多层住宅（带电梯）</w:t>
            </w:r>
          </w:p>
        </w:tc>
        <w:tc>
          <w:tcPr>
            <w:tcW w:w="2578"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2690" w:type="dxa"/>
            <w:vAlign w:val="center"/>
          </w:tcPr>
          <w:p>
            <w:pPr>
              <w:spacing w:line="460" w:lineRule="exact"/>
              <w:jc w:val="center"/>
              <w:rPr>
                <w:rFonts w:ascii="仿宋_GB2312" w:hAnsi="宋体"/>
                <w:snapToGrid w:val="0"/>
                <w:spacing w:val="-6"/>
                <w:kern w:val="32"/>
                <w:szCs w:val="32"/>
              </w:rPr>
            </w:pPr>
            <w:r>
              <w:rPr>
                <w:rFonts w:hint="eastAsia" w:ascii="仿宋_GB2312" w:hAnsi="宋体"/>
                <w:snapToGrid w:val="0"/>
                <w:spacing w:val="-6"/>
                <w:kern w:val="32"/>
                <w:szCs w:val="32"/>
              </w:rPr>
              <w:t>含或不含公共能耗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3</w:t>
            </w:r>
          </w:p>
        </w:tc>
        <w:tc>
          <w:tcPr>
            <w:tcW w:w="326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高层住宅</w:t>
            </w:r>
          </w:p>
        </w:tc>
        <w:tc>
          <w:tcPr>
            <w:tcW w:w="2578"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2690" w:type="dxa"/>
            <w:vAlign w:val="center"/>
          </w:tcPr>
          <w:p>
            <w:pPr>
              <w:spacing w:line="460" w:lineRule="exact"/>
              <w:jc w:val="center"/>
              <w:rPr>
                <w:rFonts w:ascii="仿宋_GB2312" w:hAnsi="宋体"/>
                <w:snapToGrid w:val="0"/>
                <w:spacing w:val="-6"/>
                <w:kern w:val="32"/>
                <w:szCs w:val="32"/>
              </w:rPr>
            </w:pPr>
            <w:r>
              <w:rPr>
                <w:rFonts w:hint="eastAsia" w:ascii="仿宋_GB2312" w:hAnsi="宋体"/>
                <w:snapToGrid w:val="0"/>
                <w:spacing w:val="-6"/>
                <w:kern w:val="32"/>
                <w:szCs w:val="32"/>
              </w:rPr>
              <w:t>含或不含公共能耗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4</w:t>
            </w:r>
          </w:p>
        </w:tc>
        <w:tc>
          <w:tcPr>
            <w:tcW w:w="326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排屋</w:t>
            </w:r>
          </w:p>
        </w:tc>
        <w:tc>
          <w:tcPr>
            <w:tcW w:w="2578"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2690" w:type="dxa"/>
            <w:vAlign w:val="center"/>
          </w:tcPr>
          <w:p>
            <w:pPr>
              <w:spacing w:line="460" w:lineRule="exact"/>
              <w:jc w:val="center"/>
              <w:rPr>
                <w:rFonts w:ascii="仿宋_GB2312" w:hAnsi="宋体"/>
                <w:snapToGrid w:val="0"/>
                <w:kern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5</w:t>
            </w:r>
          </w:p>
        </w:tc>
        <w:tc>
          <w:tcPr>
            <w:tcW w:w="326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别墅</w:t>
            </w:r>
          </w:p>
        </w:tc>
        <w:tc>
          <w:tcPr>
            <w:tcW w:w="2578"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2690" w:type="dxa"/>
            <w:vAlign w:val="center"/>
          </w:tcPr>
          <w:p>
            <w:pPr>
              <w:spacing w:line="460" w:lineRule="exact"/>
              <w:jc w:val="center"/>
              <w:rPr>
                <w:rFonts w:ascii="仿宋_GB2312" w:hAnsi="宋体"/>
                <w:snapToGrid w:val="0"/>
                <w:kern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6</w:t>
            </w:r>
          </w:p>
        </w:tc>
        <w:tc>
          <w:tcPr>
            <w:tcW w:w="326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办公楼</w:t>
            </w:r>
          </w:p>
        </w:tc>
        <w:tc>
          <w:tcPr>
            <w:tcW w:w="2578"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2690" w:type="dxa"/>
            <w:vAlign w:val="center"/>
          </w:tcPr>
          <w:p>
            <w:pPr>
              <w:spacing w:line="460" w:lineRule="exact"/>
              <w:jc w:val="center"/>
              <w:rPr>
                <w:rFonts w:ascii="仿宋_GB2312" w:hAnsi="宋体"/>
                <w:snapToGrid w:val="0"/>
                <w:kern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7</w:t>
            </w:r>
          </w:p>
        </w:tc>
        <w:tc>
          <w:tcPr>
            <w:tcW w:w="326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商业</w:t>
            </w:r>
          </w:p>
        </w:tc>
        <w:tc>
          <w:tcPr>
            <w:tcW w:w="2578"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2690" w:type="dxa"/>
            <w:vAlign w:val="center"/>
          </w:tcPr>
          <w:p>
            <w:pPr>
              <w:spacing w:line="460" w:lineRule="exact"/>
              <w:jc w:val="center"/>
              <w:rPr>
                <w:rFonts w:ascii="仿宋_GB2312" w:hAnsi="宋体"/>
                <w:snapToGrid w:val="0"/>
                <w:kern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8</w:t>
            </w:r>
          </w:p>
        </w:tc>
        <w:tc>
          <w:tcPr>
            <w:tcW w:w="326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配套教育、医疗等物业</w:t>
            </w:r>
          </w:p>
        </w:tc>
        <w:tc>
          <w:tcPr>
            <w:tcW w:w="2578"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元/月·平方米</w:t>
            </w:r>
          </w:p>
        </w:tc>
        <w:tc>
          <w:tcPr>
            <w:tcW w:w="2690" w:type="dxa"/>
            <w:vAlign w:val="center"/>
          </w:tcPr>
          <w:p>
            <w:pPr>
              <w:spacing w:line="460" w:lineRule="exact"/>
              <w:jc w:val="center"/>
              <w:rPr>
                <w:rFonts w:ascii="仿宋_GB2312" w:hAnsi="宋体"/>
                <w:snapToGrid w:val="0"/>
                <w:kern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9</w:t>
            </w:r>
          </w:p>
        </w:tc>
        <w:tc>
          <w:tcPr>
            <w:tcW w:w="326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地下车位（库）</w:t>
            </w:r>
          </w:p>
        </w:tc>
        <w:tc>
          <w:tcPr>
            <w:tcW w:w="2578"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元/月·个</w:t>
            </w:r>
          </w:p>
        </w:tc>
        <w:tc>
          <w:tcPr>
            <w:tcW w:w="2690" w:type="dxa"/>
            <w:vAlign w:val="center"/>
          </w:tcPr>
          <w:p>
            <w:pPr>
              <w:spacing w:line="460" w:lineRule="exact"/>
              <w:jc w:val="center"/>
              <w:rPr>
                <w:rFonts w:ascii="仿宋_GB2312" w:hAnsi="宋体"/>
                <w:snapToGrid w:val="0"/>
                <w:kern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10</w:t>
            </w:r>
          </w:p>
        </w:tc>
        <w:tc>
          <w:tcPr>
            <w:tcW w:w="3260" w:type="dxa"/>
            <w:vAlign w:val="center"/>
          </w:tcPr>
          <w:p>
            <w:pPr>
              <w:spacing w:line="460" w:lineRule="exact"/>
              <w:jc w:val="center"/>
              <w:rPr>
                <w:rFonts w:ascii="仿宋_GB2312" w:hAnsi="宋体"/>
                <w:snapToGrid w:val="0"/>
                <w:kern w:val="32"/>
                <w:szCs w:val="32"/>
              </w:rPr>
            </w:pPr>
            <w:r>
              <w:rPr>
                <w:rFonts w:hint="eastAsia" w:ascii="仿宋_GB2312" w:hAnsi="宋体"/>
                <w:snapToGrid w:val="0"/>
                <w:kern w:val="32"/>
                <w:szCs w:val="32"/>
              </w:rPr>
              <w:t>其他</w:t>
            </w:r>
          </w:p>
        </w:tc>
        <w:tc>
          <w:tcPr>
            <w:tcW w:w="2578" w:type="dxa"/>
            <w:vAlign w:val="center"/>
          </w:tcPr>
          <w:p>
            <w:pPr>
              <w:spacing w:line="460" w:lineRule="exact"/>
              <w:jc w:val="center"/>
              <w:rPr>
                <w:rFonts w:ascii="仿宋_GB2312" w:hAnsi="宋体"/>
                <w:snapToGrid w:val="0"/>
                <w:kern w:val="32"/>
                <w:szCs w:val="32"/>
              </w:rPr>
            </w:pPr>
          </w:p>
        </w:tc>
        <w:tc>
          <w:tcPr>
            <w:tcW w:w="2690" w:type="dxa"/>
            <w:vAlign w:val="center"/>
          </w:tcPr>
          <w:p>
            <w:pPr>
              <w:spacing w:line="460" w:lineRule="exact"/>
              <w:jc w:val="center"/>
              <w:rPr>
                <w:rFonts w:ascii="仿宋_GB2312" w:hAnsi="宋体"/>
                <w:snapToGrid w:val="0"/>
                <w:kern w:val="32"/>
                <w:szCs w:val="32"/>
              </w:rPr>
            </w:pPr>
          </w:p>
        </w:tc>
      </w:tr>
    </w:tbl>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注：（</w:t>
      </w:r>
      <w:r>
        <w:rPr>
          <w:rFonts w:hint="eastAsia"/>
          <w:snapToGrid w:val="0"/>
          <w:kern w:val="32"/>
          <w:szCs w:val="32"/>
        </w:rPr>
        <w:t>1</w:t>
      </w:r>
      <w:r>
        <w:rPr>
          <w:rFonts w:hint="eastAsia" w:ascii="仿宋_GB2312" w:hAnsi="宋体"/>
          <w:snapToGrid w:val="0"/>
          <w:kern w:val="32"/>
          <w:szCs w:val="32"/>
        </w:rPr>
        <w:t>）公共能耗指电梯、增压水泵等高能耗设备运行的能耗费。</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）以上为示例，具体根据项目实际情况填写。</w:t>
      </w:r>
    </w:p>
    <w:p>
      <w:pPr>
        <w:spacing w:line="520" w:lineRule="exact"/>
        <w:ind w:firstLine="632"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物业服务资金包括物业服务支出和物业服务企业的酬金。其中物业服务支出构成一般包括：</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）管理服务人员的工资、社会保险和按规定提取的福利费等；</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）物业共用部位、共用设施设备的日常运行、维护费用；</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）物业管理区域清洁卫生、生活垃圾日常分类清运、绿化养护、秩序维护费用；</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4</w:t>
      </w:r>
      <w:r>
        <w:rPr>
          <w:rFonts w:hint="eastAsia" w:ascii="仿宋_GB2312" w:hAnsi="宋体"/>
          <w:snapToGrid w:val="0"/>
          <w:kern w:val="32"/>
          <w:szCs w:val="32"/>
        </w:rPr>
        <w:t>）办公费用；</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5</w:t>
      </w:r>
      <w:r>
        <w:rPr>
          <w:rFonts w:hint="eastAsia" w:ascii="仿宋_GB2312" w:hAnsi="宋体"/>
          <w:snapToGrid w:val="0"/>
          <w:kern w:val="32"/>
          <w:szCs w:val="32"/>
        </w:rPr>
        <w:t>）乙方实施管理必备的固定资产折旧；</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6</w:t>
      </w:r>
      <w:r>
        <w:rPr>
          <w:rFonts w:hint="eastAsia" w:ascii="仿宋_GB2312" w:hAnsi="宋体"/>
          <w:snapToGrid w:val="0"/>
          <w:kern w:val="32"/>
          <w:szCs w:val="32"/>
        </w:rPr>
        <w:t>）物业共用部位、共用设施设备及公众责任保险费用；</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7</w:t>
      </w:r>
      <w:r>
        <w:rPr>
          <w:rFonts w:hint="eastAsia" w:ascii="仿宋_GB2312" w:hAnsi="宋体"/>
          <w:snapToGrid w:val="0"/>
          <w:kern w:val="32"/>
          <w:szCs w:val="32"/>
        </w:rPr>
        <w:t>）法定税费；</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8</w:t>
      </w:r>
      <w:r>
        <w:rPr>
          <w:rFonts w:hint="eastAsia" w:ascii="仿宋_GB2312" w:hAnsi="宋体"/>
          <w:snapToGrid w:val="0"/>
          <w:kern w:val="32"/>
          <w:szCs w:val="32"/>
        </w:rPr>
        <w:t>）其他 ：</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乙方应当于每年</w:t>
      </w:r>
      <w:r>
        <w:rPr>
          <w:rFonts w:hint="eastAsia" w:ascii="仿宋_GB2312" w:hAnsi="宋体"/>
          <w:snapToGrid w:val="0"/>
          <w:kern w:val="32"/>
          <w:szCs w:val="32"/>
          <w:u w:val="single"/>
        </w:rPr>
        <w:t xml:space="preserve">         </w:t>
      </w:r>
      <w:r>
        <w:rPr>
          <w:rFonts w:hint="eastAsia" w:ascii="仿宋_GB2312" w:hAnsi="宋体"/>
          <w:snapToGrid w:val="0"/>
          <w:kern w:val="32"/>
          <w:szCs w:val="32"/>
        </w:rPr>
        <w:t>（具体时间）公布物业服务资金的收支情况。</w:t>
      </w:r>
    </w:p>
    <w:p>
      <w:pPr>
        <w:spacing w:line="520" w:lineRule="exact"/>
        <w:ind w:firstLine="632" w:firstLineChars="200"/>
        <w:rPr>
          <w:rFonts w:ascii="仿宋_GB2312" w:hAnsi="宋体"/>
          <w:snapToGrid w:val="0"/>
          <w:kern w:val="32"/>
          <w:szCs w:val="32"/>
        </w:rPr>
      </w:pPr>
      <w:r>
        <w:rPr>
          <w:rFonts w:hint="eastAsia"/>
          <w:snapToGrid w:val="0"/>
          <w:kern w:val="32"/>
          <w:szCs w:val="32"/>
        </w:rPr>
        <w:t>3</w:t>
      </w:r>
      <w:r>
        <w:rPr>
          <w:rFonts w:hint="eastAsia" w:ascii="仿宋_GB2312" w:hAnsi="宋体"/>
          <w:snapToGrid w:val="0"/>
          <w:kern w:val="32"/>
          <w:szCs w:val="32"/>
        </w:rPr>
        <w:t>．乙方的酬金</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乙</w:t>
      </w:r>
      <w:r>
        <w:rPr>
          <w:rFonts w:hint="eastAsia"/>
          <w:snapToGrid w:val="0"/>
          <w:kern w:val="32"/>
          <w:szCs w:val="32"/>
        </w:rPr>
        <w:t>方</w:t>
      </w:r>
      <w:r>
        <w:rPr>
          <w:rFonts w:hint="eastAsia" w:ascii="仿宋_GB2312" w:hAnsi="宋体"/>
          <w:snapToGrid w:val="0"/>
          <w:kern w:val="32"/>
          <w:szCs w:val="32"/>
        </w:rPr>
        <w:t>采取以下第</w:t>
      </w:r>
      <w:r>
        <w:rPr>
          <w:rFonts w:hint="eastAsia" w:ascii="仿宋_GB2312" w:hAnsi="宋体"/>
          <w:snapToGrid w:val="0"/>
          <w:kern w:val="32"/>
          <w:szCs w:val="32"/>
          <w:u w:val="single"/>
        </w:rPr>
        <w:t xml:space="preserve">     </w:t>
      </w:r>
      <w:r>
        <w:rPr>
          <w:rFonts w:hint="eastAsia" w:ascii="仿宋_GB2312" w:hAnsi="宋体"/>
          <w:snapToGrid w:val="0"/>
          <w:kern w:val="32"/>
          <w:szCs w:val="32"/>
        </w:rPr>
        <w:t>种方式提取酬金：</w:t>
      </w:r>
    </w:p>
    <w:p>
      <w:pPr>
        <w:numPr>
          <w:ilvl w:val="0"/>
          <w:numId w:val="1"/>
        </w:numPr>
        <w:spacing w:line="520" w:lineRule="exact"/>
        <w:ind w:firstLine="632" w:firstLineChars="200"/>
        <w:rPr>
          <w:rFonts w:ascii="仿宋_GB2312" w:hAnsi="宋体"/>
          <w:snapToGrid w:val="0"/>
          <w:kern w:val="32"/>
          <w:szCs w:val="32"/>
          <w:u w:val="single"/>
        </w:rPr>
      </w:pPr>
      <w:r>
        <w:rPr>
          <w:rFonts w:hint="eastAsia" w:ascii="仿宋_GB2312" w:hAnsi="宋体"/>
          <w:snapToGrid w:val="0"/>
          <w:kern w:val="32"/>
          <w:szCs w:val="32"/>
        </w:rPr>
        <w:t>乙方按</w:t>
      </w:r>
      <w:r>
        <w:rPr>
          <w:rFonts w:hint="eastAsia" w:ascii="仿宋_GB2312" w:hAnsi="宋体"/>
          <w:snapToGrid w:val="0"/>
          <w:kern w:val="32"/>
          <w:szCs w:val="32"/>
          <w:u w:val="single"/>
        </w:rPr>
        <w:t xml:space="preserve">      </w:t>
      </w:r>
      <w:r>
        <w:rPr>
          <w:rFonts w:hint="eastAsia" w:ascii="仿宋_GB2312" w:hAnsi="宋体"/>
          <w:snapToGrid w:val="0"/>
          <w:kern w:val="32"/>
          <w:szCs w:val="32"/>
        </w:rPr>
        <w:t>（每月、每季、每年）</w:t>
      </w:r>
      <w:r>
        <w:rPr>
          <w:rFonts w:hint="eastAsia" w:ascii="仿宋_GB2312" w:hAnsi="宋体"/>
          <w:snapToGrid w:val="0"/>
          <w:kern w:val="32"/>
          <w:szCs w:val="32"/>
          <w:u w:val="single"/>
        </w:rPr>
        <w:t xml:space="preserve">       </w:t>
      </w:r>
      <w:r>
        <w:rPr>
          <w:rFonts w:hint="eastAsia" w:ascii="仿宋_GB2312" w:hAnsi="宋体"/>
          <w:snapToGrid w:val="0"/>
          <w:kern w:val="32"/>
          <w:szCs w:val="32"/>
        </w:rPr>
        <w:t>元的标准从预收的物业服务资金中提取；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u w:val="single"/>
        </w:rPr>
      </w:pPr>
      <w:r>
        <w:rPr>
          <w:rFonts w:hint="eastAsia" w:ascii="仿宋_GB2312" w:hAnsi="宋体" w:cs="仿宋"/>
          <w:snapToGrid w:val="0"/>
          <w:kern w:val="32"/>
          <w:szCs w:val="32"/>
        </w:rPr>
        <w:t>（</w:t>
      </w:r>
      <w:r>
        <w:rPr>
          <w:rFonts w:hint="eastAsia"/>
          <w:snapToGrid w:val="0"/>
          <w:kern w:val="32"/>
          <w:szCs w:val="32"/>
        </w:rPr>
        <w:t>2</w:t>
      </w:r>
      <w:r>
        <w:rPr>
          <w:rFonts w:hint="eastAsia" w:ascii="仿宋_GB2312" w:hAnsi="宋体" w:cs="仿宋"/>
          <w:snapToGrid w:val="0"/>
          <w:kern w:val="32"/>
          <w:szCs w:val="32"/>
        </w:rPr>
        <w:t>）</w:t>
      </w:r>
      <w:r>
        <w:rPr>
          <w:rFonts w:hint="eastAsia" w:ascii="仿宋_GB2312" w:hAnsi="宋体"/>
          <w:snapToGrid w:val="0"/>
          <w:kern w:val="32"/>
          <w:szCs w:val="32"/>
        </w:rPr>
        <w:t>乙方</w:t>
      </w:r>
      <w:r>
        <w:rPr>
          <w:rFonts w:hint="eastAsia" w:ascii="仿宋_GB2312" w:hAnsi="宋体"/>
          <w:snapToGrid w:val="0"/>
          <w:kern w:val="32"/>
          <w:szCs w:val="32"/>
          <w:u w:val="single"/>
        </w:rPr>
        <w:t xml:space="preserve">     </w:t>
      </w:r>
      <w:r>
        <w:rPr>
          <w:rFonts w:hint="eastAsia" w:ascii="仿宋_GB2312" w:hAnsi="宋体"/>
          <w:snapToGrid w:val="0"/>
          <w:kern w:val="32"/>
          <w:szCs w:val="32"/>
        </w:rPr>
        <w:t>（每月、每季、每年）按应收的物业服务资金</w:t>
      </w:r>
      <w:r>
        <w:rPr>
          <w:rFonts w:hint="eastAsia" w:ascii="仿宋_GB2312" w:hAnsi="宋体"/>
          <w:snapToGrid w:val="0"/>
          <w:kern w:val="32"/>
          <w:szCs w:val="32"/>
          <w:u w:val="single"/>
        </w:rPr>
        <w:t xml:space="preserve">       </w:t>
      </w:r>
      <w:r>
        <w:rPr>
          <w:rFonts w:hint="eastAsia" w:ascii="仿宋_GB2312" w:hAnsi="宋体"/>
          <w:snapToGrid w:val="0"/>
          <w:kern w:val="32"/>
          <w:szCs w:val="32"/>
        </w:rPr>
        <w:t>%的比例提取。</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w:t>
      </w:r>
      <w:r>
        <w:rPr>
          <w:snapToGrid w:val="0"/>
          <w:kern w:val="32"/>
          <w:szCs w:val="32"/>
        </w:rPr>
        <w:t>3</w:t>
      </w:r>
      <w:r>
        <w:rPr>
          <w:rFonts w:hint="eastAsia" w:ascii="仿宋_GB2312" w:hAnsi="宋体"/>
          <w:snapToGrid w:val="0"/>
          <w:kern w:val="32"/>
          <w:szCs w:val="32"/>
        </w:rPr>
        <w:t>）其他：</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cs="宋体"/>
          <w:snapToGrid w:val="0"/>
          <w:kern w:val="32"/>
          <w:szCs w:val="32"/>
        </w:rPr>
      </w:pPr>
      <w:r>
        <w:rPr>
          <w:rFonts w:hint="eastAsia"/>
          <w:snapToGrid w:val="0"/>
          <w:kern w:val="32"/>
          <w:szCs w:val="32"/>
        </w:rPr>
        <w:t>4</w:t>
      </w:r>
      <w:r>
        <w:rPr>
          <w:rFonts w:hint="eastAsia" w:ascii="仿宋_GB2312" w:hAnsi="宋体"/>
          <w:snapToGrid w:val="0"/>
          <w:kern w:val="32"/>
          <w:szCs w:val="32"/>
        </w:rPr>
        <w:t>．</w:t>
      </w:r>
      <w:r>
        <w:rPr>
          <w:rFonts w:hint="eastAsia" w:ascii="仿宋_GB2312" w:hAnsi="宋体" w:cs="宋体"/>
          <w:snapToGrid w:val="0"/>
          <w:kern w:val="32"/>
          <w:szCs w:val="32"/>
        </w:rPr>
        <w:t>物业服务费结余或不足的处理方式：</w:t>
      </w:r>
    </w:p>
    <w:p>
      <w:pPr>
        <w:spacing w:line="52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年度结算结余部分，按以下第</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rPr>
        <w:t>种方式处理：</w:t>
      </w:r>
    </w:p>
    <w:p>
      <w:pPr>
        <w:spacing w:line="52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w:t>
      </w:r>
      <w:r>
        <w:rPr>
          <w:rFonts w:hint="eastAsia"/>
          <w:snapToGrid w:val="0"/>
          <w:kern w:val="32"/>
          <w:szCs w:val="32"/>
        </w:rPr>
        <w:t>1</w:t>
      </w:r>
      <w:r>
        <w:rPr>
          <w:rFonts w:hint="eastAsia" w:ascii="仿宋_GB2312" w:hAnsi="宋体" w:cs="宋体"/>
          <w:snapToGrid w:val="0"/>
          <w:kern w:val="32"/>
          <w:szCs w:val="32"/>
        </w:rPr>
        <w:t>）转入下一年度继续使用；</w:t>
      </w:r>
    </w:p>
    <w:p>
      <w:pPr>
        <w:spacing w:line="52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w:t>
      </w:r>
      <w:r>
        <w:rPr>
          <w:rFonts w:hint="eastAsia"/>
          <w:snapToGrid w:val="0"/>
          <w:kern w:val="32"/>
          <w:szCs w:val="32"/>
        </w:rPr>
        <w:t>2</w:t>
      </w:r>
      <w:r>
        <w:rPr>
          <w:rFonts w:hint="eastAsia" w:ascii="仿宋_GB2312" w:hAnsi="宋体" w:cs="宋体"/>
          <w:snapToGrid w:val="0"/>
          <w:kern w:val="32"/>
          <w:szCs w:val="32"/>
        </w:rPr>
        <w:t>）直接纳入物业专项维修资金；</w:t>
      </w:r>
    </w:p>
    <w:p>
      <w:pPr>
        <w:spacing w:line="52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w:t>
      </w:r>
      <w:r>
        <w:rPr>
          <w:rFonts w:hint="eastAsia"/>
          <w:snapToGrid w:val="0"/>
          <w:kern w:val="32"/>
          <w:szCs w:val="32"/>
        </w:rPr>
        <w:t>3</w:t>
      </w:r>
      <w:r>
        <w:rPr>
          <w:rFonts w:hint="eastAsia" w:ascii="仿宋_GB2312" w:hAnsi="宋体" w:cs="宋体"/>
          <w:snapToGrid w:val="0"/>
          <w:kern w:val="32"/>
          <w:szCs w:val="32"/>
        </w:rPr>
        <w:t>）其他：</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rPr>
        <w:t>。</w:t>
      </w:r>
    </w:p>
    <w:p>
      <w:pPr>
        <w:spacing w:line="52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年度结算不足部分，按以下第</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rPr>
        <w:t>种方式处理：</w:t>
      </w:r>
    </w:p>
    <w:p>
      <w:pPr>
        <w:spacing w:line="52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w:t>
      </w:r>
      <w:r>
        <w:rPr>
          <w:rFonts w:hint="eastAsia"/>
          <w:snapToGrid w:val="0"/>
          <w:kern w:val="32"/>
          <w:szCs w:val="32"/>
        </w:rPr>
        <w:t>1</w:t>
      </w:r>
      <w:r>
        <w:rPr>
          <w:rFonts w:hint="eastAsia" w:ascii="仿宋_GB2312" w:hAnsi="宋体" w:cs="宋体"/>
          <w:snapToGrid w:val="0"/>
          <w:kern w:val="32"/>
          <w:szCs w:val="32"/>
        </w:rPr>
        <w:t>）由业主于次年第一个月底之前，按照其专有部分占建筑物总面积的比例追加补足；</w:t>
      </w:r>
    </w:p>
    <w:p>
      <w:pPr>
        <w:spacing w:line="520" w:lineRule="exact"/>
        <w:ind w:firstLine="632" w:firstLineChars="200"/>
        <w:rPr>
          <w:rFonts w:ascii="仿宋_GB2312" w:hAnsi="宋体"/>
          <w:snapToGrid w:val="0"/>
          <w:kern w:val="32"/>
          <w:szCs w:val="32"/>
        </w:rPr>
      </w:pPr>
      <w:r>
        <w:rPr>
          <w:rFonts w:hint="eastAsia" w:ascii="仿宋_GB2312" w:hAnsi="宋体" w:cs="宋体"/>
          <w:snapToGrid w:val="0"/>
          <w:kern w:val="32"/>
          <w:szCs w:val="32"/>
        </w:rPr>
        <w:t>（</w:t>
      </w:r>
      <w:r>
        <w:rPr>
          <w:rFonts w:hint="eastAsia"/>
          <w:snapToGrid w:val="0"/>
          <w:kern w:val="32"/>
          <w:szCs w:val="32"/>
        </w:rPr>
        <w:t>2</w:t>
      </w:r>
      <w:r>
        <w:rPr>
          <w:rFonts w:hint="eastAsia" w:ascii="仿宋_GB2312" w:hAnsi="宋体" w:cs="宋体"/>
          <w:snapToGrid w:val="0"/>
          <w:kern w:val="32"/>
          <w:szCs w:val="32"/>
        </w:rPr>
        <w:t>）其他：</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ascii="楷体_GB2312" w:hAnsi="宋体" w:eastAsia="楷体_GB2312"/>
          <w:b/>
          <w:bCs/>
          <w:snapToGrid w:val="0"/>
          <w:kern w:val="32"/>
          <w:szCs w:val="32"/>
        </w:rPr>
        <mc:AlternateContent>
          <mc:Choice Requires="wps">
            <w:drawing>
              <wp:anchor distT="0" distB="0" distL="114300" distR="114300" simplePos="0" relativeHeight="251661312" behindDoc="0" locked="0" layoutInCell="1" allowOverlap="1">
                <wp:simplePos x="0" y="0"/>
                <wp:positionH relativeFrom="column">
                  <wp:posOffset>8001000</wp:posOffset>
                </wp:positionH>
                <wp:positionV relativeFrom="paragraph">
                  <wp:posOffset>269240</wp:posOffset>
                </wp:positionV>
                <wp:extent cx="114300" cy="198120"/>
                <wp:effectExtent l="0" t="2540" r="0" b="0"/>
                <wp:wrapNone/>
                <wp:docPr id="6"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 cy="198120"/>
                        </a:xfrm>
                        <a:prstGeom prst="rect">
                          <a:avLst/>
                        </a:prstGeom>
                        <a:noFill/>
                        <a:ln>
                          <a:noFill/>
                        </a:ln>
                      </wps:spPr>
                      <wps:txbx>
                        <w:txbxContent>
                          <w:p>
                            <w:pPr>
                              <w:pStyle w:val="19"/>
                              <w:rPr>
                                <w:rStyle w:val="31"/>
                                <w:sz w:val="28"/>
                                <w:szCs w:val="28"/>
                              </w:rPr>
                            </w:pPr>
                            <w:r>
                              <w:rPr>
                                <w:rStyle w:val="31"/>
                                <w:sz w:val="28"/>
                                <w:szCs w:val="28"/>
                              </w:rPr>
                              <w:t>- 7 -</w:t>
                            </w:r>
                          </w:p>
                          <w:p>
                            <w:pPr>
                              <w:rPr>
                                <w:rFonts w:ascii="宋体" w:hAnsi="宋体"/>
                                <w:b/>
                              </w:rPr>
                            </w:pP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630pt;margin-top:21.2pt;height:15.6pt;width:9pt;z-index:251661312;mso-width-relative:page;mso-height-relative:page;" filled="f" stroked="f" coordsize="21600,21600" o:gfxdata="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CfJL2AAAAAsBAAAPAAAA&#10;AAAAAAEAIAAAACIAAABkcnMvZG93bnJldi54bWxQSwECFAAUAAAACACHTuJAsd2H6hUCAAAUBAAA&#10;DgAAAAAAAAABACAAAAAnAQAAZHJzL2Uyb0RvYy54bWxQSwUGAAAAAAYABgBZAQAArgUAAAAA&#10;">
                <v:fill on="f" focussize="0,0"/>
                <v:stroke on="f"/>
                <v:imagedata o:title=""/>
                <o:lock v:ext="edit" aspectratio="f"/>
                <v:textbox>
                  <w:txbxContent>
                    <w:p>
                      <w:pPr>
                        <w:pStyle w:val="19"/>
                        <w:rPr>
                          <w:rStyle w:val="31"/>
                          <w:sz w:val="28"/>
                          <w:szCs w:val="28"/>
                        </w:rPr>
                      </w:pPr>
                      <w:r>
                        <w:rPr>
                          <w:rStyle w:val="31"/>
                          <w:sz w:val="28"/>
                          <w:szCs w:val="28"/>
                        </w:rPr>
                        <w:t>- 7 -</w:t>
                      </w:r>
                    </w:p>
                    <w:p>
                      <w:pPr>
                        <w:rPr>
                          <w:rFonts w:ascii="宋体" w:hAnsi="宋体"/>
                          <w:b/>
                        </w:rPr>
                      </w:pPr>
                    </w:p>
                  </w:txbxContent>
                </v:textbox>
              </v:shape>
            </w:pict>
          </mc:Fallback>
        </mc:AlternateContent>
      </w:r>
      <w:r>
        <w:rPr>
          <w:rFonts w:ascii="楷体_GB2312" w:hAnsi="宋体" w:eastAsia="楷体_GB2312"/>
          <w:b/>
          <w:bCs/>
          <w:snapToGrid w:val="0"/>
          <w:kern w:val="32"/>
          <w:szCs w:val="32"/>
        </w:rPr>
        <mc:AlternateContent>
          <mc:Choice Requires="wps">
            <w:drawing>
              <wp:anchor distT="0" distB="0" distL="114300" distR="114300" simplePos="0" relativeHeight="251662336" behindDoc="0" locked="0" layoutInCell="1" allowOverlap="1">
                <wp:simplePos x="0" y="0"/>
                <wp:positionH relativeFrom="column">
                  <wp:posOffset>8001000</wp:posOffset>
                </wp:positionH>
                <wp:positionV relativeFrom="paragraph">
                  <wp:posOffset>269240</wp:posOffset>
                </wp:positionV>
                <wp:extent cx="114300" cy="198120"/>
                <wp:effectExtent l="0" t="2540" r="0" b="0"/>
                <wp:wrapNone/>
                <wp:docPr id="5"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300" cy="198120"/>
                        </a:xfrm>
                        <a:prstGeom prst="rect">
                          <a:avLst/>
                        </a:prstGeom>
                        <a:noFill/>
                        <a:ln>
                          <a:noFill/>
                        </a:ln>
                      </wps:spPr>
                      <wps:txbx>
                        <w:txbxContent>
                          <w:p>
                            <w:pPr>
                              <w:pStyle w:val="19"/>
                              <w:rPr>
                                <w:rStyle w:val="31"/>
                                <w:sz w:val="28"/>
                                <w:szCs w:val="28"/>
                              </w:rPr>
                            </w:pPr>
                            <w:r>
                              <w:rPr>
                                <w:rStyle w:val="31"/>
                                <w:sz w:val="28"/>
                                <w:szCs w:val="28"/>
                              </w:rPr>
                              <w:t>- 7 -</w:t>
                            </w:r>
                          </w:p>
                          <w:p>
                            <w:pPr>
                              <w:rPr>
                                <w:rFonts w:ascii="宋体" w:hAnsi="宋体"/>
                                <w:b/>
                              </w:rPr>
                            </w:pPr>
                          </w:p>
                        </w:txbxContent>
                      </wps:txbx>
                      <wps:bodyPr rot="0" vert="horz" wrap="square" lIns="91440" tIns="45720" rIns="91440" bIns="45720" anchor="t" anchorCtr="0" upright="1">
                        <a:noAutofit/>
                      </wps:bodyPr>
                    </wps:wsp>
                  </a:graphicData>
                </a:graphic>
              </wp:anchor>
            </w:drawing>
          </mc:Choice>
          <mc:Fallback>
            <w:pict>
              <v:shape id="文本框 9" o:spid="_x0000_s1026" o:spt="202" type="#_x0000_t202" style="position:absolute;left:0pt;margin-left:630pt;margin-top:21.2pt;height:15.6pt;width:9pt;z-index:251662336;mso-width-relative:page;mso-height-relative:page;" filled="f" stroked="f" coordsize="21600,21600" o:gfxdata="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CfJL2AAAAAsBAAAPAAAA&#10;AAAAAAEAIAAAACIAAABkcnMvZG93bnJldi54bWxQSwECFAAUAAAACACHTuJAFe4Y4RUCAAAUBAAA&#10;DgAAAAAAAAABACAAAAAnAQAAZHJzL2Uyb0RvYy54bWxQSwUGAAAAAAYABgBZAQAArgUAAAAA&#10;">
                <v:fill on="f" focussize="0,0"/>
                <v:stroke on="f"/>
                <v:imagedata o:title=""/>
                <o:lock v:ext="edit" aspectratio="f"/>
                <v:textbox>
                  <w:txbxContent>
                    <w:p>
                      <w:pPr>
                        <w:pStyle w:val="19"/>
                        <w:rPr>
                          <w:rStyle w:val="31"/>
                          <w:sz w:val="28"/>
                          <w:szCs w:val="28"/>
                        </w:rPr>
                      </w:pPr>
                      <w:r>
                        <w:rPr>
                          <w:rStyle w:val="31"/>
                          <w:sz w:val="28"/>
                          <w:szCs w:val="28"/>
                        </w:rPr>
                        <w:t>- 7 -</w:t>
                      </w:r>
                    </w:p>
                    <w:p>
                      <w:pPr>
                        <w:rPr>
                          <w:rFonts w:ascii="宋体" w:hAnsi="宋体"/>
                          <w:b/>
                        </w:rPr>
                      </w:pPr>
                    </w:p>
                  </w:txbxContent>
                </v:textbox>
              </v:shape>
            </w:pict>
          </mc:Fallback>
        </mc:AlternateContent>
      </w:r>
      <w:r>
        <w:rPr>
          <w:rFonts w:hint="eastAsia" w:ascii="楷体_GB2312" w:hAnsi="宋体" w:eastAsia="楷体_GB2312"/>
          <w:b/>
          <w:bCs/>
          <w:snapToGrid w:val="0"/>
          <w:kern w:val="32"/>
          <w:szCs w:val="32"/>
        </w:rPr>
        <w:t>第七条</w:t>
      </w:r>
      <w:r>
        <w:rPr>
          <w:rFonts w:hint="eastAsia" w:ascii="宋体" w:hAnsi="宋体" w:eastAsia="宋体"/>
          <w:b/>
          <w:snapToGrid w:val="0"/>
          <w:kern w:val="32"/>
          <w:sz w:val="28"/>
          <w:szCs w:val="28"/>
        </w:rPr>
        <w:t xml:space="preserve"> </w:t>
      </w:r>
      <w:r>
        <w:rPr>
          <w:rFonts w:hint="eastAsia" w:ascii="仿宋_GB2312" w:hAnsi="宋体"/>
          <w:b/>
          <w:snapToGrid w:val="0"/>
          <w:kern w:val="32"/>
          <w:szCs w:val="32"/>
        </w:rPr>
        <w:t xml:space="preserve"> </w:t>
      </w:r>
      <w:r>
        <w:rPr>
          <w:rFonts w:hint="eastAsia" w:ascii="仿宋_GB2312" w:hAnsi="宋体"/>
          <w:snapToGrid w:val="0"/>
          <w:kern w:val="32"/>
          <w:szCs w:val="32"/>
        </w:rPr>
        <w:t>已竣工但未出售或已出售但未交付给物业买受人的物业，由甲方全额支付物业服务费、车库（位）物业服务费、</w:t>
      </w:r>
    </w:p>
    <w:p>
      <w:pPr>
        <w:spacing w:line="520" w:lineRule="exact"/>
        <w:rPr>
          <w:rFonts w:ascii="仿宋_GB2312" w:hAnsi="宋体"/>
          <w:snapToGrid w:val="0"/>
          <w:kern w:val="32"/>
          <w:szCs w:val="32"/>
        </w:rPr>
      </w:pPr>
      <w:r>
        <w:rPr>
          <w:rFonts w:hint="eastAsia" w:ascii="仿宋_GB2312" w:hAnsi="宋体"/>
          <w:snapToGrid w:val="0"/>
          <w:kern w:val="32"/>
          <w:szCs w:val="32"/>
          <w:u w:val="single"/>
        </w:rPr>
        <w:t xml:space="preserve">              </w:t>
      </w:r>
      <w:r>
        <w:rPr>
          <w:rFonts w:hint="eastAsia" w:ascii="仿宋_GB2312" w:hAnsi="宋体"/>
          <w:snapToGrid w:val="0"/>
          <w:kern w:val="32"/>
          <w:szCs w:val="32"/>
        </w:rPr>
        <w:t>等费用；物业交付使用后，其费用由业主承担。</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甲方不得对业主的物业服务费、车库（位）物业服务费、</w:t>
      </w:r>
    </w:p>
    <w:p>
      <w:pPr>
        <w:spacing w:line="520" w:lineRule="exact"/>
        <w:rPr>
          <w:rFonts w:ascii="仿宋_GB2312" w:hAnsi="宋体"/>
          <w:snapToGrid w:val="0"/>
          <w:kern w:val="32"/>
          <w:szCs w:val="32"/>
        </w:rPr>
      </w:pPr>
      <w:r>
        <w:rPr>
          <w:rFonts w:hint="eastAsia" w:ascii="仿宋_GB2312" w:hAnsi="宋体"/>
          <w:snapToGrid w:val="0"/>
          <w:kern w:val="32"/>
          <w:szCs w:val="32"/>
          <w:u w:val="single"/>
        </w:rPr>
        <w:t xml:space="preserve">             </w:t>
      </w:r>
      <w:r>
        <w:rPr>
          <w:rFonts w:hint="eastAsia" w:ascii="仿宋_GB2312" w:hAnsi="宋体"/>
          <w:snapToGrid w:val="0"/>
          <w:kern w:val="32"/>
          <w:szCs w:val="32"/>
        </w:rPr>
        <w:t>等费用作出减免的承诺；若甲方违反约定做出承诺的，应将承诺减免的全部费用支付给乙方。</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业主约定由非业主使用人交纳物业服务费、车库（位）物业服务费、</w:t>
      </w:r>
      <w:r>
        <w:rPr>
          <w:rFonts w:hint="eastAsia" w:ascii="仿宋_GB2312" w:hAnsi="宋体"/>
          <w:snapToGrid w:val="0"/>
          <w:kern w:val="32"/>
          <w:szCs w:val="32"/>
          <w:u w:val="single"/>
        </w:rPr>
        <w:t xml:space="preserve">        </w:t>
      </w:r>
      <w:r>
        <w:rPr>
          <w:rFonts w:hint="eastAsia" w:ascii="仿宋_GB2312" w:hAnsi="宋体"/>
          <w:snapToGrid w:val="0"/>
          <w:kern w:val="32"/>
          <w:szCs w:val="32"/>
        </w:rPr>
        <w:t>等费用的，从其约定，业主负连带交纳责任。</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业主与非业主使用人之间的交费约定，业主应及时书面告知乙方。物业产权或者租赁关系变更时，相关业主、非业主使用人应当结清物业服务费、车库（位）物业服务费、</w:t>
      </w:r>
      <w:r>
        <w:rPr>
          <w:rFonts w:hint="eastAsia" w:ascii="仿宋_GB2312" w:hAnsi="宋体"/>
          <w:snapToGrid w:val="0"/>
          <w:kern w:val="32"/>
          <w:szCs w:val="32"/>
          <w:u w:val="single"/>
        </w:rPr>
        <w:t xml:space="preserve">       </w:t>
      </w:r>
      <w:r>
        <w:rPr>
          <w:rFonts w:hint="eastAsia" w:ascii="仿宋_GB2312" w:hAnsi="宋体"/>
          <w:snapToGrid w:val="0"/>
          <w:kern w:val="32"/>
          <w:szCs w:val="32"/>
        </w:rPr>
        <w:t>等相关费用。</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物业服务费、车库（位）物业服务费、</w:t>
      </w:r>
      <w:r>
        <w:rPr>
          <w:rFonts w:hint="eastAsia" w:ascii="仿宋_GB2312" w:hAnsi="宋体"/>
          <w:snapToGrid w:val="0"/>
          <w:kern w:val="32"/>
          <w:szCs w:val="32"/>
          <w:u w:val="single"/>
        </w:rPr>
        <w:t xml:space="preserve">     </w:t>
      </w:r>
      <w:r>
        <w:rPr>
          <w:rFonts w:hint="eastAsia" w:ascii="仿宋_GB2312" w:hAnsi="宋体"/>
          <w:snapToGrid w:val="0"/>
          <w:kern w:val="32"/>
          <w:szCs w:val="32"/>
        </w:rPr>
        <w:t>等费用按</w:t>
      </w:r>
      <w:r>
        <w:rPr>
          <w:rFonts w:hint="eastAsia" w:ascii="仿宋_GB2312" w:hAnsi="宋体"/>
          <w:snapToGrid w:val="0"/>
          <w:kern w:val="32"/>
          <w:szCs w:val="32"/>
          <w:u w:val="single"/>
        </w:rPr>
        <w:t xml:space="preserve">     </w:t>
      </w:r>
      <w:r>
        <w:rPr>
          <w:rFonts w:hint="eastAsia" w:ascii="仿宋_GB2312" w:hAnsi="宋体"/>
          <w:snapToGrid w:val="0"/>
          <w:kern w:val="32"/>
          <w:szCs w:val="32"/>
        </w:rPr>
        <w:t>（季度、半年、年度）交纳，业主或非业主使用人应在当期最后一日前交纳。超过当期最后一日未交纳的，视为逾期。</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业主或非业主使用人逾期交纳物业服务费、车库（位）物业服务费、</w:t>
      </w:r>
      <w:r>
        <w:rPr>
          <w:rFonts w:hint="eastAsia" w:ascii="仿宋_GB2312" w:hAnsi="宋体"/>
          <w:snapToGrid w:val="0"/>
          <w:kern w:val="32"/>
          <w:szCs w:val="32"/>
          <w:u w:val="single"/>
        </w:rPr>
        <w:t xml:space="preserve">         </w:t>
      </w:r>
      <w:r>
        <w:rPr>
          <w:rFonts w:hint="eastAsia" w:ascii="仿宋_GB2312" w:hAnsi="宋体"/>
          <w:snapToGrid w:val="0"/>
          <w:kern w:val="32"/>
          <w:szCs w:val="32"/>
        </w:rPr>
        <w:t>等费用的，从逾期之日起每日按逾期未交纳费用的</w:t>
      </w:r>
      <w:r>
        <w:rPr>
          <w:rFonts w:hint="eastAsia" w:ascii="仿宋_GB2312" w:hAnsi="宋体" w:cs="宋体"/>
          <w:snapToGrid w:val="0"/>
          <w:kern w:val="32"/>
          <w:szCs w:val="32"/>
          <w:u w:val="single"/>
        </w:rPr>
        <w:t xml:space="preserve">    </w:t>
      </w:r>
      <w:r>
        <w:rPr>
          <w:rFonts w:hint="eastAsia" w:ascii="仿宋_GB2312" w:hAnsi="宋体"/>
          <w:snapToGrid w:val="0"/>
          <w:kern w:val="32"/>
          <w:szCs w:val="32"/>
        </w:rPr>
        <w:t>‰收取违约金。</w:t>
      </w:r>
    </w:p>
    <w:p>
      <w:pPr>
        <w:widowControl/>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物业服务费可预收，但预收期限不得超过</w:t>
      </w:r>
      <w:r>
        <w:rPr>
          <w:snapToGrid w:val="0"/>
          <w:kern w:val="32"/>
          <w:szCs w:val="32"/>
        </w:rPr>
        <w:t>12</w:t>
      </w:r>
      <w:r>
        <w:rPr>
          <w:rFonts w:hint="eastAsia" w:ascii="仿宋_GB2312" w:hAnsi="宋体"/>
          <w:snapToGrid w:val="0"/>
          <w:kern w:val="32"/>
          <w:szCs w:val="32"/>
        </w:rPr>
        <w:t>个月。</w:t>
      </w:r>
    </w:p>
    <w:p>
      <w:pPr>
        <w:spacing w:line="520" w:lineRule="exact"/>
        <w:ind w:firstLine="632" w:firstLineChars="200"/>
        <w:rPr>
          <w:rFonts w:ascii="宋体" w:hAnsi="宋体" w:eastAsia="宋体" w:cs="宋体"/>
          <w:snapToGrid w:val="0"/>
          <w:kern w:val="32"/>
          <w:sz w:val="28"/>
          <w:szCs w:val="28"/>
        </w:rPr>
      </w:pPr>
      <w:r>
        <w:rPr>
          <w:rFonts w:hint="eastAsia" w:ascii="仿宋_GB2312" w:hAnsi="宋体" w:cs="宋体"/>
          <w:snapToGrid w:val="0"/>
          <w:kern w:val="32"/>
          <w:szCs w:val="32"/>
        </w:rPr>
        <w:t>业主转让物业时，须结清转让之前该业主应承担的各项物业服务费用。</w:t>
      </w:r>
    </w:p>
    <w:p>
      <w:pPr>
        <w:spacing w:line="520" w:lineRule="exact"/>
        <w:ind w:firstLine="632" w:firstLineChars="200"/>
        <w:rPr>
          <w:rFonts w:ascii="仿宋_GB2312" w:hAnsi="宋体"/>
          <w:bCs/>
          <w:snapToGrid w:val="0"/>
          <w:kern w:val="32"/>
          <w:szCs w:val="32"/>
        </w:rPr>
      </w:pPr>
      <w:r>
        <w:rPr>
          <w:rFonts w:hint="eastAsia" w:ascii="楷体_GB2312" w:hAnsi="宋体" w:eastAsia="楷体_GB2312"/>
          <w:b/>
          <w:bCs/>
          <w:snapToGrid w:val="0"/>
          <w:kern w:val="32"/>
          <w:szCs w:val="32"/>
        </w:rPr>
        <w:t>第八条</w:t>
      </w:r>
      <w:r>
        <w:rPr>
          <w:rFonts w:hint="eastAsia" w:ascii="宋体" w:hAnsi="宋体" w:eastAsia="宋体"/>
          <w:b/>
          <w:bCs/>
          <w:snapToGrid w:val="0"/>
          <w:kern w:val="32"/>
          <w:sz w:val="28"/>
          <w:szCs w:val="28"/>
        </w:rPr>
        <w:t xml:space="preserve"> </w:t>
      </w:r>
      <w:r>
        <w:rPr>
          <w:rFonts w:hint="eastAsia" w:ascii="仿宋_GB2312" w:hAnsi="宋体"/>
          <w:b/>
          <w:bCs/>
          <w:snapToGrid w:val="0"/>
          <w:kern w:val="32"/>
          <w:szCs w:val="32"/>
        </w:rPr>
        <w:t xml:space="preserve"> </w:t>
      </w:r>
      <w:r>
        <w:rPr>
          <w:rFonts w:hint="eastAsia" w:ascii="仿宋_GB2312" w:hAnsi="宋体"/>
          <w:bCs/>
          <w:snapToGrid w:val="0"/>
          <w:kern w:val="32"/>
          <w:szCs w:val="32"/>
        </w:rPr>
        <w:t>业主应按照规定直接向供水、供电、供气、供热、通讯、有线电视等专业单位交纳水、电、气、热、通讯、有线电视等有关费用。</w:t>
      </w:r>
    </w:p>
    <w:p>
      <w:pPr>
        <w:spacing w:line="520" w:lineRule="exact"/>
        <w:ind w:firstLine="632" w:firstLineChars="200"/>
        <w:rPr>
          <w:rFonts w:ascii="仿宋_GB2312" w:hAnsi="宋体"/>
          <w:bCs/>
          <w:snapToGrid w:val="0"/>
          <w:kern w:val="32"/>
          <w:szCs w:val="32"/>
        </w:rPr>
      </w:pPr>
      <w:r>
        <w:rPr>
          <w:rFonts w:hint="eastAsia" w:ascii="仿宋_GB2312" w:hAnsi="宋体"/>
          <w:bCs/>
          <w:snapToGrid w:val="0"/>
          <w:kern w:val="32"/>
          <w:szCs w:val="32"/>
        </w:rPr>
        <w:t>乙方接受供水、供电、供气、供热、通讯、有线电视等专业单位的委托代收水、电、气、热、通讯、有线电视等费用的，可以向委托单位收取代办手续费，但不得向业主收取手续费等额外费用。</w:t>
      </w:r>
    </w:p>
    <w:p>
      <w:pPr>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第九条</w:t>
      </w:r>
      <w:r>
        <w:rPr>
          <w:rFonts w:hint="eastAsia" w:ascii="宋体" w:hAnsi="宋体" w:eastAsia="宋体"/>
          <w:snapToGrid w:val="0"/>
          <w:kern w:val="32"/>
          <w:sz w:val="28"/>
          <w:szCs w:val="28"/>
        </w:rPr>
        <w:t xml:space="preserve"> </w:t>
      </w:r>
      <w:r>
        <w:rPr>
          <w:rFonts w:hint="eastAsia" w:ascii="仿宋_GB2312" w:hAnsi="宋体"/>
          <w:snapToGrid w:val="0"/>
          <w:kern w:val="32"/>
          <w:szCs w:val="32"/>
        </w:rPr>
        <w:t xml:space="preserve"> </w:t>
      </w:r>
      <w:r>
        <w:rPr>
          <w:rFonts w:hint="eastAsia" w:ascii="仿宋_GB2312" w:hAnsi="宋体"/>
          <w:bCs/>
          <w:snapToGrid w:val="0"/>
          <w:kern w:val="32"/>
          <w:szCs w:val="32"/>
        </w:rPr>
        <w:t>共用电梯、增压水泵等高能耗设施设备运行</w:t>
      </w:r>
      <w:r>
        <w:rPr>
          <w:rFonts w:hint="eastAsia" w:ascii="仿宋_GB2312" w:hAnsi="宋体"/>
          <w:snapToGrid w:val="0"/>
          <w:kern w:val="32"/>
          <w:szCs w:val="32"/>
        </w:rPr>
        <w:t>消耗的能耗费，采取下列</w:t>
      </w:r>
      <w:r>
        <w:rPr>
          <w:rFonts w:hint="eastAsia" w:ascii="仿宋_GB2312" w:hAnsi="宋体"/>
          <w:bCs/>
          <w:snapToGrid w:val="0"/>
          <w:kern w:val="32"/>
          <w:szCs w:val="32"/>
        </w:rPr>
        <w:t>第</w:t>
      </w:r>
      <w:r>
        <w:rPr>
          <w:rFonts w:hint="eastAsia" w:ascii="仿宋_GB2312" w:hAnsi="宋体"/>
          <w:bCs/>
          <w:snapToGrid w:val="0"/>
          <w:kern w:val="32"/>
          <w:szCs w:val="32"/>
          <w:u w:val="single"/>
        </w:rPr>
        <w:t xml:space="preserve">    </w:t>
      </w:r>
      <w:r>
        <w:rPr>
          <w:rFonts w:hint="eastAsia" w:ascii="仿宋_GB2312" w:hAnsi="宋体"/>
          <w:bCs/>
          <w:snapToGrid w:val="0"/>
          <w:kern w:val="32"/>
          <w:szCs w:val="32"/>
        </w:rPr>
        <w:t>种</w:t>
      </w:r>
      <w:r>
        <w:rPr>
          <w:rFonts w:hint="eastAsia" w:ascii="仿宋_GB2312" w:hAnsi="宋体"/>
          <w:snapToGrid w:val="0"/>
          <w:kern w:val="32"/>
          <w:szCs w:val="32"/>
        </w:rPr>
        <w:t>方式结算：</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（一）按实际消耗向业主分摊，物业服务企业代收代缴（具体分摊办法见附件</w:t>
      </w:r>
      <w:r>
        <w:rPr>
          <w:snapToGrid w:val="0"/>
          <w:kern w:val="32"/>
          <w:szCs w:val="32"/>
        </w:rPr>
        <w:t>5</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（二）公共能耗费含在物业服务费中缴纳；</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（三）其他：</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spacing w:val="-4"/>
          <w:kern w:val="32"/>
          <w:szCs w:val="32"/>
        </w:rPr>
      </w:pPr>
      <w:r>
        <w:rPr>
          <w:rFonts w:hint="eastAsia" w:ascii="楷体_GB2312" w:hAnsi="宋体" w:eastAsia="楷体_GB2312"/>
          <w:b/>
          <w:bCs/>
          <w:snapToGrid w:val="0"/>
          <w:kern w:val="32"/>
          <w:szCs w:val="32"/>
        </w:rPr>
        <w:t>第十条</w:t>
      </w:r>
      <w:r>
        <w:rPr>
          <w:rFonts w:hint="eastAsia" w:ascii="宋体" w:hAnsi="宋体" w:eastAsia="宋体"/>
          <w:snapToGrid w:val="0"/>
          <w:kern w:val="32"/>
          <w:sz w:val="28"/>
          <w:szCs w:val="28"/>
        </w:rPr>
        <w:t xml:space="preserve">  </w:t>
      </w:r>
      <w:r>
        <w:rPr>
          <w:rFonts w:hint="eastAsia" w:ascii="仿宋_GB2312" w:hAnsi="宋体"/>
          <w:snapToGrid w:val="0"/>
          <w:kern w:val="32"/>
          <w:szCs w:val="32"/>
        </w:rPr>
        <w:t>业主或非业主使用人可以自行组织房屋装修垃圾清运，也可以委托乙方清运。委托乙方清运的，按照有关规定，</w:t>
      </w:r>
      <w:r>
        <w:rPr>
          <w:rFonts w:hint="eastAsia" w:ascii="仿宋_GB2312" w:hAnsi="宋体"/>
          <w:snapToGrid w:val="0"/>
          <w:spacing w:val="-4"/>
          <w:kern w:val="32"/>
          <w:szCs w:val="32"/>
        </w:rPr>
        <w:t>装修垃圾由业主或非业主使用人运至</w:t>
      </w:r>
      <w:r>
        <w:rPr>
          <w:rFonts w:hint="eastAsia" w:ascii="仿宋_GB2312" w:hAnsi="宋体"/>
          <w:snapToGrid w:val="0"/>
          <w:spacing w:val="-4"/>
          <w:kern w:val="32"/>
          <w:szCs w:val="32"/>
          <w:u w:val="single"/>
        </w:rPr>
        <w:t xml:space="preserve">           </w:t>
      </w:r>
      <w:r>
        <w:rPr>
          <w:rFonts w:hint="eastAsia" w:ascii="仿宋_GB2312" w:hAnsi="宋体"/>
          <w:snapToGrid w:val="0"/>
          <w:spacing w:val="-4"/>
          <w:kern w:val="32"/>
          <w:szCs w:val="32"/>
        </w:rPr>
        <w:t>（具体地点）装修垃圾集中堆放点，清运费按相关规定收取。</w:t>
      </w:r>
    </w:p>
    <w:p>
      <w:pPr>
        <w:spacing w:line="520" w:lineRule="exact"/>
        <w:ind w:firstLine="552" w:firstLineChars="200"/>
        <w:jc w:val="center"/>
        <w:rPr>
          <w:rFonts w:ascii="宋体" w:hAnsi="宋体" w:eastAsia="宋体"/>
          <w:snapToGrid w:val="0"/>
          <w:kern w:val="32"/>
          <w:sz w:val="28"/>
          <w:szCs w:val="28"/>
        </w:rPr>
      </w:pPr>
    </w:p>
    <w:p>
      <w:pPr>
        <w:spacing w:line="520" w:lineRule="exact"/>
        <w:jc w:val="center"/>
        <w:rPr>
          <w:rFonts w:ascii="黑体" w:hAnsi="黑体" w:eastAsia="黑体"/>
          <w:snapToGrid w:val="0"/>
          <w:kern w:val="32"/>
          <w:szCs w:val="32"/>
        </w:rPr>
      </w:pPr>
      <w:r>
        <w:rPr>
          <w:rFonts w:hint="eastAsia" w:ascii="黑体" w:hAnsi="黑体" w:eastAsia="黑体"/>
          <w:snapToGrid w:val="0"/>
          <w:kern w:val="32"/>
          <w:szCs w:val="32"/>
        </w:rPr>
        <w:t>第四章  物业的经营与管理</w:t>
      </w:r>
    </w:p>
    <w:p>
      <w:pPr>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第十一条</w:t>
      </w:r>
      <w:r>
        <w:rPr>
          <w:rFonts w:hint="eastAsia" w:ascii="宋体" w:hAnsi="宋体" w:eastAsia="宋体"/>
          <w:b/>
          <w:snapToGrid w:val="0"/>
          <w:kern w:val="32"/>
          <w:sz w:val="28"/>
          <w:szCs w:val="28"/>
        </w:rPr>
        <w:t xml:space="preserve"> </w:t>
      </w:r>
      <w:r>
        <w:rPr>
          <w:rFonts w:hint="eastAsia" w:ascii="仿宋_GB2312" w:hAnsi="宋体"/>
          <w:b/>
          <w:snapToGrid w:val="0"/>
          <w:kern w:val="32"/>
          <w:szCs w:val="32"/>
        </w:rPr>
        <w:t xml:space="preserve"> </w:t>
      </w:r>
      <w:r>
        <w:rPr>
          <w:rFonts w:hint="eastAsia" w:ascii="仿宋_GB2312" w:hAnsi="宋体"/>
          <w:snapToGrid w:val="0"/>
          <w:kern w:val="32"/>
          <w:szCs w:val="32"/>
        </w:rPr>
        <w:t>本物业管理区域内的物业办公用房供乙方在合同期限内无偿使用，但不得擅自改变其用途。本合同终止时，乙方应当将物业管理用房移交给业主委员会。</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本物业管理区域内的物业经营用房、停车场及其他物业共用部位、共用设施设备等，委托乙方代为经营或管理服务的。具体收费及管理成本约定如下：</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（一）物业经营用房</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物业经营用房的出租标准不得低于周边同期同类出租标准，且租赁期限最长不超过业主委员会成立（或社区居委会代行业主委员会职责）后十二个月。乙方代为出租物业经营用房的，经双方约定，乙方收取其总收入额的</w:t>
      </w:r>
      <w:r>
        <w:rPr>
          <w:rFonts w:hint="eastAsia" w:ascii="仿宋_GB2312" w:hAnsi="宋体"/>
          <w:snapToGrid w:val="0"/>
          <w:kern w:val="32"/>
          <w:szCs w:val="32"/>
          <w:u w:val="single"/>
        </w:rPr>
        <w:t xml:space="preserve">    </w:t>
      </w:r>
      <w:r>
        <w:rPr>
          <w:rFonts w:hint="eastAsia"/>
          <w:snapToGrid w:val="0"/>
          <w:kern w:val="32"/>
          <w:szCs w:val="32"/>
        </w:rPr>
        <w:t>%</w:t>
      </w:r>
      <w:r>
        <w:rPr>
          <w:rFonts w:hint="eastAsia" w:ascii="仿宋_GB2312" w:hAnsi="宋体"/>
          <w:snapToGrid w:val="0"/>
          <w:kern w:val="32"/>
          <w:szCs w:val="32"/>
        </w:rPr>
        <w:t>（最高不得超过</w:t>
      </w:r>
      <w:r>
        <w:rPr>
          <w:rFonts w:hint="eastAsia"/>
          <w:snapToGrid w:val="0"/>
          <w:kern w:val="32"/>
          <w:szCs w:val="32"/>
        </w:rPr>
        <w:t>15%</w:t>
      </w:r>
      <w:r>
        <w:rPr>
          <w:rFonts w:hint="eastAsia" w:ascii="仿宋_GB2312" w:hAnsi="宋体"/>
          <w:snapToGrid w:val="0"/>
          <w:kern w:val="32"/>
          <w:szCs w:val="32"/>
        </w:rPr>
        <w:t>）为管理成本，税金按相关规定计算。</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（二）规划内的停车场（库）</w:t>
      </w:r>
    </w:p>
    <w:p>
      <w:pPr>
        <w:spacing w:line="520" w:lineRule="exact"/>
        <w:ind w:firstLine="632" w:firstLineChars="200"/>
        <w:rPr>
          <w:rFonts w:ascii="仿宋_GB2312" w:hAnsi="宋体"/>
          <w:snapToGrid w:val="0"/>
          <w:kern w:val="32"/>
          <w:szCs w:val="32"/>
        </w:rPr>
      </w:pPr>
      <w:r>
        <w:rPr>
          <w:rFonts w:hint="eastAsia"/>
          <w:snapToGrid w:val="0"/>
          <w:kern w:val="32"/>
          <w:szCs w:val="32"/>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1678940</wp:posOffset>
                </wp:positionV>
                <wp:extent cx="228600" cy="99060"/>
                <wp:effectExtent l="0" t="2540" r="0" b="3175"/>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8600" cy="99060"/>
                        </a:xfrm>
                        <a:prstGeom prst="rect">
                          <a:avLst/>
                        </a:prstGeom>
                        <a:noFill/>
                        <a:ln>
                          <a:noFill/>
                        </a:ln>
                      </wps:spPr>
                      <wps:txbx>
                        <w:txbxContent>
                          <w:p>
                            <w:pPr>
                              <w:pStyle w:val="19"/>
                              <w:rPr>
                                <w:rStyle w:val="31"/>
                                <w:sz w:val="28"/>
                                <w:szCs w:val="28"/>
                              </w:rPr>
                            </w:pPr>
                            <w:r>
                              <w:rPr>
                                <w:rStyle w:val="31"/>
                                <w:sz w:val="28"/>
                                <w:szCs w:val="28"/>
                              </w:rPr>
                              <w:t>- 8 -</w:t>
                            </w:r>
                          </w:p>
                          <w:p>
                            <w:pPr>
                              <w:rPr>
                                <w:rFonts w:ascii="宋体" w:hAnsi="宋体"/>
                                <w:b/>
                              </w:rPr>
                            </w:pP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126pt;margin-top:132.2pt;height:7.8pt;width:18pt;z-index:251663360;mso-width-relative:page;mso-height-relative:page;" filled="f" stroked="f" coordsize="21600,21600" o:gfxdata="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B5R69kAAAANAQAADwAA&#10;AAAAAAABACAAAAAiAAAAZHJzL2Rvd25yZXYueG1sUEsBAhQAFAAAAAgAh07iQFV0R78VAgAAEwQA&#10;AA4AAAAAAAAAAQAgAAAAKAEAAGRycy9lMm9Eb2MueG1sUEsFBgAAAAAGAAYAWQEAAK8FAAAAAA==&#10;">
                <v:fill on="f" focussize="0,0"/>
                <v:stroke on="f"/>
                <v:imagedata o:title=""/>
                <o:lock v:ext="edit" aspectratio="f"/>
                <v:textbox>
                  <w:txbxContent>
                    <w:p>
                      <w:pPr>
                        <w:pStyle w:val="19"/>
                        <w:rPr>
                          <w:rStyle w:val="31"/>
                          <w:sz w:val="28"/>
                          <w:szCs w:val="28"/>
                        </w:rPr>
                      </w:pPr>
                      <w:r>
                        <w:rPr>
                          <w:rStyle w:val="31"/>
                          <w:sz w:val="28"/>
                          <w:szCs w:val="28"/>
                        </w:rPr>
                        <w:t>- 8 -</w:t>
                      </w:r>
                    </w:p>
                    <w:p>
                      <w:pPr>
                        <w:rPr>
                          <w:rFonts w:ascii="宋体" w:hAnsi="宋体"/>
                          <w:b/>
                        </w:rPr>
                      </w:pPr>
                    </w:p>
                  </w:txbxContent>
                </v:textbox>
              </v:shape>
            </w:pict>
          </mc:Fallback>
        </mc:AlternateContent>
      </w:r>
      <w:r>
        <w:rPr>
          <w:rFonts w:hint="eastAsia"/>
          <w:snapToGrid w:val="0"/>
          <w:kern w:val="32"/>
          <w:szCs w:val="32"/>
        </w:rPr>
        <w:t>1</w:t>
      </w:r>
      <w:r>
        <w:rPr>
          <w:rFonts w:hint="eastAsia" w:ascii="仿宋_GB2312" w:hAnsi="宋体"/>
          <w:snapToGrid w:val="0"/>
          <w:kern w:val="32"/>
          <w:szCs w:val="32"/>
        </w:rPr>
        <w:t>．车库（位）属于全体业主共有的，其收益归全体业主所有。委托乙方代为经营的，车位使用人应按车库</w:t>
      </w:r>
      <w:r>
        <w:rPr>
          <w:rFonts w:hint="eastAsia" w:ascii="仿宋_GB2312" w:hAnsi="宋体"/>
          <w:snapToGrid w:val="0"/>
          <w:kern w:val="32"/>
          <w:szCs w:val="32"/>
          <w:u w:val="single"/>
        </w:rPr>
        <w:t xml:space="preserve">   </w:t>
      </w:r>
      <w:r>
        <w:rPr>
          <w:rFonts w:hint="eastAsia" w:ascii="仿宋_GB2312" w:hAnsi="宋体"/>
          <w:snapToGrid w:val="0"/>
          <w:kern w:val="32"/>
          <w:szCs w:val="32"/>
        </w:rPr>
        <w:t>元/个·月、</w:t>
      </w:r>
      <w:r>
        <w:rPr>
          <w:rFonts w:hint="eastAsia" w:ascii="仿宋_GB2312" w:hAnsi="宋体"/>
          <w:snapToGrid w:val="0"/>
          <w:spacing w:val="-4"/>
          <w:kern w:val="32"/>
          <w:szCs w:val="32"/>
        </w:rPr>
        <w:t>车位</w:t>
      </w:r>
      <w:r>
        <w:rPr>
          <w:rFonts w:hint="eastAsia" w:ascii="仿宋_GB2312" w:hAnsi="宋体"/>
          <w:snapToGrid w:val="0"/>
          <w:spacing w:val="-4"/>
          <w:kern w:val="32"/>
          <w:szCs w:val="32"/>
          <w:u w:val="single"/>
        </w:rPr>
        <w:t xml:space="preserve">    </w:t>
      </w:r>
      <w:r>
        <w:rPr>
          <w:rFonts w:hint="eastAsia" w:ascii="仿宋_GB2312" w:hAnsi="宋体"/>
          <w:snapToGrid w:val="0"/>
          <w:spacing w:val="-4"/>
          <w:kern w:val="32"/>
          <w:szCs w:val="32"/>
        </w:rPr>
        <w:t>元/个·月的标准向乙方交纳停车费。乙方收取其收入额的</w:t>
      </w:r>
      <w:r>
        <w:rPr>
          <w:rFonts w:hint="eastAsia" w:ascii="仿宋_GB2312" w:hAnsi="宋体"/>
          <w:snapToGrid w:val="0"/>
          <w:spacing w:val="-4"/>
          <w:kern w:val="32"/>
          <w:szCs w:val="32"/>
          <w:u w:val="single"/>
        </w:rPr>
        <w:t xml:space="preserve">    </w:t>
      </w:r>
      <w:r>
        <w:rPr>
          <w:rFonts w:hint="eastAsia"/>
          <w:snapToGrid w:val="0"/>
          <w:spacing w:val="-4"/>
          <w:kern w:val="32"/>
          <w:szCs w:val="32"/>
        </w:rPr>
        <w:t>%</w:t>
      </w:r>
      <w:r>
        <w:rPr>
          <w:rFonts w:hint="eastAsia" w:ascii="仿宋_GB2312" w:hAnsi="宋体"/>
          <w:snapToGrid w:val="0"/>
          <w:spacing w:val="-4"/>
          <w:kern w:val="32"/>
          <w:szCs w:val="32"/>
        </w:rPr>
        <w:t>（最高不超过</w:t>
      </w:r>
      <w:r>
        <w:rPr>
          <w:rFonts w:hint="eastAsia"/>
          <w:snapToGrid w:val="0"/>
          <w:spacing w:val="-4"/>
          <w:kern w:val="32"/>
          <w:szCs w:val="32"/>
        </w:rPr>
        <w:t>50%</w:t>
      </w:r>
      <w:r>
        <w:rPr>
          <w:rFonts w:hint="eastAsia" w:ascii="仿宋_GB2312" w:hAnsi="宋体"/>
          <w:snapToGrid w:val="0"/>
          <w:spacing w:val="-4"/>
          <w:kern w:val="32"/>
          <w:szCs w:val="32"/>
        </w:rPr>
        <w:t>）为管理成本，税金按相关规定计算。</w:t>
      </w:r>
    </w:p>
    <w:p>
      <w:pPr>
        <w:spacing w:line="520" w:lineRule="exact"/>
        <w:ind w:firstLine="632"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车库（位）归甲方或其他业主所有，自用或自己出租的，车库（位）所有人应按车库</w:t>
      </w:r>
      <w:r>
        <w:rPr>
          <w:rFonts w:hint="eastAsia" w:ascii="仿宋_GB2312" w:hAnsi="宋体"/>
          <w:snapToGrid w:val="0"/>
          <w:kern w:val="32"/>
          <w:szCs w:val="32"/>
          <w:u w:val="single"/>
        </w:rPr>
        <w:t xml:space="preserve">    </w:t>
      </w:r>
      <w:r>
        <w:rPr>
          <w:rFonts w:hint="eastAsia" w:ascii="仿宋_GB2312" w:hAnsi="宋体"/>
          <w:snapToGrid w:val="0"/>
          <w:kern w:val="32"/>
          <w:szCs w:val="32"/>
        </w:rPr>
        <w:t>元/个·月、车位</w:t>
      </w:r>
      <w:r>
        <w:rPr>
          <w:rFonts w:hint="eastAsia" w:ascii="仿宋_GB2312" w:hAnsi="宋体"/>
          <w:snapToGrid w:val="0"/>
          <w:kern w:val="32"/>
          <w:szCs w:val="32"/>
          <w:u w:val="single"/>
        </w:rPr>
        <w:t xml:space="preserve">    </w:t>
      </w:r>
      <w:r>
        <w:rPr>
          <w:rFonts w:hint="eastAsia" w:ascii="仿宋_GB2312" w:hAnsi="宋体"/>
          <w:snapToGrid w:val="0"/>
          <w:kern w:val="32"/>
          <w:szCs w:val="32"/>
        </w:rPr>
        <w:t>元/个·月的标准向乙方交纳车库（位）物业服务费。</w:t>
      </w:r>
    </w:p>
    <w:p>
      <w:pPr>
        <w:spacing w:line="520" w:lineRule="exact"/>
        <w:ind w:firstLine="632" w:firstLineChars="200"/>
        <w:rPr>
          <w:rFonts w:ascii="仿宋_GB2312" w:hAnsi="宋体"/>
          <w:snapToGrid w:val="0"/>
          <w:kern w:val="32"/>
          <w:szCs w:val="32"/>
        </w:rPr>
      </w:pPr>
      <w:r>
        <w:rPr>
          <w:rFonts w:hint="eastAsia"/>
          <w:snapToGrid w:val="0"/>
          <w:kern w:val="32"/>
          <w:szCs w:val="32"/>
        </w:rPr>
        <w:t>3</w:t>
      </w:r>
      <w:r>
        <w:rPr>
          <w:rFonts w:hint="eastAsia" w:ascii="仿宋_GB2312" w:hAnsi="宋体"/>
          <w:snapToGrid w:val="0"/>
          <w:kern w:val="32"/>
          <w:szCs w:val="32"/>
        </w:rPr>
        <w:t>．机械车位具体收费标准：</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snapToGrid w:val="0"/>
          <w:kern w:val="32"/>
          <w:szCs w:val="32"/>
        </w:rPr>
        <w:t>4</w:t>
      </w:r>
      <w:r>
        <w:rPr>
          <w:rFonts w:hint="eastAsia" w:ascii="仿宋_GB2312" w:hAnsi="宋体"/>
          <w:snapToGrid w:val="0"/>
          <w:kern w:val="32"/>
          <w:szCs w:val="32"/>
        </w:rPr>
        <w:t>．新能源电动车共用充电桩服务收费标准：</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（三）占用业主共有的道路或者其他场地用于停放车辆的车位，属于业主共有。</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具体收费标准为：</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乙方提取的管理成本为：收入额的</w:t>
      </w:r>
      <w:r>
        <w:rPr>
          <w:rFonts w:hint="eastAsia" w:ascii="仿宋_GB2312" w:hAnsi="宋体"/>
          <w:snapToGrid w:val="0"/>
          <w:kern w:val="32"/>
          <w:szCs w:val="32"/>
          <w:u w:val="single"/>
        </w:rPr>
        <w:t xml:space="preserve">    </w:t>
      </w:r>
      <w:r>
        <w:rPr>
          <w:rFonts w:hint="eastAsia"/>
          <w:snapToGrid w:val="0"/>
          <w:kern w:val="32"/>
          <w:szCs w:val="32"/>
        </w:rPr>
        <w:t>%</w:t>
      </w:r>
      <w:r>
        <w:rPr>
          <w:rFonts w:hint="eastAsia" w:ascii="仿宋_GB2312" w:hAnsi="宋体"/>
          <w:snapToGrid w:val="0"/>
          <w:kern w:val="32"/>
          <w:szCs w:val="32"/>
        </w:rPr>
        <w:t>（最高不超过</w:t>
      </w:r>
      <w:r>
        <w:rPr>
          <w:rFonts w:hint="eastAsia"/>
          <w:snapToGrid w:val="0"/>
          <w:kern w:val="32"/>
          <w:szCs w:val="32"/>
        </w:rPr>
        <w:t>50%</w:t>
      </w:r>
      <w:r>
        <w:rPr>
          <w:rFonts w:hint="eastAsia" w:ascii="仿宋_GB2312" w:hAnsi="宋体"/>
          <w:snapToGrid w:val="0"/>
          <w:kern w:val="32"/>
          <w:szCs w:val="32"/>
        </w:rPr>
        <w:t>）为管理成本，税金按相关规定计算。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u w:val="single"/>
        </w:rPr>
      </w:pPr>
      <w:r>
        <w:rPr>
          <w:rFonts w:hint="eastAsia" w:ascii="仿宋_GB2312" w:hAnsi="宋体"/>
          <w:snapToGrid w:val="0"/>
          <w:kern w:val="32"/>
          <w:szCs w:val="32"/>
        </w:rPr>
        <w:t>（四）利用共用部位、设施设备进行广告或相关场地进行摆摊设点、</w:t>
      </w:r>
      <w:r>
        <w:rPr>
          <w:rFonts w:hint="eastAsia" w:ascii="仿宋_GB2312" w:hAnsi="宋体"/>
          <w:snapToGrid w:val="0"/>
          <w:kern w:val="32"/>
          <w:szCs w:val="32"/>
          <w:u w:val="single"/>
        </w:rPr>
        <w:t xml:space="preserve">            </w:t>
      </w:r>
      <w:r>
        <w:rPr>
          <w:rFonts w:hint="eastAsia" w:ascii="仿宋_GB2312" w:hAnsi="宋体"/>
          <w:snapToGrid w:val="0"/>
          <w:kern w:val="32"/>
          <w:szCs w:val="32"/>
        </w:rPr>
        <w:t>等经营活动的，具体收费金额由甲乙双方商定，乙方从该收费中提取其收入额的</w:t>
      </w:r>
      <w:r>
        <w:rPr>
          <w:rFonts w:hint="eastAsia" w:ascii="仿宋_GB2312" w:hAnsi="宋体"/>
          <w:snapToGrid w:val="0"/>
          <w:kern w:val="32"/>
          <w:szCs w:val="32"/>
          <w:u w:val="single"/>
        </w:rPr>
        <w:t xml:space="preserve">     </w:t>
      </w:r>
      <w:r>
        <w:rPr>
          <w:rFonts w:hint="eastAsia"/>
          <w:snapToGrid w:val="0"/>
          <w:kern w:val="32"/>
          <w:szCs w:val="32"/>
        </w:rPr>
        <w:t>%</w:t>
      </w:r>
      <w:r>
        <w:rPr>
          <w:rFonts w:hint="eastAsia" w:ascii="仿宋_GB2312" w:hAnsi="宋体"/>
          <w:snapToGrid w:val="0"/>
          <w:kern w:val="32"/>
          <w:szCs w:val="32"/>
        </w:rPr>
        <w:t>（最高不得超过</w:t>
      </w:r>
      <w:r>
        <w:rPr>
          <w:rFonts w:hint="eastAsia"/>
          <w:snapToGrid w:val="0"/>
          <w:kern w:val="32"/>
          <w:szCs w:val="32"/>
        </w:rPr>
        <w:t>25%</w:t>
      </w:r>
      <w:r>
        <w:rPr>
          <w:rFonts w:hint="eastAsia" w:ascii="仿宋_GB2312" w:hAnsi="宋体"/>
          <w:snapToGrid w:val="0"/>
          <w:kern w:val="32"/>
          <w:szCs w:val="32"/>
        </w:rPr>
        <w:t>）为管理成本，税金按相关规定计算。</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（五）其他：</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tabs>
          <w:tab w:val="left" w:pos="1080"/>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第十二条</w:t>
      </w:r>
      <w:r>
        <w:rPr>
          <w:rFonts w:hint="eastAsia" w:ascii="宋体" w:hAnsi="宋体" w:eastAsia="宋体"/>
          <w:snapToGrid w:val="0"/>
          <w:kern w:val="32"/>
          <w:sz w:val="28"/>
          <w:szCs w:val="28"/>
        </w:rPr>
        <w:t xml:space="preserve">  </w:t>
      </w:r>
      <w:r>
        <w:rPr>
          <w:rFonts w:hint="eastAsia" w:ascii="仿宋_GB2312" w:hAnsi="宋体"/>
          <w:snapToGrid w:val="0"/>
          <w:kern w:val="32"/>
          <w:szCs w:val="32"/>
        </w:rPr>
        <w:t>属于全体业主所有的经营性收益（扣除管理成本、税费等经营成本后的收入）由乙方代管并单独列账，可用于共用部位、共用设施设备的维修、更新、改造或者补充物业专项维修资金，也可以根据业主大会的决定用于物业管理的其他需要。</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本合同终止时，乙方应当对经营性收益收支情况进行审计，并将审计结果在物业管理区域内公示。审计费用由</w:t>
      </w:r>
      <w:r>
        <w:rPr>
          <w:rFonts w:hint="eastAsia" w:ascii="仿宋_GB2312" w:hAnsi="宋体"/>
          <w:snapToGrid w:val="0"/>
          <w:kern w:val="32"/>
          <w:szCs w:val="32"/>
          <w:u w:val="single"/>
        </w:rPr>
        <w:t xml:space="preserve">         </w:t>
      </w:r>
      <w:r>
        <w:rPr>
          <w:rFonts w:hint="eastAsia" w:ascii="仿宋_GB2312" w:hAnsi="宋体"/>
          <w:snapToGrid w:val="0"/>
          <w:kern w:val="32"/>
          <w:szCs w:val="32"/>
        </w:rPr>
        <w:t>（全体业主承担并从经营性收益中列支、甲方承担、乙方承担）。</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实行物业服务包干制收费方式的物业服务项目，乙方应每半年公布一次物业共用部位、共用设施设备以及相关场地经营所得的收支情况。实行酬金制物业服务方式的，乙方每年公布一次各项资金收支情况。</w:t>
      </w:r>
    </w:p>
    <w:p>
      <w:pPr>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第十三条</w:t>
      </w:r>
      <w:r>
        <w:rPr>
          <w:rFonts w:hint="eastAsia" w:ascii="宋体" w:hAnsi="宋体" w:eastAsia="宋体"/>
          <w:snapToGrid w:val="0"/>
          <w:kern w:val="32"/>
          <w:sz w:val="28"/>
          <w:szCs w:val="28"/>
        </w:rPr>
        <w:t xml:space="preserve">  </w:t>
      </w:r>
      <w:r>
        <w:rPr>
          <w:rFonts w:hint="eastAsia" w:ascii="仿宋_GB2312" w:hAnsi="宋体"/>
          <w:snapToGrid w:val="0"/>
          <w:kern w:val="32"/>
          <w:szCs w:val="32"/>
        </w:rPr>
        <w:t>乙方可以接受业主、非业主使用人委托，提供车辆保管、</w:t>
      </w:r>
      <w:r>
        <w:rPr>
          <w:rFonts w:hint="eastAsia" w:ascii="仿宋_GB2312" w:hAnsi="宋体"/>
          <w:snapToGrid w:val="0"/>
          <w:kern w:val="32"/>
          <w:szCs w:val="32"/>
          <w:u w:val="single"/>
        </w:rPr>
        <w:t xml:space="preserve">      </w:t>
      </w:r>
      <w:r>
        <w:rPr>
          <w:rFonts w:hint="eastAsia" w:ascii="仿宋_GB2312" w:hAnsi="宋体"/>
          <w:snapToGrid w:val="0"/>
          <w:kern w:val="32"/>
          <w:szCs w:val="32"/>
        </w:rPr>
        <w:t>等合同约定以外的服务，除政府有规定的外，服务收费按当事双方约定执行。</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若当事双方无约定的，乙方对物业内车库（位）的公共部位以及公共设施设备提供日常维保服务，不含车辆保管、保险及车内物品的保管等责任。</w:t>
      </w:r>
      <w:r>
        <w:rPr>
          <w:rFonts w:hint="eastAsia" w:ascii="仿宋_GB2312" w:hAnsi="宋体"/>
          <w:kern w:val="32"/>
          <w:szCs w:val="32"/>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464820</wp:posOffset>
                </wp:positionV>
                <wp:extent cx="114300" cy="99060"/>
                <wp:effectExtent l="0" t="0" r="0" b="0"/>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 cy="99060"/>
                        </a:xfrm>
                        <a:prstGeom prst="rect">
                          <a:avLst/>
                        </a:prstGeom>
                        <a:noFill/>
                        <a:ln>
                          <a:noFill/>
                        </a:ln>
                      </wps:spPr>
                      <wps:txbx>
                        <w:txbxContent>
                          <w:p>
                            <w:pPr>
                              <w:pStyle w:val="19"/>
                              <w:rPr>
                                <w:rStyle w:val="31"/>
                                <w:sz w:val="28"/>
                                <w:szCs w:val="28"/>
                              </w:rPr>
                            </w:pPr>
                            <w:r>
                              <w:rPr>
                                <w:rStyle w:val="31"/>
                                <w:sz w:val="28"/>
                                <w:szCs w:val="28"/>
                              </w:rPr>
                              <w:t>- 10 -</w:t>
                            </w:r>
                          </w:p>
                          <w:p>
                            <w:pPr>
                              <w:rPr>
                                <w:rFonts w:ascii="宋体" w:hAnsi="宋体"/>
                                <w:b/>
                              </w:rPr>
                            </w:pP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126pt;margin-top:36.6pt;height:7.8pt;width:9pt;z-index:251664384;mso-width-relative:page;mso-height-relative:page;" filled="f" stroked="f" coordsize="21600,21600" o:gfxdata="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q9CmNkAAAALAQAADwAA&#10;AAAAAAABACAAAAAiAAAAZHJzL2Rvd25yZXYueG1sUEsBAhQAFAAAAAgAh07iQCBMADoVAgAAEwQA&#10;AA4AAAAAAAAAAQAgAAAAKAEAAGRycy9lMm9Eb2MueG1sUEsFBgAAAAAGAAYAWQEAAK8FAAAAAA==&#10;">
                <v:fill on="f" focussize="0,0"/>
                <v:stroke on="f"/>
                <v:imagedata o:title=""/>
                <o:lock v:ext="edit" aspectratio="f"/>
                <v:textbox>
                  <w:txbxContent>
                    <w:p>
                      <w:pPr>
                        <w:pStyle w:val="19"/>
                        <w:rPr>
                          <w:rStyle w:val="31"/>
                          <w:sz w:val="28"/>
                          <w:szCs w:val="28"/>
                        </w:rPr>
                      </w:pPr>
                      <w:r>
                        <w:rPr>
                          <w:rStyle w:val="31"/>
                          <w:sz w:val="28"/>
                          <w:szCs w:val="28"/>
                        </w:rPr>
                        <w:t>- 10 -</w:t>
                      </w:r>
                    </w:p>
                    <w:p>
                      <w:pPr>
                        <w:rPr>
                          <w:rFonts w:ascii="宋体" w:hAnsi="宋体"/>
                          <w:b/>
                        </w:rPr>
                      </w:pPr>
                    </w:p>
                  </w:txbxContent>
                </v:textbox>
              </v:shape>
            </w:pict>
          </mc:Fallback>
        </mc:AlternateContent>
      </w:r>
    </w:p>
    <w:p>
      <w:pPr>
        <w:spacing w:line="520" w:lineRule="exact"/>
        <w:ind w:firstLine="552" w:firstLineChars="200"/>
        <w:jc w:val="center"/>
        <w:outlineLvl w:val="0"/>
        <w:rPr>
          <w:rFonts w:ascii="宋体" w:hAnsi="宋体" w:eastAsia="宋体"/>
          <w:b/>
          <w:snapToGrid w:val="0"/>
          <w:kern w:val="32"/>
          <w:sz w:val="28"/>
          <w:szCs w:val="28"/>
        </w:rPr>
      </w:pPr>
    </w:p>
    <w:p>
      <w:pPr>
        <w:spacing w:line="520" w:lineRule="exact"/>
        <w:jc w:val="center"/>
        <w:rPr>
          <w:rFonts w:ascii="黑体" w:hAnsi="黑体" w:eastAsia="黑体"/>
          <w:szCs w:val="32"/>
        </w:rPr>
      </w:pPr>
      <w:r>
        <w:rPr>
          <w:rFonts w:hint="eastAsia" w:ascii="黑体" w:hAnsi="黑体" w:eastAsia="黑体"/>
          <w:szCs w:val="32"/>
        </w:rPr>
        <w:t>第五章  双方的权利义务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 xml:space="preserve">第十四条 </w:t>
      </w:r>
      <w:r>
        <w:rPr>
          <w:rFonts w:hint="eastAsia" w:ascii="宋体" w:hAnsi="宋体" w:eastAsia="宋体"/>
          <w:snapToGrid w:val="0"/>
          <w:kern w:val="32"/>
          <w:sz w:val="28"/>
          <w:szCs w:val="28"/>
        </w:rPr>
        <w:t xml:space="preserve"> </w:t>
      </w:r>
      <w:r>
        <w:rPr>
          <w:rFonts w:hint="eastAsia" w:ascii="仿宋_GB2312" w:hAnsi="宋体"/>
          <w:snapToGrid w:val="0"/>
          <w:kern w:val="32"/>
          <w:szCs w:val="32"/>
        </w:rPr>
        <w:t>甲方为未出售或已出售但未交付给物业买受人的物业的实际业主，享受业主的权利并承担业主的义务，同时甲方作为开发建设单位，其他权利和义务约定如下：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bCs/>
          <w:snapToGrid w:val="0"/>
          <w:kern w:val="32"/>
          <w:szCs w:val="32"/>
        </w:rPr>
      </w:pPr>
      <w:r>
        <w:rPr>
          <w:rFonts w:hint="eastAsia" w:ascii="仿宋_GB2312" w:hAnsi="宋体"/>
          <w:bCs/>
          <w:snapToGrid w:val="0"/>
          <w:kern w:val="32"/>
          <w:szCs w:val="32"/>
        </w:rPr>
        <w:t>（一）甲方在与生产厂家、安装单位签订设施设备购买（安装）协议时，应当约定由生产厂家、安装单位负责乙方技术人员的操作培训，并督促、协调设施设备的生产厂家、设计、施工安装等单位共同配合乙方开展有关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bCs/>
          <w:snapToGrid w:val="0"/>
          <w:kern w:val="32"/>
          <w:szCs w:val="32"/>
        </w:rPr>
        <w:t>（二）</w:t>
      </w:r>
      <w:r>
        <w:rPr>
          <w:rFonts w:hint="eastAsia" w:ascii="仿宋_GB2312" w:hAnsi="宋体"/>
          <w:snapToGrid w:val="0"/>
          <w:kern w:val="32"/>
          <w:szCs w:val="32"/>
        </w:rPr>
        <w:t>协调、处理乙方在前期介入中，提出的合理化建议和发现的问题。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bCs/>
          <w:snapToGrid w:val="0"/>
          <w:kern w:val="32"/>
          <w:szCs w:val="32"/>
        </w:rPr>
      </w:pPr>
      <w:r>
        <w:rPr>
          <w:rFonts w:hint="eastAsia" w:ascii="仿宋_GB2312" w:hAnsi="宋体"/>
          <w:bCs/>
          <w:snapToGrid w:val="0"/>
          <w:kern w:val="32"/>
          <w:szCs w:val="32"/>
        </w:rPr>
        <w:t>（三）甲方应当按照有关规定和物业买卖合同的约定，向乙</w:t>
      </w:r>
      <w:r>
        <w:rPr>
          <w:rFonts w:hint="eastAsia" w:ascii="仿宋_GB2312" w:hAnsi="宋体"/>
          <w:bCs/>
          <w:snapToGrid w:val="0"/>
          <w:spacing w:val="-6"/>
          <w:kern w:val="32"/>
          <w:szCs w:val="32"/>
        </w:rPr>
        <w:t>方移交权属明确、资料完整、质量合格、验收通过的物业，并按照相关法律、法规规定的保修期限和保修范围承担物业的保修责任。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（四）甲方应当委派人员参与现场查验，与乙方共同确认现场查验的结果。按照相关规定与乙方办理承接验收手续，移交物业共用部位、共用设施设备、共用场地以及相关资料。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（五）物业交接后，甲方未能按照物业承接查验协议的约定，及时解决存在的问题，导致人身、财产安全受到损害的，应当依法承担相应的法律责任。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（六）物业交接后，发现隐蔽工程质量问题，影响房屋结构安全和正常使用的，甲方应当负责修复；造成经济损失的，甲方应当依法承担赔偿责任。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（七）物业管理区域内按照规划建设的公共建筑和共用设施，不得改变用途。</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bCs/>
          <w:snapToGrid w:val="0"/>
          <w:kern w:val="32"/>
          <w:szCs w:val="32"/>
        </w:rPr>
      </w:pPr>
      <w:r>
        <w:rPr>
          <w:rFonts w:hint="eastAsia" w:ascii="仿宋_GB2312" w:hAnsi="宋体"/>
          <w:bCs/>
          <w:snapToGrid w:val="0"/>
          <w:kern w:val="32"/>
          <w:szCs w:val="32"/>
        </w:rPr>
        <w:t>（八）审定乙方制定的物业服务方案，监督和协助乙方履行物业服务合同。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（九）已竣工但未出售或已出售但未交付给物业买受人的物业，由甲方及时按照规定标准向乙方全额支付物业服务费等费用。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（十）甲方应配合业主向物业所在地街道办事处、乡（镇）人民政府报送筹备首次业主大会会议所需资料、提出成立业主大会的书面报告。</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（十一）甲方在本合同约定期限内提前终止合同的，应当经征得本物业管理区域专有部分面积占建筑物总面积过半数且人数占总人数过半数业主同意后，书面通知乙方之日起满三个月合同终止。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（十二）本合同提前终止的，甲方应当按照物业管理及前期物业管理招投标相关规定及时另行选聘物业服务企业，按不低于本合同约定的服务内容、服务标准执行。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u w:val="single"/>
        </w:rPr>
      </w:pPr>
      <w:r>
        <w:rPr>
          <w:rFonts w:hint="eastAsia" w:ascii="仿宋_GB2312" w:hAnsi="宋体"/>
          <w:snapToGrid w:val="0"/>
          <w:kern w:val="32"/>
          <w:szCs w:val="32"/>
        </w:rPr>
        <w:t>（十三）其他：</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（十四）法律、法规规定的其他权利义务。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第十五条</w:t>
      </w:r>
      <w:r>
        <w:rPr>
          <w:rFonts w:hint="eastAsia" w:ascii="宋体" w:hAnsi="宋体" w:eastAsia="宋体"/>
          <w:snapToGrid w:val="0"/>
          <w:kern w:val="32"/>
          <w:sz w:val="28"/>
          <w:szCs w:val="28"/>
        </w:rPr>
        <w:t xml:space="preserve"> </w:t>
      </w:r>
      <w:r>
        <w:rPr>
          <w:rFonts w:hint="eastAsia" w:ascii="仿宋_GB2312" w:hAnsi="宋体"/>
          <w:snapToGrid w:val="0"/>
          <w:kern w:val="32"/>
          <w:szCs w:val="32"/>
        </w:rPr>
        <w:t xml:space="preserve"> 乙方的权利义务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（一）乙方应当就共用设施设备的安装位置、管线走向等事项向甲方提出建议，并参与共用设施设备的安装、调试等工作。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二）在接管物业项目前，乙方必须对物业的共用部位、共用设施设备及相关场地等进行查验。与甲方委派的专业人员共同确认现场查验的结果。按照相关规定与甲方办理承接验收手续，接收物业共用部位、共用设施设备、共用场地以及相关资料。乙方应当将承接查验有关的文件、资料和记录建立档案并妥善保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（三）擅自承接未经查验的物业，因其缺陷给他人造成损害的，乙方应当承担相应的赔偿责任。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（四）未经承接验收或查验不合格的物业，乙方有权拒绝接收，直至达到具备移交条件。对符合移交条件的物业，乙方无正当理由不得拒绝接收。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（五）根据临时管理规约、本合同的约定，向业主提供对应服务内容与服务标准的物业服务，引导业主遵守约定，维护物业公共利益和管理秩序。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（六）按照国家、省、市规定的有关物业管理技术标准、行业规范以及本合同约定，开展各项物业服务活动，但不得侵害业主、非业主使用人及他人的合法权益。</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（七）</w:t>
      </w:r>
      <w:r>
        <w:rPr>
          <w:rFonts w:hint="eastAsia" w:ascii="仿宋_GB2312" w:hAnsi="宋体"/>
          <w:bCs/>
          <w:snapToGrid w:val="0"/>
          <w:kern w:val="32"/>
          <w:szCs w:val="32"/>
        </w:rPr>
        <w:t>配合各职能部门做好本物业管理区域内的房屋出租报备、违建信息报告、流动人口登记、新能源电动车充电桩安装、文明宣传等工作；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（八）乙方应当通过合法有效的方式解决拖欠物业服务费等费用的问题；业主不交纳物业服务费的，乙方可以依法向人民法院起诉或者提交仲裁委员会仲裁。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（九）乙方可以将本物业管理区域内的专项服务业务委托给专业性服务企业，并对其服务行为承担连带责任，但不得将本区域内的全部物业管理一并委托给他人。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（十）不得擅自占用和改变本物业管理区域内公共建筑和共用设施等用途。</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（十一）乙方在本合同约定期限内提前终止合同的，应当经征得本物业管理区域专有部分面积占建筑物总面积过半数且人数占总人数过半数业主同意后，书面通知甲方之日起满三个月合同终止。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（十二）本合同依法解除、协商解除、单方解除或者期满终止时,乙方应当按照有关规定和本合同约定退出本物业管理区域的物业服务，并按有关规定和本合同约定办理移交手续和项目退出手续。</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（十三）建立生活垃圾分类投放责任制和日常管理制度，并接受环境卫生主管部门的监督检查；开展生活垃圾分类知识宣传，指导、监督单位和个人分类投放生活垃圾。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十四）乙方应按照相关规定申请使用物业专项维修资金，提出维修内容、工程预算方案、施工单位及申请金额等相关事项，并按规定做好公示。乙方对物业专项维修资金申请资料的真实性和有效性，承担相应的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（十五）其他：</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（十六）法律、法规规定的其他权利义务。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宋体" w:hAnsi="宋体" w:eastAsia="宋体"/>
          <w:b/>
          <w:sz w:val="28"/>
          <w:szCs w:val="28"/>
        </w:rPr>
      </w:pPr>
    </w:p>
    <w:p>
      <w:pPr>
        <w:spacing w:line="520" w:lineRule="exact"/>
        <w:jc w:val="center"/>
        <w:rPr>
          <w:rFonts w:ascii="黑体" w:hAnsi="黑体" w:eastAsia="黑体"/>
          <w:snapToGrid w:val="0"/>
          <w:kern w:val="32"/>
          <w:szCs w:val="32"/>
        </w:rPr>
      </w:pPr>
      <w:r>
        <w:rPr>
          <w:rFonts w:hint="eastAsia" w:ascii="黑体" w:hAnsi="黑体" w:eastAsia="黑体"/>
          <w:snapToGrid w:val="0"/>
          <w:kern w:val="32"/>
          <w:szCs w:val="32"/>
        </w:rPr>
        <w:t>第六章  违约责任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宋体" w:hAnsi="宋体" w:eastAsia="宋体"/>
          <w:snapToGrid w:val="0"/>
          <w:kern w:val="32"/>
          <w:sz w:val="28"/>
          <w:szCs w:val="28"/>
        </w:rPr>
      </w:pPr>
      <w:r>
        <w:rPr>
          <w:rFonts w:hint="eastAsia" w:ascii="楷体_GB2312" w:hAnsi="宋体" w:eastAsia="楷体_GB2312"/>
          <w:b/>
          <w:bCs/>
          <w:snapToGrid w:val="0"/>
          <w:kern w:val="32"/>
          <w:szCs w:val="32"/>
        </w:rPr>
        <w:t>第十六条</w:t>
      </w:r>
      <w:r>
        <w:rPr>
          <w:rFonts w:hint="eastAsia" w:ascii="宋体" w:hAnsi="宋体" w:eastAsia="宋体"/>
          <w:b/>
          <w:snapToGrid w:val="0"/>
          <w:kern w:val="32"/>
          <w:sz w:val="28"/>
          <w:szCs w:val="28"/>
        </w:rPr>
        <w:t xml:space="preserve">  </w:t>
      </w:r>
      <w:r>
        <w:rPr>
          <w:rFonts w:hint="eastAsia" w:ascii="仿宋_GB2312" w:hAnsi="宋体"/>
          <w:snapToGrid w:val="0"/>
          <w:kern w:val="32"/>
          <w:szCs w:val="32"/>
        </w:rPr>
        <w:t>因甲方未能履行本合同约定，导致业主人身、财产安全受到损害的，由甲方依法承担法律责任。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第十七条</w:t>
      </w:r>
      <w:r>
        <w:rPr>
          <w:rFonts w:hint="eastAsia" w:ascii="宋体" w:hAnsi="宋体" w:eastAsia="宋体"/>
          <w:snapToGrid w:val="0"/>
          <w:kern w:val="32"/>
          <w:sz w:val="28"/>
          <w:szCs w:val="28"/>
        </w:rPr>
        <w:t xml:space="preserve">  </w:t>
      </w:r>
      <w:r>
        <w:rPr>
          <w:rFonts w:hint="eastAsia" w:ascii="仿宋_GB2312" w:hAnsi="宋体"/>
          <w:snapToGrid w:val="0"/>
          <w:kern w:val="32"/>
          <w:szCs w:val="32"/>
        </w:rPr>
        <w:t>因乙方原因未能履行本合同约定，导致业主人身、财产安全受到损害的，由乙方依法承担法律责任。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第十八条</w:t>
      </w:r>
      <w:r>
        <w:rPr>
          <w:rFonts w:hint="eastAsia" w:ascii="宋体" w:hAnsi="宋体" w:eastAsia="宋体"/>
          <w:b/>
          <w:snapToGrid w:val="0"/>
          <w:kern w:val="32"/>
          <w:sz w:val="28"/>
          <w:szCs w:val="28"/>
        </w:rPr>
        <w:t xml:space="preserve">  </w:t>
      </w:r>
      <w:r>
        <w:rPr>
          <w:rFonts w:hint="eastAsia" w:ascii="仿宋_GB2312" w:hAnsi="宋体"/>
          <w:snapToGrid w:val="0"/>
          <w:kern w:val="32"/>
          <w:szCs w:val="32"/>
        </w:rPr>
        <w:t>因业主（非业主使用人）原因或其他第三方行为造成损害的，由责任方依法承担法律责任。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第十九条</w:t>
      </w:r>
      <w:r>
        <w:rPr>
          <w:rFonts w:hint="eastAsia" w:ascii="宋体" w:hAnsi="宋体" w:eastAsia="宋体"/>
          <w:snapToGrid w:val="0"/>
          <w:kern w:val="32"/>
          <w:sz w:val="28"/>
          <w:szCs w:val="28"/>
        </w:rPr>
        <w:t xml:space="preserve"> </w:t>
      </w:r>
      <w:r>
        <w:rPr>
          <w:rFonts w:hint="eastAsia" w:ascii="仿宋_GB2312" w:hAnsi="宋体"/>
          <w:snapToGrid w:val="0"/>
          <w:kern w:val="32"/>
          <w:szCs w:val="32"/>
        </w:rPr>
        <w:t xml:space="preserve"> 因不可抗力造成的损失，乙方不承担相应责任。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第二十条</w:t>
      </w:r>
      <w:r>
        <w:rPr>
          <w:rFonts w:hint="eastAsia" w:ascii="宋体" w:hAnsi="宋体" w:eastAsia="宋体"/>
          <w:b/>
          <w:snapToGrid w:val="0"/>
          <w:kern w:val="32"/>
          <w:sz w:val="28"/>
          <w:szCs w:val="28"/>
        </w:rPr>
        <w:t xml:space="preserve">  </w:t>
      </w:r>
      <w:r>
        <w:rPr>
          <w:rFonts w:hint="eastAsia" w:ascii="仿宋_GB2312" w:hAnsi="宋体"/>
          <w:snapToGrid w:val="0"/>
          <w:kern w:val="32"/>
          <w:szCs w:val="32"/>
        </w:rPr>
        <w:t>乙方违反本合同的约定，擅自提高物业服务费用标准的，对超出标准的部分，业主和非业主使用人有权拒绝交纳；乙方已经收取的，业主和非业主使用人有权要求乙方返还。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宋体" w:hAnsi="宋体" w:eastAsia="宋体"/>
          <w:snapToGrid w:val="0"/>
          <w:kern w:val="32"/>
          <w:sz w:val="28"/>
          <w:szCs w:val="28"/>
        </w:rPr>
      </w:pPr>
      <w:r>
        <w:rPr>
          <w:rFonts w:hint="eastAsia" w:ascii="楷体_GB2312" w:hAnsi="宋体" w:eastAsia="楷体_GB2312"/>
          <w:b/>
          <w:bCs/>
          <w:snapToGrid w:val="0"/>
          <w:kern w:val="32"/>
          <w:szCs w:val="32"/>
        </w:rPr>
        <w:t>第二十一条</w:t>
      </w:r>
      <w:r>
        <w:rPr>
          <w:rFonts w:hint="eastAsia" w:ascii="宋体" w:hAnsi="宋体" w:eastAsia="宋体"/>
          <w:b/>
          <w:bCs/>
          <w:snapToGrid w:val="0"/>
          <w:kern w:val="32"/>
          <w:sz w:val="28"/>
          <w:szCs w:val="28"/>
        </w:rPr>
        <w:t xml:space="preserve">  </w:t>
      </w:r>
      <w:r>
        <w:rPr>
          <w:rFonts w:hint="eastAsia" w:ascii="仿宋_GB2312" w:hAnsi="宋体"/>
          <w:snapToGrid w:val="0"/>
          <w:kern w:val="32"/>
          <w:szCs w:val="32"/>
        </w:rPr>
        <w:t>本合同其他相关违约责任的约定：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（一）</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u w:val="single"/>
          <w:lang w:eastAsia="zh-CN"/>
        </w:rPr>
        <w:t>低于</w:t>
      </w:r>
      <w:r>
        <w:rPr>
          <w:rFonts w:hint="eastAsia" w:ascii="仿宋_GB2312" w:hAnsi="宋体" w:cs="宋体"/>
          <w:snapToGrid w:val="0"/>
          <w:kern w:val="32"/>
          <w:szCs w:val="32"/>
          <w:u w:val="single"/>
          <w:lang w:val="en-US" w:eastAsia="zh-CN"/>
        </w:rPr>
        <w:t>60分或信用分级管理直接实行‘一票否决’的企业，其所管理的小区在履约评价中排名后10%，可终止本项目的物业服务</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（二）</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cs="宋体"/>
          <w:snapToGrid w:val="0"/>
          <w:kern w:val="32"/>
          <w:szCs w:val="32"/>
        </w:rPr>
      </w:pPr>
      <w:r>
        <w:rPr>
          <w:rFonts w:hint="eastAsia" w:ascii="仿宋_GB2312" w:hAnsi="宋体"/>
          <w:snapToGrid w:val="0"/>
          <w:kern w:val="32"/>
          <w:szCs w:val="32"/>
        </w:rPr>
        <w:t>（三）</w:t>
      </w:r>
      <w:r>
        <w:rPr>
          <w:rFonts w:hint="eastAsia" w:ascii="仿宋_GB2312" w:hAnsi="宋体" w:cs="宋体"/>
          <w:snapToGrid w:val="0"/>
          <w:kern w:val="32"/>
          <w:szCs w:val="32"/>
          <w:u w:val="single"/>
        </w:rPr>
        <w:t xml:space="preserve">                                         </w:t>
      </w:r>
      <w:r>
        <w:rPr>
          <w:rFonts w:hint="eastAsia" w:ascii="仿宋_GB2312" w:hAnsi="宋体" w:cs="宋体"/>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宋体" w:hAnsi="宋体" w:eastAsia="宋体"/>
          <w:snapToGrid w:val="0"/>
          <w:kern w:val="32"/>
          <w:sz w:val="28"/>
          <w:szCs w:val="28"/>
        </w:rPr>
      </w:pPr>
    </w:p>
    <w:p>
      <w:pPr>
        <w:spacing w:line="520" w:lineRule="exact"/>
        <w:jc w:val="center"/>
        <w:rPr>
          <w:rFonts w:ascii="黑体" w:hAnsi="黑体" w:eastAsia="黑体"/>
          <w:snapToGrid w:val="0"/>
          <w:kern w:val="32"/>
          <w:szCs w:val="32"/>
        </w:rPr>
      </w:pPr>
      <w:r>
        <w:rPr>
          <w:rFonts w:ascii="黑体" w:hAnsi="黑体" w:eastAsia="黑体"/>
          <w:snapToGrid w:val="0"/>
          <w:kern w:val="32"/>
          <w:szCs w:val="32"/>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772160</wp:posOffset>
                </wp:positionV>
                <wp:extent cx="114300" cy="198120"/>
                <wp:effectExtent l="0" t="635" r="0" b="127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300" cy="198120"/>
                        </a:xfrm>
                        <a:prstGeom prst="rect">
                          <a:avLst/>
                        </a:prstGeom>
                        <a:noFill/>
                        <a:ln>
                          <a:noFill/>
                        </a:ln>
                      </wps:spPr>
                      <wps:txbx>
                        <w:txbxContent>
                          <w:p>
                            <w:pPr>
                              <w:pStyle w:val="19"/>
                              <w:rPr>
                                <w:rStyle w:val="31"/>
                                <w:sz w:val="28"/>
                                <w:szCs w:val="28"/>
                              </w:rPr>
                            </w:pPr>
                            <w:r>
                              <w:rPr>
                                <w:rStyle w:val="31"/>
                                <w:sz w:val="28"/>
                                <w:szCs w:val="28"/>
                              </w:rPr>
                              <w:t>- 12 -</w:t>
                            </w:r>
                          </w:p>
                          <w:p>
                            <w:pPr>
                              <w:rPr>
                                <w:rFonts w:ascii="宋体" w:hAnsi="宋体"/>
                                <w:b/>
                              </w:rPr>
                            </w:pPr>
                          </w:p>
                        </w:txbxContent>
                      </wps:txbx>
                      <wps:bodyPr rot="0" vert="horz" wrap="square" lIns="91440" tIns="45720" rIns="91440" bIns="45720" anchor="t" anchorCtr="0" upright="1">
                        <a:noAutofit/>
                      </wps:bodyPr>
                    </wps:wsp>
                  </a:graphicData>
                </a:graphic>
              </wp:anchor>
            </w:drawing>
          </mc:Choice>
          <mc:Fallback>
            <w:pict>
              <v:shape id="文本框 6" o:spid="_x0000_s1026" o:spt="202" type="#_x0000_t202" style="position:absolute;left:0pt;margin-left:-126pt;margin-top:60.8pt;height:15.6pt;width:9pt;z-index:251665408;mso-width-relative:page;mso-height-relative:page;" filled="f" stroked="f" coordsize="21600,21600" o:gfxdata="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C1b2AAAAA0BAAAPAAAA&#10;AAAAAAEAIAAAACIAAABkcnMvZG93bnJldi54bWxQSwECFAAUAAAACACHTuJAtmXsdhUCAAAUBAAA&#10;DgAAAAAAAAABACAAAAAnAQAAZHJzL2Uyb0RvYy54bWxQSwUGAAAAAAYABgBZAQAArgUAAAAA&#10;">
                <v:fill on="f" focussize="0,0"/>
                <v:stroke on="f"/>
                <v:imagedata o:title=""/>
                <o:lock v:ext="edit" aspectratio="f"/>
                <v:textbox>
                  <w:txbxContent>
                    <w:p>
                      <w:pPr>
                        <w:pStyle w:val="19"/>
                        <w:rPr>
                          <w:rStyle w:val="31"/>
                          <w:sz w:val="28"/>
                          <w:szCs w:val="28"/>
                        </w:rPr>
                      </w:pPr>
                      <w:r>
                        <w:rPr>
                          <w:rStyle w:val="31"/>
                          <w:sz w:val="28"/>
                          <w:szCs w:val="28"/>
                        </w:rPr>
                        <w:t>- 12 -</w:t>
                      </w:r>
                    </w:p>
                    <w:p>
                      <w:pPr>
                        <w:rPr>
                          <w:rFonts w:ascii="宋体" w:hAnsi="宋体"/>
                          <w:b/>
                        </w:rPr>
                      </w:pPr>
                    </w:p>
                  </w:txbxContent>
                </v:textbox>
              </v:shape>
            </w:pict>
          </mc:Fallback>
        </mc:AlternateContent>
      </w:r>
      <w:r>
        <w:rPr>
          <w:rFonts w:hint="eastAsia" w:ascii="黑体" w:hAnsi="黑体" w:eastAsia="黑体"/>
          <w:snapToGrid w:val="0"/>
          <w:kern w:val="32"/>
          <w:szCs w:val="32"/>
        </w:rPr>
        <w:t>第七章  其他事项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 xml:space="preserve">第二十二条 </w:t>
      </w:r>
      <w:r>
        <w:rPr>
          <w:rFonts w:hint="eastAsia" w:ascii="宋体" w:hAnsi="宋体" w:eastAsia="宋体"/>
          <w:snapToGrid w:val="0"/>
          <w:kern w:val="32"/>
          <w:sz w:val="28"/>
          <w:szCs w:val="28"/>
        </w:rPr>
        <w:t xml:space="preserve"> </w:t>
      </w:r>
      <w:r>
        <w:rPr>
          <w:rFonts w:hint="eastAsia" w:ascii="仿宋_GB2312" w:hAnsi="宋体"/>
          <w:snapToGrid w:val="0"/>
          <w:kern w:val="32"/>
          <w:szCs w:val="32"/>
        </w:rPr>
        <w:t>本合同期限按下述方式确定：</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本项目前期物业服务合同的期限为：</w:t>
      </w:r>
      <w:r>
        <w:rPr>
          <w:rFonts w:hint="eastAsia" w:ascii="仿宋_GB2312" w:hAnsi="宋体" w:cs="宋体"/>
          <w:snapToGrid w:val="0"/>
          <w:kern w:val="32"/>
          <w:szCs w:val="32"/>
        </w:rPr>
        <w:t>自本合同签订生效之日起</w:t>
      </w:r>
      <w:r>
        <w:rPr>
          <w:rFonts w:hint="eastAsia" w:ascii="仿宋_GB2312" w:hAnsi="宋体"/>
          <w:snapToGrid w:val="0"/>
          <w:kern w:val="32"/>
          <w:szCs w:val="32"/>
        </w:rPr>
        <w:t>至业主委员会（或社区居委会）代表业主、业主大会选聘的物业服务企业签订物业服务合同生效之日时止。首届业主委员会成立后（或社区居委会）提出终止前期物业服务合同的，经业主大会批准后，前期物业服务合同终止，前期物业服务企业应及时与业主委员会（或社区居委会）做好移交工作（包括由前期开办费用所购置的各类物业管理设备用具进行移交）。</w:t>
      </w:r>
    </w:p>
    <w:p>
      <w:pPr>
        <w:tabs>
          <w:tab w:val="left" w:pos="2340"/>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第二十三条</w:t>
      </w:r>
      <w:r>
        <w:rPr>
          <w:rFonts w:hint="eastAsia" w:ascii="宋体" w:hAnsi="宋体" w:eastAsia="宋体"/>
          <w:b/>
          <w:snapToGrid w:val="0"/>
          <w:kern w:val="32"/>
          <w:sz w:val="28"/>
          <w:szCs w:val="28"/>
        </w:rPr>
        <w:t xml:space="preserve">  </w:t>
      </w:r>
      <w:r>
        <w:rPr>
          <w:rFonts w:hint="eastAsia" w:ascii="仿宋_GB2312" w:hAnsi="宋体"/>
          <w:snapToGrid w:val="0"/>
          <w:kern w:val="32"/>
          <w:szCs w:val="32"/>
        </w:rPr>
        <w:t>非业主使用人在物业管理活动中的权利义务由业主和非业主使用人约定，但不得违反法律、法规和临时管理规约的有关规定。非业主使用人违反相关规定，有关业主承担相应连带责任。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第二十四条</w:t>
      </w:r>
      <w:r>
        <w:rPr>
          <w:rFonts w:ascii="楷体_GB2312" w:hAnsi="宋体" w:eastAsia="楷体_GB2312"/>
          <w:b/>
          <w:bCs/>
          <w:snapToGrid w:val="0"/>
          <w:kern w:val="32"/>
          <w:szCs w:val="32"/>
        </w:rPr>
        <mc:AlternateContent>
          <mc:Choice Requires="wps">
            <w:drawing>
              <wp:anchor distT="0" distB="0" distL="114300" distR="114300" simplePos="0" relativeHeight="251666432" behindDoc="0" locked="0" layoutInCell="1" allowOverlap="1">
                <wp:simplePos x="0" y="0"/>
                <wp:positionH relativeFrom="column">
                  <wp:posOffset>9601200</wp:posOffset>
                </wp:positionH>
                <wp:positionV relativeFrom="paragraph">
                  <wp:posOffset>116840</wp:posOffset>
                </wp:positionV>
                <wp:extent cx="228600" cy="365760"/>
                <wp:effectExtent l="0" t="2540" r="0" b="3175"/>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28600" cy="365760"/>
                        </a:xfrm>
                        <a:prstGeom prst="rect">
                          <a:avLst/>
                        </a:prstGeom>
                        <a:noFill/>
                        <a:ln>
                          <a:noFill/>
                        </a:ln>
                      </wps:spPr>
                      <wps:txbx>
                        <w:txbxContent>
                          <w:p>
                            <w:pPr>
                              <w:pStyle w:val="19"/>
                              <w:rPr>
                                <w:rStyle w:val="31"/>
                                <w:sz w:val="28"/>
                                <w:szCs w:val="28"/>
                              </w:rPr>
                            </w:pPr>
                            <w:r>
                              <w:rPr>
                                <w:rStyle w:val="31"/>
                                <w:sz w:val="28"/>
                                <w:szCs w:val="28"/>
                              </w:rPr>
                              <w:t>- 13 -</w:t>
                            </w:r>
                          </w:p>
                          <w:p>
                            <w:pPr>
                              <w:rPr>
                                <w:rFonts w:ascii="宋体" w:hAnsi="宋体"/>
                                <w:b/>
                              </w:rPr>
                            </w:pP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756pt;margin-top:9.2pt;height:28.8pt;width:18pt;z-index:251666432;mso-width-relative:page;mso-height-relative:page;" filled="f" stroked="f" coordsize="21600,21600" o:gfxdata="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yzy7/XAAAACwEAAA8AAAAA&#10;AAAAAQAgAAAAIgAAAGRycy9kb3ducmV2LnhtbFBLAQIUABQAAAAIAIdO4kAWI0TZFQIAABQEAAAO&#10;AAAAAAAAAAEAIAAAACYBAABkcnMvZTJvRG9jLnhtbFBLBQYAAAAABgAGAFkBAACtBQAAAAA=&#10;">
                <v:fill on="f" focussize="0,0"/>
                <v:stroke on="f"/>
                <v:imagedata o:title=""/>
                <o:lock v:ext="edit" aspectratio="f"/>
                <v:textbox>
                  <w:txbxContent>
                    <w:p>
                      <w:pPr>
                        <w:pStyle w:val="19"/>
                        <w:rPr>
                          <w:rStyle w:val="31"/>
                          <w:sz w:val="28"/>
                          <w:szCs w:val="28"/>
                        </w:rPr>
                      </w:pPr>
                      <w:r>
                        <w:rPr>
                          <w:rStyle w:val="31"/>
                          <w:sz w:val="28"/>
                          <w:szCs w:val="28"/>
                        </w:rPr>
                        <w:t>- 13 -</w:t>
                      </w:r>
                    </w:p>
                    <w:p>
                      <w:pPr>
                        <w:rPr>
                          <w:rFonts w:ascii="宋体" w:hAnsi="宋体"/>
                          <w:b/>
                        </w:rPr>
                      </w:pPr>
                    </w:p>
                  </w:txbxContent>
                </v:textbox>
              </v:shape>
            </w:pict>
          </mc:Fallback>
        </mc:AlternateContent>
      </w:r>
      <w:r>
        <w:rPr>
          <w:rFonts w:hint="eastAsia" w:ascii="楷体_GB2312" w:hAnsi="宋体" w:eastAsia="楷体_GB2312"/>
          <w:b/>
          <w:bCs/>
          <w:snapToGrid w:val="0"/>
          <w:kern w:val="32"/>
          <w:szCs w:val="32"/>
        </w:rPr>
        <w:t xml:space="preserve">  </w:t>
      </w:r>
      <w:r>
        <w:rPr>
          <w:rFonts w:hint="eastAsia" w:ascii="仿宋_GB2312" w:hAnsi="宋体"/>
          <w:snapToGrid w:val="0"/>
          <w:kern w:val="32"/>
          <w:szCs w:val="32"/>
        </w:rPr>
        <w:t>本合同的附件与合同具有同等法律效力。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宋体" w:hAnsi="宋体" w:eastAsia="宋体"/>
          <w:snapToGrid w:val="0"/>
          <w:kern w:val="32"/>
          <w:sz w:val="28"/>
          <w:szCs w:val="28"/>
        </w:rPr>
      </w:pPr>
      <w:r>
        <w:rPr>
          <w:rFonts w:hint="eastAsia" w:ascii="楷体_GB2312" w:hAnsi="宋体" w:eastAsia="楷体_GB2312"/>
          <w:b/>
          <w:bCs/>
          <w:snapToGrid w:val="0"/>
          <w:kern w:val="32"/>
          <w:szCs w:val="32"/>
        </w:rPr>
        <w:t>第二十五条</w:t>
      </w:r>
      <w:r>
        <w:rPr>
          <w:rFonts w:hint="eastAsia" w:ascii="宋体" w:hAnsi="宋体" w:eastAsia="宋体"/>
          <w:b/>
          <w:snapToGrid w:val="0"/>
          <w:kern w:val="32"/>
          <w:sz w:val="28"/>
          <w:szCs w:val="28"/>
        </w:rPr>
        <w:t xml:space="preserve">  </w:t>
      </w:r>
      <w:r>
        <w:rPr>
          <w:rFonts w:hint="eastAsia" w:ascii="仿宋_GB2312" w:hAnsi="宋体"/>
          <w:snapToGrid w:val="0"/>
          <w:kern w:val="32"/>
          <w:szCs w:val="32"/>
        </w:rPr>
        <w:t xml:space="preserve">本合同自签订之日起生效，未尽事宜，双方可另行签订补充协议，并作为合同附件。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第二十六条</w:t>
      </w:r>
      <w:r>
        <w:rPr>
          <w:rFonts w:hint="eastAsia" w:ascii="宋体" w:hAnsi="宋体" w:eastAsia="宋体"/>
          <w:b/>
          <w:snapToGrid w:val="0"/>
          <w:kern w:val="32"/>
          <w:sz w:val="28"/>
          <w:szCs w:val="28"/>
        </w:rPr>
        <w:t xml:space="preserve">  </w:t>
      </w:r>
      <w:r>
        <w:rPr>
          <w:rFonts w:hint="eastAsia" w:ascii="仿宋_GB2312" w:hAnsi="宋体"/>
          <w:snapToGrid w:val="0"/>
          <w:kern w:val="32"/>
          <w:szCs w:val="32"/>
        </w:rPr>
        <w:t>本合同在履行中发生争议，由双方协商解决，协商不成，双方可选择以下第   种方式处理：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、依法向人民法院起诉；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、提交</w:t>
      </w:r>
      <w:r>
        <w:rPr>
          <w:rFonts w:hint="eastAsia" w:ascii="仿宋_GB2312" w:hAnsi="宋体"/>
          <w:snapToGrid w:val="0"/>
          <w:kern w:val="32"/>
          <w:szCs w:val="32"/>
          <w:u w:val="single"/>
        </w:rPr>
        <w:t xml:space="preserve">     </w:t>
      </w:r>
      <w:r>
        <w:rPr>
          <w:rFonts w:hint="eastAsia" w:ascii="仿宋_GB2312" w:hAnsi="宋体"/>
          <w:snapToGrid w:val="0"/>
          <w:kern w:val="32"/>
          <w:szCs w:val="32"/>
        </w:rPr>
        <w:t>仲裁委员会仲裁。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楷体_GB2312" w:hAnsi="宋体" w:eastAsia="楷体_GB2312"/>
          <w:b/>
          <w:bCs/>
          <w:snapToGrid w:val="0"/>
          <w:kern w:val="32"/>
          <w:szCs w:val="32"/>
        </w:rPr>
        <w:t>第二十七条</w:t>
      </w:r>
      <w:r>
        <w:rPr>
          <w:rFonts w:hint="eastAsia" w:ascii="宋体" w:hAnsi="宋体" w:eastAsia="宋体"/>
          <w:b/>
          <w:snapToGrid w:val="0"/>
          <w:kern w:val="32"/>
          <w:sz w:val="28"/>
          <w:szCs w:val="28"/>
        </w:rPr>
        <w:t xml:space="preserve">  </w:t>
      </w:r>
      <w:r>
        <w:rPr>
          <w:rFonts w:hint="eastAsia" w:ascii="仿宋_GB2312" w:hAnsi="宋体"/>
          <w:snapToGrid w:val="0"/>
          <w:kern w:val="32"/>
          <w:szCs w:val="32"/>
        </w:rPr>
        <w:t>本合同一式</w:t>
      </w:r>
      <w:r>
        <w:rPr>
          <w:rFonts w:hint="eastAsia" w:ascii="仿宋_GB2312" w:hAnsi="宋体"/>
          <w:snapToGrid w:val="0"/>
          <w:kern w:val="32"/>
          <w:szCs w:val="32"/>
          <w:u w:val="single"/>
        </w:rPr>
        <w:t xml:space="preserve">    </w:t>
      </w:r>
      <w:r>
        <w:rPr>
          <w:rFonts w:hint="eastAsia" w:ascii="仿宋_GB2312" w:hAnsi="宋体"/>
          <w:snapToGrid w:val="0"/>
          <w:kern w:val="32"/>
          <w:szCs w:val="32"/>
        </w:rPr>
        <w:t>份，甲、乙双方各执</w:t>
      </w:r>
      <w:r>
        <w:rPr>
          <w:rFonts w:hint="eastAsia" w:ascii="仿宋_GB2312" w:hAnsi="宋体"/>
          <w:snapToGrid w:val="0"/>
          <w:kern w:val="32"/>
          <w:szCs w:val="32"/>
          <w:u w:val="single"/>
        </w:rPr>
        <w:t xml:space="preserve">    </w:t>
      </w:r>
      <w:r>
        <w:rPr>
          <w:rFonts w:hint="eastAsia" w:ascii="仿宋_GB2312" w:hAnsi="宋体"/>
          <w:snapToGrid w:val="0"/>
          <w:kern w:val="32"/>
          <w:szCs w:val="32"/>
        </w:rPr>
        <w:t>份，报物业项目所在地街道办事处（乡镇人民政府）、区（县）物业主管部门各一份备案。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552" w:firstLineChars="200"/>
        <w:rPr>
          <w:rFonts w:ascii="宋体" w:hAnsi="宋体" w:eastAsia="宋体" w:cs="宋体"/>
          <w:snapToGrid w:val="0"/>
          <w:kern w:val="32"/>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附件：</w:t>
      </w:r>
      <w:r>
        <w:rPr>
          <w:snapToGrid w:val="0"/>
          <w:kern w:val="32"/>
          <w:szCs w:val="32"/>
        </w:rPr>
        <w:t>1</w:t>
      </w:r>
      <w:r>
        <w:rPr>
          <w:rFonts w:hint="eastAsia" w:ascii="仿宋_GB2312" w:hAnsi="宋体"/>
          <w:snapToGrid w:val="0"/>
          <w:kern w:val="32"/>
          <w:szCs w:val="32"/>
        </w:rPr>
        <w:t>．物业管理区域划分意见书或规划平面图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1580" w:firstLineChars="5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．物业构成明细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1580" w:firstLineChars="500"/>
        <w:rPr>
          <w:rFonts w:ascii="仿宋_GB2312" w:hAnsi="宋体"/>
          <w:snapToGrid w:val="0"/>
          <w:kern w:val="32"/>
          <w:szCs w:val="32"/>
        </w:rPr>
      </w:pPr>
      <w:r>
        <w:rPr>
          <w:rFonts w:hint="eastAsia"/>
          <w:snapToGrid w:val="0"/>
          <w:kern w:val="32"/>
          <w:szCs w:val="32"/>
        </w:rPr>
        <w:t>3</w:t>
      </w:r>
      <w:r>
        <w:rPr>
          <w:rFonts w:hint="eastAsia" w:ascii="仿宋_GB2312" w:hAnsi="宋体"/>
          <w:snapToGrid w:val="0"/>
          <w:kern w:val="32"/>
          <w:szCs w:val="32"/>
        </w:rPr>
        <w:t>．物业承接查验协议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1580" w:firstLineChars="500"/>
        <w:rPr>
          <w:rFonts w:ascii="仿宋_GB2312" w:hAnsi="宋体"/>
          <w:snapToGrid w:val="0"/>
          <w:kern w:val="32"/>
          <w:szCs w:val="32"/>
        </w:rPr>
      </w:pPr>
      <w:r>
        <w:rPr>
          <w:rFonts w:hint="eastAsia"/>
          <w:snapToGrid w:val="0"/>
          <w:kern w:val="32"/>
          <w:szCs w:val="32"/>
        </w:rPr>
        <w:t>4</w:t>
      </w:r>
      <w:r>
        <w:rPr>
          <w:rFonts w:hint="eastAsia" w:ascii="仿宋_GB2312" w:hAnsi="宋体"/>
          <w:snapToGrid w:val="0"/>
          <w:kern w:val="32"/>
          <w:szCs w:val="32"/>
        </w:rPr>
        <w:t>．物业服务内容与服务标准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1580" w:firstLineChars="500"/>
        <w:rPr>
          <w:rFonts w:ascii="仿宋_GB2312" w:hAnsi="宋体"/>
          <w:snapToGrid w:val="0"/>
          <w:kern w:val="32"/>
          <w:szCs w:val="32"/>
        </w:rPr>
      </w:pPr>
      <w:r>
        <w:rPr>
          <w:rFonts w:hint="eastAsia"/>
          <w:snapToGrid w:val="0"/>
          <w:kern w:val="32"/>
          <w:szCs w:val="32"/>
        </w:rPr>
        <w:t>5</w:t>
      </w:r>
      <w:r>
        <w:rPr>
          <w:rFonts w:hint="eastAsia" w:ascii="仿宋_GB2312" w:hAnsi="宋体"/>
          <w:snapToGrid w:val="0"/>
          <w:kern w:val="32"/>
          <w:szCs w:val="32"/>
        </w:rPr>
        <w:t>．公共能耗费分摊办法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1580" w:firstLineChars="500"/>
        <w:rPr>
          <w:rFonts w:ascii="仿宋_GB2312" w:hAnsi="宋体"/>
          <w:snapToGrid w:val="0"/>
          <w:kern w:val="32"/>
          <w:szCs w:val="32"/>
        </w:rPr>
      </w:pPr>
      <w:r>
        <w:rPr>
          <w:rFonts w:hint="eastAsia"/>
          <w:snapToGrid w:val="0"/>
          <w:kern w:val="32"/>
          <w:szCs w:val="32"/>
        </w:rPr>
        <w:t>6</w:t>
      </w:r>
      <w:r>
        <w:rPr>
          <w:rFonts w:hint="eastAsia" w:ascii="仿宋_GB2312" w:hAnsi="宋体"/>
          <w:snapToGrid w:val="0"/>
          <w:kern w:val="32"/>
          <w:szCs w:val="32"/>
        </w:rPr>
        <w:t>．前期物业管理招标文件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1580" w:firstLineChars="500"/>
        <w:rPr>
          <w:rFonts w:ascii="仿宋_GB2312" w:hAnsi="宋体"/>
          <w:snapToGrid w:val="0"/>
          <w:kern w:val="32"/>
          <w:szCs w:val="32"/>
        </w:rPr>
      </w:pPr>
      <w:r>
        <w:rPr>
          <w:rFonts w:hint="eastAsia"/>
          <w:snapToGrid w:val="0"/>
          <w:kern w:val="32"/>
          <w:szCs w:val="32"/>
        </w:rPr>
        <w:t>7</w:t>
      </w:r>
      <w:r>
        <w:rPr>
          <w:rFonts w:hint="eastAsia" w:ascii="仿宋_GB2312" w:hAnsi="宋体"/>
          <w:snapToGrid w:val="0"/>
          <w:kern w:val="32"/>
          <w:szCs w:val="32"/>
        </w:rPr>
        <w:t>．前期物业管理投标书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552" w:firstLineChars="200"/>
        <w:rPr>
          <w:rFonts w:ascii="宋体" w:hAnsi="宋体" w:eastAsia="宋体"/>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552" w:firstLineChars="200"/>
        <w:rPr>
          <w:rFonts w:ascii="宋体" w:hAnsi="宋体" w:eastAsia="宋体"/>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hAnsi="宋体"/>
          <w:szCs w:val="32"/>
        </w:rPr>
      </w:pPr>
      <w:r>
        <w:rPr>
          <w:rFonts w:hint="eastAsia" w:ascii="仿宋_GB2312" w:hAnsi="宋体"/>
          <w:szCs w:val="32"/>
        </w:rPr>
        <w:t>甲方（签章）                      乙方（签章）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仿宋_GB2312" w:hAnsi="宋体"/>
          <w:szCs w:val="32"/>
        </w:rPr>
      </w:pPr>
      <w:r>
        <w:rPr>
          <w:rFonts w:hint="eastAsia" w:ascii="仿宋_GB2312" w:hAnsi="宋体"/>
          <w:szCs w:val="32"/>
        </w:rPr>
        <w:t>法定代表人                        法定代表人</w:t>
      </w:r>
    </w:p>
    <w:p>
      <w:pPr>
        <w:tabs>
          <w:tab w:val="left" w:pos="7584"/>
        </w:tabs>
        <w:spacing w:line="520" w:lineRule="exact"/>
        <w:ind w:firstLine="632" w:firstLineChars="200"/>
        <w:jc w:val="center"/>
        <w:rPr>
          <w:rFonts w:ascii="仿宋_GB2312" w:hAnsi="宋体"/>
          <w:szCs w:val="32"/>
        </w:rPr>
      </w:pPr>
      <w:r>
        <w:rPr>
          <w:rFonts w:hint="eastAsia" w:ascii="仿宋_GB2312" w:hAnsi="宋体"/>
          <w:szCs w:val="32"/>
          <w:u w:val="single"/>
        </w:rPr>
        <w:t xml:space="preserve">       </w:t>
      </w:r>
      <w:r>
        <w:rPr>
          <w:rFonts w:hint="eastAsia" w:ascii="仿宋_GB2312" w:hAnsi="宋体"/>
          <w:szCs w:val="32"/>
        </w:rPr>
        <w:t>年</w:t>
      </w:r>
      <w:r>
        <w:rPr>
          <w:rFonts w:hint="eastAsia" w:ascii="仿宋_GB2312" w:hAnsi="宋体"/>
          <w:szCs w:val="32"/>
          <w:u w:val="single"/>
        </w:rPr>
        <w:t xml:space="preserve">   </w:t>
      </w:r>
      <w:r>
        <w:rPr>
          <w:rFonts w:hint="eastAsia" w:ascii="仿宋_GB2312" w:hAnsi="宋体"/>
          <w:szCs w:val="32"/>
        </w:rPr>
        <w:t>月</w:t>
      </w:r>
      <w:r>
        <w:rPr>
          <w:rFonts w:hint="eastAsia" w:ascii="仿宋_GB2312" w:hAnsi="宋体"/>
          <w:szCs w:val="32"/>
          <w:u w:val="single"/>
        </w:rPr>
        <w:t xml:space="preserve">    </w:t>
      </w:r>
      <w:r>
        <w:rPr>
          <w:rFonts w:hint="eastAsia" w:ascii="仿宋_GB2312" w:hAnsi="宋体"/>
          <w:szCs w:val="32"/>
        </w:rPr>
        <w:t xml:space="preserve">日        </w:t>
      </w:r>
      <w:r>
        <w:rPr>
          <w:rFonts w:hint="eastAsia" w:ascii="仿宋_GB2312" w:hAnsi="宋体"/>
          <w:szCs w:val="32"/>
          <w:u w:val="single"/>
        </w:rPr>
        <w:t xml:space="preserve">       </w:t>
      </w:r>
      <w:r>
        <w:rPr>
          <w:rFonts w:hint="eastAsia" w:ascii="仿宋_GB2312" w:hAnsi="宋体"/>
          <w:szCs w:val="32"/>
        </w:rPr>
        <w:t>年</w:t>
      </w:r>
      <w:r>
        <w:rPr>
          <w:rFonts w:hint="eastAsia" w:ascii="仿宋_GB2312" w:hAnsi="宋体"/>
          <w:szCs w:val="32"/>
          <w:u w:val="single"/>
        </w:rPr>
        <w:t xml:space="preserve">    </w:t>
      </w:r>
      <w:r>
        <w:rPr>
          <w:rFonts w:hint="eastAsia" w:ascii="仿宋_GB2312" w:hAnsi="宋体"/>
          <w:szCs w:val="32"/>
        </w:rPr>
        <w:t>月</w:t>
      </w:r>
      <w:r>
        <w:rPr>
          <w:rFonts w:hint="eastAsia" w:ascii="仿宋_GB2312" w:hAnsi="宋体"/>
          <w:szCs w:val="32"/>
          <w:u w:val="single"/>
        </w:rPr>
        <w:t xml:space="preserve">     </w:t>
      </w:r>
      <w:r>
        <w:rPr>
          <w:rFonts w:hint="eastAsia" w:ascii="仿宋_GB2312" w:hAnsi="宋体"/>
          <w:szCs w:val="32"/>
        </w:rPr>
        <w:t>日</w:t>
      </w:r>
    </w:p>
    <w:p>
      <w:pPr>
        <w:widowControl/>
        <w:jc w:val="left"/>
        <w:rPr>
          <w:rFonts w:ascii="仿宋_GB2312" w:hAnsi="宋体"/>
          <w:szCs w:val="32"/>
        </w:rPr>
      </w:pPr>
      <w:r>
        <w:rPr>
          <w:rFonts w:hint="eastAsia" w:ascii="仿宋_GB2312" w:hAnsi="宋体"/>
          <w:szCs w:val="32"/>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rPr>
          <w:rFonts w:ascii="黑体" w:hAnsi="黑体" w:eastAsia="黑体"/>
          <w:szCs w:val="32"/>
        </w:rPr>
      </w:pPr>
      <w:r>
        <w:rPr>
          <w:rFonts w:hint="eastAsia" w:ascii="黑体" w:hAnsi="黑体" w:eastAsia="黑体"/>
          <w:szCs w:val="32"/>
        </w:rPr>
        <w:t>附件1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宋体" w:hAnsi="宋体" w:eastAsia="宋体"/>
          <w:b/>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cs="仿宋"/>
          <w:snapToGrid w:val="0"/>
          <w:kern w:val="0"/>
          <w:sz w:val="44"/>
          <w:szCs w:val="44"/>
        </w:rPr>
        <w:t>物业管理区域划分意见书或规划平面图</w:t>
      </w:r>
    </w:p>
    <w:p>
      <w:pPr>
        <w:widowControl/>
        <w:jc w:val="left"/>
        <w:rPr>
          <w:rFonts w:ascii="宋体" w:hAnsi="宋体" w:eastAsia="宋体"/>
          <w:b/>
          <w:sz w:val="28"/>
          <w:szCs w:val="28"/>
        </w:rPr>
      </w:pPr>
      <w:r>
        <w:rPr>
          <w:rFonts w:ascii="宋体" w:hAnsi="宋体" w:eastAsia="宋体"/>
          <w:b/>
          <w:sz w:val="28"/>
          <w:szCs w:val="28"/>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40" w:lineRule="exact"/>
        <w:rPr>
          <w:rFonts w:ascii="黑体" w:hAnsi="黑体" w:eastAsia="黑体"/>
          <w:szCs w:val="32"/>
        </w:rPr>
      </w:pPr>
      <w:r>
        <w:rPr>
          <w:rFonts w:hint="eastAsia" w:ascii="黑体" w:hAnsi="黑体" w:eastAsia="黑体"/>
          <w:szCs w:val="32"/>
        </w:rPr>
        <w:t>附件2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40" w:lineRule="exact"/>
        <w:rPr>
          <w:rFonts w:ascii="黑体" w:hAnsi="黑体" w:eastAsia="黑体"/>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40" w:lineRule="exact"/>
        <w:jc w:val="center"/>
        <w:rPr>
          <w:rFonts w:ascii="方正小标宋简体" w:hAnsi="宋体" w:eastAsia="方正小标宋简体" w:cs="仿宋"/>
          <w:snapToGrid w:val="0"/>
          <w:kern w:val="0"/>
          <w:sz w:val="44"/>
          <w:szCs w:val="44"/>
        </w:rPr>
      </w:pPr>
      <w:r>
        <w:rPr>
          <w:rFonts w:hint="eastAsia" w:ascii="方正小标宋简体" w:hAnsi="宋体" w:eastAsia="方正小标宋简体" w:cs="仿宋"/>
          <w:snapToGrid w:val="0"/>
          <w:kern w:val="0"/>
          <w:sz w:val="44"/>
          <w:szCs w:val="44"/>
        </w:rPr>
        <w:t>物业构成明细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40" w:lineRule="exact"/>
        <w:jc w:val="center"/>
        <w:rPr>
          <w:rFonts w:ascii="宋体" w:hAnsi="宋体" w:eastAsia="宋体"/>
          <w:b/>
          <w:sz w:val="28"/>
          <w:szCs w:val="28"/>
        </w:rPr>
      </w:pPr>
    </w:p>
    <w:tbl>
      <w:tblPr>
        <w:tblStyle w:val="28"/>
        <w:tblW w:w="900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926"/>
        <w:gridCol w:w="2161"/>
        <w:gridCol w:w="26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类  型</w:t>
            </w:r>
          </w:p>
        </w:tc>
        <w:tc>
          <w:tcPr>
            <w:tcW w:w="926" w:type="dxa"/>
            <w:vAlign w:val="center"/>
          </w:tcPr>
          <w:p>
            <w:pPr>
              <w:jc w:val="center"/>
              <w:rPr>
                <w:rFonts w:ascii="宋体" w:hAnsi="宋体" w:eastAsia="宋体"/>
                <w:sz w:val="30"/>
                <w:szCs w:val="30"/>
              </w:rPr>
            </w:pPr>
            <w:r>
              <w:rPr>
                <w:rFonts w:hint="eastAsia" w:ascii="宋体" w:hAnsi="宋体" w:eastAsia="宋体"/>
                <w:sz w:val="30"/>
                <w:szCs w:val="30"/>
              </w:rPr>
              <w:t>幢数</w:t>
            </w:r>
          </w:p>
        </w:tc>
        <w:tc>
          <w:tcPr>
            <w:tcW w:w="2161" w:type="dxa"/>
            <w:vAlign w:val="center"/>
          </w:tcPr>
          <w:p>
            <w:pPr>
              <w:jc w:val="center"/>
              <w:rPr>
                <w:rFonts w:ascii="宋体" w:hAnsi="宋体" w:eastAsia="宋体"/>
                <w:sz w:val="30"/>
                <w:szCs w:val="30"/>
              </w:rPr>
            </w:pPr>
            <w:r>
              <w:rPr>
                <w:rFonts w:hint="eastAsia" w:ascii="宋体" w:hAnsi="宋体" w:eastAsia="宋体"/>
                <w:sz w:val="30"/>
                <w:szCs w:val="30"/>
              </w:rPr>
              <w:t>套（单元）数</w:t>
            </w:r>
          </w:p>
        </w:tc>
        <w:tc>
          <w:tcPr>
            <w:tcW w:w="2652" w:type="dxa"/>
            <w:vAlign w:val="center"/>
          </w:tcPr>
          <w:p>
            <w:pPr>
              <w:jc w:val="center"/>
              <w:rPr>
                <w:rFonts w:ascii="宋体" w:hAnsi="宋体" w:eastAsia="宋体"/>
                <w:sz w:val="30"/>
                <w:szCs w:val="30"/>
              </w:rPr>
            </w:pPr>
            <w:r>
              <w:rPr>
                <w:rFonts w:hint="eastAsia" w:ascii="宋体" w:hAnsi="宋体" w:eastAsia="宋体"/>
                <w:sz w:val="30"/>
                <w:szCs w:val="30"/>
              </w:rPr>
              <w:t>建筑面积（平方米）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高层住宅</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小高层住宅</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多层住宅（不带电梯）</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多层住宅（带电梯）</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排屋</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别墅</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商铺</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工业用房</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办公楼</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kern w:val="0"/>
                <w:sz w:val="30"/>
                <w:szCs w:val="30"/>
              </w:rPr>
              <w:t>自行车库</w:t>
            </w:r>
          </w:p>
        </w:tc>
        <w:tc>
          <w:tcPr>
            <w:tcW w:w="926" w:type="dxa"/>
            <w:vAlign w:val="center"/>
          </w:tcPr>
          <w:p>
            <w:pPr>
              <w:rPr>
                <w:rFonts w:ascii="宋体" w:hAnsi="宋体" w:eastAsia="宋体"/>
                <w:sz w:val="30"/>
                <w:szCs w:val="30"/>
              </w:rPr>
            </w:pPr>
          </w:p>
        </w:tc>
        <w:tc>
          <w:tcPr>
            <w:tcW w:w="2161" w:type="dxa"/>
            <w:vAlign w:val="center"/>
          </w:tcPr>
          <w:p>
            <w:pPr>
              <w:rPr>
                <w:rFonts w:ascii="宋体" w:hAnsi="宋体" w:eastAsia="宋体"/>
                <w:sz w:val="30"/>
                <w:szCs w:val="30"/>
              </w:rPr>
            </w:pPr>
          </w:p>
        </w:tc>
        <w:tc>
          <w:tcPr>
            <w:tcW w:w="2652" w:type="dxa"/>
            <w:vAlign w:val="center"/>
          </w:tcPr>
          <w:p>
            <w:pP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kern w:val="0"/>
                <w:sz w:val="30"/>
                <w:szCs w:val="30"/>
              </w:rPr>
              <w:t>机动车车库</w:t>
            </w:r>
          </w:p>
        </w:tc>
        <w:tc>
          <w:tcPr>
            <w:tcW w:w="926" w:type="dxa"/>
            <w:vAlign w:val="center"/>
          </w:tcPr>
          <w:p>
            <w:pPr>
              <w:rPr>
                <w:rFonts w:ascii="宋体" w:hAnsi="宋体" w:eastAsia="宋体"/>
                <w:sz w:val="30"/>
                <w:szCs w:val="30"/>
              </w:rPr>
            </w:pPr>
          </w:p>
        </w:tc>
        <w:tc>
          <w:tcPr>
            <w:tcW w:w="2161" w:type="dxa"/>
            <w:vAlign w:val="center"/>
          </w:tcPr>
          <w:p>
            <w:pPr>
              <w:rPr>
                <w:rFonts w:ascii="宋体" w:hAnsi="宋体" w:eastAsia="宋体"/>
                <w:sz w:val="30"/>
                <w:szCs w:val="30"/>
              </w:rPr>
            </w:pPr>
          </w:p>
        </w:tc>
        <w:tc>
          <w:tcPr>
            <w:tcW w:w="2652" w:type="dxa"/>
            <w:vAlign w:val="center"/>
          </w:tcPr>
          <w:p>
            <w:pP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会  所</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学  校</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社区配套用房</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物业管理用房</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配电房</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其他</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合  计</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3261" w:type="dxa"/>
            <w:vAlign w:val="center"/>
          </w:tcPr>
          <w:p>
            <w:pPr>
              <w:jc w:val="center"/>
              <w:rPr>
                <w:rFonts w:ascii="宋体" w:hAnsi="宋体" w:eastAsia="宋体"/>
                <w:sz w:val="30"/>
                <w:szCs w:val="30"/>
              </w:rPr>
            </w:pPr>
            <w:r>
              <w:rPr>
                <w:rFonts w:hint="eastAsia" w:ascii="宋体" w:hAnsi="宋体" w:eastAsia="宋体"/>
                <w:sz w:val="30"/>
                <w:szCs w:val="30"/>
              </w:rPr>
              <w:t>备  注</w:t>
            </w:r>
          </w:p>
        </w:tc>
        <w:tc>
          <w:tcPr>
            <w:tcW w:w="926" w:type="dxa"/>
            <w:vAlign w:val="center"/>
          </w:tcPr>
          <w:p>
            <w:pPr>
              <w:jc w:val="center"/>
              <w:rPr>
                <w:rFonts w:ascii="宋体" w:hAnsi="宋体" w:eastAsia="宋体"/>
                <w:sz w:val="30"/>
                <w:szCs w:val="30"/>
              </w:rPr>
            </w:pPr>
          </w:p>
        </w:tc>
        <w:tc>
          <w:tcPr>
            <w:tcW w:w="2161" w:type="dxa"/>
            <w:vAlign w:val="center"/>
          </w:tcPr>
          <w:p>
            <w:pPr>
              <w:jc w:val="center"/>
              <w:rPr>
                <w:rFonts w:ascii="宋体" w:hAnsi="宋体" w:eastAsia="宋体"/>
                <w:sz w:val="30"/>
                <w:szCs w:val="30"/>
              </w:rPr>
            </w:pPr>
          </w:p>
        </w:tc>
        <w:tc>
          <w:tcPr>
            <w:tcW w:w="2652" w:type="dxa"/>
            <w:vAlign w:val="center"/>
          </w:tcPr>
          <w:p>
            <w:pPr>
              <w:jc w:val="center"/>
              <w:rPr>
                <w:rFonts w:ascii="宋体" w:hAnsi="宋体" w:eastAsia="宋体"/>
                <w:sz w:val="30"/>
                <w:szCs w:val="30"/>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rPr>
          <w:rFonts w:ascii="黑体" w:hAnsi="黑体" w:eastAsia="黑体"/>
          <w:szCs w:val="32"/>
        </w:rPr>
      </w:pPr>
    </w:p>
    <w:p>
      <w:pPr>
        <w:widowControl/>
        <w:jc w:val="left"/>
        <w:rPr>
          <w:rFonts w:ascii="黑体" w:hAnsi="黑体" w:eastAsia="黑体"/>
          <w:szCs w:val="32"/>
        </w:rPr>
      </w:pPr>
      <w:r>
        <w:rPr>
          <w:rFonts w:ascii="黑体" w:hAnsi="黑体" w:eastAsia="黑体"/>
          <w:szCs w:val="32"/>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rPr>
          <w:rFonts w:ascii="黑体" w:hAnsi="黑体" w:eastAsia="黑体"/>
          <w:szCs w:val="32"/>
        </w:rPr>
      </w:pPr>
      <w:r>
        <w:rPr>
          <w:rFonts w:hint="eastAsia" w:ascii="黑体" w:hAnsi="黑体" w:eastAsia="黑体"/>
          <w:szCs w:val="32"/>
        </w:rPr>
        <w:t>附件3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eastAsia="宋体"/>
          <w:b/>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方正小标宋简体" w:hAnsi="宋体" w:eastAsia="方正小标宋简体" w:cs="仿宋"/>
          <w:snapToGrid w:val="0"/>
          <w:kern w:val="0"/>
          <w:sz w:val="44"/>
          <w:szCs w:val="44"/>
        </w:rPr>
      </w:pPr>
      <w:r>
        <w:rPr>
          <w:rFonts w:hint="eastAsia" w:ascii="方正小标宋简体" w:hAnsi="宋体" w:eastAsia="方正小标宋简体" w:cs="仿宋"/>
          <w:snapToGrid w:val="0"/>
          <w:kern w:val="0"/>
          <w:sz w:val="44"/>
          <w:szCs w:val="44"/>
        </w:rPr>
        <w:t>物业承接查验协议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宋体" w:hAnsi="宋体" w:eastAsia="宋体" w:cs="仿宋"/>
          <w:b/>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宋体" w:cs="宋体"/>
          <w:b/>
          <w:snapToGrid w:val="0"/>
          <w:kern w:val="32"/>
          <w:szCs w:val="32"/>
        </w:rPr>
      </w:pPr>
      <w:r>
        <w:rPr>
          <w:rFonts w:hint="eastAsia" w:ascii="仿宋_GB2312" w:hAnsi="宋体" w:cs="宋体"/>
          <w:b/>
          <w:snapToGrid w:val="0"/>
          <w:kern w:val="32"/>
          <w:szCs w:val="32"/>
        </w:rPr>
        <w:t>应当包括以下内容：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一、物业基本情况；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二、承接查验内容；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三、承接查验标准；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四、承接查验时间、方法、程序及交接工作；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五、资料移交问题以及不合格项目的解决方法；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六、双方的权利义务；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七、违约责任；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宋体" w:cs="宋体"/>
          <w:snapToGrid w:val="0"/>
          <w:kern w:val="32"/>
          <w:szCs w:val="32"/>
        </w:rPr>
      </w:pPr>
      <w:r>
        <w:rPr>
          <w:rFonts w:hint="eastAsia" w:ascii="仿宋_GB2312" w:hAnsi="宋体" w:cs="宋体"/>
          <w:snapToGrid w:val="0"/>
          <w:kern w:val="32"/>
          <w:szCs w:val="32"/>
        </w:rPr>
        <w:t>八、保修条款。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58" w:rightChars="50" w:firstLine="528" w:firstLineChars="200"/>
        <w:rPr>
          <w:rFonts w:ascii="宋体" w:hAnsi="宋体" w:eastAsia="宋体" w:cs="宋体"/>
          <w:spacing w:val="-6"/>
          <w:kern w:val="0"/>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58" w:rightChars="50" w:firstLine="528" w:firstLineChars="200"/>
        <w:rPr>
          <w:rFonts w:ascii="宋体" w:hAnsi="宋体" w:eastAsia="宋体" w:cs="宋体"/>
          <w:spacing w:val="-6"/>
          <w:kern w:val="0"/>
          <w:sz w:val="28"/>
          <w:szCs w:val="28"/>
        </w:rPr>
      </w:pPr>
    </w:p>
    <w:p>
      <w:pPr>
        <w:widowControl/>
        <w:jc w:val="left"/>
        <w:rPr>
          <w:rFonts w:ascii="宋体" w:hAnsi="宋体" w:eastAsia="宋体"/>
          <w:b/>
          <w:bCs/>
          <w:sz w:val="28"/>
          <w:szCs w:val="28"/>
        </w:rPr>
      </w:pPr>
      <w:r>
        <w:rPr>
          <w:rFonts w:ascii="宋体" w:hAnsi="宋体" w:eastAsia="宋体"/>
          <w:b/>
          <w:bCs/>
          <w:sz w:val="28"/>
          <w:szCs w:val="28"/>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rPr>
          <w:rFonts w:ascii="黑体" w:hAnsi="黑体" w:eastAsia="黑体"/>
          <w:szCs w:val="32"/>
        </w:rPr>
      </w:pPr>
      <w:r>
        <w:rPr>
          <w:rFonts w:hint="eastAsia" w:ascii="黑体" w:hAnsi="黑体" w:eastAsia="黑体"/>
          <w:szCs w:val="32"/>
        </w:rPr>
        <w:t>附件4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方正小标宋简体" w:hAnsi="宋体" w:eastAsia="方正小标宋简体" w:cs="仿宋"/>
          <w:snapToGrid w:val="0"/>
          <w:kern w:val="0"/>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方正小标宋简体" w:hAnsi="宋体" w:eastAsia="方正小标宋简体" w:cs="仿宋"/>
          <w:snapToGrid w:val="0"/>
          <w:kern w:val="0"/>
          <w:sz w:val="44"/>
          <w:szCs w:val="44"/>
        </w:rPr>
      </w:pPr>
      <w:r>
        <w:rPr>
          <w:rFonts w:hint="eastAsia" w:ascii="方正小标宋简体" w:hAnsi="宋体" w:eastAsia="方正小标宋简体" w:cs="仿宋"/>
          <w:snapToGrid w:val="0"/>
          <w:kern w:val="0"/>
          <w:sz w:val="44"/>
          <w:szCs w:val="44"/>
        </w:rPr>
        <w:t>物业服务内容与服务标准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方正小标宋简体" w:hAnsi="宋体" w:eastAsia="方正小标宋简体" w:cs="仿宋"/>
          <w:snapToGrid w:val="0"/>
          <w:kern w:val="0"/>
          <w:sz w:val="44"/>
          <w:szCs w:val="44"/>
        </w:rPr>
      </w:pPr>
      <w:r>
        <w:rPr>
          <w:rFonts w:hint="eastAsia" w:ascii="方正小标宋简体" w:hAnsi="宋体" w:eastAsia="方正小标宋简体" w:cs="仿宋"/>
          <w:snapToGrid w:val="0"/>
          <w:kern w:val="0"/>
          <w:sz w:val="44"/>
          <w:szCs w:val="44"/>
        </w:rPr>
        <w:t>（具体按照招标文件对应内容）</w:t>
      </w:r>
    </w:p>
    <w:p>
      <w:pPr>
        <w:widowControl/>
        <w:jc w:val="left"/>
        <w:rPr>
          <w:rFonts w:ascii="仿宋_GB2312" w:hAnsi="仿宋"/>
          <w:sz w:val="28"/>
          <w:szCs w:val="28"/>
        </w:rPr>
      </w:pPr>
      <w:r>
        <w:rPr>
          <w:rFonts w:ascii="仿宋_GB2312" w:hAnsi="仿宋"/>
          <w:sz w:val="28"/>
          <w:szCs w:val="28"/>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rPr>
          <w:rFonts w:ascii="黑体" w:hAnsi="黑体" w:eastAsia="黑体"/>
          <w:szCs w:val="32"/>
        </w:rPr>
      </w:pPr>
      <w:r>
        <w:rPr>
          <w:rFonts w:hint="eastAsia" w:ascii="黑体" w:hAnsi="黑体" w:eastAsia="黑体"/>
          <w:szCs w:val="32"/>
        </w:rPr>
        <w:t>附件5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rPr>
          <w:rFonts w:ascii="黑体" w:hAnsi="黑体" w:eastAsia="黑体"/>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公共能耗费分摊办法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jc w:val="center"/>
        <w:rPr>
          <w:rFonts w:ascii="仿宋_GB2312"/>
          <w:b/>
          <w:kern w:val="0"/>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仿宋" w:cs="仿宋"/>
          <w:szCs w:val="32"/>
        </w:rPr>
      </w:pPr>
      <w:r>
        <w:rPr>
          <w:rFonts w:hint="eastAsia" w:ascii="仿宋_GB2312" w:hAnsi="仿宋" w:cs="仿宋"/>
          <w:szCs w:val="32"/>
        </w:rPr>
        <w:t>一、为使各位业主/非业主使用人合理分摊本区域的公共能耗费用，制定本办法。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仿宋" w:cs="仿宋"/>
          <w:szCs w:val="32"/>
        </w:rPr>
      </w:pPr>
      <w:r>
        <w:rPr>
          <w:rFonts w:hint="eastAsia" w:ascii="仿宋_GB2312" w:hAnsi="仿宋" w:cs="仿宋"/>
          <w:szCs w:val="32"/>
        </w:rPr>
        <w:t>二、本办法所指的公共能耗包括共用电梯、增压水泵等高能耗设施设备运行所需的能耗费用。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仿宋" w:cs="仿宋"/>
          <w:szCs w:val="32"/>
        </w:rPr>
      </w:pPr>
      <w:r>
        <w:rPr>
          <w:rFonts w:hint="eastAsia" w:ascii="仿宋_GB2312" w:hAnsi="仿宋" w:cs="仿宋"/>
          <w:szCs w:val="32"/>
        </w:rPr>
        <w:t>三、公共能耗费按</w:t>
      </w:r>
      <w:r>
        <w:rPr>
          <w:rFonts w:hint="eastAsia" w:ascii="仿宋_GB2312" w:hAnsi="仿宋" w:cs="仿宋"/>
          <w:szCs w:val="32"/>
          <w:u w:val="single"/>
        </w:rPr>
        <w:t xml:space="preserve">                    </w:t>
      </w:r>
      <w:r>
        <w:rPr>
          <w:rFonts w:hint="eastAsia" w:ascii="仿宋_GB2312" w:hAnsi="仿宋" w:cs="仿宋"/>
          <w:szCs w:val="32"/>
        </w:rPr>
        <w:t>比例进行分摊。</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仿宋" w:cs="仿宋"/>
          <w:szCs w:val="32"/>
        </w:rPr>
      </w:pPr>
      <w:r>
        <w:rPr>
          <w:rFonts w:hint="eastAsia" w:ascii="仿宋_GB2312" w:hAnsi="仿宋" w:cs="仿宋"/>
          <w:szCs w:val="32"/>
        </w:rPr>
        <w:t>四、公共能耗费按</w:t>
      </w:r>
      <w:r>
        <w:rPr>
          <w:rFonts w:hint="eastAsia" w:ascii="仿宋_GB2312" w:hAnsi="仿宋" w:cs="仿宋"/>
          <w:szCs w:val="32"/>
          <w:u w:val="single"/>
        </w:rPr>
        <w:t xml:space="preserve">                    </w:t>
      </w:r>
      <w:r>
        <w:rPr>
          <w:rFonts w:hint="eastAsia" w:ascii="仿宋_GB2312" w:hAnsi="仿宋" w:cs="仿宋"/>
          <w:szCs w:val="32"/>
        </w:rPr>
        <w:t>方式计算。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仿宋" w:cs="仿宋"/>
          <w:szCs w:val="32"/>
        </w:rPr>
      </w:pPr>
      <w:r>
        <w:rPr>
          <w:rFonts w:hint="eastAsia" w:ascii="仿宋_GB2312" w:hAnsi="仿宋" w:cs="仿宋"/>
          <w:szCs w:val="32"/>
        </w:rPr>
        <w:t>五、公共能耗费按</w:t>
      </w:r>
      <w:r>
        <w:rPr>
          <w:rFonts w:hint="eastAsia" w:ascii="仿宋_GB2312" w:hAnsi="仿宋" w:cs="仿宋"/>
          <w:szCs w:val="32"/>
          <w:u w:val="single"/>
        </w:rPr>
        <w:t xml:space="preserve">                    </w:t>
      </w:r>
      <w:r>
        <w:rPr>
          <w:rFonts w:hint="eastAsia" w:ascii="仿宋_GB2312" w:hAnsi="仿宋" w:cs="仿宋"/>
          <w:szCs w:val="32"/>
        </w:rPr>
        <w:t>收取。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仿宋" w:cs="仿宋"/>
          <w:szCs w:val="32"/>
        </w:rPr>
      </w:pPr>
      <w:r>
        <w:rPr>
          <w:rFonts w:hint="eastAsia" w:ascii="仿宋_GB2312" w:hAnsi="仿宋" w:cs="仿宋"/>
          <w:szCs w:val="32"/>
        </w:rPr>
        <w:t>六、采取预交公共能耗费的，业主、非业主使用人预交的公共能耗费不足的，应及时予以补足；若有结余的，将结转入下一周期的公共能耗费用。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32" w:firstLineChars="200"/>
        <w:rPr>
          <w:rFonts w:ascii="仿宋_GB2312" w:hAnsi="仿宋" w:cs="仿宋"/>
          <w:szCs w:val="32"/>
        </w:rPr>
      </w:pPr>
      <w:r>
        <w:rPr>
          <w:rFonts w:hint="eastAsia" w:ascii="仿宋_GB2312" w:hAnsi="仿宋" w:cs="仿宋"/>
          <w:szCs w:val="32"/>
        </w:rPr>
        <w:t>七、业主与非业主使用人约定由非业主使用人交纳公共能耗分摊费的，从其约定，业主负连带交纳责任。</w:t>
      </w:r>
    </w:p>
    <w:p>
      <w:pPr>
        <w:tabs>
          <w:tab w:val="left" w:pos="7584"/>
        </w:tabs>
        <w:spacing w:line="560" w:lineRule="exact"/>
        <w:ind w:firstLine="632" w:firstLineChars="200"/>
        <w:rPr>
          <w:rFonts w:ascii="仿宋_GB2312" w:hAnsi="仿宋" w:cs="仿宋"/>
          <w:szCs w:val="32"/>
        </w:rPr>
      </w:pPr>
      <w:r>
        <w:rPr>
          <w:rFonts w:hint="eastAsia" w:ascii="仿宋_GB2312" w:hAnsi="仿宋" w:cs="仿宋"/>
          <w:szCs w:val="32"/>
        </w:rPr>
        <w:t>八、业主转让物业时，须结清转让之前的公共能耗费。</w:t>
      </w:r>
    </w:p>
    <w:p>
      <w:pPr>
        <w:widowControl/>
        <w:jc w:val="left"/>
        <w:rPr>
          <w:rFonts w:ascii="仿宋" w:hAnsi="仿宋" w:eastAsia="仿宋" w:cs="仿宋"/>
          <w:sz w:val="28"/>
          <w:szCs w:val="28"/>
        </w:rPr>
      </w:pPr>
      <w:r>
        <w:rPr>
          <w:rFonts w:ascii="仿宋" w:hAnsi="仿宋" w:eastAsia="仿宋" w:cs="仿宋"/>
          <w:sz w:val="28"/>
          <w:szCs w:val="28"/>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40" w:lineRule="exact"/>
        <w:jc w:val="center"/>
        <w:rPr>
          <w:rFonts w:ascii="方正小标宋简体" w:eastAsia="方正小标宋简体"/>
          <w:kern w:val="0"/>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40" w:lineRule="exact"/>
        <w:jc w:val="center"/>
        <w:rPr>
          <w:rFonts w:ascii="方正小标宋简体" w:eastAsia="方正小标宋简体"/>
          <w:spacing w:val="40"/>
          <w:kern w:val="0"/>
          <w:sz w:val="44"/>
          <w:szCs w:val="44"/>
        </w:rPr>
      </w:pPr>
      <w:r>
        <w:rPr>
          <w:rFonts w:hint="eastAsia" w:ascii="方正小标宋简体" w:eastAsia="方正小标宋简体"/>
          <w:spacing w:val="40"/>
          <w:kern w:val="0"/>
          <w:sz w:val="44"/>
          <w:szCs w:val="44"/>
        </w:rPr>
        <w:t>临时管理规约</w:t>
      </w:r>
    </w:p>
    <w:p>
      <w:pPr>
        <w:spacing w:line="540" w:lineRule="exact"/>
        <w:jc w:val="center"/>
        <w:rPr>
          <w:rFonts w:ascii="楷体_GB2312" w:hAnsi="宋体" w:eastAsia="楷体_GB2312"/>
          <w:szCs w:val="32"/>
        </w:rPr>
      </w:pPr>
      <w:r>
        <w:rPr>
          <w:rFonts w:hint="eastAsia" w:ascii="楷体_GB2312" w:hAnsi="宋体" w:eastAsia="楷体_GB2312"/>
          <w:szCs w:val="32"/>
        </w:rPr>
        <w:t>（示范文本）</w:t>
      </w:r>
    </w:p>
    <w:p>
      <w:pPr>
        <w:spacing w:line="540" w:lineRule="exact"/>
        <w:ind w:firstLine="552" w:firstLineChars="200"/>
        <w:jc w:val="center"/>
        <w:rPr>
          <w:rFonts w:ascii="宋体" w:hAnsi="宋体" w:eastAsia="宋体"/>
          <w:b/>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jc w:val="center"/>
        <w:rPr>
          <w:rFonts w:ascii="仿宋_GB2312" w:hAnsi="仿宋" w:cs="仿宋"/>
          <w:szCs w:val="32"/>
        </w:rPr>
      </w:pPr>
      <w:r>
        <w:rPr>
          <w:rFonts w:hint="eastAsia" w:ascii="仿宋_GB2312" w:hAnsi="仿宋" w:cs="仿宋"/>
          <w:szCs w:val="32"/>
        </w:rPr>
        <w:t>使 用 说 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32" w:firstLineChars="200"/>
        <w:rPr>
          <w:rFonts w:ascii="仿宋_GB2312" w:hAnsi="仿宋" w:cs="仿宋"/>
          <w:szCs w:val="32"/>
        </w:rPr>
      </w:pPr>
      <w:r>
        <w:rPr>
          <w:rFonts w:hint="eastAsia" w:ascii="仿宋_GB2312" w:hAnsi="仿宋" w:cs="仿宋"/>
          <w:szCs w:val="32"/>
        </w:rPr>
        <w:t>1．本示范文本供建设单位制定临时管理规约时参考使用。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32" w:firstLineChars="200"/>
        <w:rPr>
          <w:rFonts w:ascii="仿宋_GB2312" w:hAnsi="仿宋" w:cs="仿宋"/>
          <w:szCs w:val="32"/>
        </w:rPr>
      </w:pPr>
      <w:r>
        <w:rPr>
          <w:rFonts w:hint="eastAsia" w:ascii="仿宋_GB2312" w:hAnsi="仿宋" w:cs="仿宋"/>
          <w:szCs w:val="32"/>
        </w:rPr>
        <w:t>2．建设单位可根据本物业管理区域的具体情况对示范文本的条款内容进行选择、增补；如需对示范文本的条款内容进行修改、删减的，应当说明理由，并报项目所在地物业主管部门审核；涉及选择性条款的选项内容排序无先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32" w:firstLineChars="200"/>
        <w:rPr>
          <w:rFonts w:ascii="仿宋_GB2312" w:hAnsi="仿宋" w:cs="仿宋"/>
          <w:szCs w:val="32"/>
        </w:rPr>
      </w:pPr>
      <w:r>
        <w:rPr>
          <w:rFonts w:hint="eastAsia" w:ascii="仿宋_GB2312" w:hAnsi="仿宋" w:cs="仿宋"/>
          <w:szCs w:val="32"/>
        </w:rPr>
        <w:t>3．建设单位应当在物业销售前将临时管理规约向物业买受人明示，并予以说明。物业买受人在与建设单位签订物业买卖合同时，应当对遵守临时管理规约予以书面承诺。</w:t>
      </w:r>
    </w:p>
    <w:p>
      <w:pPr>
        <w:widowControl/>
        <w:jc w:val="left"/>
        <w:rPr>
          <w:rFonts w:ascii="仿宋_GB2312" w:hAnsi="仿宋"/>
          <w:sz w:val="28"/>
          <w:szCs w:val="28"/>
        </w:rPr>
      </w:pPr>
      <w:r>
        <w:rPr>
          <w:rFonts w:ascii="仿宋_GB2312" w:hAnsi="仿宋"/>
          <w:sz w:val="28"/>
          <w:szCs w:val="28"/>
        </w:rPr>
        <w:br w:type="page"/>
      </w:r>
    </w:p>
    <w:p>
      <w:pPr>
        <w:spacing w:line="520" w:lineRule="exact"/>
        <w:jc w:val="center"/>
        <w:rPr>
          <w:rFonts w:ascii="方正小标宋简体" w:hAnsi="宋体" w:eastAsia="方正小标宋简体"/>
          <w:sz w:val="44"/>
          <w:szCs w:val="44"/>
          <w:u w:val="single"/>
        </w:rPr>
      </w:pPr>
    </w:p>
    <w:p>
      <w:pPr>
        <w:spacing w:line="520" w:lineRule="exact"/>
        <w:jc w:val="center"/>
        <w:rPr>
          <w:rFonts w:ascii="方正小标宋简体" w:hAnsi="宋体" w:eastAsia="方正小标宋简体"/>
          <w:sz w:val="44"/>
          <w:szCs w:val="44"/>
        </w:rPr>
      </w:pPr>
      <w:r>
        <w:rPr>
          <w:rFonts w:hint="eastAsia" w:ascii="方正小标宋简体" w:hAnsi="宋体" w:eastAsia="方正小标宋简体"/>
          <w:sz w:val="44"/>
          <w:szCs w:val="44"/>
          <w:u w:val="single"/>
        </w:rPr>
        <w:t xml:space="preserve">            </w:t>
      </w:r>
      <w:r>
        <w:rPr>
          <w:rFonts w:hint="eastAsia" w:ascii="方正小标宋简体" w:hAnsi="宋体" w:eastAsia="方正小标宋简体"/>
          <w:sz w:val="44"/>
          <w:szCs w:val="44"/>
        </w:rPr>
        <w:t>（物业项目名称）临时管理规约</w:t>
      </w:r>
    </w:p>
    <w:p>
      <w:pPr>
        <w:spacing w:line="520" w:lineRule="exact"/>
        <w:ind w:firstLine="552" w:firstLineChars="200"/>
        <w:jc w:val="center"/>
        <w:rPr>
          <w:rFonts w:ascii="宋体" w:hAnsi="宋体" w:eastAsia="宋体"/>
          <w:sz w:val="28"/>
          <w:szCs w:val="28"/>
        </w:rPr>
      </w:pPr>
    </w:p>
    <w:p>
      <w:pPr>
        <w:spacing w:line="520" w:lineRule="exact"/>
        <w:jc w:val="center"/>
        <w:rPr>
          <w:rFonts w:ascii="黑体" w:hAnsi="黑体" w:eastAsia="黑体"/>
          <w:snapToGrid w:val="0"/>
          <w:kern w:val="32"/>
          <w:szCs w:val="32"/>
        </w:rPr>
      </w:pPr>
      <w:r>
        <w:rPr>
          <w:rFonts w:hint="eastAsia" w:ascii="黑体" w:hAnsi="黑体" w:eastAsia="黑体"/>
          <w:snapToGrid w:val="0"/>
          <w:kern w:val="32"/>
          <w:szCs w:val="32"/>
        </w:rPr>
        <w:t>第一章  总  则</w:t>
      </w:r>
    </w:p>
    <w:p>
      <w:pPr>
        <w:tabs>
          <w:tab w:val="left" w:pos="3206"/>
        </w:tabs>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第一条</w:t>
      </w:r>
      <w:r>
        <w:rPr>
          <w:rFonts w:hint="eastAsia" w:ascii="仿宋_GB2312" w:hAnsi="宋体"/>
          <w:snapToGrid w:val="0"/>
          <w:kern w:val="32"/>
          <w:szCs w:val="32"/>
        </w:rPr>
        <w:t xml:space="preserve">  为维护本物业管理区域内的全体业主和非业主使用人的合法权益，保障物业的安全、合理使用，创造良好的生活、工作环境，根据《物权法》《物业管理条例》《浙江省物业管理条例》等法律法规和《湖州市人民政府办公室关于加强小区物业管理工作的实施意见》等规定，结合本物业管理区域实际，制定本临时管理规约。</w:t>
      </w:r>
    </w:p>
    <w:p>
      <w:pPr>
        <w:tabs>
          <w:tab w:val="left" w:pos="320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建设单位在物业销售前将本临时管理规约提供给物业买受人,并予以说明。物业买受人与建设单位签订物业买卖合同时，对本临时管理规约予以书面承诺，表示认可本临时管理规约的内容。建设单位与物业服务企业签订的前期物业服务合同中涉及业主利益的规定，应当以本临时管理规约为准。</w:t>
      </w:r>
    </w:p>
    <w:p>
      <w:pPr>
        <w:tabs>
          <w:tab w:val="left" w:pos="320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本临时管理规约的解释适用中华人民共和国的法律、法规和相关政策以及本物业所在地的法规政策。本临时管理规约与相关法律、法规和有关政策相抵触部分无效，但不影响本临时管理规约其他部分的效力。</w:t>
      </w:r>
    </w:p>
    <w:p>
      <w:pPr>
        <w:tabs>
          <w:tab w:val="left" w:pos="3206"/>
        </w:tabs>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第二条</w:t>
      </w:r>
      <w:r>
        <w:rPr>
          <w:rFonts w:hint="eastAsia" w:ascii="仿宋_GB2312" w:hAnsi="宋体"/>
          <w:snapToGrid w:val="0"/>
          <w:kern w:val="32"/>
          <w:szCs w:val="32"/>
        </w:rPr>
        <w:t xml:space="preserve">  临时管理规约对物业管理区域内的全体业主和非业主使用人均具有约束力。物业使用人违反本临时管理规约的规定，相关业主应当承担连带责任。</w:t>
      </w:r>
    </w:p>
    <w:p>
      <w:pPr>
        <w:tabs>
          <w:tab w:val="left" w:pos="3206"/>
        </w:tabs>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业主”指对该单元拥有或共同拥有所有权的人，并包括其日后的合法继承人或受让人“包括但不限于变卖、赠与及互易等”。如果该单元已被合法抵押，则“业主”应包括抵押人和抵押权人。但以上所述抵押权人只是在抵押权人占有该单元或收取该单元的租金或利益时算是业主。</w:t>
      </w:r>
    </w:p>
    <w:p>
      <w:pPr>
        <w:tabs>
          <w:tab w:val="left" w:pos="3206"/>
        </w:tabs>
        <w:spacing w:line="520" w:lineRule="exact"/>
        <w:ind w:firstLine="640"/>
        <w:rPr>
          <w:rFonts w:ascii="仿宋_GB2312" w:hAnsi="宋体"/>
          <w:snapToGrid w:val="0"/>
          <w:kern w:val="32"/>
          <w:szCs w:val="32"/>
        </w:rPr>
      </w:pPr>
      <w:r>
        <w:rPr>
          <w:rFonts w:hint="eastAsia" w:ascii="仿宋_GB2312" w:hAnsi="宋体"/>
          <w:snapToGrid w:val="0"/>
          <w:kern w:val="32"/>
          <w:szCs w:val="32"/>
        </w:rPr>
        <w:t>“使用人”指物业的承租人或其他实际使用物业的人。</w:t>
      </w:r>
    </w:p>
    <w:p>
      <w:pPr>
        <w:tabs>
          <w:tab w:val="left" w:pos="3206"/>
        </w:tabs>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第三条</w:t>
      </w:r>
      <w:r>
        <w:rPr>
          <w:rFonts w:hint="eastAsia" w:ascii="仿宋_GB2312" w:hAnsi="宋体"/>
          <w:b/>
          <w:snapToGrid w:val="0"/>
          <w:kern w:val="32"/>
          <w:szCs w:val="32"/>
        </w:rPr>
        <w:t xml:space="preserve">  </w:t>
      </w:r>
      <w:r>
        <w:rPr>
          <w:rFonts w:hint="eastAsia" w:ascii="仿宋_GB2312" w:hAnsi="宋体"/>
          <w:snapToGrid w:val="0"/>
          <w:kern w:val="32"/>
          <w:szCs w:val="32"/>
        </w:rPr>
        <w:t>物业的所有权发生变更时，首位物业买受人对本临时管理规约书面承诺的效力及于此后的物业继受人。</w:t>
      </w:r>
    </w:p>
    <w:p>
      <w:pPr>
        <w:tabs>
          <w:tab w:val="left" w:pos="3206"/>
        </w:tabs>
        <w:spacing w:line="520" w:lineRule="exact"/>
        <w:ind w:firstLine="632" w:firstLineChars="200"/>
        <w:rPr>
          <w:rFonts w:ascii="仿宋_GB2312" w:hAnsi="宋体"/>
          <w:snapToGrid w:val="0"/>
          <w:kern w:val="32"/>
          <w:szCs w:val="32"/>
        </w:rPr>
      </w:pPr>
    </w:p>
    <w:p>
      <w:pPr>
        <w:spacing w:line="520" w:lineRule="exact"/>
        <w:ind w:firstLine="632" w:firstLineChars="200"/>
        <w:jc w:val="center"/>
        <w:rPr>
          <w:rFonts w:ascii="仿宋_GB2312" w:hAnsi="宋体"/>
          <w:snapToGrid w:val="0"/>
          <w:kern w:val="32"/>
          <w:szCs w:val="32"/>
        </w:rPr>
      </w:pPr>
    </w:p>
    <w:p>
      <w:pPr>
        <w:spacing w:line="520" w:lineRule="exact"/>
        <w:jc w:val="center"/>
        <w:rPr>
          <w:rFonts w:ascii="仿宋_GB2312" w:hAnsi="宋体"/>
          <w:snapToGrid w:val="0"/>
          <w:kern w:val="32"/>
          <w:szCs w:val="32"/>
        </w:rPr>
      </w:pPr>
      <w:r>
        <w:rPr>
          <w:rFonts w:hint="eastAsia" w:ascii="仿宋_GB2312" w:hAnsi="宋体"/>
          <w:snapToGrid w:val="0"/>
          <w:kern w:val="32"/>
          <w:szCs w:val="32"/>
        </w:rPr>
        <w:t>第二章  物业基本情况</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第四条</w:t>
      </w:r>
      <w:r>
        <w:rPr>
          <w:rFonts w:hint="eastAsia" w:ascii="仿宋_GB2312" w:hAnsi="宋体"/>
          <w:b/>
          <w:snapToGrid w:val="0"/>
          <w:kern w:val="32"/>
          <w:szCs w:val="32"/>
        </w:rPr>
        <w:t xml:space="preserve">  </w:t>
      </w:r>
      <w:r>
        <w:rPr>
          <w:rFonts w:hint="eastAsia" w:ascii="仿宋_GB2312" w:hAnsi="宋体"/>
          <w:snapToGrid w:val="0"/>
          <w:kern w:val="32"/>
          <w:szCs w:val="32"/>
        </w:rPr>
        <w:t>本物业管理区域内物业的基本情况</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（一）物业名称：</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（二）坐落位置：</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（三）物业类型：</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（四）物业管理区域四至：</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东至：</w:t>
      </w:r>
      <w:r>
        <w:rPr>
          <w:rFonts w:hint="eastAsia" w:ascii="仿宋_GB2312" w:hAnsi="宋体"/>
          <w:snapToGrid w:val="0"/>
          <w:kern w:val="32"/>
          <w:szCs w:val="32"/>
          <w:u w:val="single"/>
        </w:rPr>
        <w:t xml:space="preserve">                    </w:t>
      </w:r>
      <w:r>
        <w:rPr>
          <w:rFonts w:hint="eastAsia" w:ascii="仿宋_GB2312" w:hAnsi="宋体"/>
          <w:snapToGrid w:val="0"/>
          <w:kern w:val="32"/>
          <w:szCs w:val="32"/>
        </w:rPr>
        <w:t>；南至：</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西至：</w:t>
      </w:r>
      <w:r>
        <w:rPr>
          <w:rFonts w:hint="eastAsia" w:ascii="仿宋_GB2312" w:hAnsi="宋体"/>
          <w:snapToGrid w:val="0"/>
          <w:kern w:val="32"/>
          <w:szCs w:val="32"/>
          <w:u w:val="single"/>
        </w:rPr>
        <w:t xml:space="preserve">                    </w:t>
      </w:r>
      <w:r>
        <w:rPr>
          <w:rFonts w:hint="eastAsia" w:ascii="仿宋_GB2312" w:hAnsi="宋体"/>
          <w:snapToGrid w:val="0"/>
          <w:kern w:val="32"/>
          <w:szCs w:val="32"/>
        </w:rPr>
        <w:t>；北至：</w:t>
      </w:r>
      <w:r>
        <w:rPr>
          <w:rFonts w:hint="eastAsia" w:ascii="仿宋_GB2312" w:hAnsi="宋体"/>
          <w:snapToGrid w:val="0"/>
          <w:kern w:val="32"/>
          <w:szCs w:val="32"/>
          <w:u w:val="single"/>
        </w:rPr>
        <w:t xml:space="preserve">                    </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（五）物业管理区域概况：总占地面积</w:t>
      </w:r>
      <w:r>
        <w:rPr>
          <w:rFonts w:hint="eastAsia" w:ascii="仿宋_GB2312" w:hAnsi="宋体"/>
          <w:snapToGrid w:val="0"/>
          <w:kern w:val="32"/>
          <w:szCs w:val="32"/>
          <w:u w:val="single"/>
        </w:rPr>
        <w:t xml:space="preserve">       </w:t>
      </w:r>
      <w:r>
        <w:rPr>
          <w:rFonts w:hint="eastAsia" w:ascii="仿宋_GB2312" w:hAnsi="宋体"/>
          <w:snapToGrid w:val="0"/>
          <w:kern w:val="32"/>
          <w:szCs w:val="32"/>
        </w:rPr>
        <w:t>平方米、物业总建筑面积</w:t>
      </w:r>
      <w:r>
        <w:rPr>
          <w:rFonts w:hint="eastAsia" w:ascii="仿宋_GB2312" w:hAnsi="宋体"/>
          <w:snapToGrid w:val="0"/>
          <w:kern w:val="32"/>
          <w:szCs w:val="32"/>
          <w:u w:val="single"/>
        </w:rPr>
        <w:t xml:space="preserve">      </w:t>
      </w:r>
      <w:r>
        <w:rPr>
          <w:rFonts w:hint="eastAsia" w:ascii="仿宋_GB2312" w:hAnsi="宋体"/>
          <w:snapToGrid w:val="0"/>
          <w:kern w:val="32"/>
          <w:szCs w:val="32"/>
        </w:rPr>
        <w:t>平方米。</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（六）物业管理用房建筑面积</w:t>
      </w:r>
      <w:r>
        <w:rPr>
          <w:rFonts w:hint="eastAsia" w:ascii="仿宋_GB2312" w:hAnsi="宋体"/>
          <w:snapToGrid w:val="0"/>
          <w:kern w:val="32"/>
          <w:szCs w:val="32"/>
          <w:u w:val="single"/>
        </w:rPr>
        <w:t xml:space="preserve">     </w:t>
      </w:r>
      <w:r>
        <w:rPr>
          <w:rFonts w:hint="eastAsia" w:ascii="仿宋_GB2312" w:hAnsi="宋体"/>
          <w:snapToGrid w:val="0"/>
          <w:kern w:val="32"/>
          <w:szCs w:val="32"/>
        </w:rPr>
        <w:t>平方米，其中：物业管理办公用房建筑面积为</w:t>
      </w:r>
      <w:r>
        <w:rPr>
          <w:rFonts w:hint="eastAsia" w:ascii="仿宋_GB2312" w:hAnsi="宋体"/>
          <w:snapToGrid w:val="0"/>
          <w:kern w:val="32"/>
          <w:szCs w:val="32"/>
          <w:u w:val="single"/>
        </w:rPr>
        <w:t xml:space="preserve">   </w:t>
      </w:r>
      <w:r>
        <w:rPr>
          <w:rFonts w:hint="eastAsia" w:ascii="仿宋_GB2312" w:hAnsi="宋体"/>
          <w:snapToGrid w:val="0"/>
          <w:kern w:val="32"/>
          <w:szCs w:val="32"/>
        </w:rPr>
        <w:t>平方米，坐落：</w:t>
      </w:r>
      <w:r>
        <w:rPr>
          <w:rFonts w:hint="eastAsia" w:ascii="仿宋_GB2312" w:hAnsi="宋体"/>
          <w:snapToGrid w:val="0"/>
          <w:kern w:val="32"/>
          <w:szCs w:val="32"/>
          <w:u w:val="single"/>
        </w:rPr>
        <w:t xml:space="preserve">                 </w:t>
      </w:r>
      <w:r>
        <w:rPr>
          <w:rFonts w:hint="eastAsia" w:ascii="仿宋_GB2312" w:hAnsi="宋体"/>
          <w:snapToGrid w:val="0"/>
          <w:kern w:val="32"/>
          <w:szCs w:val="32"/>
        </w:rPr>
        <w:t>；</w:t>
      </w:r>
      <w:r>
        <w:rPr>
          <w:rFonts w:hint="eastAsia" w:ascii="仿宋_GB2312" w:hAnsi="宋体"/>
          <w:snapToGrid w:val="0"/>
          <w:spacing w:val="-6"/>
          <w:kern w:val="32"/>
          <w:szCs w:val="32"/>
        </w:rPr>
        <w:t>物业管理经营用房建筑面积为</w:t>
      </w:r>
      <w:r>
        <w:rPr>
          <w:rFonts w:hint="eastAsia" w:ascii="仿宋_GB2312" w:hAnsi="宋体"/>
          <w:snapToGrid w:val="0"/>
          <w:spacing w:val="-6"/>
          <w:kern w:val="32"/>
          <w:szCs w:val="32"/>
          <w:u w:val="single"/>
        </w:rPr>
        <w:t xml:space="preserve">    </w:t>
      </w:r>
      <w:r>
        <w:rPr>
          <w:rFonts w:hint="eastAsia" w:ascii="仿宋_GB2312" w:hAnsi="宋体"/>
          <w:snapToGrid w:val="0"/>
          <w:spacing w:val="-6"/>
          <w:kern w:val="32"/>
          <w:szCs w:val="32"/>
        </w:rPr>
        <w:t>平方米，坐落：</w:t>
      </w:r>
      <w:r>
        <w:rPr>
          <w:rFonts w:hint="eastAsia" w:ascii="仿宋_GB2312" w:hAnsi="宋体"/>
          <w:snapToGrid w:val="0"/>
          <w:spacing w:val="-6"/>
          <w:kern w:val="32"/>
          <w:szCs w:val="32"/>
          <w:u w:val="single"/>
        </w:rPr>
        <w:t xml:space="preserve">               </w:t>
      </w:r>
      <w:r>
        <w:rPr>
          <w:rFonts w:hint="eastAsia" w:ascii="仿宋_GB2312" w:hAnsi="宋体"/>
          <w:snapToGrid w:val="0"/>
          <w:spacing w:val="-6"/>
          <w:kern w:val="32"/>
          <w:szCs w:val="32"/>
        </w:rPr>
        <w:t>。</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第五条</w:t>
      </w:r>
      <w:r>
        <w:rPr>
          <w:rFonts w:hint="eastAsia" w:ascii="仿宋_GB2312" w:hAnsi="宋体"/>
          <w:b/>
          <w:snapToGrid w:val="0"/>
          <w:kern w:val="32"/>
          <w:szCs w:val="32"/>
        </w:rPr>
        <w:t xml:space="preserve"> </w:t>
      </w:r>
      <w:r>
        <w:rPr>
          <w:rFonts w:hint="eastAsia" w:ascii="仿宋_GB2312" w:hAnsi="宋体"/>
          <w:snapToGrid w:val="0"/>
          <w:kern w:val="32"/>
          <w:szCs w:val="32"/>
        </w:rPr>
        <w:t xml:space="preserve"> 根据有关法律法规和物业买卖合同，业主享有以下物业共用部位、共用设施设备的所有权（共有权）：</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（一）由单幢建筑物的全体业主共有的共用部位，包括但不限于该幢建筑物的承重结构、主体结构、公共门厅、公共走廊、公共楼梯间、户外墙面、屋面等；</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（二）由单幢建筑物的全体业主共有的共用设施设备，包括但不限于该幢建筑物内的给排水管道、落水管、水箱、水泵、电梯、冷暖设施、供电设备、照明设施、消防设施、避雷设施等；</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（三）由物业管理区域内全体业主共有的共用部位和共用设施设备，包括围墙、池井、照明设施、共用设施设备使用的房屋等。</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物业服务区域内供水、供电、供气、通讯、有线电视等设施的维修和养护，由相关社会企事业单位负责。</w:t>
      </w:r>
    </w:p>
    <w:p>
      <w:pPr>
        <w:spacing w:line="520" w:lineRule="exact"/>
        <w:ind w:firstLine="608" w:firstLineChars="200"/>
        <w:rPr>
          <w:rFonts w:ascii="仿宋_GB2312" w:hAnsi="宋体"/>
          <w:snapToGrid w:val="0"/>
          <w:spacing w:val="-6"/>
          <w:kern w:val="32"/>
          <w:szCs w:val="32"/>
        </w:rPr>
      </w:pPr>
      <w:r>
        <w:rPr>
          <w:rFonts w:hint="eastAsia" w:ascii="仿宋_GB2312" w:hAnsi="宋体"/>
          <w:snapToGrid w:val="0"/>
          <w:spacing w:val="-6"/>
          <w:kern w:val="32"/>
          <w:szCs w:val="32"/>
        </w:rPr>
        <w:t>根据住房城乡建设部《物业承接查验办法》有关规定，全体业主同意授权物业服务企业代为查验物业共用部位、共用设施设备。</w:t>
      </w:r>
    </w:p>
    <w:p>
      <w:pPr>
        <w:spacing w:line="520" w:lineRule="exact"/>
        <w:ind w:firstLine="632" w:firstLineChars="200"/>
        <w:jc w:val="center"/>
        <w:rPr>
          <w:rFonts w:ascii="仿宋_GB2312" w:hAnsi="宋体"/>
          <w:snapToGrid w:val="0"/>
          <w:kern w:val="32"/>
          <w:szCs w:val="32"/>
        </w:rPr>
      </w:pPr>
    </w:p>
    <w:p>
      <w:pPr>
        <w:spacing w:line="520" w:lineRule="exact"/>
        <w:jc w:val="center"/>
        <w:rPr>
          <w:rFonts w:ascii="仿宋_GB2312" w:hAnsi="宋体"/>
          <w:snapToGrid w:val="0"/>
          <w:kern w:val="32"/>
          <w:szCs w:val="32"/>
        </w:rPr>
      </w:pPr>
      <w:r>
        <w:rPr>
          <w:rFonts w:hint="eastAsia" w:ascii="仿宋_GB2312" w:hAnsi="宋体"/>
          <w:snapToGrid w:val="0"/>
          <w:kern w:val="32"/>
          <w:szCs w:val="32"/>
        </w:rPr>
        <w:t>第三章  物业管理服务</w:t>
      </w:r>
    </w:p>
    <w:p>
      <w:pPr>
        <w:tabs>
          <w:tab w:val="left" w:pos="1890"/>
        </w:tabs>
        <w:spacing w:line="520" w:lineRule="exact"/>
        <w:ind w:firstLine="632" w:firstLineChars="200"/>
        <w:rPr>
          <w:rFonts w:ascii="仿宋_GB2312" w:hAnsi="宋体"/>
          <w:snapToGrid w:val="0"/>
          <w:spacing w:val="-6"/>
          <w:kern w:val="32"/>
          <w:szCs w:val="32"/>
        </w:rPr>
      </w:pPr>
      <w:r>
        <w:rPr>
          <w:rFonts w:hint="eastAsia" w:ascii="楷体_GB2312" w:hAnsi="宋体" w:eastAsia="楷体_GB2312"/>
          <w:b/>
          <w:snapToGrid w:val="0"/>
          <w:kern w:val="32"/>
          <w:szCs w:val="32"/>
        </w:rPr>
        <w:t>第六条</w:t>
      </w:r>
      <w:r>
        <w:rPr>
          <w:rFonts w:hint="eastAsia" w:ascii="仿宋_GB2312" w:hAnsi="宋体"/>
          <w:b/>
          <w:snapToGrid w:val="0"/>
          <w:kern w:val="32"/>
          <w:szCs w:val="32"/>
        </w:rPr>
        <w:t xml:space="preserve"> </w:t>
      </w:r>
      <w:r>
        <w:rPr>
          <w:rFonts w:hint="eastAsia" w:ascii="仿宋_GB2312" w:hAnsi="宋体"/>
          <w:snapToGrid w:val="0"/>
          <w:kern w:val="32"/>
          <w:szCs w:val="32"/>
        </w:rPr>
        <w:t xml:space="preserve"> </w:t>
      </w:r>
      <w:r>
        <w:rPr>
          <w:rFonts w:hint="eastAsia" w:ascii="仿宋_GB2312" w:hAnsi="宋体"/>
          <w:snapToGrid w:val="0"/>
          <w:spacing w:val="-6"/>
          <w:kern w:val="32"/>
          <w:szCs w:val="32"/>
        </w:rPr>
        <w:t>物业服务收费采取</w:t>
      </w:r>
      <w:r>
        <w:rPr>
          <w:rFonts w:hint="eastAsia" w:ascii="仿宋_GB2312" w:hAnsi="宋体"/>
          <w:snapToGrid w:val="0"/>
          <w:spacing w:val="-6"/>
          <w:kern w:val="32"/>
          <w:szCs w:val="32"/>
          <w:u w:val="single"/>
        </w:rPr>
        <w:t xml:space="preserve">        </w:t>
      </w:r>
      <w:r>
        <w:rPr>
          <w:rFonts w:hint="eastAsia" w:ascii="仿宋_GB2312" w:hAnsi="宋体"/>
          <w:snapToGrid w:val="0"/>
          <w:spacing w:val="-6"/>
          <w:kern w:val="32"/>
          <w:szCs w:val="32"/>
        </w:rPr>
        <w:t>（包干制或酬金制）方式。</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第七条</w:t>
      </w:r>
      <w:r>
        <w:rPr>
          <w:rFonts w:hint="eastAsia" w:ascii="仿宋_GB2312" w:hAnsi="宋体"/>
          <w:b/>
          <w:snapToGrid w:val="0"/>
          <w:kern w:val="32"/>
          <w:szCs w:val="32"/>
        </w:rPr>
        <w:t xml:space="preserve"> </w:t>
      </w:r>
      <w:r>
        <w:rPr>
          <w:rFonts w:hint="eastAsia" w:ascii="仿宋_GB2312" w:hAnsi="宋体"/>
          <w:snapToGrid w:val="0"/>
          <w:kern w:val="32"/>
          <w:szCs w:val="32"/>
        </w:rPr>
        <w:t xml:space="preserve"> 业主应按照前期物业服务合同的约定按时足额交纳物业服务费、公共能耗费等相关费用。转让物业的，应自觉及时结清相关费用。</w:t>
      </w:r>
    </w:p>
    <w:p>
      <w:pPr>
        <w:tabs>
          <w:tab w:val="left" w:pos="1890"/>
        </w:tabs>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第八条</w:t>
      </w:r>
      <w:r>
        <w:rPr>
          <w:rFonts w:hint="eastAsia" w:ascii="仿宋_GB2312" w:hAnsi="宋体"/>
          <w:b/>
          <w:snapToGrid w:val="0"/>
          <w:kern w:val="32"/>
          <w:szCs w:val="32"/>
        </w:rPr>
        <w:t xml:space="preserve">  </w:t>
      </w:r>
      <w:r>
        <w:rPr>
          <w:rFonts w:hint="eastAsia" w:ascii="仿宋_GB2312" w:hAnsi="宋体"/>
          <w:snapToGrid w:val="0"/>
          <w:kern w:val="32"/>
          <w:szCs w:val="32"/>
        </w:rPr>
        <w:t>业主和非业主使用人约定由非业主使用人交纳物业服务费等相关费用的，从其约定，业主负连带交纳责任。</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第九条</w:t>
      </w:r>
      <w:r>
        <w:rPr>
          <w:rFonts w:hint="eastAsia" w:ascii="仿宋_GB2312" w:hAnsi="宋体"/>
          <w:b/>
          <w:snapToGrid w:val="0"/>
          <w:kern w:val="32"/>
          <w:szCs w:val="32"/>
        </w:rPr>
        <w:t xml:space="preserve">  </w:t>
      </w:r>
      <w:r>
        <w:rPr>
          <w:rFonts w:hint="eastAsia" w:ascii="仿宋_GB2312" w:hAnsi="宋体"/>
          <w:snapToGrid w:val="0"/>
          <w:kern w:val="32"/>
          <w:szCs w:val="32"/>
        </w:rPr>
        <w:t>业主委托物业服务企业提供物业服务合同约定以外服务项目的，其费用由双方另行约定。</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第十条</w:t>
      </w:r>
      <w:r>
        <w:rPr>
          <w:rFonts w:hint="eastAsia" w:ascii="仿宋_GB2312" w:hAnsi="宋体"/>
          <w:b/>
          <w:snapToGrid w:val="0"/>
          <w:kern w:val="32"/>
          <w:szCs w:val="32"/>
        </w:rPr>
        <w:t xml:space="preserve">  </w:t>
      </w:r>
      <w:r>
        <w:rPr>
          <w:rFonts w:hint="eastAsia" w:ascii="仿宋_GB2312" w:hAnsi="宋体"/>
          <w:snapToGrid w:val="0"/>
          <w:kern w:val="32"/>
          <w:szCs w:val="32"/>
        </w:rPr>
        <w:t>对本物业管理区域内违反有关治安、环保、装饰装修、房屋出租等方面法律、法规和本临时管理规约规定的行为，物业服务企业应当及时进行劝阻、制止，并向相关职能部门报告。</w:t>
      </w:r>
    </w:p>
    <w:p>
      <w:pPr>
        <w:spacing w:line="520" w:lineRule="exact"/>
        <w:ind w:firstLine="632" w:firstLineChars="200"/>
        <w:rPr>
          <w:rFonts w:ascii="仿宋_GB2312" w:hAnsi="宋体"/>
          <w:snapToGrid w:val="0"/>
          <w:kern w:val="32"/>
          <w:szCs w:val="32"/>
        </w:rPr>
      </w:pPr>
    </w:p>
    <w:p>
      <w:pPr>
        <w:spacing w:line="520" w:lineRule="exact"/>
        <w:jc w:val="center"/>
        <w:rPr>
          <w:rFonts w:ascii="黑体" w:hAnsi="黑体" w:eastAsia="黑体"/>
          <w:snapToGrid w:val="0"/>
          <w:kern w:val="32"/>
          <w:szCs w:val="32"/>
        </w:rPr>
      </w:pPr>
      <w:r>
        <w:rPr>
          <w:rFonts w:hint="eastAsia" w:ascii="黑体" w:hAnsi="黑体" w:eastAsia="黑体"/>
          <w:snapToGrid w:val="0"/>
          <w:kern w:val="32"/>
          <w:szCs w:val="32"/>
        </w:rPr>
        <w:t>第四章  物业使用维护</w:t>
      </w:r>
    </w:p>
    <w:p>
      <w:pPr>
        <w:spacing w:line="520" w:lineRule="exact"/>
        <w:ind w:firstLine="632" w:firstLineChars="200"/>
        <w:rPr>
          <w:rFonts w:ascii="仿宋_GB2312" w:hAnsi="宋体" w:cs="仿宋_GB2312"/>
          <w:snapToGrid w:val="0"/>
          <w:kern w:val="32"/>
          <w:szCs w:val="32"/>
        </w:rPr>
      </w:pPr>
      <w:r>
        <w:rPr>
          <w:rFonts w:hint="eastAsia" w:ascii="楷体_GB2312" w:hAnsi="宋体" w:eastAsia="楷体_GB2312"/>
          <w:b/>
          <w:snapToGrid w:val="0"/>
          <w:kern w:val="32"/>
          <w:szCs w:val="32"/>
        </w:rPr>
        <w:t>第十一条</w:t>
      </w:r>
      <w:r>
        <w:rPr>
          <w:rFonts w:hint="eastAsia" w:ascii="仿宋_GB2312" w:hAnsi="宋体"/>
          <w:snapToGrid w:val="0"/>
          <w:kern w:val="32"/>
          <w:szCs w:val="32"/>
        </w:rPr>
        <w:t xml:space="preserve">  </w:t>
      </w:r>
      <w:r>
        <w:rPr>
          <w:rFonts w:hint="eastAsia" w:ascii="仿宋_GB2312" w:hAnsi="宋体" w:cs="仿宋_GB2312"/>
          <w:snapToGrid w:val="0"/>
          <w:kern w:val="32"/>
          <w:szCs w:val="32"/>
        </w:rPr>
        <w:t xml:space="preserve">业主、物业使用人应当按照下列规定使用物业：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 xml:space="preserve">（一）业主对物业的专有部分享有占有、使用、收益和处分的权利，但不得侵害其他人的合法权益；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 xml:space="preserve">（二）自觉维护物业的整洁、美观和共用部位、通道的畅通及共用设备、公共设施的完好；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 xml:space="preserve">（三）应当按照房屋设计预留的位置安装安装空调，未预留位置的，按照物业服务企业指定的位置安装，并按要求做好噪音及冷凝水的处理；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（四）当物业的专有部分出现影响他人正常使用的情况时，业主、物业使用人应当及时维修，消除隐患，</w:t>
      </w:r>
      <w:r>
        <w:rPr>
          <w:rFonts w:hint="eastAsia" w:ascii="仿宋_GB2312" w:hAnsi="宋体"/>
          <w:snapToGrid w:val="0"/>
          <w:kern w:val="32"/>
          <w:szCs w:val="32"/>
        </w:rPr>
        <w:t>应承担修复或赔偿责任。</w:t>
      </w:r>
      <w:r>
        <w:rPr>
          <w:rFonts w:hint="eastAsia" w:ascii="仿宋_GB2312" w:hAnsi="宋体" w:cs="仿宋_GB2312"/>
          <w:snapToGrid w:val="0"/>
          <w:kern w:val="32"/>
          <w:szCs w:val="32"/>
        </w:rPr>
        <w:t xml:space="preserve">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五）不得占用、损坏本物业的共用部位、共用设施设备或改变其使用功能，因搬迁、装饰装修等原因确需合理使用共用部位、共用设施设备的，应事先通知物业服务企业并经其同意后确定使用范围和时限，并在约定的期限内恢复原状，造成损失的，应予赔偿；</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六）在不违反法律法规政策的前提下，业主同意建筑区划内所有与某住宅单位（包括低密度住宅、联排住宅等）相邻的花园、绿地、楼宇屋面、露台、底层庭院、地下室、架空层、地下车库/车位，由该住宅单位的买受人按《商品房买卖合同》内容享有所有权或使用权。买受人享有所有权或使用权的花园、绿地、楼宇屋面、露台、底层庭院、地下室、架空层、地下车库/车位的范围、面积，以该住宅单位的卖受人与买受人签订的《商品房买卖合同》的约定的范围、面积、使用期限为准。上述部分的所有权或使用权归各相应买受人所有或按合同约定使用，其他买受人对此放弃且不具有使用权；</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（七）对业主、物业使用人具有使用权的绿地等，仅具有使用权，不得私自改造、破坏。</w:t>
      </w:r>
    </w:p>
    <w:p>
      <w:pPr>
        <w:spacing w:line="520" w:lineRule="exact"/>
        <w:ind w:firstLine="632" w:firstLineChars="200"/>
        <w:rPr>
          <w:rFonts w:ascii="仿宋_GB2312" w:hAnsi="宋体" w:cs="仿宋_GB2312"/>
          <w:snapToGrid w:val="0"/>
          <w:kern w:val="32"/>
          <w:szCs w:val="32"/>
        </w:rPr>
      </w:pPr>
      <w:r>
        <w:rPr>
          <w:rFonts w:hint="eastAsia" w:ascii="楷体_GB2312" w:hAnsi="宋体" w:eastAsia="楷体_GB2312"/>
          <w:b/>
          <w:snapToGrid w:val="0"/>
          <w:kern w:val="32"/>
          <w:szCs w:val="32"/>
        </w:rPr>
        <w:t>第十二条</w:t>
      </w:r>
      <w:r>
        <w:rPr>
          <w:rFonts w:hint="eastAsia" w:ascii="仿宋_GB2312" w:hAnsi="宋体" w:cs="仿宋_GB2312"/>
          <w:snapToGrid w:val="0"/>
          <w:kern w:val="32"/>
          <w:szCs w:val="32"/>
        </w:rPr>
        <w:t xml:space="preserve">  业主、物业使用人应当合法使用房屋，保障房屋的整体性、抗震性和结构安全，使用物业不得有下列行为：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 xml:space="preserve">（一）拆改住宅房屋或者与其结构垂直连体的非住宅房屋的基础、墙体、梁、柱、楼板等承重结构，损坏共用的设施、设备，在外墙上拆改、增设门窗，或者扩大原有门窗尺寸，损坏和改变房屋外貌；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 xml:space="preserve">（二）在楼板、阳台、露台、屋顶超荷载铺设材料或者堆放物品、在室内增设超荷载分隔墙体；在外墙安装存在安全隐患、有碍观瞻或者破坏小区整体环境的物品；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 xml:space="preserve">（三）擅自改变房屋设计用途；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 xml:space="preserve">（四）占用共用部位和消防通道，损坏共用的设施、设备或者移装共用设备；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 xml:space="preserve">（五）在庭院、车位、平台、屋顶、露台或者其他场地搭建建筑物、构筑物；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 xml:space="preserve">（六）违反有关规定存放易燃、易爆、剧毒、放射性物品和燃放烟花炮竹及排放有毒、有害、危险物质；  </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（七）法律、法规和规章禁止的其他行为。</w:t>
      </w:r>
    </w:p>
    <w:p>
      <w:pPr>
        <w:spacing w:line="520" w:lineRule="exact"/>
        <w:ind w:firstLine="632" w:firstLineChars="200"/>
        <w:rPr>
          <w:rFonts w:ascii="仿宋_GB2312" w:hAnsi="宋体" w:cs="仿宋_GB2312"/>
          <w:snapToGrid w:val="0"/>
          <w:kern w:val="32"/>
          <w:szCs w:val="32"/>
        </w:rPr>
      </w:pPr>
      <w:r>
        <w:rPr>
          <w:rFonts w:hint="eastAsia" w:ascii="楷体_GB2312" w:hAnsi="宋体" w:eastAsia="楷体_GB2312"/>
          <w:b/>
          <w:snapToGrid w:val="0"/>
          <w:kern w:val="32"/>
          <w:szCs w:val="32"/>
        </w:rPr>
        <w:t>第十三条</w:t>
      </w:r>
      <w:r>
        <w:rPr>
          <w:rFonts w:hint="eastAsia" w:ascii="仿宋_GB2312" w:hAnsi="宋体" w:cs="仿宋_GB2312"/>
          <w:snapToGrid w:val="0"/>
          <w:kern w:val="32"/>
          <w:szCs w:val="32"/>
        </w:rPr>
        <w:t xml:space="preserve"> 业主和物业使用人应当按照设计用途使用物业，</w:t>
      </w:r>
      <w:r>
        <w:rPr>
          <w:rFonts w:hint="eastAsia" w:ascii="仿宋_GB2312" w:hAnsi="宋体" w:cs="仿宋_GB2312"/>
          <w:snapToGrid w:val="0"/>
          <w:spacing w:val="-6"/>
          <w:kern w:val="32"/>
          <w:szCs w:val="32"/>
        </w:rPr>
        <w:t xml:space="preserve">不得违反法律、法规以及本临时管理规约的规定改变房屋使用用途。  </w:t>
      </w:r>
    </w:p>
    <w:p>
      <w:pPr>
        <w:spacing w:line="520" w:lineRule="exact"/>
        <w:ind w:firstLine="632" w:firstLineChars="200"/>
        <w:rPr>
          <w:rFonts w:ascii="仿宋_GB2312" w:hAnsi="宋体"/>
          <w:snapToGrid w:val="0"/>
          <w:kern w:val="32"/>
          <w:szCs w:val="32"/>
        </w:rPr>
      </w:pPr>
      <w:r>
        <w:rPr>
          <w:rFonts w:hint="eastAsia" w:ascii="仿宋_GB2312" w:hAnsi="宋体" w:cs="仿宋_GB2312"/>
          <w:snapToGrid w:val="0"/>
          <w:kern w:val="32"/>
          <w:szCs w:val="32"/>
        </w:rPr>
        <w:t>业主确需改变房屋设计用途的，除遵守法律、法规外，应当</w:t>
      </w:r>
      <w:r>
        <w:rPr>
          <w:rFonts w:hint="eastAsia" w:ascii="仿宋_GB2312" w:hAnsi="宋体" w:cs="仿宋_GB2312"/>
          <w:szCs w:val="32"/>
        </w:rPr>
        <w:t>经有利害关系的业主书面同意后，报有关行政主管部门批准，并</w:t>
      </w:r>
      <w:r>
        <w:rPr>
          <w:rFonts w:hint="eastAsia" w:ascii="仿宋_GB2312" w:hAnsi="宋体" w:cs="仿宋_GB2312"/>
          <w:snapToGrid w:val="0"/>
          <w:kern w:val="32"/>
          <w:szCs w:val="32"/>
        </w:rPr>
        <w:t>将有关部门审批的资料报送物业服务企业留存。</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 xml:space="preserve">第十四条  </w:t>
      </w:r>
      <w:r>
        <w:rPr>
          <w:rFonts w:hint="eastAsia" w:ascii="仿宋_GB2312" w:hAnsi="宋体"/>
          <w:snapToGrid w:val="0"/>
          <w:kern w:val="32"/>
          <w:szCs w:val="32"/>
        </w:rPr>
        <w:t>业主和非业主使用人应遵守法律、法规和本临时管理规约的规定，按照有利于物业使用安全、整洁以及公平合理、不损害公共利益和他人利益的原则，正确处理供电、供水、供热、供气、排水、通行、通风、采光、管线铺设、建筑维修、装饰装修、环境卫生、环境保护、秩序维护等方面的相邻关系。</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第十五条</w:t>
      </w:r>
      <w:r>
        <w:rPr>
          <w:rFonts w:hint="eastAsia" w:ascii="仿宋_GB2312" w:hAnsi="宋体"/>
          <w:snapToGrid w:val="0"/>
          <w:kern w:val="32"/>
          <w:szCs w:val="32"/>
        </w:rPr>
        <w:t xml:space="preserve">  物业出租应当遵守法律、法规、规章等相关规定，尊重社会公德，不得危及物业的安全，不得损害其他业主的合法</w:t>
      </w:r>
      <w:r>
        <w:rPr>
          <w:rFonts w:hint="eastAsia" w:ascii="仿宋_GB2312" w:hAnsi="宋体"/>
          <w:snapToGrid w:val="0"/>
          <w:spacing w:val="-4"/>
          <w:kern w:val="32"/>
          <w:szCs w:val="32"/>
        </w:rPr>
        <w:t>权益。出租房屋时，不得违反《湖州市居住出租房屋安全管理规定》。违反规定的，由业主、承租人承担由此产生的全部法律责任。</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第十六条</w:t>
      </w:r>
      <w:r>
        <w:rPr>
          <w:rFonts w:hint="eastAsia" w:ascii="仿宋_GB2312" w:hAnsi="宋体"/>
          <w:snapToGrid w:val="0"/>
          <w:kern w:val="32"/>
          <w:szCs w:val="32"/>
        </w:rPr>
        <w:t xml:space="preserve">  电梯使用安全注意事项：</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应当按照电梯安全注意事项和警示标志正确使用电梯，不得有下列行为：</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（一）使用明示处于禁止使用状态下的电梯；</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（二）采用非安全手段开启电梯层门、轿厢门；</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（三）拆除、破坏电梯零部件和其他附属设施；</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（四）超过额定载重量使用电梯；</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（五）在电梯内蹦跳、打闹或者在运行的自动扶梯、自动人行道上逆行；</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（六）未发生故障时使用、拨打应急救援电话或者非紧急状态下启动紧急制动装置；</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（七）遇到火灾、地震或其他灾害时，不得使用电梯。</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（八）其他危及人身安全或者影响电梯安全运行的行为。</w:t>
      </w:r>
    </w:p>
    <w:p>
      <w:pPr>
        <w:spacing w:line="520" w:lineRule="exact"/>
        <w:ind w:firstLine="632" w:firstLineChars="200"/>
        <w:rPr>
          <w:rFonts w:ascii="仿宋_GB2312" w:hAnsi="宋体" w:cs="仿宋_GB2312"/>
          <w:snapToGrid w:val="0"/>
          <w:kern w:val="32"/>
          <w:szCs w:val="32"/>
        </w:rPr>
      </w:pPr>
      <w:r>
        <w:rPr>
          <w:rFonts w:hint="eastAsia" w:ascii="仿宋_GB2312" w:hAnsi="宋体" w:cs="仿宋_GB2312"/>
          <w:snapToGrid w:val="0"/>
          <w:kern w:val="32"/>
          <w:szCs w:val="32"/>
        </w:rPr>
        <w:t>监护人应当履行对被监护人安全、文明使用电梯的监护义务。</w:t>
      </w:r>
    </w:p>
    <w:p>
      <w:pPr>
        <w:spacing w:line="520" w:lineRule="exact"/>
        <w:ind w:firstLine="632" w:firstLineChars="200"/>
        <w:rPr>
          <w:rFonts w:ascii="仿宋_GB2312" w:hAnsi="宋体"/>
          <w:snapToGrid w:val="0"/>
          <w:kern w:val="32"/>
          <w:szCs w:val="32"/>
        </w:rPr>
      </w:pPr>
      <w:r>
        <w:rPr>
          <w:rFonts w:hint="eastAsia" w:ascii="仿宋_GB2312" w:hAnsi="宋体" w:cs="仿宋_GB2312"/>
          <w:snapToGrid w:val="0"/>
          <w:kern w:val="32"/>
          <w:szCs w:val="32"/>
        </w:rPr>
        <w:t>乘客违规使用电梯的，电梯管理责任人有权对其进行劝阻或者批评教育；构成违反治安管理行为的，由公安部门依法给予治安管理处罚。</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违反以上规定，不正确或不安全使用电梯，造成人身伤亡、财产损失的，由使用人自行承担责任。</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第十七条</w:t>
      </w:r>
      <w:r>
        <w:rPr>
          <w:rFonts w:hint="eastAsia" w:ascii="仿宋_GB2312" w:hAnsi="宋体"/>
          <w:b/>
          <w:snapToGrid w:val="0"/>
          <w:kern w:val="32"/>
          <w:szCs w:val="32"/>
        </w:rPr>
        <w:t xml:space="preserve">  </w:t>
      </w:r>
      <w:r>
        <w:rPr>
          <w:rFonts w:hint="eastAsia" w:ascii="仿宋_GB2312" w:hAnsi="宋体"/>
          <w:snapToGrid w:val="0"/>
          <w:kern w:val="32"/>
          <w:szCs w:val="32"/>
        </w:rPr>
        <w:t>禁止以任何形式对本物业内的公共部位进行破坏，例如在电梯、外墙、公共卫生间等公共部位粘贴广告、乱涂乱画等，若破坏须恢复原状并赔偿损失；沿街商铺布设广告牌、条幅、悬挂物、灯饰等必须统一、美观，安装规范、牢固，并做好防护措施，若发生安全事故的由责任人承担安全责任。本物业管理区域内的商铺店招须按规定经相关部门审核批准，并到物业服务企业备案。</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第十八条</w:t>
      </w:r>
      <w:r>
        <w:rPr>
          <w:rFonts w:hint="eastAsia" w:ascii="仿宋_GB2312" w:hAnsi="宋体"/>
          <w:snapToGrid w:val="0"/>
          <w:kern w:val="32"/>
          <w:szCs w:val="32"/>
        </w:rPr>
        <w:t xml:space="preserve">  业主、物业使用人对共有、共用的门厅、阳台、屋面、楼道及院落、上下水设施等，应共同合理使用并承担相应的义务，除另有约定外，任何一方不得擅自改变或多占、独占。业主、物业使用人在房屋共有、共用部位不得有妨碍或损害他人利益的行为，物业服务企业在事先张贴书面提醒后有权对放置于公共部位的物品进行处理。</w:t>
      </w:r>
    </w:p>
    <w:p>
      <w:pPr>
        <w:tabs>
          <w:tab w:val="left" w:pos="1134"/>
          <w:tab w:val="left" w:pos="1276"/>
        </w:tabs>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第十九条</w:t>
      </w:r>
      <w:r>
        <w:rPr>
          <w:rFonts w:hint="eastAsia" w:ascii="仿宋_GB2312" w:hAnsi="宋体"/>
          <w:b/>
          <w:snapToGrid w:val="0"/>
          <w:kern w:val="32"/>
          <w:szCs w:val="32"/>
        </w:rPr>
        <w:t xml:space="preserve">  </w:t>
      </w:r>
      <w:r>
        <w:rPr>
          <w:rFonts w:hint="eastAsia" w:ascii="仿宋_GB2312" w:hAnsi="宋体"/>
          <w:snapToGrid w:val="0"/>
          <w:kern w:val="32"/>
          <w:szCs w:val="32"/>
        </w:rPr>
        <w:t>本物业内每户水、电、燃气等表具涉及全体业主利益。每户业主或非业主使用人不得擅自拆卸、改装、移动。若违反此项规定而引发事故及造成经济损失的，须由业主或非业主使用人承担相应的责任。</w:t>
      </w:r>
    </w:p>
    <w:p>
      <w:pPr>
        <w:spacing w:line="520" w:lineRule="exact"/>
        <w:ind w:firstLine="632" w:firstLineChars="200"/>
        <w:rPr>
          <w:rFonts w:ascii="仿宋_GB2312" w:hAnsi="宋体"/>
          <w:szCs w:val="32"/>
        </w:rPr>
      </w:pPr>
      <w:r>
        <w:rPr>
          <w:rFonts w:hint="eastAsia" w:ascii="楷体_GB2312" w:hAnsi="宋体" w:eastAsia="楷体_GB2312"/>
          <w:b/>
          <w:snapToGrid w:val="0"/>
          <w:kern w:val="32"/>
          <w:szCs w:val="32"/>
        </w:rPr>
        <w:t>第二十条</w:t>
      </w:r>
      <w:r>
        <w:rPr>
          <w:rFonts w:hint="eastAsia" w:ascii="仿宋_GB2312" w:hAnsi="宋体"/>
          <w:snapToGrid w:val="0"/>
          <w:kern w:val="32"/>
          <w:szCs w:val="32"/>
        </w:rPr>
        <w:t xml:space="preserve">  因维修养护物业确需进入相关业主的物业专有部分时，业主、非业主使用人或物业服务企业应事先告知该专有部分的相关业主、非业主使用人，相关业主、非业主使用人应给予必要的配合。相关业主、非业主使用人阻挠维修养护行为如造</w:t>
      </w:r>
      <w:r>
        <w:rPr>
          <w:rFonts w:hint="eastAsia" w:ascii="仿宋_GB2312" w:hAnsi="宋体"/>
          <w:szCs w:val="32"/>
        </w:rPr>
        <w:t>成物业损坏及其他损失的，应承担修复、赔偿损失等责任。</w:t>
      </w:r>
    </w:p>
    <w:p>
      <w:pPr>
        <w:spacing w:line="520" w:lineRule="exact"/>
        <w:ind w:firstLine="632" w:firstLineChars="200"/>
        <w:rPr>
          <w:rFonts w:ascii="仿宋_GB2312" w:hAnsi="宋体"/>
          <w:szCs w:val="32"/>
        </w:rPr>
      </w:pPr>
      <w:r>
        <w:rPr>
          <w:rFonts w:hint="eastAsia" w:ascii="楷体_GB2312" w:hAnsi="宋体" w:eastAsia="楷体_GB2312"/>
          <w:b/>
          <w:snapToGrid w:val="0"/>
          <w:kern w:val="32"/>
          <w:szCs w:val="32"/>
        </w:rPr>
        <w:t>第二十一条</w:t>
      </w:r>
      <w:r>
        <w:rPr>
          <w:rFonts w:hint="eastAsia" w:ascii="仿宋_GB2312" w:hAnsi="宋体"/>
          <w:szCs w:val="32"/>
        </w:rPr>
        <w:t xml:space="preserve">  发生危及公共利益或其他业主、非业主使用人合法权益的紧急情况，必须及时进入物业专有部分进行维修养护，但无法通知相关业主、非业主使用人的，物业服务企业可向相邻业主、非业主使用人说明情况，在第三方（如所在地派出所、社区居委会、小区业主委员会或业主委托人）的监督下，物业服务企业可采取必要措施进入相关业主的物业专有部分进行维修养护，事后应及时通知相关业主、非业主使用人并做好善后工作。若因此</w:t>
      </w:r>
      <w:r>
        <w:rPr>
          <w:rFonts w:hint="eastAsia" w:ascii="仿宋_GB2312" w:hAnsi="宋体" w:cs="宋体"/>
          <w:kern w:val="0"/>
          <w:szCs w:val="32"/>
        </w:rPr>
        <w:t>对相关业主、非业主使用人造成损失的，相关费用由责任人承担或由受益人予以补偿。</w:t>
      </w:r>
    </w:p>
    <w:p>
      <w:pPr>
        <w:spacing w:line="520" w:lineRule="exact"/>
        <w:ind w:firstLine="632" w:firstLineChars="200"/>
        <w:rPr>
          <w:rFonts w:ascii="仿宋_GB2312" w:hAnsi="宋体"/>
          <w:szCs w:val="32"/>
        </w:rPr>
      </w:pPr>
      <w:r>
        <w:rPr>
          <w:rFonts w:hint="eastAsia" w:ascii="楷体_GB2312" w:hAnsi="宋体" w:eastAsia="楷体_GB2312"/>
          <w:b/>
          <w:snapToGrid w:val="0"/>
          <w:kern w:val="32"/>
          <w:szCs w:val="32"/>
        </w:rPr>
        <w:t xml:space="preserve">第二十二条  </w:t>
      </w:r>
      <w:r>
        <w:rPr>
          <w:rFonts w:hint="eastAsia" w:ascii="仿宋_GB2312" w:hAnsi="宋体" w:cs="宋体"/>
          <w:kern w:val="0"/>
          <w:szCs w:val="32"/>
        </w:rPr>
        <w:t>物业服务企业对物业的共用部位、共用设备设施进行维修养护时，有关业主、非业主使用人应当给予配合。业主、非业主使用人阻挠维修养护，造成物业损坏及财产损失的，应当负责修复并承担赔偿责任。</w:t>
      </w:r>
    </w:p>
    <w:p>
      <w:pPr>
        <w:spacing w:line="520" w:lineRule="exact"/>
        <w:ind w:firstLine="632" w:firstLineChars="200"/>
        <w:rPr>
          <w:rFonts w:ascii="仿宋_GB2312" w:hAnsi="宋体"/>
          <w:b/>
          <w:szCs w:val="32"/>
        </w:rPr>
      </w:pPr>
      <w:r>
        <w:rPr>
          <w:rFonts w:hint="eastAsia" w:ascii="楷体_GB2312" w:hAnsi="宋体" w:eastAsia="楷体_GB2312"/>
          <w:b/>
          <w:snapToGrid w:val="0"/>
          <w:kern w:val="32"/>
          <w:szCs w:val="32"/>
        </w:rPr>
        <w:t>第二十三条</w:t>
      </w:r>
      <w:r>
        <w:rPr>
          <w:rFonts w:hint="eastAsia" w:ascii="仿宋_GB2312" w:hAnsi="宋体"/>
          <w:b/>
          <w:szCs w:val="32"/>
        </w:rPr>
        <w:t xml:space="preserve">  </w:t>
      </w:r>
      <w:r>
        <w:rPr>
          <w:rFonts w:hint="eastAsia" w:ascii="仿宋_GB2312" w:hAnsi="宋体"/>
          <w:szCs w:val="32"/>
        </w:rPr>
        <w:t>物业存在安全隐患，危及公共利益或其他业主、非业主使用人合法权益时，责任人应及时维修养护，有关业主、非业主使用人应当配合。责任人不履行维修养护义务的，致使其他业主、非业主使用人权益受损的，应承担赔偿责任。</w:t>
      </w:r>
    </w:p>
    <w:p>
      <w:pPr>
        <w:spacing w:line="520" w:lineRule="exact"/>
        <w:ind w:firstLine="632" w:firstLineChars="200"/>
        <w:rPr>
          <w:rFonts w:ascii="仿宋_GB2312" w:hAnsi="宋体"/>
          <w:szCs w:val="32"/>
        </w:rPr>
      </w:pPr>
      <w:r>
        <w:rPr>
          <w:rFonts w:hint="eastAsia" w:ascii="楷体_GB2312" w:hAnsi="宋体" w:eastAsia="楷体_GB2312"/>
          <w:b/>
          <w:snapToGrid w:val="0"/>
          <w:kern w:val="32"/>
          <w:szCs w:val="32"/>
        </w:rPr>
        <w:t xml:space="preserve">第二十四条 </w:t>
      </w:r>
      <w:r>
        <w:rPr>
          <w:rFonts w:hint="eastAsia" w:ascii="仿宋_GB2312" w:hAnsi="宋体"/>
          <w:szCs w:val="32"/>
        </w:rPr>
        <w:t xml:space="preserve"> 因业主或非业主使用人使用不当、擅自改动房屋结构及设施设备、不当装修等行为造成物业损害的，由相关物业的业主或非业主使用人依法承担相应的维修责任及赔偿责任。</w:t>
      </w:r>
    </w:p>
    <w:p>
      <w:pPr>
        <w:spacing w:line="520" w:lineRule="exact"/>
        <w:ind w:firstLine="632" w:firstLineChars="200"/>
        <w:rPr>
          <w:rFonts w:ascii="仿宋_GB2312" w:hAnsi="宋体" w:cs="仿宋_GB2312"/>
          <w:szCs w:val="32"/>
        </w:rPr>
      </w:pPr>
      <w:r>
        <w:rPr>
          <w:rFonts w:hint="eastAsia" w:ascii="楷体_GB2312" w:hAnsi="宋体" w:eastAsia="楷体_GB2312"/>
          <w:b/>
          <w:snapToGrid w:val="0"/>
          <w:kern w:val="32"/>
          <w:szCs w:val="32"/>
        </w:rPr>
        <w:t>第二十五条</w:t>
      </w:r>
      <w:r>
        <w:rPr>
          <w:rFonts w:hint="eastAsia" w:ascii="仿宋_GB2312" w:hAnsi="宋体" w:cs="仿宋_GB2312"/>
          <w:szCs w:val="32"/>
        </w:rPr>
        <w:t xml:space="preserve">  本物业管理区域内的业主按规定缴存、使用和管理物业专项维修资金，保修期期满后物业共用部位、共用设施设备的维修、更新和改造,可以使用物业专项维修资金。共用部位和共用设施设备的维修、更新和改造费用的分摊遵循“谁受益，谁负责”的原则。 </w:t>
      </w:r>
    </w:p>
    <w:p>
      <w:pPr>
        <w:spacing w:line="520" w:lineRule="exact"/>
        <w:ind w:firstLine="632" w:firstLineChars="200"/>
        <w:rPr>
          <w:rFonts w:ascii="仿宋_GB2312" w:hAnsi="宋体" w:cs="仿宋_GB2312"/>
          <w:szCs w:val="32"/>
        </w:rPr>
      </w:pPr>
      <w:r>
        <w:rPr>
          <w:rFonts w:hint="eastAsia" w:ascii="仿宋_GB2312" w:hAnsi="宋体" w:cs="仿宋_GB2312"/>
          <w:szCs w:val="32"/>
        </w:rPr>
        <w:t>发生影响物业使用的紧急情况时（涉及消防、电梯、外墙砖坠落等公共安全问题），由所在地社区居委会代行业主委员会职责，可按湖政办发〔</w:t>
      </w:r>
      <w:r>
        <w:rPr>
          <w:rFonts w:hint="eastAsia"/>
          <w:szCs w:val="32"/>
        </w:rPr>
        <w:t>2018</w:t>
      </w:r>
      <w:r>
        <w:rPr>
          <w:rFonts w:hint="eastAsia" w:ascii="仿宋_GB2312" w:hAnsi="宋体" w:cs="仿宋_GB2312"/>
          <w:szCs w:val="32"/>
        </w:rPr>
        <w:t>〕</w:t>
      </w:r>
      <w:r>
        <w:rPr>
          <w:szCs w:val="32"/>
        </w:rPr>
        <w:t>59</w:t>
      </w:r>
      <w:r>
        <w:rPr>
          <w:rFonts w:hint="eastAsia" w:ascii="仿宋_GB2312" w:hAnsi="宋体" w:cs="仿宋_GB2312"/>
          <w:szCs w:val="32"/>
        </w:rPr>
        <w:t>号文件等规定申请使用物业专项维修资金，无需经专有部分占建筑物总面积三分之二以上的业主且占总人数三分之二以上的业主同意。业主分户账面物业专项维修资金余额不足首期交存额</w:t>
      </w:r>
      <w:r>
        <w:rPr>
          <w:szCs w:val="32"/>
        </w:rPr>
        <w:t>30%</w:t>
      </w:r>
      <w:r>
        <w:rPr>
          <w:rFonts w:hint="eastAsia" w:ascii="仿宋_GB2312" w:hAnsi="宋体" w:cs="仿宋_GB2312"/>
          <w:szCs w:val="32"/>
        </w:rPr>
        <w:t>的，应当及时续交；因未及时续交所产生后果由业主承担。</w:t>
      </w:r>
    </w:p>
    <w:p>
      <w:pPr>
        <w:spacing w:line="520" w:lineRule="exact"/>
        <w:ind w:firstLine="632" w:firstLineChars="200"/>
        <w:rPr>
          <w:rFonts w:ascii="仿宋_GB2312" w:hAnsi="宋体" w:cs="仿宋_GB2312"/>
          <w:szCs w:val="32"/>
        </w:rPr>
      </w:pPr>
      <w:r>
        <w:rPr>
          <w:rFonts w:hint="eastAsia" w:ascii="楷体_GB2312" w:hAnsi="宋体" w:eastAsia="楷体_GB2312"/>
          <w:b/>
          <w:snapToGrid w:val="0"/>
          <w:kern w:val="32"/>
          <w:szCs w:val="32"/>
        </w:rPr>
        <w:t>第二十六条</w:t>
      </w:r>
      <w:r>
        <w:rPr>
          <w:rFonts w:hint="eastAsia" w:ascii="仿宋_GB2312" w:hAnsi="宋体" w:cs="仿宋_GB2312"/>
          <w:szCs w:val="32"/>
        </w:rPr>
        <w:t xml:space="preserve">  </w:t>
      </w:r>
      <w:r>
        <w:rPr>
          <w:rFonts w:hint="eastAsia" w:ascii="仿宋_GB2312" w:hAnsi="宋体"/>
          <w:szCs w:val="32"/>
        </w:rPr>
        <w:t>业主、非业主使用人</w:t>
      </w:r>
      <w:r>
        <w:rPr>
          <w:rFonts w:hint="eastAsia" w:ascii="仿宋_GB2312" w:hAnsi="宋体" w:cs="仿宋_GB2312"/>
          <w:szCs w:val="32"/>
        </w:rPr>
        <w:t>对房屋的使用和修缮必须符合本物业整体规划的要求，并应按照有利使用、共同协商、公平合理的原则，正确处理毗连关系。</w:t>
      </w:r>
    </w:p>
    <w:p>
      <w:pPr>
        <w:spacing w:line="520" w:lineRule="exact"/>
        <w:ind w:firstLine="632" w:firstLineChars="200"/>
        <w:rPr>
          <w:rFonts w:ascii="仿宋_GB2312" w:hAnsi="宋体" w:cs="仿宋_GB2312"/>
          <w:szCs w:val="32"/>
        </w:rPr>
      </w:pPr>
    </w:p>
    <w:p>
      <w:pPr>
        <w:spacing w:line="520" w:lineRule="exact"/>
        <w:jc w:val="center"/>
        <w:rPr>
          <w:rFonts w:ascii="黑体" w:hAnsi="黑体" w:eastAsia="黑体"/>
          <w:szCs w:val="32"/>
        </w:rPr>
      </w:pPr>
      <w:r>
        <w:rPr>
          <w:rFonts w:hint="eastAsia" w:ascii="黑体" w:hAnsi="黑体" w:eastAsia="黑体"/>
          <w:szCs w:val="32"/>
        </w:rPr>
        <w:t>第五章  消防安全及公共秩序管理</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 xml:space="preserve">第二十七条 </w:t>
      </w:r>
      <w:r>
        <w:rPr>
          <w:rFonts w:hint="eastAsia" w:ascii="仿宋_GB2312" w:hAnsi="宋体"/>
          <w:b/>
          <w:szCs w:val="32"/>
        </w:rPr>
        <w:t xml:space="preserve"> </w:t>
      </w:r>
      <w:r>
        <w:rPr>
          <w:rFonts w:hint="eastAsia" w:ascii="仿宋_GB2312" w:hAnsi="宋体"/>
          <w:szCs w:val="32"/>
        </w:rPr>
        <w:t>业主、非业主使用人应当加强安全防范意识，自觉遵守有关规章制度和维护家庭人身财产安全和本物业的使用</w:t>
      </w:r>
      <w:r>
        <w:rPr>
          <w:rFonts w:hint="eastAsia" w:ascii="仿宋_GB2312" w:hAnsi="宋体"/>
          <w:snapToGrid w:val="0"/>
          <w:kern w:val="32"/>
          <w:szCs w:val="32"/>
        </w:rPr>
        <w:t>安全，配合物业服务企业做好防火防盗工作。</w:t>
      </w:r>
    </w:p>
    <w:p>
      <w:pPr>
        <w:pStyle w:val="24"/>
        <w:widowControl w:val="0"/>
        <w:spacing w:before="0" w:beforeAutospacing="0" w:after="0" w:afterAutospacing="0" w:line="520" w:lineRule="exact"/>
        <w:ind w:firstLine="632" w:firstLineChars="200"/>
        <w:jc w:val="both"/>
        <w:rPr>
          <w:rFonts w:ascii="仿宋_GB2312" w:eastAsia="仿宋_GB2312"/>
          <w:snapToGrid w:val="0"/>
          <w:kern w:val="32"/>
          <w:sz w:val="32"/>
          <w:szCs w:val="32"/>
        </w:rPr>
      </w:pPr>
      <w:r>
        <w:rPr>
          <w:rFonts w:hint="eastAsia" w:ascii="楷体_GB2312" w:eastAsia="楷体_GB2312" w:cs="Times New Roman"/>
          <w:b/>
          <w:snapToGrid w:val="0"/>
          <w:kern w:val="32"/>
          <w:sz w:val="32"/>
          <w:szCs w:val="32"/>
        </w:rPr>
        <w:t xml:space="preserve">第二十八条  </w:t>
      </w:r>
      <w:r>
        <w:rPr>
          <w:rFonts w:hint="eastAsia" w:ascii="仿宋_GB2312" w:eastAsia="仿宋_GB2312"/>
          <w:snapToGrid w:val="0"/>
          <w:kern w:val="32"/>
          <w:sz w:val="32"/>
          <w:szCs w:val="32"/>
        </w:rPr>
        <w:t>在不可预见情况下，如发生煤气泄漏、漏电、火灾、水管破裂、交通事故、协助公安机关执行任务等突发事件，业主、非业主使用人应积极配合物业服务企业协助相关职能部门、单位采取紧急避险措施。</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第二十九条</w:t>
      </w:r>
      <w:r>
        <w:rPr>
          <w:rFonts w:hint="eastAsia" w:ascii="仿宋_GB2312" w:hAnsi="宋体"/>
          <w:b/>
          <w:snapToGrid w:val="0"/>
          <w:kern w:val="32"/>
          <w:szCs w:val="32"/>
        </w:rPr>
        <w:t xml:space="preserve">  </w:t>
      </w:r>
      <w:r>
        <w:rPr>
          <w:rFonts w:hint="eastAsia" w:ascii="仿宋_GB2312" w:hAnsi="宋体"/>
          <w:snapToGrid w:val="0"/>
          <w:kern w:val="32"/>
          <w:szCs w:val="32"/>
        </w:rPr>
        <w:t>业主、非业主使用人不得擅自使用、挪用物业区域内的消防设施、设备；不得擅自动用消防用水。若发现有人为损坏或非法动用消防设施的，应立即通知物业服务企业。</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第三十条</w:t>
      </w:r>
      <w:r>
        <w:rPr>
          <w:rFonts w:hint="eastAsia" w:ascii="仿宋_GB2312" w:hAnsi="宋体"/>
          <w:snapToGrid w:val="0"/>
          <w:kern w:val="32"/>
          <w:szCs w:val="32"/>
        </w:rPr>
        <w:t xml:space="preserve">  物业服务区域内的火灾报警系统为紧急情况下使用，不得随意启动，以免影响火灾报警系统的正常生活。</w:t>
      </w:r>
    </w:p>
    <w:p>
      <w:pPr>
        <w:spacing w:line="520" w:lineRule="exact"/>
        <w:ind w:firstLine="632" w:firstLineChars="200"/>
        <w:rPr>
          <w:rFonts w:ascii="楷体_GB2312" w:hAnsi="宋体" w:eastAsia="楷体_GB2312"/>
          <w:b/>
          <w:snapToGrid w:val="0"/>
          <w:kern w:val="32"/>
          <w:szCs w:val="32"/>
        </w:rPr>
      </w:pPr>
      <w:r>
        <w:rPr>
          <w:rFonts w:hint="eastAsia" w:ascii="楷体_GB2312" w:hAnsi="宋体" w:eastAsia="楷体_GB2312"/>
          <w:b/>
          <w:snapToGrid w:val="0"/>
          <w:kern w:val="32"/>
          <w:szCs w:val="32"/>
        </w:rPr>
        <w:t>第三十一条</w:t>
      </w:r>
      <w:r>
        <w:rPr>
          <w:rFonts w:hint="eastAsia" w:ascii="仿宋_GB2312" w:hAnsi="宋体"/>
          <w:snapToGrid w:val="0"/>
          <w:kern w:val="32"/>
          <w:szCs w:val="32"/>
        </w:rPr>
        <w:t xml:space="preserve">  严禁业主、非业主使用人擅自占用消防通道、消防避难层和楼顶的消防逃生平台，因业主、非业主使用人违反消防管理规定所造成的损失，依法由相关责任人承担。业主、非业主使用人不得在消防楼梯、单元过道、楼顶消防逃生平台等公共部位堆放物品、杂物或搭建构筑物及其附属设施。物业服务企业可对公共部位堆放的杂物和搭建的构筑物及其附属设施进行</w:t>
      </w:r>
      <w:r>
        <w:rPr>
          <w:rFonts w:hint="eastAsia" w:ascii="仿宋_GB2312" w:hAnsi="宋体"/>
          <w:snapToGrid w:val="0"/>
          <w:spacing w:val="-6"/>
          <w:kern w:val="32"/>
          <w:szCs w:val="32"/>
        </w:rPr>
        <w:t>不定期清理，因发现存在重大安全隐患立即进行清理或已履行提前公告义务后进行清理造成的正常损失由业主、非业主使用人承担。</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第三十二条</w:t>
      </w:r>
      <w:r>
        <w:rPr>
          <w:rFonts w:hint="eastAsia" w:ascii="仿宋_GB2312" w:hAnsi="宋体"/>
          <w:b/>
          <w:snapToGrid w:val="0"/>
          <w:kern w:val="32"/>
          <w:szCs w:val="32"/>
        </w:rPr>
        <w:t xml:space="preserve">  </w:t>
      </w:r>
      <w:r>
        <w:rPr>
          <w:rFonts w:hint="eastAsia" w:ascii="仿宋_GB2312" w:hAnsi="宋体"/>
          <w:snapToGrid w:val="0"/>
          <w:kern w:val="32"/>
          <w:szCs w:val="32"/>
        </w:rPr>
        <w:t>在物业服务区域内不得燃放烟花爆竹或焚烧物品、垃圾，严禁存放任何违禁、易燃、易爆及有毒物品。因上述行为造成的人身财产损失，由行为者自行承担全部责任。</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第三十三条</w:t>
      </w:r>
      <w:r>
        <w:rPr>
          <w:rFonts w:hint="eastAsia" w:ascii="仿宋_GB2312" w:hAnsi="宋体"/>
          <w:b/>
          <w:snapToGrid w:val="0"/>
          <w:kern w:val="32"/>
          <w:szCs w:val="32"/>
        </w:rPr>
        <w:t xml:space="preserve">  </w:t>
      </w:r>
      <w:r>
        <w:rPr>
          <w:rFonts w:hint="eastAsia" w:ascii="仿宋_GB2312" w:hAnsi="宋体"/>
          <w:snapToGrid w:val="0"/>
          <w:kern w:val="32"/>
          <w:szCs w:val="32"/>
        </w:rPr>
        <w:t>物业服务区域内禁止推销人员进行上门推销、分发传单及物品等活动。如遇到类似情况，应立即告知物业服务企业。</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第三十四条</w:t>
      </w:r>
      <w:r>
        <w:rPr>
          <w:rFonts w:hint="eastAsia" w:ascii="仿宋_GB2312" w:hAnsi="宋体"/>
          <w:b/>
          <w:snapToGrid w:val="0"/>
          <w:kern w:val="32"/>
          <w:szCs w:val="32"/>
        </w:rPr>
        <w:t xml:space="preserve">  </w:t>
      </w:r>
      <w:r>
        <w:rPr>
          <w:rFonts w:hint="eastAsia" w:ascii="仿宋_GB2312" w:hAnsi="宋体"/>
          <w:snapToGrid w:val="0"/>
          <w:kern w:val="32"/>
          <w:szCs w:val="32"/>
        </w:rPr>
        <w:t>如户内长期无人居住，业主、非业主使用人应告知项目物业服务企业持有该房屋钥匙人员的姓名和通讯方式，以便发生意外时可以迅速联络。</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第三十五条</w:t>
      </w:r>
      <w:r>
        <w:rPr>
          <w:rFonts w:hint="eastAsia" w:ascii="仿宋_GB2312" w:hAnsi="宋体"/>
          <w:b/>
          <w:snapToGrid w:val="0"/>
          <w:kern w:val="32"/>
          <w:szCs w:val="32"/>
        </w:rPr>
        <w:t xml:space="preserve">  </w:t>
      </w:r>
      <w:r>
        <w:rPr>
          <w:rFonts w:hint="eastAsia" w:ascii="仿宋_GB2312" w:hAnsi="宋体"/>
          <w:snapToGrid w:val="0"/>
          <w:kern w:val="32"/>
          <w:szCs w:val="32"/>
        </w:rPr>
        <w:t>严禁业主、非业主使用人高空抛物的行为，防范高空坠物事件的发生。物业服务企业为维护公共安全可安装监控查找高空抛物、高空坠物发生情况，因高空抛物、高空坠物造成的损失和相应的责任由行为人或责任人承担。</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第三十六条</w:t>
      </w:r>
      <w:r>
        <w:rPr>
          <w:rFonts w:hint="eastAsia" w:ascii="仿宋_GB2312" w:hAnsi="宋体"/>
          <w:b/>
          <w:snapToGrid w:val="0"/>
          <w:kern w:val="32"/>
          <w:szCs w:val="32"/>
        </w:rPr>
        <w:t xml:space="preserve">  </w:t>
      </w:r>
      <w:r>
        <w:rPr>
          <w:rFonts w:hint="eastAsia" w:ascii="仿宋_GB2312" w:hAnsi="宋体"/>
          <w:snapToGrid w:val="0"/>
          <w:kern w:val="32"/>
          <w:szCs w:val="32"/>
        </w:rPr>
        <w:t>严禁业主、非业主使用人私拉电线，违规进行非机动车、平衡车等车辆设备的充电。物业服务企业可对私拉电线和违规充电行为进行应急处置（包括终止违规充电行为、对违规停放的非机动车移车等）。</w:t>
      </w:r>
    </w:p>
    <w:p>
      <w:pPr>
        <w:spacing w:line="520" w:lineRule="exact"/>
        <w:jc w:val="center"/>
        <w:rPr>
          <w:rFonts w:ascii="仿宋_GB2312" w:hAnsi="宋体"/>
          <w:snapToGrid w:val="0"/>
          <w:kern w:val="32"/>
          <w:szCs w:val="32"/>
        </w:rPr>
      </w:pPr>
    </w:p>
    <w:p>
      <w:pPr>
        <w:spacing w:line="520" w:lineRule="exact"/>
        <w:jc w:val="center"/>
        <w:rPr>
          <w:rFonts w:ascii="黑体" w:hAnsi="黑体" w:eastAsia="黑体"/>
          <w:snapToGrid w:val="0"/>
          <w:kern w:val="32"/>
          <w:szCs w:val="32"/>
        </w:rPr>
      </w:pPr>
      <w:r>
        <w:rPr>
          <w:rFonts w:hint="eastAsia" w:ascii="黑体" w:hAnsi="黑体" w:eastAsia="黑体"/>
          <w:snapToGrid w:val="0"/>
          <w:kern w:val="32"/>
          <w:szCs w:val="32"/>
        </w:rPr>
        <w:t xml:space="preserve">第六章  机动车停放管理 </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第三十七条</w:t>
      </w:r>
      <w:r>
        <w:rPr>
          <w:rFonts w:hint="eastAsia" w:ascii="仿宋_GB2312" w:hAnsi="宋体"/>
          <w:snapToGrid w:val="0"/>
          <w:kern w:val="32"/>
          <w:szCs w:val="32"/>
        </w:rPr>
        <w:t xml:space="preserve">  依据《湖州市中心城区住宅小区机动车停放服</w:t>
      </w:r>
      <w:r>
        <w:rPr>
          <w:rFonts w:hint="eastAsia" w:ascii="仿宋_GB2312" w:hAnsi="宋体"/>
          <w:snapToGrid w:val="0"/>
          <w:spacing w:val="-4"/>
          <w:kern w:val="32"/>
          <w:szCs w:val="32"/>
        </w:rPr>
        <w:t>务管理暂行办法》，进入小区车辆须遵守以下车辆行驶和停放规定：</w:t>
      </w:r>
    </w:p>
    <w:p>
      <w:pPr>
        <w:spacing w:line="520" w:lineRule="exact"/>
        <w:ind w:firstLine="632" w:firstLineChars="200"/>
        <w:rPr>
          <w:rFonts w:ascii="仿宋_GB2312" w:hAnsi="宋体" w:cs="宋体"/>
          <w:snapToGrid w:val="0"/>
          <w:kern w:val="32"/>
          <w:szCs w:val="32"/>
        </w:rPr>
      </w:pPr>
      <w:r>
        <w:rPr>
          <w:snapToGrid w:val="0"/>
          <w:kern w:val="32"/>
          <w:szCs w:val="32"/>
        </w:rPr>
        <w:t>1</w:t>
      </w:r>
      <w:r>
        <w:rPr>
          <w:rFonts w:hint="eastAsia" w:ascii="仿宋_GB2312" w:hAnsi="宋体" w:cs="宋体"/>
          <w:snapToGrid w:val="0"/>
          <w:kern w:val="32"/>
          <w:szCs w:val="32"/>
        </w:rPr>
        <w:t>．购买或租用固定车位（库）的业主、非业主使用人需携带购买合同或租赁合同至物业服务企业办理登记手续；</w:t>
      </w:r>
    </w:p>
    <w:p>
      <w:pPr>
        <w:spacing w:line="520" w:lineRule="exact"/>
        <w:ind w:firstLine="632"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．无固定车位的业主、非业主使用人根据小区停车方案的规定可在临时泊车位临时停放，临时泊车费收费标准实行市场调节价；</w:t>
      </w:r>
    </w:p>
    <w:p>
      <w:pPr>
        <w:spacing w:line="520" w:lineRule="exact"/>
        <w:ind w:firstLine="632" w:firstLineChars="200"/>
        <w:rPr>
          <w:rFonts w:ascii="仿宋_GB2312" w:hAnsi="宋体" w:cs="宋体"/>
          <w:snapToGrid w:val="0"/>
          <w:kern w:val="32"/>
          <w:szCs w:val="32"/>
        </w:rPr>
      </w:pPr>
      <w:r>
        <w:rPr>
          <w:rFonts w:hint="eastAsia"/>
          <w:snapToGrid w:val="0"/>
          <w:kern w:val="32"/>
          <w:szCs w:val="32"/>
        </w:rPr>
        <w:t>3</w:t>
      </w:r>
      <w:r>
        <w:rPr>
          <w:rFonts w:hint="eastAsia" w:ascii="仿宋_GB2312" w:hAnsi="宋体" w:cs="宋体"/>
          <w:snapToGrid w:val="0"/>
          <w:kern w:val="32"/>
          <w:szCs w:val="32"/>
        </w:rPr>
        <w:t>．临时来访车辆及</w:t>
      </w:r>
      <w:r>
        <w:rPr>
          <w:rFonts w:hint="eastAsia" w:ascii="仿宋_GB2312" w:hAnsi="宋体"/>
          <w:snapToGrid w:val="0"/>
          <w:kern w:val="32"/>
          <w:szCs w:val="32"/>
        </w:rPr>
        <w:t>货物运输车辆</w:t>
      </w:r>
      <w:r>
        <w:rPr>
          <w:rFonts w:hint="eastAsia" w:ascii="仿宋_GB2312" w:hAnsi="宋体" w:cs="宋体"/>
          <w:snapToGrid w:val="0"/>
          <w:kern w:val="32"/>
          <w:szCs w:val="32"/>
        </w:rPr>
        <w:t>，须向秩序维护员说明被访业主的房号、姓名，由秩序维护员联系业主并登记后方可进入小区。临时来访车辆及</w:t>
      </w:r>
      <w:r>
        <w:rPr>
          <w:rFonts w:hint="eastAsia" w:ascii="仿宋_GB2312" w:hAnsi="宋体"/>
          <w:snapToGrid w:val="0"/>
          <w:kern w:val="32"/>
          <w:szCs w:val="32"/>
        </w:rPr>
        <w:t>货物运输车辆</w:t>
      </w:r>
      <w:r>
        <w:rPr>
          <w:rFonts w:hint="eastAsia" w:ascii="仿宋_GB2312" w:hAnsi="宋体" w:cs="宋体"/>
          <w:snapToGrid w:val="0"/>
          <w:kern w:val="32"/>
          <w:szCs w:val="32"/>
        </w:rPr>
        <w:t>进入小区时，应遵守机动车辆行驶路线，并停入指定的临时泊车位。</w:t>
      </w:r>
      <w:r>
        <w:rPr>
          <w:rFonts w:hint="eastAsia" w:ascii="仿宋_GB2312" w:hAnsi="宋体"/>
          <w:snapToGrid w:val="0"/>
          <w:kern w:val="32"/>
          <w:szCs w:val="32"/>
        </w:rPr>
        <w:t>货物装卸时不得影响交通，装卸后须即刻清理现场并离开。</w:t>
      </w:r>
      <w:r>
        <w:rPr>
          <w:rFonts w:hint="eastAsia" w:ascii="仿宋_GB2312" w:hAnsi="宋体" w:cs="宋体"/>
          <w:snapToGrid w:val="0"/>
          <w:kern w:val="32"/>
          <w:szCs w:val="32"/>
        </w:rPr>
        <w:t>上述车辆临时泊车均需</w:t>
      </w:r>
      <w:r>
        <w:rPr>
          <w:rFonts w:hint="eastAsia" w:ascii="仿宋_GB2312" w:hAnsi="宋体"/>
          <w:snapToGrid w:val="0"/>
          <w:kern w:val="32"/>
          <w:szCs w:val="32"/>
        </w:rPr>
        <w:t>按收费标准缴纳停车费</w:t>
      </w:r>
      <w:r>
        <w:rPr>
          <w:rFonts w:hint="eastAsia" w:ascii="仿宋_GB2312" w:hAnsi="宋体" w:cs="宋体"/>
          <w:snapToGrid w:val="0"/>
          <w:kern w:val="32"/>
          <w:szCs w:val="32"/>
        </w:rPr>
        <w:t>；</w:t>
      </w:r>
    </w:p>
    <w:p>
      <w:pPr>
        <w:spacing w:line="520" w:lineRule="exact"/>
        <w:ind w:firstLine="632" w:firstLineChars="200"/>
        <w:rPr>
          <w:rFonts w:ascii="仿宋_GB2312" w:hAnsi="宋体" w:cs="宋体"/>
          <w:snapToGrid w:val="0"/>
          <w:kern w:val="32"/>
          <w:szCs w:val="32"/>
        </w:rPr>
      </w:pPr>
      <w:r>
        <w:rPr>
          <w:rFonts w:hint="eastAsia"/>
          <w:snapToGrid w:val="0"/>
          <w:kern w:val="32"/>
          <w:szCs w:val="32"/>
        </w:rPr>
        <w:t>4</w:t>
      </w:r>
      <w:r>
        <w:rPr>
          <w:rFonts w:hint="eastAsia" w:ascii="仿宋_GB2312" w:hAnsi="宋体" w:cs="宋体"/>
          <w:snapToGrid w:val="0"/>
          <w:kern w:val="32"/>
          <w:szCs w:val="32"/>
        </w:rPr>
        <w:t>．严禁装载易燃、易爆、剧毒以及各种腐蚀性物品的车辆进入小区；</w:t>
      </w:r>
    </w:p>
    <w:p>
      <w:pPr>
        <w:spacing w:line="520" w:lineRule="exact"/>
        <w:ind w:firstLine="632" w:firstLineChars="200"/>
        <w:rPr>
          <w:rFonts w:ascii="仿宋_GB2312" w:hAnsi="宋体" w:cs="宋体"/>
          <w:snapToGrid w:val="0"/>
          <w:kern w:val="32"/>
          <w:szCs w:val="32"/>
        </w:rPr>
      </w:pPr>
      <w:r>
        <w:rPr>
          <w:rFonts w:hint="eastAsia"/>
          <w:snapToGrid w:val="0"/>
          <w:kern w:val="32"/>
          <w:szCs w:val="32"/>
        </w:rPr>
        <w:t>5</w:t>
      </w:r>
      <w:r>
        <w:rPr>
          <w:rFonts w:hint="eastAsia" w:ascii="仿宋_GB2312" w:hAnsi="宋体" w:cs="宋体"/>
          <w:snapToGrid w:val="0"/>
          <w:kern w:val="32"/>
          <w:szCs w:val="32"/>
        </w:rPr>
        <w:t>．禁止载重</w:t>
      </w:r>
      <w:r>
        <w:rPr>
          <w:rFonts w:hint="eastAsia"/>
          <w:snapToGrid w:val="0"/>
          <w:kern w:val="32"/>
          <w:szCs w:val="32"/>
        </w:rPr>
        <w:t>5</w:t>
      </w:r>
      <w:r>
        <w:rPr>
          <w:rFonts w:hint="eastAsia" w:ascii="仿宋_GB2312" w:hAnsi="宋体" w:cs="宋体"/>
          <w:snapToGrid w:val="0"/>
          <w:kern w:val="32"/>
          <w:szCs w:val="32"/>
        </w:rPr>
        <w:t>吨(含)以上货车或</w:t>
      </w:r>
      <w:r>
        <w:rPr>
          <w:rFonts w:hint="eastAsia"/>
          <w:snapToGrid w:val="0"/>
          <w:kern w:val="32"/>
          <w:szCs w:val="32"/>
        </w:rPr>
        <w:t>19</w:t>
      </w:r>
      <w:r>
        <w:rPr>
          <w:rFonts w:hint="eastAsia" w:ascii="仿宋_GB2312" w:hAnsi="宋体" w:cs="宋体"/>
          <w:snapToGrid w:val="0"/>
          <w:kern w:val="32"/>
          <w:szCs w:val="32"/>
        </w:rPr>
        <w:t>座（含）以上客车进入小区；</w:t>
      </w:r>
    </w:p>
    <w:p>
      <w:pPr>
        <w:spacing w:line="520" w:lineRule="exact"/>
        <w:ind w:firstLine="632" w:firstLineChars="200"/>
        <w:rPr>
          <w:rFonts w:ascii="仿宋_GB2312" w:hAnsi="宋体" w:cs="宋体"/>
          <w:snapToGrid w:val="0"/>
          <w:kern w:val="32"/>
          <w:szCs w:val="32"/>
        </w:rPr>
      </w:pPr>
      <w:r>
        <w:rPr>
          <w:rFonts w:hint="eastAsia"/>
          <w:snapToGrid w:val="0"/>
          <w:kern w:val="32"/>
          <w:szCs w:val="32"/>
        </w:rPr>
        <w:t>6</w:t>
      </w:r>
      <w:r>
        <w:rPr>
          <w:rFonts w:hint="eastAsia" w:ascii="仿宋_GB2312" w:hAnsi="宋体" w:cs="宋体"/>
          <w:snapToGrid w:val="0"/>
          <w:kern w:val="32"/>
          <w:szCs w:val="32"/>
        </w:rPr>
        <w:t>．所有车辆在通过挡车器时，必须等档杆逐一开启后方可进出，严禁跟车，造成设备损坏的由车辆使用人承担；</w:t>
      </w:r>
    </w:p>
    <w:p>
      <w:pPr>
        <w:spacing w:line="520" w:lineRule="exact"/>
        <w:ind w:firstLine="632" w:firstLineChars="200"/>
        <w:rPr>
          <w:rFonts w:ascii="仿宋_GB2312" w:hAnsi="宋体" w:cs="宋体"/>
          <w:snapToGrid w:val="0"/>
          <w:kern w:val="32"/>
          <w:szCs w:val="32"/>
        </w:rPr>
      </w:pPr>
      <w:r>
        <w:rPr>
          <w:rFonts w:hint="eastAsia"/>
          <w:snapToGrid w:val="0"/>
          <w:kern w:val="32"/>
          <w:szCs w:val="32"/>
        </w:rPr>
        <w:t>7</w:t>
      </w:r>
      <w:r>
        <w:rPr>
          <w:rFonts w:hint="eastAsia" w:ascii="仿宋_GB2312" w:hAnsi="宋体" w:cs="宋体"/>
          <w:snapToGrid w:val="0"/>
          <w:kern w:val="32"/>
          <w:szCs w:val="32"/>
        </w:rPr>
        <w:t>．所有车辆进入小区需严格做到“一慢、二看、三通过”，并且按照园区的限速、限鸣、限高等标志行驶，造成损失由违规者承担；</w:t>
      </w:r>
    </w:p>
    <w:p>
      <w:pPr>
        <w:spacing w:line="520" w:lineRule="exact"/>
        <w:ind w:firstLine="632" w:firstLineChars="200"/>
        <w:rPr>
          <w:rFonts w:ascii="仿宋_GB2312" w:hAnsi="宋体" w:cs="宋体"/>
          <w:snapToGrid w:val="0"/>
          <w:kern w:val="32"/>
          <w:szCs w:val="32"/>
        </w:rPr>
      </w:pPr>
      <w:r>
        <w:rPr>
          <w:rFonts w:hint="eastAsia"/>
          <w:snapToGrid w:val="0"/>
          <w:kern w:val="32"/>
          <w:szCs w:val="32"/>
        </w:rPr>
        <w:t>8</w:t>
      </w:r>
      <w:r>
        <w:rPr>
          <w:rFonts w:hint="eastAsia" w:ascii="仿宋_GB2312" w:hAnsi="宋体" w:cs="宋体"/>
          <w:snapToGrid w:val="0"/>
          <w:kern w:val="32"/>
          <w:szCs w:val="32"/>
        </w:rPr>
        <w:t>．严禁机动车和非机动车行驶、停放时车轮碾压绿化带；</w:t>
      </w:r>
    </w:p>
    <w:p>
      <w:pPr>
        <w:spacing w:line="520" w:lineRule="exact"/>
        <w:ind w:firstLine="632" w:firstLineChars="200"/>
        <w:rPr>
          <w:rFonts w:ascii="仿宋_GB2312" w:hAnsi="宋体"/>
          <w:snapToGrid w:val="0"/>
          <w:kern w:val="32"/>
          <w:szCs w:val="32"/>
        </w:rPr>
      </w:pPr>
      <w:r>
        <w:rPr>
          <w:rFonts w:hint="eastAsia"/>
          <w:snapToGrid w:val="0"/>
          <w:kern w:val="32"/>
          <w:szCs w:val="32"/>
        </w:rPr>
        <w:t>9</w:t>
      </w:r>
      <w:r>
        <w:rPr>
          <w:rFonts w:hint="eastAsia" w:ascii="仿宋_GB2312" w:hAnsi="宋体"/>
          <w:snapToGrid w:val="0"/>
          <w:kern w:val="32"/>
          <w:szCs w:val="32"/>
        </w:rPr>
        <w:t>．自行车、电动车和三轮车等非机动车，进入小区后应减速慢行或推行，且整齐有序地停放在指定的非机动车停放处，严禁停放在公共楼道、单元门口、架空层等；</w:t>
      </w:r>
    </w:p>
    <w:p>
      <w:pPr>
        <w:spacing w:line="520" w:lineRule="exact"/>
        <w:ind w:firstLine="632" w:firstLineChars="200"/>
        <w:rPr>
          <w:rFonts w:ascii="仿宋_GB2312" w:hAnsi="宋体"/>
          <w:snapToGrid w:val="0"/>
          <w:kern w:val="32"/>
          <w:szCs w:val="32"/>
        </w:rPr>
      </w:pPr>
      <w:r>
        <w:rPr>
          <w:rFonts w:hint="eastAsia"/>
          <w:snapToGrid w:val="0"/>
          <w:kern w:val="32"/>
          <w:szCs w:val="32"/>
        </w:rPr>
        <w:t>10</w:t>
      </w:r>
      <w:r>
        <w:rPr>
          <w:rFonts w:hint="eastAsia" w:ascii="仿宋_GB2312" w:hAnsi="宋体"/>
          <w:snapToGrid w:val="0"/>
          <w:kern w:val="32"/>
          <w:szCs w:val="32"/>
        </w:rPr>
        <w:t>．短期内需经常出入小区的外来人员（如装修人员、送水送餐人员等），须办理临时出入证，凭临时出入证进入。</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第三十八条</w:t>
      </w:r>
      <w:r>
        <w:rPr>
          <w:rFonts w:hint="eastAsia" w:ascii="仿宋_GB2312" w:hAnsi="宋体" w:cs="宋体"/>
          <w:b/>
          <w:snapToGrid w:val="0"/>
          <w:kern w:val="32"/>
          <w:szCs w:val="32"/>
        </w:rPr>
        <w:t xml:space="preserve">  </w:t>
      </w:r>
      <w:r>
        <w:rPr>
          <w:rFonts w:hint="eastAsia" w:ascii="仿宋_GB2312" w:hAnsi="宋体" w:cs="宋体"/>
          <w:snapToGrid w:val="0"/>
          <w:kern w:val="32"/>
          <w:szCs w:val="32"/>
        </w:rPr>
        <w:t>停放在小区内的机动车，应注意安全，人离车时要将车内贵重物品拿走，并关好车窗，锁好车门，</w:t>
      </w:r>
      <w:r>
        <w:rPr>
          <w:rFonts w:hint="eastAsia" w:ascii="仿宋_GB2312" w:hAnsi="宋体"/>
          <w:snapToGrid w:val="0"/>
          <w:kern w:val="32"/>
          <w:szCs w:val="32"/>
        </w:rPr>
        <w:t>谨防失窃。物业服务企业仅对车辆行驶、停放秩序进行管理，并不承担对车辆及车辆物品的保管义务。</w:t>
      </w:r>
    </w:p>
    <w:p>
      <w:pPr>
        <w:spacing w:line="520" w:lineRule="exact"/>
        <w:ind w:firstLine="632" w:firstLineChars="200"/>
        <w:rPr>
          <w:rFonts w:ascii="仿宋_GB2312" w:hAnsi="宋体"/>
          <w:snapToGrid w:val="0"/>
          <w:kern w:val="32"/>
          <w:szCs w:val="32"/>
        </w:rPr>
      </w:pPr>
      <w:r>
        <w:rPr>
          <w:rFonts w:hint="eastAsia" w:ascii="楷体_GB2312" w:eastAsia="楷体_GB2312"/>
          <w:b/>
          <w:snapToGrid w:val="0"/>
          <w:kern w:val="32"/>
          <w:szCs w:val="32"/>
        </w:rPr>
        <w:t>第三十九条</w:t>
      </w:r>
      <w:r>
        <w:rPr>
          <w:rFonts w:hint="eastAsia" w:ascii="仿宋_GB2312" w:cs="宋体"/>
          <w:snapToGrid w:val="0"/>
          <w:kern w:val="32"/>
          <w:szCs w:val="32"/>
        </w:rPr>
        <w:t xml:space="preserve">  停放在小区的机动车如发生刮擦、碰撞等事故，肇事车主应及时将受损车辆车牌号报物业服务企业，由物业服务企业协助通知受损车辆的车主，由双方协商解决或联系保险公司处理，物业服务企业不承担责任。</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第四十条</w:t>
      </w:r>
      <w:r>
        <w:rPr>
          <w:rFonts w:hint="eastAsia" w:ascii="仿宋_GB2312" w:hAnsi="宋体" w:cs="宋体"/>
          <w:snapToGrid w:val="0"/>
          <w:kern w:val="32"/>
          <w:szCs w:val="32"/>
        </w:rPr>
        <w:t xml:space="preserve">  物业服务企业应劝阻和制止违反车辆行驶和停放规定的行为，劝阻和制止不成可以公开曝光。对于占用消防通道停车等违反公共安全的行为，物业服务企业应立即报告消防部门执法处理，在紧急情况下可采取移车等必要措施，因移车造成的损失由业主、非业主使用人承担。</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第四十一条</w:t>
      </w:r>
      <w:r>
        <w:rPr>
          <w:rFonts w:hint="eastAsia" w:ascii="仿宋_GB2312"/>
          <w:b/>
          <w:snapToGrid w:val="0"/>
          <w:kern w:val="32"/>
          <w:szCs w:val="32"/>
        </w:rPr>
        <w:t xml:space="preserve">  </w:t>
      </w:r>
      <w:r>
        <w:rPr>
          <w:rFonts w:hint="eastAsia" w:ascii="仿宋_GB2312" w:hAnsi="宋体" w:cs="宋体"/>
          <w:snapToGrid w:val="0"/>
          <w:kern w:val="32"/>
          <w:szCs w:val="32"/>
        </w:rPr>
        <w:t>对违反车辆行驶和停放规定的行为，其他业主、非业主使用人都有劝阻、投诉的权利和义务,并协助物业服务企业对违规行为进行管理。</w:t>
      </w:r>
    </w:p>
    <w:p>
      <w:pPr>
        <w:spacing w:line="520" w:lineRule="exact"/>
        <w:jc w:val="center"/>
        <w:rPr>
          <w:rFonts w:ascii="仿宋_GB2312" w:hAnsi="宋体"/>
          <w:snapToGrid w:val="0"/>
          <w:kern w:val="32"/>
          <w:szCs w:val="32"/>
        </w:rPr>
      </w:pPr>
    </w:p>
    <w:p>
      <w:pPr>
        <w:spacing w:line="520" w:lineRule="exact"/>
        <w:jc w:val="center"/>
        <w:rPr>
          <w:rFonts w:ascii="黑体" w:hAnsi="黑体" w:eastAsia="黑体"/>
          <w:snapToGrid w:val="0"/>
          <w:kern w:val="32"/>
          <w:szCs w:val="32"/>
        </w:rPr>
      </w:pPr>
      <w:r>
        <w:rPr>
          <w:rFonts w:hint="eastAsia" w:ascii="黑体" w:hAnsi="黑体" w:eastAsia="黑体"/>
          <w:snapToGrid w:val="0"/>
          <w:kern w:val="32"/>
          <w:szCs w:val="32"/>
        </w:rPr>
        <w:t>第七章  装修管理规定</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第四十二条</w:t>
      </w:r>
      <w:r>
        <w:rPr>
          <w:rFonts w:hint="eastAsia" w:ascii="仿宋_GB2312" w:hAnsi="宋体"/>
          <w:b/>
          <w:snapToGrid w:val="0"/>
          <w:kern w:val="32"/>
          <w:szCs w:val="32"/>
        </w:rPr>
        <w:t xml:space="preserve">  </w:t>
      </w:r>
      <w:r>
        <w:rPr>
          <w:rFonts w:hint="eastAsia" w:ascii="仿宋_GB2312" w:hAnsi="宋体"/>
          <w:snapToGrid w:val="0"/>
          <w:kern w:val="32"/>
          <w:szCs w:val="32"/>
        </w:rPr>
        <w:t>业主、非业主使用人需遵守《物业管理条例》《住宅室内装饰装修管理办法》《浙江省房屋使用安全管理条例》和《前期物业服务合同》中有关装修管理的规定。</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第四十三条</w:t>
      </w:r>
      <w:r>
        <w:rPr>
          <w:rFonts w:hint="eastAsia" w:ascii="仿宋_GB2312" w:hAnsi="宋体"/>
          <w:snapToGrid w:val="0"/>
          <w:kern w:val="32"/>
          <w:szCs w:val="32"/>
        </w:rPr>
        <w:t xml:space="preserve">  业主、非业主使用人需要装饰装修房屋的，应持有效身份证明、装修方案到物业服务企业登记备案，签订《装饰装修管理服务协议》，并按规定进行装修活动。业主、非业主使用人应将此规约内容告知自行委托的装饰装修施工企业，并要</w:t>
      </w:r>
      <w:r>
        <w:rPr>
          <w:rFonts w:hint="eastAsia" w:ascii="仿宋_GB2312" w:hAnsi="宋体"/>
          <w:snapToGrid w:val="0"/>
          <w:spacing w:val="-6"/>
          <w:kern w:val="32"/>
          <w:szCs w:val="32"/>
        </w:rPr>
        <w:t>求施工企业遵守本规约，同时要积极配合房屋使用安全管理部门和物业服务企业对装修房屋活动进行指导、监督，不得拒绝和阻碍。</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 xml:space="preserve">第四十四条 </w:t>
      </w:r>
      <w:r>
        <w:rPr>
          <w:rFonts w:hint="eastAsia" w:ascii="仿宋_GB2312" w:hAnsi="宋体"/>
          <w:b/>
          <w:snapToGrid w:val="0"/>
          <w:kern w:val="32"/>
          <w:szCs w:val="32"/>
        </w:rPr>
        <w:t xml:space="preserve"> </w:t>
      </w:r>
      <w:r>
        <w:rPr>
          <w:rFonts w:hint="eastAsia" w:ascii="仿宋_GB2312" w:hAnsi="宋体"/>
          <w:snapToGrid w:val="0"/>
          <w:kern w:val="32"/>
          <w:szCs w:val="32"/>
        </w:rPr>
        <w:t>装修过程中，涉及装修垃圾清运费等相关费用，由业主、非业主使用人按相关规定缴纳；因装饰装修房屋影响物</w:t>
      </w:r>
      <w:r>
        <w:rPr>
          <w:rFonts w:hint="eastAsia" w:ascii="仿宋_GB2312" w:hAnsi="宋体"/>
          <w:snapToGrid w:val="0"/>
          <w:spacing w:val="-6"/>
          <w:kern w:val="32"/>
          <w:szCs w:val="32"/>
        </w:rPr>
        <w:t>业共用部位、共用设施设备的正常使用以及侵害相邻业主合法权益的，业主、非业主使用人应及时恢复原状并承担相应的赔偿责任。</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第四十五条</w:t>
      </w:r>
      <w:r>
        <w:rPr>
          <w:rFonts w:hint="eastAsia" w:ascii="仿宋_GB2312" w:hAnsi="宋体"/>
          <w:snapToGrid w:val="0"/>
          <w:kern w:val="32"/>
          <w:szCs w:val="32"/>
        </w:rPr>
        <w:t xml:space="preserve">  业主、非业主使用人应在装修垃圾指定堆放点袋装放置装修垃圾，不得擅自占用物业共用部位和公共场所。</w:t>
      </w:r>
    </w:p>
    <w:p>
      <w:pPr>
        <w:spacing w:line="520" w:lineRule="exact"/>
        <w:ind w:firstLine="632" w:firstLineChars="200"/>
        <w:rPr>
          <w:rFonts w:ascii="仿宋_GB2312" w:hAnsi="宋体"/>
          <w:snapToGrid w:val="0"/>
          <w:kern w:val="32"/>
          <w:szCs w:val="32"/>
        </w:rPr>
      </w:pPr>
      <w:r>
        <w:rPr>
          <w:rFonts w:hint="eastAsia" w:ascii="仿宋_GB2312" w:hAnsi="宋体"/>
          <w:snapToGrid w:val="0"/>
          <w:kern w:val="32"/>
          <w:szCs w:val="32"/>
        </w:rPr>
        <w:t>本物业管理区域的装饰装修施工时间为</w:t>
      </w:r>
      <w:r>
        <w:rPr>
          <w:snapToGrid w:val="0"/>
          <w:kern w:val="32"/>
          <w:szCs w:val="32"/>
          <w:u w:val="single"/>
        </w:rPr>
        <w:t>8</w:t>
      </w:r>
      <w:r>
        <w:rPr>
          <w:rFonts w:hint="eastAsia" w:ascii="宋体" w:hAnsi="宋体" w:eastAsia="宋体" w:cs="宋体"/>
          <w:snapToGrid w:val="0"/>
          <w:kern w:val="32"/>
          <w:szCs w:val="32"/>
          <w:u w:val="single"/>
        </w:rPr>
        <w:t>∶</w:t>
      </w:r>
      <w:r>
        <w:rPr>
          <w:snapToGrid w:val="0"/>
          <w:kern w:val="32"/>
          <w:szCs w:val="32"/>
          <w:u w:val="single"/>
        </w:rPr>
        <w:t>00</w:t>
      </w:r>
      <w:r>
        <w:rPr>
          <w:rFonts w:hint="eastAsia" w:ascii="仿宋_GB2312"/>
          <w:snapToGrid w:val="0"/>
          <w:kern w:val="32"/>
          <w:szCs w:val="32"/>
          <w:u w:val="single"/>
        </w:rPr>
        <w:t>-</w:t>
      </w:r>
      <w:r>
        <w:rPr>
          <w:snapToGrid w:val="0"/>
          <w:kern w:val="32"/>
          <w:szCs w:val="32"/>
          <w:u w:val="single"/>
        </w:rPr>
        <w:t>17</w:t>
      </w:r>
      <w:r>
        <w:rPr>
          <w:rFonts w:hint="eastAsia" w:ascii="宋体" w:hAnsi="宋体" w:eastAsia="宋体" w:cs="宋体"/>
          <w:snapToGrid w:val="0"/>
          <w:kern w:val="32"/>
          <w:szCs w:val="32"/>
          <w:u w:val="single"/>
        </w:rPr>
        <w:t>∶</w:t>
      </w:r>
      <w:r>
        <w:rPr>
          <w:snapToGrid w:val="0"/>
          <w:kern w:val="32"/>
          <w:szCs w:val="32"/>
          <w:u w:val="single"/>
        </w:rPr>
        <w:t>30</w:t>
      </w:r>
      <w:r>
        <w:rPr>
          <w:rFonts w:hint="eastAsia" w:ascii="仿宋_GB2312" w:hAnsi="宋体"/>
          <w:snapToGrid w:val="0"/>
          <w:kern w:val="32"/>
          <w:szCs w:val="32"/>
        </w:rPr>
        <w:t>，其他时间不得施工。其中中午</w:t>
      </w:r>
      <w:r>
        <w:rPr>
          <w:snapToGrid w:val="0"/>
          <w:kern w:val="32"/>
          <w:szCs w:val="32"/>
          <w:u w:val="single"/>
        </w:rPr>
        <w:t>12</w:t>
      </w:r>
      <w:r>
        <w:rPr>
          <w:rFonts w:hint="eastAsia" w:ascii="宋体" w:hAnsi="宋体" w:eastAsia="宋体" w:cs="宋体"/>
          <w:snapToGrid w:val="0"/>
          <w:kern w:val="32"/>
          <w:szCs w:val="32"/>
          <w:u w:val="single"/>
        </w:rPr>
        <w:t>∶</w:t>
      </w:r>
      <w:r>
        <w:rPr>
          <w:snapToGrid w:val="0"/>
          <w:kern w:val="32"/>
          <w:szCs w:val="32"/>
          <w:u w:val="single"/>
        </w:rPr>
        <w:t>00</w:t>
      </w:r>
      <w:r>
        <w:rPr>
          <w:rFonts w:hint="eastAsia" w:ascii="仿宋_GB2312" w:hAnsi="宋体"/>
          <w:snapToGrid w:val="0"/>
          <w:kern w:val="32"/>
          <w:szCs w:val="32"/>
          <w:u w:val="single"/>
        </w:rPr>
        <w:t>-</w:t>
      </w:r>
      <w:r>
        <w:rPr>
          <w:snapToGrid w:val="0"/>
          <w:kern w:val="32"/>
          <w:szCs w:val="32"/>
          <w:u w:val="single"/>
        </w:rPr>
        <w:t>13</w:t>
      </w:r>
      <w:r>
        <w:rPr>
          <w:rFonts w:hint="eastAsia" w:ascii="宋体" w:hAnsi="宋体" w:eastAsia="宋体" w:cs="宋体"/>
          <w:snapToGrid w:val="0"/>
          <w:kern w:val="32"/>
          <w:szCs w:val="32"/>
          <w:u w:val="single"/>
        </w:rPr>
        <w:t>∶</w:t>
      </w:r>
      <w:r>
        <w:rPr>
          <w:snapToGrid w:val="0"/>
          <w:kern w:val="32"/>
          <w:szCs w:val="32"/>
          <w:u w:val="single"/>
        </w:rPr>
        <w:t>30</w:t>
      </w:r>
      <w:r>
        <w:rPr>
          <w:rFonts w:hint="eastAsia" w:ascii="仿宋_GB2312" w:hAnsi="宋体"/>
          <w:snapToGrid w:val="0"/>
          <w:kern w:val="32"/>
          <w:szCs w:val="32"/>
        </w:rPr>
        <w:t>，不得从事敲、凿、刨、钻等影响休息的装修活动。中考、高考等特殊期间，应遵守市、区（县）人民政府作出的限制性规定。</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第四十六条</w:t>
      </w:r>
      <w:r>
        <w:rPr>
          <w:rFonts w:hint="eastAsia" w:ascii="仿宋_GB2312" w:hAnsi="宋体"/>
          <w:b/>
          <w:snapToGrid w:val="0"/>
          <w:kern w:val="32"/>
          <w:szCs w:val="32"/>
        </w:rPr>
        <w:t xml:space="preserve">  </w:t>
      </w:r>
      <w:r>
        <w:rPr>
          <w:rFonts w:hint="eastAsia" w:ascii="仿宋_GB2312" w:hAnsi="宋体"/>
          <w:snapToGrid w:val="0"/>
          <w:kern w:val="32"/>
          <w:szCs w:val="32"/>
        </w:rPr>
        <w:t>装修期间使用电梯应遵守相关电梯安全使用规定，为保证电梯的安全运行不得在电梯内撒落水泥、黄沙、砖块等装修材料。</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第四十七条</w:t>
      </w:r>
      <w:r>
        <w:rPr>
          <w:rFonts w:hint="eastAsia" w:ascii="仿宋_GB2312" w:hAnsi="宋体"/>
          <w:snapToGrid w:val="0"/>
          <w:kern w:val="32"/>
          <w:szCs w:val="32"/>
        </w:rPr>
        <w:t xml:space="preserve">  业主应按设计预留的位置安装空调，未预留设计位置的，应按物业管理企业指定的位置安装，并按要求做好噪音及冷凝水的处理。</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 xml:space="preserve">第四十八条 </w:t>
      </w:r>
      <w:r>
        <w:rPr>
          <w:rFonts w:hint="eastAsia" w:ascii="仿宋_GB2312" w:hAnsi="宋体"/>
          <w:snapToGrid w:val="0"/>
          <w:kern w:val="32"/>
          <w:szCs w:val="32"/>
        </w:rPr>
        <w:t xml:space="preserve"> 装修过程中禁止以下行为：</w:t>
      </w:r>
    </w:p>
    <w:p>
      <w:pPr>
        <w:spacing w:line="520" w:lineRule="exact"/>
        <w:ind w:firstLine="632" w:firstLineChars="200"/>
        <w:rPr>
          <w:rFonts w:ascii="仿宋_GB2312" w:hAnsi="宋体"/>
          <w:snapToGrid w:val="0"/>
          <w:kern w:val="32"/>
          <w:szCs w:val="32"/>
        </w:rPr>
      </w:pPr>
      <w:r>
        <w:rPr>
          <w:snapToGrid w:val="0"/>
          <w:kern w:val="32"/>
          <w:szCs w:val="32"/>
        </w:rPr>
        <w:t>1</w:t>
      </w:r>
      <w:r>
        <w:rPr>
          <w:rFonts w:hint="eastAsia" w:ascii="仿宋_GB2312" w:hAnsi="宋体"/>
          <w:snapToGrid w:val="0"/>
          <w:kern w:val="32"/>
          <w:szCs w:val="32"/>
        </w:rPr>
        <w:t>．未在物业服务企业进行装修备案，或备案手续不齐全就擅自开工；</w:t>
      </w:r>
    </w:p>
    <w:p>
      <w:pPr>
        <w:spacing w:line="520" w:lineRule="exact"/>
        <w:ind w:firstLine="632"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．未经原设计单位或具有相应资质等级的设计单位提出设计方案，擅自变动房屋主体和承重结构，增加楼面荷载；</w:t>
      </w:r>
    </w:p>
    <w:p>
      <w:pPr>
        <w:spacing w:line="520" w:lineRule="exact"/>
        <w:ind w:firstLine="632" w:firstLineChars="200"/>
        <w:rPr>
          <w:rFonts w:ascii="仿宋_GB2312" w:hAnsi="宋体"/>
          <w:snapToGrid w:val="0"/>
          <w:kern w:val="32"/>
          <w:szCs w:val="32"/>
        </w:rPr>
      </w:pPr>
      <w:r>
        <w:rPr>
          <w:rFonts w:hint="eastAsia"/>
          <w:snapToGrid w:val="0"/>
          <w:kern w:val="32"/>
          <w:szCs w:val="32"/>
        </w:rPr>
        <w:t>3</w:t>
      </w:r>
      <w:r>
        <w:rPr>
          <w:rFonts w:hint="eastAsia" w:ascii="仿宋_GB2312" w:hAnsi="宋体"/>
          <w:snapToGrid w:val="0"/>
          <w:kern w:val="32"/>
          <w:szCs w:val="32"/>
        </w:rPr>
        <w:t>．破坏房屋外貌，擅自改变物业设计用途；</w:t>
      </w:r>
    </w:p>
    <w:p>
      <w:pPr>
        <w:spacing w:line="520" w:lineRule="exact"/>
        <w:ind w:firstLine="632" w:firstLineChars="200"/>
        <w:rPr>
          <w:rFonts w:ascii="仿宋_GB2312" w:hAnsi="宋体"/>
          <w:snapToGrid w:val="0"/>
          <w:kern w:val="32"/>
          <w:szCs w:val="32"/>
        </w:rPr>
      </w:pPr>
      <w:r>
        <w:rPr>
          <w:rFonts w:hint="eastAsia"/>
          <w:snapToGrid w:val="0"/>
          <w:kern w:val="32"/>
          <w:szCs w:val="32"/>
        </w:rPr>
        <w:t>4</w:t>
      </w:r>
      <w:r>
        <w:rPr>
          <w:rFonts w:hint="eastAsia" w:ascii="仿宋_GB2312" w:hAnsi="宋体"/>
          <w:snapToGrid w:val="0"/>
          <w:kern w:val="32"/>
          <w:szCs w:val="32"/>
        </w:rPr>
        <w:t>．占用或损坏物业共用部位、共用设施设备及相关场地，擅自移动物业共用设施设备；</w:t>
      </w:r>
    </w:p>
    <w:p>
      <w:pPr>
        <w:spacing w:line="520" w:lineRule="exact"/>
        <w:ind w:firstLine="632" w:firstLineChars="200"/>
        <w:rPr>
          <w:rFonts w:ascii="仿宋_GB2312" w:hAnsi="宋体"/>
          <w:snapToGrid w:val="0"/>
          <w:kern w:val="32"/>
          <w:szCs w:val="32"/>
        </w:rPr>
      </w:pPr>
      <w:r>
        <w:rPr>
          <w:rFonts w:hint="eastAsia"/>
          <w:snapToGrid w:val="0"/>
          <w:kern w:val="32"/>
          <w:szCs w:val="32"/>
        </w:rPr>
        <w:t>5</w:t>
      </w:r>
      <w:r>
        <w:rPr>
          <w:rFonts w:hint="eastAsia" w:ascii="仿宋_GB2312" w:hAnsi="宋体"/>
          <w:snapToGrid w:val="0"/>
          <w:kern w:val="32"/>
          <w:szCs w:val="32"/>
        </w:rPr>
        <w:t>．违反国家有关安全生产规定和安全生产技术规程，不按照规定采取必要的安全防护和消防措施，擅自动用明火作业和进行焊接作业；</w:t>
      </w:r>
    </w:p>
    <w:p>
      <w:pPr>
        <w:spacing w:line="520" w:lineRule="exact"/>
        <w:ind w:firstLine="632" w:firstLineChars="200"/>
        <w:rPr>
          <w:rFonts w:ascii="仿宋_GB2312" w:hAnsi="宋体"/>
          <w:snapToGrid w:val="0"/>
          <w:kern w:val="32"/>
          <w:szCs w:val="32"/>
        </w:rPr>
      </w:pPr>
      <w:r>
        <w:rPr>
          <w:rFonts w:hint="eastAsia"/>
          <w:snapToGrid w:val="0"/>
          <w:kern w:val="32"/>
          <w:szCs w:val="32"/>
        </w:rPr>
        <w:t>6</w:t>
      </w:r>
      <w:r>
        <w:rPr>
          <w:rFonts w:hint="eastAsia" w:ascii="仿宋_GB2312" w:hAnsi="宋体"/>
          <w:snapToGrid w:val="0"/>
          <w:kern w:val="32"/>
          <w:szCs w:val="32"/>
        </w:rPr>
        <w:t>．擅自封包阳台，或不按规定样式封包阳台（规定样式：采用有框玻璃窗、铝合金材质、颜色与建设单位交付的玻璃门窗外框颜色一致。）；</w:t>
      </w:r>
    </w:p>
    <w:p>
      <w:pPr>
        <w:spacing w:line="520" w:lineRule="exact"/>
        <w:ind w:firstLine="632" w:firstLineChars="200"/>
        <w:rPr>
          <w:rFonts w:ascii="仿宋_GB2312" w:hAnsi="宋体"/>
          <w:snapToGrid w:val="0"/>
          <w:kern w:val="32"/>
          <w:szCs w:val="32"/>
        </w:rPr>
      </w:pPr>
      <w:r>
        <w:rPr>
          <w:rFonts w:hint="eastAsia"/>
          <w:snapToGrid w:val="0"/>
          <w:kern w:val="32"/>
          <w:szCs w:val="32"/>
        </w:rPr>
        <w:t>7</w:t>
      </w:r>
      <w:r>
        <w:rPr>
          <w:rFonts w:hint="eastAsia" w:ascii="仿宋_GB2312" w:hAnsi="宋体"/>
          <w:snapToGrid w:val="0"/>
          <w:kern w:val="32"/>
          <w:szCs w:val="32"/>
        </w:rPr>
        <w:t>．</w:t>
      </w:r>
      <w:r>
        <w:rPr>
          <w:rFonts w:hint="eastAsia" w:ascii="仿宋_GB2312" w:hAnsi="宋体"/>
          <w:snapToGrid w:val="0"/>
          <w:kern w:val="32"/>
          <w:szCs w:val="32"/>
          <w:shd w:val="clear" w:color="auto" w:fill="FFFFFF"/>
        </w:rPr>
        <w:t>房屋外立面安装晾衣架、防盗窗、雨篷、花架等附属物</w:t>
      </w:r>
      <w:r>
        <w:rPr>
          <w:rFonts w:hint="eastAsia" w:ascii="仿宋_GB2312" w:hAnsi="宋体"/>
          <w:snapToGrid w:val="0"/>
          <w:kern w:val="32"/>
          <w:szCs w:val="32"/>
        </w:rPr>
        <w:t>；</w:t>
      </w:r>
    </w:p>
    <w:p>
      <w:pPr>
        <w:spacing w:line="520" w:lineRule="exact"/>
        <w:ind w:firstLine="632" w:firstLineChars="200"/>
        <w:rPr>
          <w:rFonts w:ascii="仿宋_GB2312" w:hAnsi="宋体"/>
          <w:snapToGrid w:val="0"/>
          <w:kern w:val="32"/>
          <w:szCs w:val="32"/>
        </w:rPr>
      </w:pPr>
      <w:r>
        <w:rPr>
          <w:rFonts w:hint="eastAsia"/>
          <w:snapToGrid w:val="0"/>
          <w:kern w:val="32"/>
          <w:szCs w:val="32"/>
        </w:rPr>
        <w:t>8</w:t>
      </w:r>
      <w:r>
        <w:rPr>
          <w:rFonts w:hint="eastAsia" w:ascii="仿宋_GB2312" w:hAnsi="宋体"/>
          <w:snapToGrid w:val="0"/>
          <w:kern w:val="32"/>
          <w:szCs w:val="32"/>
        </w:rPr>
        <w:t>．在非指定位置倾倒装修垃圾、杂物；</w:t>
      </w:r>
    </w:p>
    <w:p>
      <w:pPr>
        <w:spacing w:line="520" w:lineRule="exact"/>
        <w:ind w:firstLine="632" w:firstLineChars="200"/>
        <w:rPr>
          <w:rFonts w:ascii="仿宋_GB2312" w:hAnsi="宋体"/>
          <w:snapToGrid w:val="0"/>
          <w:kern w:val="32"/>
          <w:szCs w:val="32"/>
        </w:rPr>
      </w:pPr>
      <w:r>
        <w:rPr>
          <w:rFonts w:hint="eastAsia"/>
          <w:snapToGrid w:val="0"/>
          <w:kern w:val="32"/>
          <w:szCs w:val="32"/>
        </w:rPr>
        <w:t>9</w:t>
      </w:r>
      <w:r>
        <w:rPr>
          <w:rFonts w:hint="eastAsia" w:ascii="仿宋_GB2312" w:hAnsi="宋体"/>
          <w:snapToGrid w:val="0"/>
          <w:kern w:val="32"/>
          <w:szCs w:val="32"/>
        </w:rPr>
        <w:t>．违反有关规定堆放易燃、易爆、剧毒、放射性物品，排放有毒有害物质，发出超标噪声；</w:t>
      </w:r>
    </w:p>
    <w:p>
      <w:pPr>
        <w:spacing w:line="520" w:lineRule="exact"/>
        <w:ind w:firstLine="632" w:firstLineChars="200"/>
        <w:rPr>
          <w:rFonts w:ascii="仿宋_GB2312" w:hAnsi="宋体"/>
          <w:snapToGrid w:val="0"/>
          <w:kern w:val="32"/>
          <w:szCs w:val="32"/>
        </w:rPr>
      </w:pPr>
      <w:r>
        <w:rPr>
          <w:rFonts w:hint="eastAsia"/>
          <w:snapToGrid w:val="0"/>
          <w:kern w:val="32"/>
          <w:szCs w:val="32"/>
        </w:rPr>
        <w:t>10</w:t>
      </w:r>
      <w:r>
        <w:rPr>
          <w:rFonts w:hint="eastAsia" w:ascii="仿宋_GB2312" w:hAnsi="宋体"/>
          <w:snapToGrid w:val="0"/>
          <w:kern w:val="32"/>
          <w:szCs w:val="32"/>
        </w:rPr>
        <w:t>．法律、法规禁止的其他行为。</w:t>
      </w:r>
    </w:p>
    <w:p>
      <w:pPr>
        <w:spacing w:line="520" w:lineRule="exact"/>
        <w:jc w:val="center"/>
        <w:rPr>
          <w:rFonts w:ascii="黑体" w:hAnsi="黑体" w:eastAsia="黑体"/>
          <w:snapToGrid w:val="0"/>
          <w:kern w:val="32"/>
          <w:szCs w:val="32"/>
        </w:rPr>
      </w:pPr>
    </w:p>
    <w:p>
      <w:pPr>
        <w:spacing w:line="520" w:lineRule="exact"/>
        <w:jc w:val="center"/>
        <w:rPr>
          <w:rFonts w:ascii="黑体" w:hAnsi="黑体" w:eastAsia="黑体"/>
          <w:snapToGrid w:val="0"/>
          <w:kern w:val="32"/>
          <w:szCs w:val="32"/>
        </w:rPr>
      </w:pPr>
      <w:r>
        <w:rPr>
          <w:rFonts w:hint="eastAsia" w:ascii="黑体" w:hAnsi="黑体" w:eastAsia="黑体"/>
          <w:snapToGrid w:val="0"/>
          <w:kern w:val="32"/>
          <w:szCs w:val="32"/>
        </w:rPr>
        <w:t>第八章  公共环境管理规定</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第四十九条</w:t>
      </w:r>
      <w:r>
        <w:rPr>
          <w:rFonts w:hint="eastAsia" w:ascii="仿宋_GB2312" w:hAnsi="宋体"/>
          <w:snapToGrid w:val="0"/>
          <w:kern w:val="32"/>
          <w:szCs w:val="32"/>
        </w:rPr>
        <w:t xml:space="preserve">  为维护物业管理区域公共环境的整洁美观，全体业主和非业主使用人应注意以下事项：</w:t>
      </w:r>
    </w:p>
    <w:p>
      <w:pPr>
        <w:spacing w:line="520" w:lineRule="exact"/>
        <w:ind w:firstLine="632"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．严禁随地吐痰,乱丢果皮、纸屑、烟蒂等；严禁在非指定位置倾倒或堆放垃圾、杂物；</w:t>
      </w:r>
    </w:p>
    <w:p>
      <w:pPr>
        <w:spacing w:line="520" w:lineRule="exact"/>
        <w:ind w:firstLine="632"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．严禁在窗台上或阳台边放置物品；严禁向窗外或阳台外乱抛杂物；严禁在窗户、阳台玻璃内外设置任何形式的广告；</w:t>
      </w:r>
    </w:p>
    <w:p>
      <w:pPr>
        <w:spacing w:line="520" w:lineRule="exact"/>
        <w:ind w:firstLine="632" w:firstLineChars="200"/>
        <w:rPr>
          <w:rFonts w:ascii="仿宋_GB2312" w:hAnsi="宋体"/>
          <w:snapToGrid w:val="0"/>
          <w:kern w:val="32"/>
          <w:szCs w:val="32"/>
        </w:rPr>
      </w:pPr>
      <w:r>
        <w:rPr>
          <w:rFonts w:hint="eastAsia"/>
          <w:snapToGrid w:val="0"/>
          <w:kern w:val="32"/>
          <w:szCs w:val="32"/>
        </w:rPr>
        <w:t>3</w:t>
      </w:r>
      <w:r>
        <w:rPr>
          <w:rFonts w:hint="eastAsia" w:ascii="仿宋_GB2312" w:hAnsi="宋体"/>
          <w:snapToGrid w:val="0"/>
          <w:kern w:val="32"/>
          <w:szCs w:val="32"/>
        </w:rPr>
        <w:t>．严禁擅自在建筑物、树木及其他公共部位上张贴、涂写及刻画，或用锤子等各类物品刻划、撞击或敲打；</w:t>
      </w:r>
    </w:p>
    <w:p>
      <w:pPr>
        <w:spacing w:line="520" w:lineRule="exact"/>
        <w:ind w:firstLine="632" w:firstLineChars="200"/>
        <w:rPr>
          <w:rFonts w:ascii="仿宋_GB2312" w:hAnsi="宋体"/>
          <w:snapToGrid w:val="0"/>
          <w:kern w:val="32"/>
          <w:szCs w:val="32"/>
        </w:rPr>
      </w:pPr>
      <w:r>
        <w:rPr>
          <w:rFonts w:hint="eastAsia"/>
          <w:snapToGrid w:val="0"/>
          <w:kern w:val="32"/>
          <w:szCs w:val="32"/>
        </w:rPr>
        <w:t>4</w:t>
      </w:r>
      <w:r>
        <w:rPr>
          <w:rFonts w:hint="eastAsia" w:ascii="仿宋_GB2312" w:hAnsi="宋体"/>
          <w:snapToGrid w:val="0"/>
          <w:kern w:val="32"/>
          <w:szCs w:val="32"/>
        </w:rPr>
        <w:t>．严禁随意采摘毁坏树木、花草，果实；</w:t>
      </w:r>
    </w:p>
    <w:p>
      <w:pPr>
        <w:spacing w:line="520" w:lineRule="exact"/>
        <w:ind w:firstLine="632" w:firstLineChars="200"/>
        <w:rPr>
          <w:rFonts w:ascii="仿宋_GB2312" w:hAnsi="宋体"/>
          <w:snapToGrid w:val="0"/>
          <w:kern w:val="32"/>
          <w:szCs w:val="32"/>
        </w:rPr>
      </w:pPr>
      <w:r>
        <w:rPr>
          <w:rFonts w:hint="eastAsia"/>
          <w:snapToGrid w:val="0"/>
          <w:kern w:val="32"/>
          <w:szCs w:val="32"/>
        </w:rPr>
        <w:t>5</w:t>
      </w:r>
      <w:r>
        <w:rPr>
          <w:rFonts w:hint="eastAsia" w:ascii="仿宋_GB2312" w:hAnsi="宋体"/>
          <w:snapToGrid w:val="0"/>
          <w:kern w:val="32"/>
          <w:szCs w:val="32"/>
        </w:rPr>
        <w:t>．严禁在公共场所、共用部位乱设摊点；</w:t>
      </w:r>
    </w:p>
    <w:p>
      <w:pPr>
        <w:spacing w:line="520" w:lineRule="exact"/>
        <w:ind w:firstLine="632" w:firstLineChars="200"/>
        <w:rPr>
          <w:rFonts w:ascii="仿宋_GB2312" w:hAnsi="宋体"/>
          <w:snapToGrid w:val="0"/>
          <w:kern w:val="32"/>
          <w:szCs w:val="32"/>
        </w:rPr>
      </w:pPr>
      <w:r>
        <w:rPr>
          <w:rFonts w:hint="eastAsia"/>
          <w:snapToGrid w:val="0"/>
          <w:kern w:val="32"/>
          <w:szCs w:val="32"/>
        </w:rPr>
        <w:t>6</w:t>
      </w:r>
      <w:r>
        <w:rPr>
          <w:rFonts w:hint="eastAsia" w:ascii="仿宋_GB2312" w:hAnsi="宋体"/>
          <w:snapToGrid w:val="0"/>
          <w:kern w:val="32"/>
          <w:szCs w:val="32"/>
        </w:rPr>
        <w:t>．严禁损坏公共部位的设施设备及共用的家具、装饰品等；</w:t>
      </w:r>
    </w:p>
    <w:p>
      <w:pPr>
        <w:spacing w:line="520" w:lineRule="exact"/>
        <w:ind w:firstLine="632" w:firstLineChars="200"/>
        <w:rPr>
          <w:rFonts w:ascii="仿宋_GB2312" w:hAnsi="宋体"/>
          <w:snapToGrid w:val="0"/>
          <w:kern w:val="32"/>
          <w:szCs w:val="32"/>
        </w:rPr>
      </w:pPr>
      <w:r>
        <w:rPr>
          <w:rFonts w:hint="eastAsia"/>
          <w:snapToGrid w:val="0"/>
          <w:kern w:val="32"/>
          <w:szCs w:val="32"/>
        </w:rPr>
        <w:t>7</w:t>
      </w:r>
      <w:r>
        <w:rPr>
          <w:rFonts w:hint="eastAsia" w:ascii="仿宋_GB2312" w:hAnsi="宋体"/>
          <w:snapToGrid w:val="0"/>
          <w:kern w:val="32"/>
          <w:szCs w:val="32"/>
        </w:rPr>
        <w:t xml:space="preserve">．严禁在公共区域大声喧哗，在公共楼道内吸烟； </w:t>
      </w:r>
    </w:p>
    <w:p>
      <w:pPr>
        <w:spacing w:line="520" w:lineRule="exact"/>
        <w:ind w:firstLine="632" w:firstLineChars="200"/>
        <w:rPr>
          <w:rFonts w:ascii="仿宋_GB2312" w:hAnsi="宋体"/>
          <w:snapToGrid w:val="0"/>
          <w:kern w:val="32"/>
          <w:szCs w:val="32"/>
        </w:rPr>
      </w:pPr>
      <w:r>
        <w:rPr>
          <w:rFonts w:hint="eastAsia"/>
          <w:snapToGrid w:val="0"/>
          <w:kern w:val="32"/>
          <w:szCs w:val="32"/>
        </w:rPr>
        <w:t>8</w:t>
      </w:r>
      <w:r>
        <w:rPr>
          <w:rFonts w:hint="eastAsia" w:ascii="仿宋_GB2312" w:hAnsi="宋体"/>
          <w:snapToGrid w:val="0"/>
          <w:kern w:val="32"/>
          <w:szCs w:val="32"/>
        </w:rPr>
        <w:t>．严禁在绿化带或业主私家花园、其他公共场所种植蔬菜、水果或其他与周边绿化不统一的植物等；</w:t>
      </w:r>
    </w:p>
    <w:p>
      <w:pPr>
        <w:spacing w:line="520" w:lineRule="exact"/>
        <w:ind w:firstLine="632" w:firstLineChars="200"/>
        <w:rPr>
          <w:rFonts w:ascii="仿宋_GB2312" w:hAnsi="宋体"/>
          <w:snapToGrid w:val="0"/>
          <w:kern w:val="32"/>
          <w:szCs w:val="32"/>
        </w:rPr>
      </w:pPr>
      <w:r>
        <w:rPr>
          <w:rFonts w:hint="eastAsia"/>
          <w:snapToGrid w:val="0"/>
          <w:kern w:val="32"/>
          <w:szCs w:val="32"/>
        </w:rPr>
        <w:t>9</w:t>
      </w:r>
      <w:r>
        <w:rPr>
          <w:rFonts w:hint="eastAsia" w:ascii="仿宋_GB2312" w:hAnsi="宋体"/>
          <w:snapToGrid w:val="0"/>
          <w:kern w:val="32"/>
          <w:szCs w:val="32"/>
        </w:rPr>
        <w:t>．饲养宠物应遵守《湖州市文明行为促进条例》等相关规定并做好卫生及安全工作；</w:t>
      </w:r>
    </w:p>
    <w:p>
      <w:pPr>
        <w:spacing w:line="520" w:lineRule="exact"/>
        <w:ind w:firstLine="632" w:firstLineChars="200"/>
        <w:rPr>
          <w:rFonts w:ascii="仿宋_GB2312" w:hAnsi="宋体"/>
          <w:snapToGrid w:val="0"/>
          <w:kern w:val="32"/>
          <w:szCs w:val="32"/>
        </w:rPr>
      </w:pPr>
      <w:r>
        <w:rPr>
          <w:rFonts w:hint="eastAsia"/>
          <w:snapToGrid w:val="0"/>
          <w:kern w:val="32"/>
          <w:szCs w:val="32"/>
        </w:rPr>
        <w:t>10</w:t>
      </w:r>
      <w:r>
        <w:rPr>
          <w:rFonts w:hint="eastAsia" w:ascii="仿宋_GB2312" w:hAnsi="宋体"/>
          <w:snapToGrid w:val="0"/>
          <w:kern w:val="32"/>
          <w:szCs w:val="32"/>
        </w:rPr>
        <w:t>.破坏、损毁涉及本物业公共区域安全警示的设施、标志。</w:t>
      </w:r>
    </w:p>
    <w:p>
      <w:pPr>
        <w:spacing w:line="520" w:lineRule="exact"/>
        <w:ind w:firstLine="632" w:firstLineChars="200"/>
        <w:rPr>
          <w:rFonts w:ascii="仿宋_GB2312" w:hAnsi="宋体"/>
          <w:snapToGrid w:val="0"/>
          <w:kern w:val="32"/>
          <w:szCs w:val="32"/>
        </w:rPr>
      </w:pPr>
      <w:r>
        <w:rPr>
          <w:rFonts w:hint="eastAsia"/>
          <w:snapToGrid w:val="0"/>
          <w:kern w:val="32"/>
          <w:szCs w:val="32"/>
        </w:rPr>
        <w:t>11</w:t>
      </w:r>
      <w:r>
        <w:rPr>
          <w:rFonts w:hint="eastAsia" w:ascii="仿宋_GB2312" w:hAnsi="宋体"/>
          <w:snapToGrid w:val="0"/>
          <w:kern w:val="32"/>
          <w:szCs w:val="32"/>
        </w:rPr>
        <w:t>．法律、法规禁止的其他行为。</w:t>
      </w:r>
    </w:p>
    <w:p>
      <w:pPr>
        <w:spacing w:line="520" w:lineRule="exact"/>
        <w:ind w:firstLine="632" w:firstLineChars="200"/>
        <w:rPr>
          <w:rFonts w:ascii="仿宋_GB2312" w:hAnsi="宋体" w:cs="仿宋_GB2312"/>
          <w:snapToGrid w:val="0"/>
          <w:kern w:val="32"/>
          <w:szCs w:val="32"/>
        </w:rPr>
      </w:pPr>
      <w:r>
        <w:rPr>
          <w:rFonts w:hint="eastAsia" w:ascii="楷体_GB2312" w:hAnsi="宋体" w:eastAsia="楷体_GB2312"/>
          <w:b/>
          <w:snapToGrid w:val="0"/>
          <w:kern w:val="32"/>
          <w:szCs w:val="32"/>
        </w:rPr>
        <w:t xml:space="preserve">第五十条  </w:t>
      </w:r>
      <w:r>
        <w:rPr>
          <w:rFonts w:hint="eastAsia" w:ascii="仿宋_GB2312" w:hAnsi="宋体" w:cs="仿宋_GB2312"/>
          <w:snapToGrid w:val="0"/>
          <w:kern w:val="32"/>
          <w:szCs w:val="32"/>
        </w:rPr>
        <w:t xml:space="preserve">本物业范围内经营的网点，须报物业服务企业备案后，并到政府有关部门办齐相关证照后方可营业，证照须悬挂于店铺内显眼位置； </w:t>
      </w:r>
    </w:p>
    <w:p>
      <w:pPr>
        <w:spacing w:line="520" w:lineRule="exact"/>
        <w:ind w:firstLine="632" w:firstLineChars="200"/>
        <w:rPr>
          <w:rFonts w:ascii="仿宋_GB2312" w:hAnsi="宋体" w:cs="仿宋_GB2312"/>
          <w:snapToGrid w:val="0"/>
          <w:kern w:val="32"/>
          <w:szCs w:val="32"/>
        </w:rPr>
      </w:pPr>
      <w:r>
        <w:rPr>
          <w:rFonts w:hint="eastAsia" w:ascii="楷体_GB2312" w:hAnsi="宋体" w:eastAsia="楷体_GB2312"/>
          <w:b/>
          <w:snapToGrid w:val="0"/>
          <w:kern w:val="32"/>
          <w:szCs w:val="32"/>
        </w:rPr>
        <w:t xml:space="preserve">第五十一条  </w:t>
      </w:r>
      <w:r>
        <w:rPr>
          <w:rFonts w:hint="eastAsia" w:ascii="仿宋_GB2312" w:hAnsi="宋体" w:cs="仿宋_GB2312"/>
          <w:snapToGrid w:val="0"/>
          <w:kern w:val="32"/>
          <w:szCs w:val="32"/>
        </w:rPr>
        <w:t>本物业管理区域内商铺使用人必须与物业服务企业签订防火责任书并配齐消防器材。</w:t>
      </w:r>
    </w:p>
    <w:p>
      <w:pPr>
        <w:spacing w:line="520" w:lineRule="exact"/>
        <w:ind w:firstLine="632" w:firstLineChars="200"/>
        <w:rPr>
          <w:rFonts w:ascii="仿宋_GB2312" w:hAnsi="宋体" w:cs="仿宋_GB2312"/>
          <w:snapToGrid w:val="0"/>
          <w:kern w:val="32"/>
          <w:szCs w:val="32"/>
        </w:rPr>
      </w:pPr>
      <w:r>
        <w:rPr>
          <w:rFonts w:hint="eastAsia" w:ascii="楷体_GB2312" w:hAnsi="宋体" w:eastAsia="楷体_GB2312"/>
          <w:b/>
          <w:snapToGrid w:val="0"/>
          <w:kern w:val="32"/>
          <w:szCs w:val="32"/>
        </w:rPr>
        <w:t>第五十二条</w:t>
      </w:r>
      <w:r>
        <w:rPr>
          <w:rFonts w:hint="eastAsia" w:ascii="仿宋_GB2312" w:hAnsi="宋体" w:cs="仿宋_GB2312"/>
          <w:snapToGrid w:val="0"/>
          <w:kern w:val="32"/>
          <w:szCs w:val="32"/>
        </w:rPr>
        <w:t xml:space="preserve">  商铺若需进行装修，须遵守装修管理规定，并须将商铺招牌装饰方案及商号、从业范围一并报物业服务企业备案后，方可进行装修。 </w:t>
      </w:r>
    </w:p>
    <w:p>
      <w:pPr>
        <w:spacing w:line="520" w:lineRule="exact"/>
        <w:ind w:firstLine="632" w:firstLineChars="200"/>
        <w:rPr>
          <w:rFonts w:ascii="仿宋_GB2312" w:hAnsi="宋体" w:cs="仿宋_GB2312"/>
          <w:snapToGrid w:val="0"/>
          <w:kern w:val="32"/>
          <w:szCs w:val="32"/>
        </w:rPr>
      </w:pPr>
      <w:r>
        <w:rPr>
          <w:rFonts w:hint="eastAsia" w:ascii="楷体_GB2312" w:hAnsi="宋体" w:eastAsia="楷体_GB2312"/>
          <w:b/>
          <w:snapToGrid w:val="0"/>
          <w:kern w:val="32"/>
          <w:szCs w:val="32"/>
        </w:rPr>
        <w:t xml:space="preserve">第五十三条  </w:t>
      </w:r>
      <w:r>
        <w:rPr>
          <w:rFonts w:hint="eastAsia" w:ascii="仿宋_GB2312" w:hAnsi="宋体" w:cs="仿宋_GB2312"/>
          <w:snapToGrid w:val="0"/>
          <w:kern w:val="32"/>
          <w:szCs w:val="32"/>
        </w:rPr>
        <w:t>产生排烟、排污的，须在相关行政主管部门指导监督下设置油烟及污水排放系统。造成下水道堵塞等问题的，商铺业主、使用人及租户须及时整改，整改合格后方可营业。</w:t>
      </w:r>
    </w:p>
    <w:p>
      <w:pPr>
        <w:spacing w:line="520" w:lineRule="exact"/>
        <w:ind w:firstLine="632" w:firstLineChars="200"/>
        <w:rPr>
          <w:rFonts w:ascii="仿宋_GB2312" w:hAnsi="宋体" w:cs="仿宋_GB2312"/>
          <w:snapToGrid w:val="0"/>
          <w:kern w:val="32"/>
          <w:szCs w:val="32"/>
        </w:rPr>
      </w:pPr>
      <w:r>
        <w:rPr>
          <w:rFonts w:hint="eastAsia" w:ascii="楷体_GB2312" w:hAnsi="宋体" w:eastAsia="楷体_GB2312"/>
          <w:b/>
          <w:snapToGrid w:val="0"/>
          <w:kern w:val="32"/>
          <w:szCs w:val="32"/>
        </w:rPr>
        <w:t>第五十四</w:t>
      </w:r>
      <w:r>
        <w:rPr>
          <w:rFonts w:hint="eastAsia" w:ascii="楷体_GB2312" w:hAnsi="宋体" w:eastAsia="楷体_GB2312" w:cs="仿宋_GB2312"/>
          <w:b/>
          <w:snapToGrid w:val="0"/>
          <w:kern w:val="32"/>
          <w:szCs w:val="32"/>
        </w:rPr>
        <w:t>条</w:t>
      </w:r>
      <w:r>
        <w:rPr>
          <w:rFonts w:hint="eastAsia" w:ascii="仿宋_GB2312" w:hAnsi="宋体" w:cs="仿宋_GB2312"/>
          <w:snapToGrid w:val="0"/>
          <w:kern w:val="32"/>
          <w:szCs w:val="32"/>
        </w:rPr>
        <w:t xml:space="preserve">  不得在商铺以外公共部位占道经营，不得设置其他宣传广告（行政主管部门审批同意的除外）。</w:t>
      </w:r>
    </w:p>
    <w:p>
      <w:pPr>
        <w:spacing w:line="520" w:lineRule="exact"/>
        <w:ind w:firstLine="632" w:firstLineChars="200"/>
        <w:rPr>
          <w:rFonts w:ascii="仿宋_GB2312" w:hAnsi="宋体" w:cs="仿宋_GB2312"/>
          <w:snapToGrid w:val="0"/>
          <w:kern w:val="32"/>
          <w:szCs w:val="32"/>
        </w:rPr>
      </w:pPr>
      <w:r>
        <w:rPr>
          <w:rFonts w:hint="eastAsia" w:ascii="楷体_GB2312" w:hAnsi="宋体" w:eastAsia="楷体_GB2312"/>
          <w:b/>
          <w:snapToGrid w:val="0"/>
          <w:kern w:val="32"/>
          <w:szCs w:val="32"/>
        </w:rPr>
        <w:t>第五十五条</w:t>
      </w:r>
      <w:r>
        <w:rPr>
          <w:rFonts w:hint="eastAsia" w:ascii="仿宋_GB2312" w:hAnsi="宋体" w:cs="仿宋_GB2312"/>
          <w:snapToGrid w:val="0"/>
          <w:kern w:val="32"/>
          <w:szCs w:val="32"/>
        </w:rPr>
        <w:t xml:space="preserve">  商铺业主、使用人及租户有责任实行门前三包。</w:t>
      </w:r>
    </w:p>
    <w:p>
      <w:pPr>
        <w:spacing w:line="520" w:lineRule="exact"/>
        <w:ind w:firstLine="632" w:firstLineChars="200"/>
        <w:rPr>
          <w:rFonts w:ascii="仿宋_GB2312" w:hAnsi="宋体" w:cs="仿宋_GB2312"/>
          <w:snapToGrid w:val="0"/>
          <w:kern w:val="32"/>
          <w:szCs w:val="32"/>
        </w:rPr>
      </w:pPr>
      <w:r>
        <w:rPr>
          <w:rFonts w:hint="eastAsia" w:ascii="楷体_GB2312" w:hAnsi="宋体" w:eastAsia="楷体_GB2312"/>
          <w:b/>
          <w:snapToGrid w:val="0"/>
          <w:kern w:val="32"/>
          <w:szCs w:val="32"/>
        </w:rPr>
        <w:t>第五十六条</w:t>
      </w:r>
      <w:r>
        <w:rPr>
          <w:rFonts w:hint="eastAsia" w:ascii="仿宋_GB2312" w:hAnsi="宋体" w:cs="仿宋_GB2312"/>
          <w:snapToGrid w:val="0"/>
          <w:kern w:val="32"/>
          <w:szCs w:val="32"/>
        </w:rPr>
        <w:t xml:space="preserve">  商铺使用期间，噪音不得影响小区业主、非业主使用人休息。  </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第五十七条</w:t>
      </w:r>
      <w:r>
        <w:rPr>
          <w:rFonts w:hint="eastAsia" w:ascii="仿宋_GB2312" w:hAnsi="宋体"/>
          <w:snapToGrid w:val="0"/>
          <w:kern w:val="32"/>
          <w:szCs w:val="32"/>
        </w:rPr>
        <w:t xml:space="preserve">  全体业主、非业主使用人应当减少生活垃圾的产生，按照规定分类投放生活垃圾，监督生活垃圾分类管理工作。劝阻、制止违反生活垃圾分类管理规定的行为；劝阻、制止无效的，应当及时向物业服务企业和有关部门进行投诉举报。</w:t>
      </w:r>
    </w:p>
    <w:p>
      <w:pPr>
        <w:spacing w:line="520" w:lineRule="exact"/>
        <w:ind w:firstLine="632" w:firstLineChars="200"/>
        <w:rPr>
          <w:rFonts w:ascii="仿宋_GB2312" w:hAnsi="宋体"/>
          <w:snapToGrid w:val="0"/>
          <w:kern w:val="32"/>
          <w:szCs w:val="32"/>
        </w:rPr>
      </w:pPr>
    </w:p>
    <w:p>
      <w:pPr>
        <w:spacing w:line="520" w:lineRule="exact"/>
        <w:jc w:val="center"/>
        <w:rPr>
          <w:rFonts w:ascii="黑体" w:hAnsi="黑体" w:eastAsia="黑体"/>
          <w:snapToGrid w:val="0"/>
          <w:kern w:val="32"/>
          <w:szCs w:val="32"/>
        </w:rPr>
      </w:pPr>
      <w:r>
        <w:rPr>
          <w:rFonts w:hint="eastAsia" w:ascii="黑体" w:hAnsi="黑体" w:eastAsia="黑体"/>
          <w:snapToGrid w:val="0"/>
          <w:kern w:val="32"/>
          <w:szCs w:val="32"/>
        </w:rPr>
        <w:t>第九章  违约责任</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第五十八条</w:t>
      </w:r>
      <w:r>
        <w:rPr>
          <w:rFonts w:hint="eastAsia" w:ascii="仿宋_GB2312" w:hAnsi="宋体"/>
          <w:b/>
          <w:snapToGrid w:val="0"/>
          <w:kern w:val="32"/>
          <w:szCs w:val="32"/>
        </w:rPr>
        <w:t xml:space="preserve">  </w:t>
      </w:r>
      <w:r>
        <w:rPr>
          <w:rFonts w:hint="eastAsia" w:ascii="仿宋_GB2312" w:hAnsi="宋体"/>
          <w:snapToGrid w:val="0"/>
          <w:kern w:val="32"/>
          <w:szCs w:val="32"/>
        </w:rPr>
        <w:t>业主违反本临时管理规约关于物业的使用、维护和管理的约定，妨碍物业正常使用或造成物业损害及其他损失的，物业服务企业或相关业主可提起诉讼。</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第五十九条</w:t>
      </w:r>
      <w:r>
        <w:rPr>
          <w:rFonts w:hint="eastAsia" w:ascii="仿宋_GB2312" w:hAnsi="宋体"/>
          <w:b/>
          <w:snapToGrid w:val="0"/>
          <w:kern w:val="32"/>
          <w:szCs w:val="32"/>
        </w:rPr>
        <w:t xml:space="preserve">  </w:t>
      </w:r>
      <w:r>
        <w:rPr>
          <w:rFonts w:hint="eastAsia" w:ascii="仿宋_GB2312" w:hAnsi="宋体"/>
          <w:snapToGrid w:val="0"/>
          <w:kern w:val="32"/>
          <w:szCs w:val="32"/>
        </w:rPr>
        <w:t>业主违反本临时管理规约关于业主共同利益的约定，导致全体业主的共同利益受损的，相关业主可提起诉讼。</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第六十条</w:t>
      </w:r>
      <w:r>
        <w:rPr>
          <w:rFonts w:hint="eastAsia" w:ascii="仿宋_GB2312" w:hAnsi="宋体"/>
          <w:b/>
          <w:snapToGrid w:val="0"/>
          <w:kern w:val="32"/>
          <w:szCs w:val="32"/>
        </w:rPr>
        <w:t xml:space="preserve">  </w:t>
      </w:r>
      <w:r>
        <w:rPr>
          <w:rFonts w:hint="eastAsia" w:ascii="仿宋_GB2312" w:hAnsi="宋体"/>
          <w:snapToGrid w:val="0"/>
          <w:kern w:val="32"/>
          <w:szCs w:val="32"/>
        </w:rPr>
        <w:t>建设单位未能履行本临时管理规约约定义务的，业主和物业服务企业可向有关行政主管部门投诉。</w:t>
      </w:r>
    </w:p>
    <w:p>
      <w:pPr>
        <w:pStyle w:val="13"/>
        <w:spacing w:line="520" w:lineRule="exact"/>
        <w:ind w:firstLine="632" w:firstLineChars="200"/>
        <w:rPr>
          <w:rFonts w:ascii="仿宋_GB2312" w:eastAsia="仿宋_GB2312"/>
          <w:snapToGrid w:val="0"/>
          <w:color w:val="auto"/>
          <w:kern w:val="32"/>
          <w:sz w:val="32"/>
          <w:szCs w:val="32"/>
        </w:rPr>
      </w:pPr>
      <w:r>
        <w:rPr>
          <w:rFonts w:hint="eastAsia" w:ascii="楷体_GB2312" w:eastAsia="楷体_GB2312"/>
          <w:b/>
          <w:snapToGrid w:val="0"/>
          <w:color w:val="auto"/>
          <w:kern w:val="32"/>
          <w:sz w:val="32"/>
          <w:szCs w:val="32"/>
        </w:rPr>
        <w:t>第六十一条</w:t>
      </w:r>
      <w:r>
        <w:rPr>
          <w:rFonts w:hint="eastAsia" w:ascii="仿宋_GB2312" w:eastAsia="仿宋_GB2312"/>
          <w:b/>
          <w:snapToGrid w:val="0"/>
          <w:color w:val="auto"/>
          <w:kern w:val="32"/>
          <w:sz w:val="32"/>
          <w:szCs w:val="32"/>
        </w:rPr>
        <w:t xml:space="preserve">  </w:t>
      </w:r>
      <w:r>
        <w:rPr>
          <w:rFonts w:hint="eastAsia" w:ascii="仿宋_GB2312" w:eastAsia="仿宋_GB2312"/>
          <w:snapToGrid w:val="0"/>
          <w:color w:val="auto"/>
          <w:kern w:val="32"/>
          <w:sz w:val="32"/>
          <w:szCs w:val="32"/>
        </w:rPr>
        <w:t xml:space="preserve">违反本临时管理规约或者有关法律、法规造成其他业主人身伤害、财产损失的，责任人应负赔偿责任。  </w:t>
      </w:r>
    </w:p>
    <w:p>
      <w:pPr>
        <w:pStyle w:val="13"/>
        <w:spacing w:line="520" w:lineRule="exact"/>
        <w:ind w:firstLine="632" w:firstLineChars="200"/>
        <w:rPr>
          <w:rFonts w:ascii="仿宋_GB2312" w:eastAsia="仿宋_GB2312"/>
          <w:snapToGrid w:val="0"/>
          <w:color w:val="auto"/>
          <w:kern w:val="32"/>
          <w:sz w:val="32"/>
          <w:szCs w:val="32"/>
        </w:rPr>
      </w:pPr>
      <w:r>
        <w:rPr>
          <w:rFonts w:hint="eastAsia" w:ascii="楷体_GB2312" w:eastAsia="楷体_GB2312"/>
          <w:b/>
          <w:snapToGrid w:val="0"/>
          <w:color w:val="auto"/>
          <w:kern w:val="32"/>
          <w:sz w:val="32"/>
          <w:szCs w:val="32"/>
        </w:rPr>
        <w:t>第六十二条</w:t>
      </w:r>
      <w:r>
        <w:rPr>
          <w:rFonts w:hint="eastAsia" w:ascii="仿宋_GB2312" w:eastAsia="仿宋_GB2312"/>
          <w:b/>
          <w:snapToGrid w:val="0"/>
          <w:color w:val="auto"/>
          <w:kern w:val="32"/>
          <w:sz w:val="32"/>
          <w:szCs w:val="32"/>
        </w:rPr>
        <w:t xml:space="preserve">  </w:t>
      </w:r>
      <w:r>
        <w:rPr>
          <w:rFonts w:hint="eastAsia" w:ascii="仿宋_GB2312" w:eastAsia="仿宋_GB2312"/>
          <w:snapToGrid w:val="0"/>
          <w:color w:val="auto"/>
          <w:kern w:val="32"/>
          <w:sz w:val="32"/>
          <w:szCs w:val="32"/>
        </w:rPr>
        <w:t>非业主使用人违反本临时管理规约的，业主承担连带责任。</w:t>
      </w:r>
    </w:p>
    <w:p>
      <w:pPr>
        <w:spacing w:line="520" w:lineRule="exact"/>
        <w:jc w:val="center"/>
        <w:rPr>
          <w:rFonts w:ascii="仿宋_GB2312" w:hAnsi="宋体"/>
          <w:snapToGrid w:val="0"/>
          <w:kern w:val="32"/>
          <w:szCs w:val="32"/>
        </w:rPr>
      </w:pPr>
    </w:p>
    <w:p>
      <w:pPr>
        <w:spacing w:line="520" w:lineRule="exact"/>
        <w:jc w:val="center"/>
        <w:rPr>
          <w:rFonts w:ascii="黑体" w:hAnsi="黑体" w:eastAsia="黑体"/>
          <w:snapToGrid w:val="0"/>
          <w:kern w:val="32"/>
          <w:szCs w:val="32"/>
        </w:rPr>
      </w:pPr>
      <w:r>
        <w:rPr>
          <w:rFonts w:hint="eastAsia" w:ascii="黑体" w:hAnsi="黑体" w:eastAsia="黑体"/>
          <w:snapToGrid w:val="0"/>
          <w:kern w:val="32"/>
          <w:szCs w:val="32"/>
        </w:rPr>
        <w:t>第十章  附  则</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 xml:space="preserve">第六十三条  </w:t>
      </w:r>
      <w:r>
        <w:rPr>
          <w:rFonts w:hint="eastAsia" w:ascii="仿宋_GB2312" w:hAnsi="宋体"/>
          <w:snapToGrid w:val="0"/>
          <w:kern w:val="32"/>
          <w:szCs w:val="32"/>
        </w:rPr>
        <w:t>为维护业主的共同利益，全体业主同意由建设单位委托的物业服务企业行使以下权利和职责：</w:t>
      </w:r>
    </w:p>
    <w:p>
      <w:pPr>
        <w:spacing w:line="520" w:lineRule="exact"/>
        <w:ind w:firstLine="632" w:firstLineChars="200"/>
        <w:rPr>
          <w:rFonts w:ascii="仿宋_GB2312" w:hAnsi="宋体"/>
          <w:snapToGrid w:val="0"/>
          <w:kern w:val="32"/>
          <w:szCs w:val="32"/>
        </w:rPr>
      </w:pPr>
      <w:r>
        <w:rPr>
          <w:snapToGrid w:val="0"/>
          <w:kern w:val="32"/>
          <w:szCs w:val="32"/>
        </w:rPr>
        <w:t>1</w:t>
      </w:r>
      <w:r>
        <w:rPr>
          <w:rFonts w:hint="eastAsia" w:ascii="仿宋_GB2312" w:hAnsi="宋体"/>
          <w:snapToGrid w:val="0"/>
          <w:kern w:val="32"/>
          <w:szCs w:val="32"/>
        </w:rPr>
        <w:t>．制定物业共用部位和共用设施设备的使用、公共秩序、消防安全、车辆管理、环境卫生、垃圾分类等方面的规章制度；</w:t>
      </w:r>
    </w:p>
    <w:p>
      <w:pPr>
        <w:spacing w:line="520" w:lineRule="exact"/>
        <w:ind w:firstLine="632"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．在物业管理区域内制定停车方案，设置临时停车位，并按照政府相关规定收取停车费；</w:t>
      </w:r>
    </w:p>
    <w:p>
      <w:pPr>
        <w:spacing w:line="520" w:lineRule="exact"/>
        <w:ind w:firstLine="632" w:firstLineChars="200"/>
        <w:rPr>
          <w:rFonts w:ascii="仿宋_GB2312" w:hAnsi="宋体"/>
          <w:snapToGrid w:val="0"/>
          <w:kern w:val="32"/>
          <w:szCs w:val="32"/>
        </w:rPr>
      </w:pPr>
      <w:r>
        <w:rPr>
          <w:rFonts w:hint="eastAsia"/>
          <w:snapToGrid w:val="0"/>
          <w:kern w:val="32"/>
          <w:szCs w:val="32"/>
        </w:rPr>
        <w:t>3</w:t>
      </w:r>
      <w:r>
        <w:rPr>
          <w:rFonts w:hint="eastAsia" w:ascii="仿宋_GB2312" w:hAnsi="宋体"/>
          <w:snapToGrid w:val="0"/>
          <w:kern w:val="32"/>
          <w:szCs w:val="32"/>
        </w:rPr>
        <w:t>．以告知、规劝、公示、司法途径等必要措施制止业主、非业主使用人违反物业管理法律法规、物业服务合同、本临时管理规约和规章制度的行为。</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第六十四条</w:t>
      </w:r>
      <w:r>
        <w:rPr>
          <w:rFonts w:hint="eastAsia" w:ascii="仿宋_GB2312" w:hAnsi="宋体"/>
          <w:snapToGrid w:val="0"/>
          <w:kern w:val="32"/>
          <w:szCs w:val="32"/>
        </w:rPr>
        <w:t xml:space="preserve">  物业服务费是物业服务活动正常开展的基础，涉及全体业主的共同利益，业主应按时交纳物业服务费。业主认为物业服务有问题的，可要求物业服务企业及时解决或向街道办事处（乡镇人民政府）或区（县）物业主管部门反映投诉。</w:t>
      </w:r>
    </w:p>
    <w:p>
      <w:pPr>
        <w:spacing w:line="520" w:lineRule="exact"/>
        <w:ind w:firstLine="632" w:firstLineChars="200"/>
        <w:rPr>
          <w:rFonts w:ascii="仿宋_GB2312" w:hAnsi="宋体" w:cs="宋体"/>
          <w:snapToGrid w:val="0"/>
          <w:kern w:val="32"/>
          <w:szCs w:val="32"/>
        </w:rPr>
      </w:pPr>
      <w:r>
        <w:rPr>
          <w:rFonts w:hint="eastAsia" w:ascii="楷体_GB2312" w:hAnsi="宋体" w:eastAsia="楷体_GB2312"/>
          <w:b/>
          <w:snapToGrid w:val="0"/>
          <w:kern w:val="32"/>
          <w:szCs w:val="32"/>
        </w:rPr>
        <w:t>第六十五条</w:t>
      </w:r>
      <w:r>
        <w:rPr>
          <w:rFonts w:hint="eastAsia" w:ascii="仿宋_GB2312" w:hAnsi="宋体"/>
          <w:b/>
          <w:snapToGrid w:val="0"/>
          <w:kern w:val="32"/>
          <w:szCs w:val="32"/>
        </w:rPr>
        <w:t xml:space="preserve">  </w:t>
      </w:r>
      <w:r>
        <w:rPr>
          <w:rFonts w:hint="eastAsia" w:ascii="仿宋_GB2312" w:hAnsi="宋体"/>
          <w:snapToGrid w:val="0"/>
          <w:kern w:val="32"/>
          <w:szCs w:val="32"/>
        </w:rPr>
        <w:t>为维护本物业区域的和谐、安定，业主、非业主使用人应自觉遵守相关法律法规、本临时管理规约以及其他经物业服务企业书面告知（包括但不限于以协议、邮件、公示、电话或短信通知等方式进行告知）的物业服务管理制度。业主、非业主使用人须关注物业服务区域内公告栏上张贴的通知、公告。</w:t>
      </w:r>
      <w:r>
        <w:rPr>
          <w:rFonts w:hint="eastAsia" w:ascii="仿宋_GB2312" w:hAnsi="宋体" w:cs="宋体"/>
          <w:snapToGrid w:val="0"/>
          <w:kern w:val="32"/>
          <w:szCs w:val="32"/>
        </w:rPr>
        <w:t>前述通知或公告在公告栏上公示</w:t>
      </w:r>
      <w:r>
        <w:rPr>
          <w:snapToGrid w:val="0"/>
          <w:kern w:val="32"/>
          <w:szCs w:val="32"/>
        </w:rPr>
        <w:t>7</w:t>
      </w:r>
      <w:r>
        <w:rPr>
          <w:rFonts w:hint="eastAsia" w:ascii="仿宋_GB2312" w:hAnsi="宋体" w:cs="宋体"/>
          <w:snapToGrid w:val="0"/>
          <w:kern w:val="32"/>
          <w:szCs w:val="32"/>
        </w:rPr>
        <w:t>日后即视为已向每位业主及非业主使用人送达。</w:t>
      </w:r>
    </w:p>
    <w:p>
      <w:pPr>
        <w:spacing w:line="520" w:lineRule="exact"/>
        <w:ind w:firstLine="632" w:firstLineChars="200"/>
        <w:rPr>
          <w:rFonts w:ascii="仿宋_GB2312" w:hAnsi="宋体"/>
          <w:snapToGrid w:val="0"/>
          <w:kern w:val="32"/>
          <w:szCs w:val="32"/>
        </w:rPr>
      </w:pPr>
      <w:r>
        <w:rPr>
          <w:rFonts w:hint="eastAsia" w:ascii="楷体_GB2312" w:hAnsi="宋体" w:eastAsia="楷体_GB2312"/>
          <w:b/>
          <w:snapToGrid w:val="0"/>
          <w:kern w:val="32"/>
          <w:szCs w:val="32"/>
        </w:rPr>
        <w:t>第六十六条</w:t>
      </w:r>
      <w:r>
        <w:rPr>
          <w:rFonts w:hint="eastAsia" w:ascii="仿宋_GB2312" w:hAnsi="宋体"/>
          <w:b/>
          <w:snapToGrid w:val="0"/>
          <w:kern w:val="32"/>
          <w:szCs w:val="32"/>
        </w:rPr>
        <w:t xml:space="preserve">  </w:t>
      </w:r>
      <w:r>
        <w:rPr>
          <w:rFonts w:hint="eastAsia" w:ascii="仿宋_GB2312" w:hAnsi="宋体" w:cs="Arial"/>
          <w:snapToGrid w:val="0"/>
          <w:kern w:val="32"/>
          <w:szCs w:val="32"/>
        </w:rPr>
        <w:t>业主转让或出租物业时，</w:t>
      </w:r>
      <w:r>
        <w:rPr>
          <w:rFonts w:hint="eastAsia" w:ascii="仿宋_GB2312" w:hAnsi="宋体"/>
          <w:snapToGrid w:val="0"/>
          <w:kern w:val="32"/>
          <w:szCs w:val="32"/>
        </w:rPr>
        <w:t>须将本临时管理规约、物业服务收费标准作为转让合同或者租赁合同的附件。物业转让或者出租后，业主</w:t>
      </w:r>
      <w:r>
        <w:rPr>
          <w:rFonts w:hint="eastAsia" w:ascii="仿宋_GB2312" w:hAnsi="宋体" w:cs="Arial"/>
          <w:snapToGrid w:val="0"/>
          <w:kern w:val="32"/>
          <w:szCs w:val="32"/>
        </w:rPr>
        <w:t>应陪同物业继受人或承租人到物业服务企业办理相关手续</w:t>
      </w:r>
      <w:r>
        <w:rPr>
          <w:rFonts w:hint="eastAsia" w:ascii="仿宋_GB2312" w:hAnsi="宋体"/>
          <w:snapToGrid w:val="0"/>
          <w:kern w:val="32"/>
          <w:szCs w:val="32"/>
        </w:rPr>
        <w:t>，将转让或者出租情况以及相应通讯方式书面告知物业服务企业。</w:t>
      </w:r>
    </w:p>
    <w:p>
      <w:pPr>
        <w:spacing w:line="520" w:lineRule="exact"/>
        <w:ind w:firstLine="632" w:firstLineChars="200"/>
        <w:rPr>
          <w:rFonts w:ascii="仿宋_GB2312" w:hAnsi="宋体"/>
          <w:szCs w:val="32"/>
        </w:rPr>
      </w:pPr>
      <w:r>
        <w:rPr>
          <w:rFonts w:hint="eastAsia" w:ascii="楷体_GB2312" w:hAnsi="宋体" w:eastAsia="楷体_GB2312"/>
          <w:b/>
          <w:snapToGrid w:val="0"/>
          <w:kern w:val="32"/>
          <w:szCs w:val="32"/>
        </w:rPr>
        <w:t>第六十七条</w:t>
      </w:r>
      <w:r>
        <w:rPr>
          <w:rFonts w:hint="eastAsia" w:ascii="仿宋_GB2312" w:hAnsi="宋体"/>
          <w:snapToGrid w:val="0"/>
          <w:kern w:val="32"/>
          <w:szCs w:val="32"/>
        </w:rPr>
        <w:t xml:space="preserve">  物业产权发生变更，须与新业主共同与物业服务企业办理资料变更登记手续。因未及时与物业服务企业办理业主变更登记和物业服务费结清而引起的责任问题，原业主负连带</w:t>
      </w:r>
      <w:r>
        <w:rPr>
          <w:rFonts w:hint="eastAsia" w:ascii="仿宋_GB2312" w:hAnsi="宋体"/>
          <w:szCs w:val="32"/>
        </w:rPr>
        <w:t>责任。</w:t>
      </w:r>
    </w:p>
    <w:p>
      <w:pPr>
        <w:spacing w:line="520" w:lineRule="exact"/>
        <w:ind w:firstLine="632" w:firstLineChars="200"/>
        <w:rPr>
          <w:rFonts w:ascii="仿宋_GB2312" w:hAnsi="宋体"/>
          <w:szCs w:val="32"/>
        </w:rPr>
      </w:pPr>
      <w:r>
        <w:rPr>
          <w:rFonts w:hint="eastAsia" w:ascii="楷体_GB2312" w:hAnsi="宋体" w:eastAsia="楷体_GB2312"/>
          <w:b/>
          <w:snapToGrid w:val="0"/>
          <w:kern w:val="32"/>
          <w:szCs w:val="32"/>
        </w:rPr>
        <w:t>第六十八条</w:t>
      </w:r>
      <w:r>
        <w:rPr>
          <w:rFonts w:hint="eastAsia" w:ascii="仿宋_GB2312" w:hAnsi="宋体"/>
          <w:szCs w:val="32"/>
        </w:rPr>
        <w:t xml:space="preserve">  本临时管理规约所称物业的专有部分，是指由单个业主独立使用并具有排他性的房屋、空间、场地及相关设施设备。</w:t>
      </w:r>
    </w:p>
    <w:p>
      <w:pPr>
        <w:spacing w:line="520" w:lineRule="exact"/>
        <w:ind w:firstLine="632" w:firstLineChars="200"/>
        <w:rPr>
          <w:rFonts w:ascii="仿宋_GB2312" w:hAnsi="宋体"/>
          <w:szCs w:val="32"/>
        </w:rPr>
      </w:pPr>
      <w:r>
        <w:rPr>
          <w:rFonts w:hint="eastAsia" w:ascii="仿宋_GB2312" w:hAnsi="宋体"/>
          <w:szCs w:val="32"/>
        </w:rPr>
        <w:t>本临时管理规约所称物业的共用部位、共用设施设备，是指物业管理区域内单个业主专有部分以外的，属于多个或全体业主共同所有或使用的房屋、空间、场地及相关设施设备。</w:t>
      </w:r>
    </w:p>
    <w:p>
      <w:pPr>
        <w:spacing w:line="520" w:lineRule="exact"/>
        <w:ind w:firstLine="632" w:firstLineChars="200"/>
        <w:rPr>
          <w:rFonts w:ascii="仿宋_GB2312" w:hAnsi="宋体"/>
          <w:szCs w:val="32"/>
        </w:rPr>
      </w:pPr>
      <w:r>
        <w:rPr>
          <w:rFonts w:hint="eastAsia" w:ascii="楷体_GB2312" w:hAnsi="宋体" w:eastAsia="楷体_GB2312"/>
          <w:b/>
          <w:snapToGrid w:val="0"/>
          <w:kern w:val="32"/>
          <w:szCs w:val="32"/>
        </w:rPr>
        <w:t>第六十九条</w:t>
      </w:r>
      <w:r>
        <w:rPr>
          <w:rFonts w:hint="eastAsia" w:ascii="仿宋_GB2312" w:hAnsi="宋体"/>
          <w:b/>
          <w:szCs w:val="32"/>
        </w:rPr>
        <w:t xml:space="preserve">  </w:t>
      </w:r>
      <w:r>
        <w:rPr>
          <w:rFonts w:hint="eastAsia" w:ascii="仿宋_GB2312" w:hAnsi="宋体"/>
          <w:szCs w:val="32"/>
        </w:rPr>
        <w:t>本临时管理规约由建设单位、物业服务企业和每位业主各执一份。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zCs w:val="32"/>
        </w:rPr>
      </w:pPr>
      <w:r>
        <w:rPr>
          <w:rFonts w:hint="eastAsia" w:ascii="楷体_GB2312" w:hAnsi="宋体" w:eastAsia="楷体_GB2312"/>
          <w:b/>
          <w:snapToGrid w:val="0"/>
          <w:kern w:val="32"/>
          <w:szCs w:val="32"/>
        </w:rPr>
        <w:t>第七十条</w:t>
      </w:r>
      <w:r>
        <w:rPr>
          <w:rFonts w:hint="eastAsia" w:ascii="仿宋_GB2312" w:hAnsi="宋体"/>
          <w:b/>
          <w:szCs w:val="32"/>
        </w:rPr>
        <w:t xml:space="preserve">  </w:t>
      </w:r>
      <w:r>
        <w:rPr>
          <w:rFonts w:hint="eastAsia" w:ascii="仿宋_GB2312" w:hAnsi="宋体"/>
          <w:szCs w:val="32"/>
        </w:rPr>
        <w:t>本临时管理规约自首位物业买受人承诺之日起生效，至业主大会制定的《业主管理规约》生效之日终止。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32" w:firstLineChars="200"/>
        <w:rPr>
          <w:rFonts w:ascii="仿宋_GB2312" w:hAnsi="宋体"/>
          <w:szCs w:val="32"/>
        </w:rPr>
      </w:pPr>
      <w:r>
        <w:rPr>
          <w:rFonts w:hint="eastAsia" w:ascii="仿宋_GB2312" w:hAnsi="宋体"/>
          <w:szCs w:val="32"/>
        </w:rPr>
        <w:t xml:space="preserve">附件：承诺书 </w:t>
      </w:r>
      <w:r>
        <w:rPr>
          <w:rFonts w:hint="eastAsia" w:ascii="仿宋_GB2312" w:hAnsi="宋体"/>
          <w:szCs w:val="32"/>
        </w:rPr>
        <w:br w:type="page"/>
      </w:r>
    </w:p>
    <w:p>
      <w:pPr>
        <w:spacing w:line="540" w:lineRule="exact"/>
        <w:rPr>
          <w:rFonts w:ascii="黑体" w:hAnsi="黑体" w:eastAsia="黑体"/>
          <w:szCs w:val="32"/>
        </w:rPr>
      </w:pPr>
      <w:r>
        <w:rPr>
          <w:rFonts w:hint="eastAsia" w:ascii="黑体" w:hAnsi="黑体" w:eastAsia="黑体"/>
          <w:szCs w:val="32"/>
        </w:rPr>
        <w:t>附件</w:t>
      </w:r>
    </w:p>
    <w:p>
      <w:pPr>
        <w:widowControl/>
        <w:spacing w:line="540" w:lineRule="exact"/>
        <w:jc w:val="left"/>
        <w:rPr>
          <w:rStyle w:val="30"/>
          <w:rFonts w:ascii="仿宋_GB2312" w:hAnsi="宋体" w:cs="Arial"/>
          <w:b w:val="0"/>
          <w:szCs w:val="32"/>
        </w:rPr>
      </w:pPr>
    </w:p>
    <w:p>
      <w:pPr>
        <w:pStyle w:val="24"/>
        <w:widowControl w:val="0"/>
        <w:spacing w:before="0" w:beforeAutospacing="0" w:after="0" w:afterAutospacing="0" w:line="540" w:lineRule="exact"/>
        <w:jc w:val="center"/>
        <w:rPr>
          <w:rFonts w:ascii="方正小标宋简体" w:eastAsia="方正小标宋简体" w:cs="Arial"/>
          <w:b/>
          <w:sz w:val="44"/>
          <w:szCs w:val="44"/>
        </w:rPr>
      </w:pPr>
      <w:r>
        <w:rPr>
          <w:rStyle w:val="30"/>
          <w:rFonts w:hint="eastAsia" w:ascii="方正小标宋简体" w:eastAsia="方正小标宋简体" w:cs="Arial"/>
          <w:b w:val="0"/>
          <w:sz w:val="44"/>
          <w:szCs w:val="44"/>
        </w:rPr>
        <w:t>承  诺  书</w:t>
      </w:r>
    </w:p>
    <w:p>
      <w:pPr>
        <w:pStyle w:val="24"/>
        <w:widowControl w:val="0"/>
        <w:spacing w:before="0" w:beforeAutospacing="0" w:after="0" w:afterAutospacing="0" w:line="540" w:lineRule="exact"/>
        <w:ind w:firstLine="632" w:firstLineChars="200"/>
        <w:rPr>
          <w:rStyle w:val="30"/>
          <w:rFonts w:ascii="仿宋_GB2312" w:eastAsia="仿宋_GB2312"/>
          <w:b w:val="0"/>
          <w:sz w:val="32"/>
          <w:szCs w:val="32"/>
        </w:rPr>
      </w:pPr>
    </w:p>
    <w:p>
      <w:pPr>
        <w:pStyle w:val="24"/>
        <w:widowControl w:val="0"/>
        <w:spacing w:before="0" w:beforeAutospacing="0" w:after="0" w:afterAutospacing="0" w:line="540" w:lineRule="exact"/>
        <w:ind w:firstLine="632" w:firstLineChars="200"/>
        <w:rPr>
          <w:rFonts w:ascii="仿宋_GB2312" w:eastAsia="仿宋_GB2312"/>
          <w:sz w:val="32"/>
          <w:szCs w:val="32"/>
        </w:rPr>
      </w:pPr>
      <w:r>
        <w:rPr>
          <w:rFonts w:hint="eastAsia" w:ascii="仿宋_GB2312" w:eastAsia="仿宋_GB2312"/>
          <w:sz w:val="32"/>
          <w:szCs w:val="32"/>
        </w:rPr>
        <w:t>本人（单位）</w:t>
      </w:r>
      <w:r>
        <w:rPr>
          <w:rFonts w:hint="eastAsia" w:ascii="仿宋_GB2312" w:eastAsia="仿宋_GB2312"/>
          <w:sz w:val="32"/>
          <w:szCs w:val="32"/>
          <w:u w:val="single"/>
        </w:rPr>
        <w:t xml:space="preserve">              </w:t>
      </w:r>
      <w:r>
        <w:rPr>
          <w:rFonts w:hint="eastAsia" w:ascii="仿宋_GB2312" w:eastAsia="仿宋_GB2312"/>
          <w:sz w:val="32"/>
          <w:szCs w:val="32"/>
        </w:rPr>
        <w:t>为</w:t>
      </w:r>
      <w:r>
        <w:rPr>
          <w:rFonts w:hint="eastAsia" w:ascii="仿宋_GB2312" w:eastAsia="仿宋_GB2312"/>
          <w:sz w:val="32"/>
          <w:szCs w:val="32"/>
          <w:u w:val="single"/>
        </w:rPr>
        <w:t xml:space="preserve">                </w:t>
      </w:r>
      <w:r>
        <w:rPr>
          <w:rFonts w:hint="eastAsia" w:ascii="仿宋_GB2312" w:eastAsia="仿宋_GB2312"/>
          <w:sz w:val="32"/>
          <w:szCs w:val="32"/>
        </w:rPr>
        <w:t>（物业名称及专有部分坐落）的买受人，已详细阅读并理解</w:t>
      </w:r>
      <w:r>
        <w:rPr>
          <w:rFonts w:hint="eastAsia" w:ascii="仿宋_GB2312" w:eastAsia="仿宋_GB2312"/>
          <w:sz w:val="32"/>
          <w:szCs w:val="32"/>
          <w:u w:val="single"/>
        </w:rPr>
        <w:t xml:space="preserve">            </w:t>
      </w:r>
      <w:r>
        <w:rPr>
          <w:rFonts w:hint="eastAsia" w:ascii="仿宋_GB2312" w:eastAsia="仿宋_GB2312"/>
          <w:sz w:val="32"/>
          <w:szCs w:val="32"/>
        </w:rPr>
        <w:t>（建设单位）制定的《</w:t>
      </w:r>
      <w:r>
        <w:rPr>
          <w:rFonts w:hint="eastAsia" w:ascii="仿宋_GB2312" w:eastAsia="仿宋_GB2312"/>
          <w:sz w:val="32"/>
          <w:szCs w:val="32"/>
          <w:u w:val="single"/>
        </w:rPr>
        <w:t xml:space="preserve">              </w:t>
      </w:r>
      <w:r>
        <w:rPr>
          <w:rFonts w:hint="eastAsia" w:ascii="仿宋_GB2312" w:eastAsia="仿宋_GB2312"/>
          <w:sz w:val="32"/>
          <w:szCs w:val="32"/>
        </w:rPr>
        <w:t>（物业项目名称）临时管理规约》，同意遵守本规约内的一切条款,如有违约，愿承担相应的违约责任。</w:t>
      </w:r>
    </w:p>
    <w:p>
      <w:pPr>
        <w:pStyle w:val="24"/>
        <w:widowControl w:val="0"/>
        <w:spacing w:before="0" w:beforeAutospacing="0" w:after="0" w:afterAutospacing="0" w:line="540" w:lineRule="exact"/>
        <w:ind w:firstLine="632" w:firstLineChars="200"/>
        <w:rPr>
          <w:rFonts w:ascii="仿宋_GB2312" w:eastAsia="仿宋_GB2312"/>
          <w:sz w:val="32"/>
          <w:szCs w:val="32"/>
        </w:rPr>
      </w:pPr>
      <w:r>
        <w:rPr>
          <w:rFonts w:hint="eastAsia" w:ascii="仿宋_GB2312" w:eastAsia="仿宋_GB2312"/>
          <w:sz w:val="32"/>
          <w:szCs w:val="32"/>
        </w:rPr>
        <w:t>特签署本承诺书。</w:t>
      </w:r>
    </w:p>
    <w:p>
      <w:pPr>
        <w:pStyle w:val="24"/>
        <w:widowControl w:val="0"/>
        <w:spacing w:before="0" w:beforeAutospacing="0" w:after="0" w:afterAutospacing="0" w:line="540" w:lineRule="exact"/>
        <w:ind w:firstLine="632" w:firstLineChars="200"/>
        <w:rPr>
          <w:rFonts w:ascii="仿宋_GB2312" w:eastAsia="仿宋_GB2312" w:cs="Arial"/>
          <w:sz w:val="32"/>
          <w:szCs w:val="32"/>
        </w:rPr>
      </w:pPr>
    </w:p>
    <w:p>
      <w:pPr>
        <w:pStyle w:val="24"/>
        <w:widowControl w:val="0"/>
        <w:spacing w:before="0" w:beforeAutospacing="0" w:after="0" w:afterAutospacing="0" w:line="540" w:lineRule="exact"/>
        <w:ind w:firstLine="632" w:firstLineChars="200"/>
        <w:rPr>
          <w:rFonts w:ascii="仿宋_GB2312" w:eastAsia="仿宋_GB2312" w:cs="Arial"/>
          <w:sz w:val="32"/>
          <w:szCs w:val="32"/>
        </w:rPr>
      </w:pPr>
    </w:p>
    <w:p>
      <w:pPr>
        <w:pStyle w:val="24"/>
        <w:widowControl w:val="0"/>
        <w:spacing w:before="0" w:beforeAutospacing="0" w:after="0" w:afterAutospacing="0" w:line="540" w:lineRule="exact"/>
        <w:ind w:firstLine="2844" w:firstLineChars="900"/>
        <w:rPr>
          <w:rFonts w:ascii="仿宋_GB2312" w:eastAsia="仿宋_GB2312" w:cs="Arial"/>
          <w:sz w:val="32"/>
          <w:szCs w:val="32"/>
        </w:rPr>
      </w:pPr>
      <w:r>
        <w:rPr>
          <w:rFonts w:hint="eastAsia" w:ascii="仿宋_GB2312" w:eastAsia="仿宋_GB2312" w:cs="Arial"/>
          <w:sz w:val="32"/>
          <w:szCs w:val="32"/>
        </w:rPr>
        <w:t>承诺人（签名/盖章）：</w:t>
      </w:r>
      <w:r>
        <w:rPr>
          <w:rFonts w:hint="eastAsia" w:ascii="仿宋_GB2312" w:eastAsia="仿宋_GB2312" w:cs="Arial"/>
          <w:sz w:val="32"/>
          <w:szCs w:val="32"/>
          <w:u w:val="single"/>
        </w:rPr>
        <w:t xml:space="preserve">              </w:t>
      </w:r>
    </w:p>
    <w:p>
      <w:pPr>
        <w:widowControl/>
        <w:jc w:val="left"/>
        <w:rPr>
          <w:rFonts w:ascii="仿宋_GB2312" w:hAnsi="宋体" w:cs="宋体"/>
          <w:spacing w:val="-6"/>
          <w:kern w:val="0"/>
          <w:szCs w:val="32"/>
        </w:rPr>
      </w:pPr>
      <w:r>
        <w:rPr>
          <w:rFonts w:hint="eastAsia" w:ascii="仿宋_GB2312" w:hAnsi="宋体" w:cs="宋体"/>
          <w:spacing w:val="-6"/>
          <w:kern w:val="0"/>
          <w:szCs w:val="32"/>
        </w:rPr>
        <w:br w:type="page"/>
      </w:r>
    </w:p>
    <w:p>
      <w:pPr>
        <w:pBdr>
          <w:bottom w:val="single" w:color="auto" w:sz="12" w:space="1"/>
        </w:pBdr>
        <w:spacing w:line="640" w:lineRule="exact"/>
        <w:rPr>
          <w:rFonts w:ascii="仿宋_GB2312" w:hAnsi="仿宋"/>
          <w:sz w:val="28"/>
          <w:szCs w:val="28"/>
        </w:rPr>
      </w:pPr>
    </w:p>
    <w:sectPr>
      <w:headerReference r:id="rId3" w:type="default"/>
      <w:footerReference r:id="rId4" w:type="default"/>
      <w:footerReference r:id="rId5" w:type="even"/>
      <w:pgSz w:w="11907" w:h="16840"/>
      <w:pgMar w:top="1440" w:right="1247" w:bottom="1701" w:left="1474" w:header="851" w:footer="992" w:gutter="57"/>
      <w:cols w:space="425" w:num="1"/>
      <w:docGrid w:type="linesAndChars" w:linePitch="464"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1"/>
      </w:rPr>
    </w:pPr>
    <w:r>
      <w:rPr>
        <w:rStyle w:val="31"/>
        <w:rFonts w:hint="eastAsia"/>
      </w:rPr>
      <w:t xml:space="preserve">— </w:t>
    </w:r>
    <w:r>
      <w:rPr>
        <w:rStyle w:val="31"/>
        <w:rFonts w:ascii="宋体" w:hAnsi="宋体" w:eastAsia="宋体"/>
        <w:sz w:val="28"/>
        <w:szCs w:val="28"/>
      </w:rPr>
      <w:fldChar w:fldCharType="begin"/>
    </w:r>
    <w:r>
      <w:rPr>
        <w:rStyle w:val="31"/>
        <w:rFonts w:ascii="宋体" w:hAnsi="宋体" w:eastAsia="宋体"/>
        <w:sz w:val="28"/>
        <w:szCs w:val="28"/>
      </w:rPr>
      <w:instrText xml:space="preserve">PAGE  </w:instrText>
    </w:r>
    <w:r>
      <w:rPr>
        <w:rStyle w:val="31"/>
        <w:rFonts w:ascii="宋体" w:hAnsi="宋体" w:eastAsia="宋体"/>
        <w:sz w:val="28"/>
        <w:szCs w:val="28"/>
      </w:rPr>
      <w:fldChar w:fldCharType="separate"/>
    </w:r>
    <w:r>
      <w:rPr>
        <w:rStyle w:val="31"/>
        <w:rFonts w:ascii="宋体" w:hAnsi="宋体" w:eastAsia="宋体"/>
        <w:sz w:val="28"/>
        <w:szCs w:val="28"/>
      </w:rPr>
      <w:t>70</w:t>
    </w:r>
    <w:r>
      <w:rPr>
        <w:rStyle w:val="31"/>
        <w:rFonts w:ascii="宋体" w:hAnsi="宋体" w:eastAsia="宋体"/>
        <w:sz w:val="28"/>
        <w:szCs w:val="28"/>
      </w:rPr>
      <w:fldChar w:fldCharType="end"/>
    </w:r>
    <w:r>
      <w:rPr>
        <w:rStyle w:val="31"/>
        <w:rFonts w:hint="eastAsia"/>
      </w:rPr>
      <w:t xml:space="preserve"> —</w:t>
    </w:r>
  </w:p>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1"/>
      </w:rPr>
    </w:pPr>
    <w:r>
      <w:rPr>
        <w:rStyle w:val="31"/>
      </w:rPr>
      <w:fldChar w:fldCharType="begin"/>
    </w:r>
    <w:r>
      <w:rPr>
        <w:rStyle w:val="31"/>
      </w:rPr>
      <w:instrText xml:space="preserve">PAGE  </w:instrText>
    </w:r>
    <w:r>
      <w:rPr>
        <w:rStyle w:val="31"/>
      </w:rPr>
      <w:fldChar w:fldCharType="separate"/>
    </w:r>
    <w:r>
      <w:rPr>
        <w:rStyle w:val="31"/>
      </w:rPr>
      <w:t>2</w:t>
    </w:r>
    <w:r>
      <w:rPr>
        <w:rStyle w:val="31"/>
      </w:rPr>
      <w:fldChar w:fldCharType="end"/>
    </w:r>
  </w:p>
  <w:p>
    <w:pPr>
      <w:pStyle w:val="1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49531"/>
    <w:multiLevelType w:val="singleLevel"/>
    <w:tmpl w:val="57749531"/>
    <w:lvl w:ilvl="0" w:tentative="0">
      <w:start w:val="1"/>
      <w:numFmt w:val="decimal"/>
      <w:suff w:val="nothing"/>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VhNmUyMTM0ZmU5MWYyNzkxMDNkM2ZiMzJkZTAifQ=="/>
  </w:docVars>
  <w:rsids>
    <w:rsidRoot w:val="002C2ED0"/>
    <w:rsid w:val="00002396"/>
    <w:rsid w:val="00002ADE"/>
    <w:rsid w:val="00006011"/>
    <w:rsid w:val="00006069"/>
    <w:rsid w:val="00006DE7"/>
    <w:rsid w:val="000077AF"/>
    <w:rsid w:val="00011569"/>
    <w:rsid w:val="000128AB"/>
    <w:rsid w:val="00014F48"/>
    <w:rsid w:val="00020BAE"/>
    <w:rsid w:val="00020C89"/>
    <w:rsid w:val="00021B83"/>
    <w:rsid w:val="00021FAE"/>
    <w:rsid w:val="00023DC8"/>
    <w:rsid w:val="00025A90"/>
    <w:rsid w:val="00025FD7"/>
    <w:rsid w:val="0002749F"/>
    <w:rsid w:val="000309EA"/>
    <w:rsid w:val="00030D8C"/>
    <w:rsid w:val="0003201B"/>
    <w:rsid w:val="000325EF"/>
    <w:rsid w:val="0003287D"/>
    <w:rsid w:val="00033BF4"/>
    <w:rsid w:val="0003420B"/>
    <w:rsid w:val="000343BD"/>
    <w:rsid w:val="0003605F"/>
    <w:rsid w:val="0004256A"/>
    <w:rsid w:val="00042A1F"/>
    <w:rsid w:val="00042BA9"/>
    <w:rsid w:val="00043563"/>
    <w:rsid w:val="000436D7"/>
    <w:rsid w:val="00046E5C"/>
    <w:rsid w:val="00047800"/>
    <w:rsid w:val="00050C9D"/>
    <w:rsid w:val="000518EE"/>
    <w:rsid w:val="00056160"/>
    <w:rsid w:val="00056DAB"/>
    <w:rsid w:val="00057F67"/>
    <w:rsid w:val="00061954"/>
    <w:rsid w:val="00063EAD"/>
    <w:rsid w:val="00066308"/>
    <w:rsid w:val="000668BC"/>
    <w:rsid w:val="0007084D"/>
    <w:rsid w:val="0007087B"/>
    <w:rsid w:val="00070938"/>
    <w:rsid w:val="00070ACA"/>
    <w:rsid w:val="000710CA"/>
    <w:rsid w:val="00071A9F"/>
    <w:rsid w:val="0007498C"/>
    <w:rsid w:val="00075269"/>
    <w:rsid w:val="000776D3"/>
    <w:rsid w:val="00082E04"/>
    <w:rsid w:val="00085996"/>
    <w:rsid w:val="00085BB0"/>
    <w:rsid w:val="000901EF"/>
    <w:rsid w:val="00092083"/>
    <w:rsid w:val="0009340A"/>
    <w:rsid w:val="00093622"/>
    <w:rsid w:val="0009391C"/>
    <w:rsid w:val="00096D46"/>
    <w:rsid w:val="00096DD1"/>
    <w:rsid w:val="0009753C"/>
    <w:rsid w:val="000A0ECE"/>
    <w:rsid w:val="000A1A9E"/>
    <w:rsid w:val="000A6179"/>
    <w:rsid w:val="000A65D7"/>
    <w:rsid w:val="000A6767"/>
    <w:rsid w:val="000A6842"/>
    <w:rsid w:val="000A7BEC"/>
    <w:rsid w:val="000B07A7"/>
    <w:rsid w:val="000B0DF2"/>
    <w:rsid w:val="000B2394"/>
    <w:rsid w:val="000B332E"/>
    <w:rsid w:val="000C0751"/>
    <w:rsid w:val="000C168F"/>
    <w:rsid w:val="000C23A4"/>
    <w:rsid w:val="000C2BA6"/>
    <w:rsid w:val="000C4517"/>
    <w:rsid w:val="000C46FD"/>
    <w:rsid w:val="000C5BD2"/>
    <w:rsid w:val="000C703D"/>
    <w:rsid w:val="000D0B6C"/>
    <w:rsid w:val="000D136C"/>
    <w:rsid w:val="000D1824"/>
    <w:rsid w:val="000D1A4B"/>
    <w:rsid w:val="000D248A"/>
    <w:rsid w:val="000D2A2F"/>
    <w:rsid w:val="000D4665"/>
    <w:rsid w:val="000D5488"/>
    <w:rsid w:val="000D65CF"/>
    <w:rsid w:val="000D7D30"/>
    <w:rsid w:val="000D7D60"/>
    <w:rsid w:val="000E10BC"/>
    <w:rsid w:val="000E1600"/>
    <w:rsid w:val="000E1D1D"/>
    <w:rsid w:val="000E2A10"/>
    <w:rsid w:val="000E3C32"/>
    <w:rsid w:val="000E4EB0"/>
    <w:rsid w:val="000E5453"/>
    <w:rsid w:val="000E56A1"/>
    <w:rsid w:val="000E68D1"/>
    <w:rsid w:val="000E6A1C"/>
    <w:rsid w:val="000F0A6E"/>
    <w:rsid w:val="000F1A6F"/>
    <w:rsid w:val="000F1B69"/>
    <w:rsid w:val="000F2FBD"/>
    <w:rsid w:val="000F37AB"/>
    <w:rsid w:val="000F3D57"/>
    <w:rsid w:val="000F5847"/>
    <w:rsid w:val="000F6377"/>
    <w:rsid w:val="000F6628"/>
    <w:rsid w:val="000F67F1"/>
    <w:rsid w:val="000F7EBF"/>
    <w:rsid w:val="0010115A"/>
    <w:rsid w:val="00103D7E"/>
    <w:rsid w:val="00104AC1"/>
    <w:rsid w:val="00105CE6"/>
    <w:rsid w:val="001068A1"/>
    <w:rsid w:val="00106F28"/>
    <w:rsid w:val="00107458"/>
    <w:rsid w:val="001108EC"/>
    <w:rsid w:val="001109FB"/>
    <w:rsid w:val="001136EE"/>
    <w:rsid w:val="00114FA7"/>
    <w:rsid w:val="00116D9F"/>
    <w:rsid w:val="00117E3F"/>
    <w:rsid w:val="00120002"/>
    <w:rsid w:val="001204A5"/>
    <w:rsid w:val="0012103D"/>
    <w:rsid w:val="0012273F"/>
    <w:rsid w:val="00122F9B"/>
    <w:rsid w:val="0012420B"/>
    <w:rsid w:val="001261F9"/>
    <w:rsid w:val="001269A3"/>
    <w:rsid w:val="00127595"/>
    <w:rsid w:val="001276DB"/>
    <w:rsid w:val="00131527"/>
    <w:rsid w:val="00131E6A"/>
    <w:rsid w:val="001338CA"/>
    <w:rsid w:val="00136C02"/>
    <w:rsid w:val="0013792D"/>
    <w:rsid w:val="001421F1"/>
    <w:rsid w:val="00145360"/>
    <w:rsid w:val="001457A1"/>
    <w:rsid w:val="001520ED"/>
    <w:rsid w:val="00153135"/>
    <w:rsid w:val="00153C6E"/>
    <w:rsid w:val="00154698"/>
    <w:rsid w:val="001560E8"/>
    <w:rsid w:val="00156534"/>
    <w:rsid w:val="0015662D"/>
    <w:rsid w:val="00157B01"/>
    <w:rsid w:val="00157F8B"/>
    <w:rsid w:val="00161004"/>
    <w:rsid w:val="00161195"/>
    <w:rsid w:val="00163016"/>
    <w:rsid w:val="0016399B"/>
    <w:rsid w:val="00167D92"/>
    <w:rsid w:val="001714C9"/>
    <w:rsid w:val="0017368A"/>
    <w:rsid w:val="0017443E"/>
    <w:rsid w:val="001756F8"/>
    <w:rsid w:val="001762C8"/>
    <w:rsid w:val="00176851"/>
    <w:rsid w:val="00186175"/>
    <w:rsid w:val="00186F8C"/>
    <w:rsid w:val="0018752C"/>
    <w:rsid w:val="00191C33"/>
    <w:rsid w:val="001921F7"/>
    <w:rsid w:val="00194170"/>
    <w:rsid w:val="00194477"/>
    <w:rsid w:val="001950C8"/>
    <w:rsid w:val="00195EE0"/>
    <w:rsid w:val="00196EC6"/>
    <w:rsid w:val="001A0BC3"/>
    <w:rsid w:val="001A5A75"/>
    <w:rsid w:val="001A6431"/>
    <w:rsid w:val="001A7696"/>
    <w:rsid w:val="001B142B"/>
    <w:rsid w:val="001B2AE7"/>
    <w:rsid w:val="001B5C61"/>
    <w:rsid w:val="001B716A"/>
    <w:rsid w:val="001C131F"/>
    <w:rsid w:val="001C2D8E"/>
    <w:rsid w:val="001C33BB"/>
    <w:rsid w:val="001C3843"/>
    <w:rsid w:val="001C4632"/>
    <w:rsid w:val="001C70F1"/>
    <w:rsid w:val="001C75EC"/>
    <w:rsid w:val="001D0057"/>
    <w:rsid w:val="001D1058"/>
    <w:rsid w:val="001D214F"/>
    <w:rsid w:val="001D4154"/>
    <w:rsid w:val="001D4C1E"/>
    <w:rsid w:val="001D541E"/>
    <w:rsid w:val="001D6091"/>
    <w:rsid w:val="001D7319"/>
    <w:rsid w:val="001D79C8"/>
    <w:rsid w:val="001E153B"/>
    <w:rsid w:val="001E18A0"/>
    <w:rsid w:val="001E333F"/>
    <w:rsid w:val="001E3630"/>
    <w:rsid w:val="001E6D2D"/>
    <w:rsid w:val="001F040A"/>
    <w:rsid w:val="001F06C7"/>
    <w:rsid w:val="001F182B"/>
    <w:rsid w:val="001F27DB"/>
    <w:rsid w:val="001F3D65"/>
    <w:rsid w:val="001F44C4"/>
    <w:rsid w:val="001F49F7"/>
    <w:rsid w:val="001F5466"/>
    <w:rsid w:val="001F6029"/>
    <w:rsid w:val="001F6E30"/>
    <w:rsid w:val="00200C68"/>
    <w:rsid w:val="002027ED"/>
    <w:rsid w:val="00207FA9"/>
    <w:rsid w:val="00210BE1"/>
    <w:rsid w:val="00210F6D"/>
    <w:rsid w:val="002117D3"/>
    <w:rsid w:val="00215221"/>
    <w:rsid w:val="00215731"/>
    <w:rsid w:val="002217D4"/>
    <w:rsid w:val="00222F74"/>
    <w:rsid w:val="00224AE7"/>
    <w:rsid w:val="00224D58"/>
    <w:rsid w:val="002251EB"/>
    <w:rsid w:val="0022670E"/>
    <w:rsid w:val="002307B3"/>
    <w:rsid w:val="0023182A"/>
    <w:rsid w:val="002323AD"/>
    <w:rsid w:val="00232A4D"/>
    <w:rsid w:val="0023439A"/>
    <w:rsid w:val="00234A16"/>
    <w:rsid w:val="0023783E"/>
    <w:rsid w:val="0024184A"/>
    <w:rsid w:val="002467BF"/>
    <w:rsid w:val="002514A1"/>
    <w:rsid w:val="0025423D"/>
    <w:rsid w:val="002542C6"/>
    <w:rsid w:val="00261C8C"/>
    <w:rsid w:val="00265904"/>
    <w:rsid w:val="00267120"/>
    <w:rsid w:val="00267804"/>
    <w:rsid w:val="00270D99"/>
    <w:rsid w:val="002717B0"/>
    <w:rsid w:val="00273D23"/>
    <w:rsid w:val="00274F5B"/>
    <w:rsid w:val="0027518A"/>
    <w:rsid w:val="00275C89"/>
    <w:rsid w:val="002807BB"/>
    <w:rsid w:val="0028198E"/>
    <w:rsid w:val="00281E05"/>
    <w:rsid w:val="002824D5"/>
    <w:rsid w:val="00283517"/>
    <w:rsid w:val="0028389B"/>
    <w:rsid w:val="00283EE7"/>
    <w:rsid w:val="00285A70"/>
    <w:rsid w:val="0028626A"/>
    <w:rsid w:val="00286A16"/>
    <w:rsid w:val="00287067"/>
    <w:rsid w:val="00287CBF"/>
    <w:rsid w:val="00290C85"/>
    <w:rsid w:val="00292A72"/>
    <w:rsid w:val="0029317F"/>
    <w:rsid w:val="002959C8"/>
    <w:rsid w:val="00295E0F"/>
    <w:rsid w:val="002964C8"/>
    <w:rsid w:val="002978F7"/>
    <w:rsid w:val="002A1E98"/>
    <w:rsid w:val="002A5EAC"/>
    <w:rsid w:val="002A6CE2"/>
    <w:rsid w:val="002B2DD6"/>
    <w:rsid w:val="002B3886"/>
    <w:rsid w:val="002B3B3B"/>
    <w:rsid w:val="002B589E"/>
    <w:rsid w:val="002B6890"/>
    <w:rsid w:val="002B797A"/>
    <w:rsid w:val="002C0E14"/>
    <w:rsid w:val="002C1ABA"/>
    <w:rsid w:val="002C2ED0"/>
    <w:rsid w:val="002C34DA"/>
    <w:rsid w:val="002C3E48"/>
    <w:rsid w:val="002C5BEC"/>
    <w:rsid w:val="002D10C9"/>
    <w:rsid w:val="002D12C8"/>
    <w:rsid w:val="002D22EE"/>
    <w:rsid w:val="002D318B"/>
    <w:rsid w:val="002D3741"/>
    <w:rsid w:val="002D69B1"/>
    <w:rsid w:val="002E1836"/>
    <w:rsid w:val="002E1EE8"/>
    <w:rsid w:val="002E3BD6"/>
    <w:rsid w:val="002E43C8"/>
    <w:rsid w:val="002E48B5"/>
    <w:rsid w:val="002E4DCF"/>
    <w:rsid w:val="002E62B8"/>
    <w:rsid w:val="002E751D"/>
    <w:rsid w:val="002F0BED"/>
    <w:rsid w:val="002F1967"/>
    <w:rsid w:val="002F1A8D"/>
    <w:rsid w:val="002F50FA"/>
    <w:rsid w:val="002F6E94"/>
    <w:rsid w:val="00300665"/>
    <w:rsid w:val="00300AD6"/>
    <w:rsid w:val="00301716"/>
    <w:rsid w:val="00302267"/>
    <w:rsid w:val="003039D4"/>
    <w:rsid w:val="00304292"/>
    <w:rsid w:val="00304600"/>
    <w:rsid w:val="00304EB8"/>
    <w:rsid w:val="00305527"/>
    <w:rsid w:val="00311C91"/>
    <w:rsid w:val="00312234"/>
    <w:rsid w:val="00320304"/>
    <w:rsid w:val="00320E82"/>
    <w:rsid w:val="00320EB0"/>
    <w:rsid w:val="003227F3"/>
    <w:rsid w:val="00322BE8"/>
    <w:rsid w:val="00323891"/>
    <w:rsid w:val="00323EA9"/>
    <w:rsid w:val="00325164"/>
    <w:rsid w:val="00325400"/>
    <w:rsid w:val="00325E7A"/>
    <w:rsid w:val="003315A1"/>
    <w:rsid w:val="003325A6"/>
    <w:rsid w:val="003328FC"/>
    <w:rsid w:val="00334AB9"/>
    <w:rsid w:val="00334BD7"/>
    <w:rsid w:val="00336970"/>
    <w:rsid w:val="00336E87"/>
    <w:rsid w:val="00341986"/>
    <w:rsid w:val="00341CA9"/>
    <w:rsid w:val="00343C5F"/>
    <w:rsid w:val="00343FD0"/>
    <w:rsid w:val="00344955"/>
    <w:rsid w:val="0034556A"/>
    <w:rsid w:val="0034582A"/>
    <w:rsid w:val="00345A39"/>
    <w:rsid w:val="003500E1"/>
    <w:rsid w:val="00355EEC"/>
    <w:rsid w:val="003566AB"/>
    <w:rsid w:val="003577BA"/>
    <w:rsid w:val="00361B41"/>
    <w:rsid w:val="003628AF"/>
    <w:rsid w:val="00362F77"/>
    <w:rsid w:val="0036304F"/>
    <w:rsid w:val="003654FC"/>
    <w:rsid w:val="00365F80"/>
    <w:rsid w:val="0037004A"/>
    <w:rsid w:val="003703D7"/>
    <w:rsid w:val="00372B66"/>
    <w:rsid w:val="0037622F"/>
    <w:rsid w:val="003778C5"/>
    <w:rsid w:val="00381824"/>
    <w:rsid w:val="0038188A"/>
    <w:rsid w:val="003825A6"/>
    <w:rsid w:val="003826D5"/>
    <w:rsid w:val="00383500"/>
    <w:rsid w:val="0038442E"/>
    <w:rsid w:val="003865AA"/>
    <w:rsid w:val="0039014D"/>
    <w:rsid w:val="003927D8"/>
    <w:rsid w:val="003938AD"/>
    <w:rsid w:val="00395F27"/>
    <w:rsid w:val="00397A7B"/>
    <w:rsid w:val="003A036F"/>
    <w:rsid w:val="003A0C85"/>
    <w:rsid w:val="003A67E4"/>
    <w:rsid w:val="003A6B52"/>
    <w:rsid w:val="003A6DE9"/>
    <w:rsid w:val="003B030F"/>
    <w:rsid w:val="003B2F13"/>
    <w:rsid w:val="003B4CD7"/>
    <w:rsid w:val="003C0B64"/>
    <w:rsid w:val="003C1623"/>
    <w:rsid w:val="003C250F"/>
    <w:rsid w:val="003C5745"/>
    <w:rsid w:val="003C5F95"/>
    <w:rsid w:val="003D36D2"/>
    <w:rsid w:val="003D6137"/>
    <w:rsid w:val="003E23BC"/>
    <w:rsid w:val="003E3218"/>
    <w:rsid w:val="003E4150"/>
    <w:rsid w:val="003E573B"/>
    <w:rsid w:val="003E72DF"/>
    <w:rsid w:val="003F1B3C"/>
    <w:rsid w:val="003F423D"/>
    <w:rsid w:val="003F4DDE"/>
    <w:rsid w:val="003F5E5F"/>
    <w:rsid w:val="003F6871"/>
    <w:rsid w:val="003F756B"/>
    <w:rsid w:val="00400646"/>
    <w:rsid w:val="0040143D"/>
    <w:rsid w:val="00401C41"/>
    <w:rsid w:val="00404153"/>
    <w:rsid w:val="0040634D"/>
    <w:rsid w:val="00407255"/>
    <w:rsid w:val="00407F6A"/>
    <w:rsid w:val="00412150"/>
    <w:rsid w:val="00413280"/>
    <w:rsid w:val="00415F8A"/>
    <w:rsid w:val="00416AEA"/>
    <w:rsid w:val="00421561"/>
    <w:rsid w:val="00426F93"/>
    <w:rsid w:val="004279C3"/>
    <w:rsid w:val="00430950"/>
    <w:rsid w:val="004323AD"/>
    <w:rsid w:val="004327BF"/>
    <w:rsid w:val="00433EAE"/>
    <w:rsid w:val="00433FE7"/>
    <w:rsid w:val="00434124"/>
    <w:rsid w:val="004357C1"/>
    <w:rsid w:val="0043636F"/>
    <w:rsid w:val="00441F4C"/>
    <w:rsid w:val="00442512"/>
    <w:rsid w:val="00442671"/>
    <w:rsid w:val="004446C2"/>
    <w:rsid w:val="0044543F"/>
    <w:rsid w:val="0044646E"/>
    <w:rsid w:val="004465D9"/>
    <w:rsid w:val="00450DF0"/>
    <w:rsid w:val="00451F3D"/>
    <w:rsid w:val="00454148"/>
    <w:rsid w:val="00454C80"/>
    <w:rsid w:val="00457705"/>
    <w:rsid w:val="004603C4"/>
    <w:rsid w:val="00461D8B"/>
    <w:rsid w:val="004625A9"/>
    <w:rsid w:val="00462B2F"/>
    <w:rsid w:val="00462C9D"/>
    <w:rsid w:val="00471293"/>
    <w:rsid w:val="00471CE6"/>
    <w:rsid w:val="00471F1F"/>
    <w:rsid w:val="00473644"/>
    <w:rsid w:val="00473AC2"/>
    <w:rsid w:val="00474CBE"/>
    <w:rsid w:val="00475B47"/>
    <w:rsid w:val="004766F3"/>
    <w:rsid w:val="00481F68"/>
    <w:rsid w:val="004824D8"/>
    <w:rsid w:val="00482F25"/>
    <w:rsid w:val="00483E33"/>
    <w:rsid w:val="00493B3B"/>
    <w:rsid w:val="00493C7E"/>
    <w:rsid w:val="00494B37"/>
    <w:rsid w:val="004956CF"/>
    <w:rsid w:val="00496C1A"/>
    <w:rsid w:val="004973D1"/>
    <w:rsid w:val="004978C2"/>
    <w:rsid w:val="004A41CA"/>
    <w:rsid w:val="004A4F95"/>
    <w:rsid w:val="004A5FFD"/>
    <w:rsid w:val="004B1E5D"/>
    <w:rsid w:val="004B384A"/>
    <w:rsid w:val="004B625C"/>
    <w:rsid w:val="004B6DEE"/>
    <w:rsid w:val="004C0C35"/>
    <w:rsid w:val="004C1214"/>
    <w:rsid w:val="004C136F"/>
    <w:rsid w:val="004C4260"/>
    <w:rsid w:val="004C6017"/>
    <w:rsid w:val="004C68C8"/>
    <w:rsid w:val="004C7FBB"/>
    <w:rsid w:val="004D007D"/>
    <w:rsid w:val="004D05AF"/>
    <w:rsid w:val="004D2557"/>
    <w:rsid w:val="004D26D7"/>
    <w:rsid w:val="004D352F"/>
    <w:rsid w:val="004D3D93"/>
    <w:rsid w:val="004D6A5D"/>
    <w:rsid w:val="004D729F"/>
    <w:rsid w:val="004D7523"/>
    <w:rsid w:val="004E19CD"/>
    <w:rsid w:val="004E1A6B"/>
    <w:rsid w:val="004E2182"/>
    <w:rsid w:val="004E2853"/>
    <w:rsid w:val="004E4609"/>
    <w:rsid w:val="004E6F2B"/>
    <w:rsid w:val="004F45F2"/>
    <w:rsid w:val="004F6E4C"/>
    <w:rsid w:val="004F706A"/>
    <w:rsid w:val="004F765E"/>
    <w:rsid w:val="00500320"/>
    <w:rsid w:val="005009EF"/>
    <w:rsid w:val="00500D58"/>
    <w:rsid w:val="00502F2A"/>
    <w:rsid w:val="0050378B"/>
    <w:rsid w:val="00504610"/>
    <w:rsid w:val="00504655"/>
    <w:rsid w:val="00506626"/>
    <w:rsid w:val="00506DB9"/>
    <w:rsid w:val="005076D1"/>
    <w:rsid w:val="005100C0"/>
    <w:rsid w:val="00510771"/>
    <w:rsid w:val="00511413"/>
    <w:rsid w:val="00515150"/>
    <w:rsid w:val="00515C7F"/>
    <w:rsid w:val="0052030F"/>
    <w:rsid w:val="00523F95"/>
    <w:rsid w:val="00525653"/>
    <w:rsid w:val="0052605B"/>
    <w:rsid w:val="005316F3"/>
    <w:rsid w:val="00531C15"/>
    <w:rsid w:val="005323E2"/>
    <w:rsid w:val="005348CC"/>
    <w:rsid w:val="00535B47"/>
    <w:rsid w:val="0053603D"/>
    <w:rsid w:val="00536121"/>
    <w:rsid w:val="00537650"/>
    <w:rsid w:val="00541357"/>
    <w:rsid w:val="0054301B"/>
    <w:rsid w:val="005443C0"/>
    <w:rsid w:val="00544C34"/>
    <w:rsid w:val="00550D26"/>
    <w:rsid w:val="005518AC"/>
    <w:rsid w:val="00553BA2"/>
    <w:rsid w:val="0055528B"/>
    <w:rsid w:val="0055640E"/>
    <w:rsid w:val="005568EC"/>
    <w:rsid w:val="00556DBE"/>
    <w:rsid w:val="00557CC6"/>
    <w:rsid w:val="005600EC"/>
    <w:rsid w:val="00560CED"/>
    <w:rsid w:val="0056461B"/>
    <w:rsid w:val="00565A3E"/>
    <w:rsid w:val="0056692B"/>
    <w:rsid w:val="00566D32"/>
    <w:rsid w:val="00567B3E"/>
    <w:rsid w:val="00571676"/>
    <w:rsid w:val="005742C8"/>
    <w:rsid w:val="00580794"/>
    <w:rsid w:val="00580C55"/>
    <w:rsid w:val="00583EF6"/>
    <w:rsid w:val="00583F61"/>
    <w:rsid w:val="00585156"/>
    <w:rsid w:val="0059595D"/>
    <w:rsid w:val="005A0195"/>
    <w:rsid w:val="005A118B"/>
    <w:rsid w:val="005A56ED"/>
    <w:rsid w:val="005A5FE2"/>
    <w:rsid w:val="005A735A"/>
    <w:rsid w:val="005B19F4"/>
    <w:rsid w:val="005B2945"/>
    <w:rsid w:val="005B3547"/>
    <w:rsid w:val="005B41DE"/>
    <w:rsid w:val="005B4477"/>
    <w:rsid w:val="005B5143"/>
    <w:rsid w:val="005B56BD"/>
    <w:rsid w:val="005B57EF"/>
    <w:rsid w:val="005B6797"/>
    <w:rsid w:val="005C3921"/>
    <w:rsid w:val="005C4831"/>
    <w:rsid w:val="005C6419"/>
    <w:rsid w:val="005C7074"/>
    <w:rsid w:val="005D0341"/>
    <w:rsid w:val="005D1297"/>
    <w:rsid w:val="005D2676"/>
    <w:rsid w:val="005D365D"/>
    <w:rsid w:val="005D773B"/>
    <w:rsid w:val="005D787A"/>
    <w:rsid w:val="005F03F7"/>
    <w:rsid w:val="005F0A84"/>
    <w:rsid w:val="005F0BD5"/>
    <w:rsid w:val="005F1544"/>
    <w:rsid w:val="005F1722"/>
    <w:rsid w:val="005F1865"/>
    <w:rsid w:val="005F2CF4"/>
    <w:rsid w:val="005F46C0"/>
    <w:rsid w:val="005F6484"/>
    <w:rsid w:val="005F7826"/>
    <w:rsid w:val="00607169"/>
    <w:rsid w:val="00607DD5"/>
    <w:rsid w:val="00607E62"/>
    <w:rsid w:val="0061714A"/>
    <w:rsid w:val="0062435D"/>
    <w:rsid w:val="00624F85"/>
    <w:rsid w:val="00625C80"/>
    <w:rsid w:val="00626B78"/>
    <w:rsid w:val="00627CED"/>
    <w:rsid w:val="006302A4"/>
    <w:rsid w:val="006320DA"/>
    <w:rsid w:val="006325EC"/>
    <w:rsid w:val="006362F9"/>
    <w:rsid w:val="00636B34"/>
    <w:rsid w:val="0064098C"/>
    <w:rsid w:val="00641BD8"/>
    <w:rsid w:val="00641BF6"/>
    <w:rsid w:val="00645B11"/>
    <w:rsid w:val="00645E98"/>
    <w:rsid w:val="00645F05"/>
    <w:rsid w:val="0065100C"/>
    <w:rsid w:val="006512E2"/>
    <w:rsid w:val="006518AE"/>
    <w:rsid w:val="006520BA"/>
    <w:rsid w:val="00653422"/>
    <w:rsid w:val="00654714"/>
    <w:rsid w:val="006554A9"/>
    <w:rsid w:val="0065576A"/>
    <w:rsid w:val="00655CFD"/>
    <w:rsid w:val="0066309B"/>
    <w:rsid w:val="006634AF"/>
    <w:rsid w:val="006652A2"/>
    <w:rsid w:val="006654C7"/>
    <w:rsid w:val="0066691F"/>
    <w:rsid w:val="006673D2"/>
    <w:rsid w:val="00670071"/>
    <w:rsid w:val="006719C9"/>
    <w:rsid w:val="00671EE9"/>
    <w:rsid w:val="00672689"/>
    <w:rsid w:val="00672C4E"/>
    <w:rsid w:val="00676271"/>
    <w:rsid w:val="0067659B"/>
    <w:rsid w:val="00677E0D"/>
    <w:rsid w:val="006804B4"/>
    <w:rsid w:val="00682E76"/>
    <w:rsid w:val="00691F7B"/>
    <w:rsid w:val="00692360"/>
    <w:rsid w:val="00694C1A"/>
    <w:rsid w:val="00694F2C"/>
    <w:rsid w:val="00695527"/>
    <w:rsid w:val="006977CE"/>
    <w:rsid w:val="006A560D"/>
    <w:rsid w:val="006A6E36"/>
    <w:rsid w:val="006B0300"/>
    <w:rsid w:val="006B09BA"/>
    <w:rsid w:val="006B2D3E"/>
    <w:rsid w:val="006B6D18"/>
    <w:rsid w:val="006B6F32"/>
    <w:rsid w:val="006C0212"/>
    <w:rsid w:val="006C04A9"/>
    <w:rsid w:val="006C201D"/>
    <w:rsid w:val="006D3DB9"/>
    <w:rsid w:val="006D4781"/>
    <w:rsid w:val="006D5429"/>
    <w:rsid w:val="006D7567"/>
    <w:rsid w:val="006E03B7"/>
    <w:rsid w:val="006E3555"/>
    <w:rsid w:val="006E4374"/>
    <w:rsid w:val="006E4ABC"/>
    <w:rsid w:val="006E5DE4"/>
    <w:rsid w:val="006E71C3"/>
    <w:rsid w:val="006E72C9"/>
    <w:rsid w:val="006F4492"/>
    <w:rsid w:val="006F7A52"/>
    <w:rsid w:val="007016DF"/>
    <w:rsid w:val="007028C7"/>
    <w:rsid w:val="00702C45"/>
    <w:rsid w:val="0070323A"/>
    <w:rsid w:val="00703CBC"/>
    <w:rsid w:val="00704F1C"/>
    <w:rsid w:val="007106D1"/>
    <w:rsid w:val="00710812"/>
    <w:rsid w:val="00711236"/>
    <w:rsid w:val="007127D0"/>
    <w:rsid w:val="007156F2"/>
    <w:rsid w:val="00715FB5"/>
    <w:rsid w:val="007163FC"/>
    <w:rsid w:val="00724B8E"/>
    <w:rsid w:val="00726561"/>
    <w:rsid w:val="00731EA7"/>
    <w:rsid w:val="007341EC"/>
    <w:rsid w:val="007355E2"/>
    <w:rsid w:val="007359CF"/>
    <w:rsid w:val="00735DFB"/>
    <w:rsid w:val="00736B23"/>
    <w:rsid w:val="00741981"/>
    <w:rsid w:val="00741B8D"/>
    <w:rsid w:val="00745B62"/>
    <w:rsid w:val="007463BA"/>
    <w:rsid w:val="00747302"/>
    <w:rsid w:val="007515BC"/>
    <w:rsid w:val="00752477"/>
    <w:rsid w:val="00752676"/>
    <w:rsid w:val="00753D73"/>
    <w:rsid w:val="00754168"/>
    <w:rsid w:val="0075487B"/>
    <w:rsid w:val="00760A8D"/>
    <w:rsid w:val="007616AB"/>
    <w:rsid w:val="0076220E"/>
    <w:rsid w:val="00765CA1"/>
    <w:rsid w:val="0076616A"/>
    <w:rsid w:val="007668E6"/>
    <w:rsid w:val="007678B1"/>
    <w:rsid w:val="00773846"/>
    <w:rsid w:val="0077387E"/>
    <w:rsid w:val="00775193"/>
    <w:rsid w:val="00780F00"/>
    <w:rsid w:val="00781683"/>
    <w:rsid w:val="007826A2"/>
    <w:rsid w:val="00784203"/>
    <w:rsid w:val="0079115A"/>
    <w:rsid w:val="007918F5"/>
    <w:rsid w:val="00791A70"/>
    <w:rsid w:val="00793A7B"/>
    <w:rsid w:val="00793D7C"/>
    <w:rsid w:val="007955D0"/>
    <w:rsid w:val="007A291F"/>
    <w:rsid w:val="007A3163"/>
    <w:rsid w:val="007A4B13"/>
    <w:rsid w:val="007B0745"/>
    <w:rsid w:val="007B3B63"/>
    <w:rsid w:val="007B5CBB"/>
    <w:rsid w:val="007C07AB"/>
    <w:rsid w:val="007C1273"/>
    <w:rsid w:val="007C3064"/>
    <w:rsid w:val="007C4567"/>
    <w:rsid w:val="007C75DA"/>
    <w:rsid w:val="007C7636"/>
    <w:rsid w:val="007C793C"/>
    <w:rsid w:val="007D660B"/>
    <w:rsid w:val="007D6B79"/>
    <w:rsid w:val="007E1696"/>
    <w:rsid w:val="007E2061"/>
    <w:rsid w:val="007E226D"/>
    <w:rsid w:val="007E2A0F"/>
    <w:rsid w:val="007E46BF"/>
    <w:rsid w:val="007E6A15"/>
    <w:rsid w:val="007E7351"/>
    <w:rsid w:val="007F102A"/>
    <w:rsid w:val="007F1169"/>
    <w:rsid w:val="007F1DB4"/>
    <w:rsid w:val="007F2F74"/>
    <w:rsid w:val="007F301C"/>
    <w:rsid w:val="007F5322"/>
    <w:rsid w:val="007F76B6"/>
    <w:rsid w:val="007F78B6"/>
    <w:rsid w:val="007F7A5E"/>
    <w:rsid w:val="0080072F"/>
    <w:rsid w:val="00800F0B"/>
    <w:rsid w:val="0081213D"/>
    <w:rsid w:val="00812C6A"/>
    <w:rsid w:val="0081655A"/>
    <w:rsid w:val="0081747F"/>
    <w:rsid w:val="00817EC2"/>
    <w:rsid w:val="008205E8"/>
    <w:rsid w:val="00821481"/>
    <w:rsid w:val="0082384D"/>
    <w:rsid w:val="008247FC"/>
    <w:rsid w:val="00824A4F"/>
    <w:rsid w:val="00825CDF"/>
    <w:rsid w:val="00831402"/>
    <w:rsid w:val="00833B9B"/>
    <w:rsid w:val="00835E07"/>
    <w:rsid w:val="00836976"/>
    <w:rsid w:val="00836A91"/>
    <w:rsid w:val="0083721A"/>
    <w:rsid w:val="00840C95"/>
    <w:rsid w:val="008411FA"/>
    <w:rsid w:val="008413DE"/>
    <w:rsid w:val="00842B80"/>
    <w:rsid w:val="00843F0F"/>
    <w:rsid w:val="00844251"/>
    <w:rsid w:val="00844C06"/>
    <w:rsid w:val="0084633F"/>
    <w:rsid w:val="0084778F"/>
    <w:rsid w:val="0085007A"/>
    <w:rsid w:val="0085271B"/>
    <w:rsid w:val="0085526C"/>
    <w:rsid w:val="00855AD4"/>
    <w:rsid w:val="00861377"/>
    <w:rsid w:val="00862953"/>
    <w:rsid w:val="0086299F"/>
    <w:rsid w:val="00863FA4"/>
    <w:rsid w:val="00864036"/>
    <w:rsid w:val="00866B5D"/>
    <w:rsid w:val="0087201F"/>
    <w:rsid w:val="008735CD"/>
    <w:rsid w:val="00874536"/>
    <w:rsid w:val="0087570B"/>
    <w:rsid w:val="00877859"/>
    <w:rsid w:val="0088046D"/>
    <w:rsid w:val="008805DE"/>
    <w:rsid w:val="008826B8"/>
    <w:rsid w:val="008833BF"/>
    <w:rsid w:val="00884C2A"/>
    <w:rsid w:val="0088727E"/>
    <w:rsid w:val="0089025E"/>
    <w:rsid w:val="0089113F"/>
    <w:rsid w:val="008935D1"/>
    <w:rsid w:val="0089649F"/>
    <w:rsid w:val="00896A62"/>
    <w:rsid w:val="00896BCC"/>
    <w:rsid w:val="008A0258"/>
    <w:rsid w:val="008A087E"/>
    <w:rsid w:val="008A38C3"/>
    <w:rsid w:val="008A52F1"/>
    <w:rsid w:val="008A5736"/>
    <w:rsid w:val="008A6E57"/>
    <w:rsid w:val="008A6E6B"/>
    <w:rsid w:val="008B2A50"/>
    <w:rsid w:val="008B3C99"/>
    <w:rsid w:val="008B41CF"/>
    <w:rsid w:val="008C0656"/>
    <w:rsid w:val="008C1320"/>
    <w:rsid w:val="008C18E6"/>
    <w:rsid w:val="008C2D9D"/>
    <w:rsid w:val="008C304E"/>
    <w:rsid w:val="008C37FA"/>
    <w:rsid w:val="008C3CE0"/>
    <w:rsid w:val="008C48BD"/>
    <w:rsid w:val="008C7789"/>
    <w:rsid w:val="008D0670"/>
    <w:rsid w:val="008D19D1"/>
    <w:rsid w:val="008D19EA"/>
    <w:rsid w:val="008D370D"/>
    <w:rsid w:val="008D5779"/>
    <w:rsid w:val="008D5B2C"/>
    <w:rsid w:val="008D6BB3"/>
    <w:rsid w:val="008E033E"/>
    <w:rsid w:val="008E0D8F"/>
    <w:rsid w:val="008E28F7"/>
    <w:rsid w:val="008E5C85"/>
    <w:rsid w:val="008E5E78"/>
    <w:rsid w:val="008E5E7F"/>
    <w:rsid w:val="008E773C"/>
    <w:rsid w:val="008F248C"/>
    <w:rsid w:val="008F5EB2"/>
    <w:rsid w:val="008F72A9"/>
    <w:rsid w:val="00900585"/>
    <w:rsid w:val="0090071A"/>
    <w:rsid w:val="00906267"/>
    <w:rsid w:val="00906988"/>
    <w:rsid w:val="00906A42"/>
    <w:rsid w:val="00912519"/>
    <w:rsid w:val="009125FC"/>
    <w:rsid w:val="00914F84"/>
    <w:rsid w:val="00915384"/>
    <w:rsid w:val="00916007"/>
    <w:rsid w:val="00916091"/>
    <w:rsid w:val="0091732A"/>
    <w:rsid w:val="00920338"/>
    <w:rsid w:val="00920D51"/>
    <w:rsid w:val="00921833"/>
    <w:rsid w:val="009223DA"/>
    <w:rsid w:val="00923135"/>
    <w:rsid w:val="009278B1"/>
    <w:rsid w:val="00927DF1"/>
    <w:rsid w:val="0093038B"/>
    <w:rsid w:val="009312AD"/>
    <w:rsid w:val="00931E1D"/>
    <w:rsid w:val="00933049"/>
    <w:rsid w:val="00933CFA"/>
    <w:rsid w:val="00937BFE"/>
    <w:rsid w:val="00937C13"/>
    <w:rsid w:val="009404A6"/>
    <w:rsid w:val="009427A3"/>
    <w:rsid w:val="00944BB5"/>
    <w:rsid w:val="009477C7"/>
    <w:rsid w:val="00950F2A"/>
    <w:rsid w:val="00951761"/>
    <w:rsid w:val="0095418D"/>
    <w:rsid w:val="00954763"/>
    <w:rsid w:val="009549B9"/>
    <w:rsid w:val="00956006"/>
    <w:rsid w:val="00956C6A"/>
    <w:rsid w:val="00957EBA"/>
    <w:rsid w:val="00957F77"/>
    <w:rsid w:val="00957FFD"/>
    <w:rsid w:val="00960F74"/>
    <w:rsid w:val="009610F6"/>
    <w:rsid w:val="009647BE"/>
    <w:rsid w:val="00966714"/>
    <w:rsid w:val="00966B76"/>
    <w:rsid w:val="009673F3"/>
    <w:rsid w:val="00967676"/>
    <w:rsid w:val="00970F3A"/>
    <w:rsid w:val="0097220E"/>
    <w:rsid w:val="009728F8"/>
    <w:rsid w:val="00972BC3"/>
    <w:rsid w:val="00972E13"/>
    <w:rsid w:val="00974438"/>
    <w:rsid w:val="009749C3"/>
    <w:rsid w:val="00976E67"/>
    <w:rsid w:val="00980FEA"/>
    <w:rsid w:val="0098331A"/>
    <w:rsid w:val="00984FC2"/>
    <w:rsid w:val="009859C2"/>
    <w:rsid w:val="00986033"/>
    <w:rsid w:val="009876BE"/>
    <w:rsid w:val="00987E11"/>
    <w:rsid w:val="009925FA"/>
    <w:rsid w:val="00993823"/>
    <w:rsid w:val="00997729"/>
    <w:rsid w:val="00997DC2"/>
    <w:rsid w:val="009A1035"/>
    <w:rsid w:val="009A20C9"/>
    <w:rsid w:val="009A2523"/>
    <w:rsid w:val="009A66E1"/>
    <w:rsid w:val="009A6BA8"/>
    <w:rsid w:val="009A7E66"/>
    <w:rsid w:val="009A7FEA"/>
    <w:rsid w:val="009B03D4"/>
    <w:rsid w:val="009B18F1"/>
    <w:rsid w:val="009B354D"/>
    <w:rsid w:val="009B36B5"/>
    <w:rsid w:val="009B4977"/>
    <w:rsid w:val="009B5299"/>
    <w:rsid w:val="009B666E"/>
    <w:rsid w:val="009B7C86"/>
    <w:rsid w:val="009C28B2"/>
    <w:rsid w:val="009C2FF3"/>
    <w:rsid w:val="009C3369"/>
    <w:rsid w:val="009C4B57"/>
    <w:rsid w:val="009C5133"/>
    <w:rsid w:val="009C5976"/>
    <w:rsid w:val="009C7B49"/>
    <w:rsid w:val="009C7C30"/>
    <w:rsid w:val="009D1537"/>
    <w:rsid w:val="009D16AA"/>
    <w:rsid w:val="009D2901"/>
    <w:rsid w:val="009D5277"/>
    <w:rsid w:val="009D6321"/>
    <w:rsid w:val="009D6435"/>
    <w:rsid w:val="009D6F46"/>
    <w:rsid w:val="009D748F"/>
    <w:rsid w:val="009E0A74"/>
    <w:rsid w:val="009E1CEF"/>
    <w:rsid w:val="009E2453"/>
    <w:rsid w:val="009E305B"/>
    <w:rsid w:val="009E33F5"/>
    <w:rsid w:val="009E3680"/>
    <w:rsid w:val="009E400D"/>
    <w:rsid w:val="009E4AE8"/>
    <w:rsid w:val="009E5552"/>
    <w:rsid w:val="009F03D7"/>
    <w:rsid w:val="009F1099"/>
    <w:rsid w:val="009F41FB"/>
    <w:rsid w:val="009F4E6B"/>
    <w:rsid w:val="009F5915"/>
    <w:rsid w:val="009F7F50"/>
    <w:rsid w:val="00A00A68"/>
    <w:rsid w:val="00A017ED"/>
    <w:rsid w:val="00A023D5"/>
    <w:rsid w:val="00A02F07"/>
    <w:rsid w:val="00A0375D"/>
    <w:rsid w:val="00A041B0"/>
    <w:rsid w:val="00A04AA4"/>
    <w:rsid w:val="00A04B8F"/>
    <w:rsid w:val="00A04CFB"/>
    <w:rsid w:val="00A06848"/>
    <w:rsid w:val="00A10EF1"/>
    <w:rsid w:val="00A11152"/>
    <w:rsid w:val="00A11303"/>
    <w:rsid w:val="00A119C9"/>
    <w:rsid w:val="00A123EC"/>
    <w:rsid w:val="00A12B64"/>
    <w:rsid w:val="00A12D93"/>
    <w:rsid w:val="00A13BE0"/>
    <w:rsid w:val="00A14AEB"/>
    <w:rsid w:val="00A1698F"/>
    <w:rsid w:val="00A173E1"/>
    <w:rsid w:val="00A17E39"/>
    <w:rsid w:val="00A200F2"/>
    <w:rsid w:val="00A215BA"/>
    <w:rsid w:val="00A228E8"/>
    <w:rsid w:val="00A2290C"/>
    <w:rsid w:val="00A22DFA"/>
    <w:rsid w:val="00A25CE8"/>
    <w:rsid w:val="00A30ABA"/>
    <w:rsid w:val="00A30ABF"/>
    <w:rsid w:val="00A32A3C"/>
    <w:rsid w:val="00A32D56"/>
    <w:rsid w:val="00A33EA1"/>
    <w:rsid w:val="00A34ED2"/>
    <w:rsid w:val="00A40403"/>
    <w:rsid w:val="00A50F0A"/>
    <w:rsid w:val="00A52293"/>
    <w:rsid w:val="00A53D02"/>
    <w:rsid w:val="00A6087F"/>
    <w:rsid w:val="00A62106"/>
    <w:rsid w:val="00A63392"/>
    <w:rsid w:val="00A63528"/>
    <w:rsid w:val="00A65C44"/>
    <w:rsid w:val="00A667A7"/>
    <w:rsid w:val="00A72791"/>
    <w:rsid w:val="00A7347E"/>
    <w:rsid w:val="00A734CD"/>
    <w:rsid w:val="00A74A87"/>
    <w:rsid w:val="00A74FC5"/>
    <w:rsid w:val="00A75C67"/>
    <w:rsid w:val="00A770AB"/>
    <w:rsid w:val="00A77DF8"/>
    <w:rsid w:val="00A80363"/>
    <w:rsid w:val="00A812C0"/>
    <w:rsid w:val="00A8287B"/>
    <w:rsid w:val="00A82EAE"/>
    <w:rsid w:val="00A86470"/>
    <w:rsid w:val="00A902AD"/>
    <w:rsid w:val="00A906B7"/>
    <w:rsid w:val="00A90D45"/>
    <w:rsid w:val="00A91EAA"/>
    <w:rsid w:val="00A9341C"/>
    <w:rsid w:val="00A94FA7"/>
    <w:rsid w:val="00A95DE5"/>
    <w:rsid w:val="00A95EC0"/>
    <w:rsid w:val="00A96DF5"/>
    <w:rsid w:val="00A97307"/>
    <w:rsid w:val="00AA000A"/>
    <w:rsid w:val="00AA0EB1"/>
    <w:rsid w:val="00AA0EDF"/>
    <w:rsid w:val="00AA14F8"/>
    <w:rsid w:val="00AA18F7"/>
    <w:rsid w:val="00AA2BFD"/>
    <w:rsid w:val="00AA4A81"/>
    <w:rsid w:val="00AA4C51"/>
    <w:rsid w:val="00AA5F81"/>
    <w:rsid w:val="00AA609E"/>
    <w:rsid w:val="00AA6217"/>
    <w:rsid w:val="00AB5071"/>
    <w:rsid w:val="00AB6A58"/>
    <w:rsid w:val="00AB6F41"/>
    <w:rsid w:val="00AC3011"/>
    <w:rsid w:val="00AC3B82"/>
    <w:rsid w:val="00AC41B5"/>
    <w:rsid w:val="00AC4845"/>
    <w:rsid w:val="00AC5AC6"/>
    <w:rsid w:val="00AC69E0"/>
    <w:rsid w:val="00AC729A"/>
    <w:rsid w:val="00AD1267"/>
    <w:rsid w:val="00AD3D87"/>
    <w:rsid w:val="00AD4AA7"/>
    <w:rsid w:val="00AD4E17"/>
    <w:rsid w:val="00AD583E"/>
    <w:rsid w:val="00AD58C8"/>
    <w:rsid w:val="00AD636C"/>
    <w:rsid w:val="00AD73A7"/>
    <w:rsid w:val="00AE0F93"/>
    <w:rsid w:val="00AE19F8"/>
    <w:rsid w:val="00AE36CB"/>
    <w:rsid w:val="00AE6917"/>
    <w:rsid w:val="00AE6DFE"/>
    <w:rsid w:val="00AF1C7E"/>
    <w:rsid w:val="00AF2F86"/>
    <w:rsid w:val="00AF3206"/>
    <w:rsid w:val="00AF3A30"/>
    <w:rsid w:val="00AF3D20"/>
    <w:rsid w:val="00AF5374"/>
    <w:rsid w:val="00AF5BA1"/>
    <w:rsid w:val="00AF5FAD"/>
    <w:rsid w:val="00AF63B4"/>
    <w:rsid w:val="00AF6EAC"/>
    <w:rsid w:val="00AF6FBE"/>
    <w:rsid w:val="00AF7CEE"/>
    <w:rsid w:val="00B01A00"/>
    <w:rsid w:val="00B02EEC"/>
    <w:rsid w:val="00B0424D"/>
    <w:rsid w:val="00B04C31"/>
    <w:rsid w:val="00B05528"/>
    <w:rsid w:val="00B058E7"/>
    <w:rsid w:val="00B10477"/>
    <w:rsid w:val="00B10D61"/>
    <w:rsid w:val="00B149A0"/>
    <w:rsid w:val="00B15E31"/>
    <w:rsid w:val="00B15E7E"/>
    <w:rsid w:val="00B21254"/>
    <w:rsid w:val="00B21C2F"/>
    <w:rsid w:val="00B23B92"/>
    <w:rsid w:val="00B24914"/>
    <w:rsid w:val="00B27005"/>
    <w:rsid w:val="00B27128"/>
    <w:rsid w:val="00B27DD2"/>
    <w:rsid w:val="00B36C76"/>
    <w:rsid w:val="00B36CD4"/>
    <w:rsid w:val="00B3715B"/>
    <w:rsid w:val="00B37273"/>
    <w:rsid w:val="00B417ED"/>
    <w:rsid w:val="00B44948"/>
    <w:rsid w:val="00B45281"/>
    <w:rsid w:val="00B45643"/>
    <w:rsid w:val="00B45CC0"/>
    <w:rsid w:val="00B46833"/>
    <w:rsid w:val="00B53CA0"/>
    <w:rsid w:val="00B54F4D"/>
    <w:rsid w:val="00B555B3"/>
    <w:rsid w:val="00B55B0D"/>
    <w:rsid w:val="00B615D8"/>
    <w:rsid w:val="00B61752"/>
    <w:rsid w:val="00B62BDC"/>
    <w:rsid w:val="00B630EE"/>
    <w:rsid w:val="00B6332C"/>
    <w:rsid w:val="00B636AC"/>
    <w:rsid w:val="00B724C7"/>
    <w:rsid w:val="00B72FF3"/>
    <w:rsid w:val="00B75793"/>
    <w:rsid w:val="00B76337"/>
    <w:rsid w:val="00B768A6"/>
    <w:rsid w:val="00B80AAC"/>
    <w:rsid w:val="00B81D22"/>
    <w:rsid w:val="00B82734"/>
    <w:rsid w:val="00B829B6"/>
    <w:rsid w:val="00B82A41"/>
    <w:rsid w:val="00B83197"/>
    <w:rsid w:val="00B83F33"/>
    <w:rsid w:val="00B85BAF"/>
    <w:rsid w:val="00B86B00"/>
    <w:rsid w:val="00B877C7"/>
    <w:rsid w:val="00B87B0C"/>
    <w:rsid w:val="00B90581"/>
    <w:rsid w:val="00B90591"/>
    <w:rsid w:val="00B92B44"/>
    <w:rsid w:val="00B9337C"/>
    <w:rsid w:val="00B95023"/>
    <w:rsid w:val="00B9612E"/>
    <w:rsid w:val="00B961BB"/>
    <w:rsid w:val="00B963C3"/>
    <w:rsid w:val="00BA0B4C"/>
    <w:rsid w:val="00BA22B8"/>
    <w:rsid w:val="00BA48F2"/>
    <w:rsid w:val="00BA5BE3"/>
    <w:rsid w:val="00BA6EF7"/>
    <w:rsid w:val="00BA7B1A"/>
    <w:rsid w:val="00BB0681"/>
    <w:rsid w:val="00BB08E7"/>
    <w:rsid w:val="00BB13F6"/>
    <w:rsid w:val="00BB19F7"/>
    <w:rsid w:val="00BB24D0"/>
    <w:rsid w:val="00BB3AF7"/>
    <w:rsid w:val="00BB49A9"/>
    <w:rsid w:val="00BB6342"/>
    <w:rsid w:val="00BB7893"/>
    <w:rsid w:val="00BB7A2E"/>
    <w:rsid w:val="00BC00D4"/>
    <w:rsid w:val="00BC0B63"/>
    <w:rsid w:val="00BC3433"/>
    <w:rsid w:val="00BC44A8"/>
    <w:rsid w:val="00BC6351"/>
    <w:rsid w:val="00BC6AB9"/>
    <w:rsid w:val="00BC70E9"/>
    <w:rsid w:val="00BD03CA"/>
    <w:rsid w:val="00BD1344"/>
    <w:rsid w:val="00BD13D0"/>
    <w:rsid w:val="00BD3413"/>
    <w:rsid w:val="00BD6CB7"/>
    <w:rsid w:val="00BD79B9"/>
    <w:rsid w:val="00BE376D"/>
    <w:rsid w:val="00BE37DC"/>
    <w:rsid w:val="00BE4AED"/>
    <w:rsid w:val="00BE7AC7"/>
    <w:rsid w:val="00BF0678"/>
    <w:rsid w:val="00BF1D6E"/>
    <w:rsid w:val="00BF2C4A"/>
    <w:rsid w:val="00BF3B0E"/>
    <w:rsid w:val="00BF545A"/>
    <w:rsid w:val="00BF624C"/>
    <w:rsid w:val="00C019E4"/>
    <w:rsid w:val="00C02A18"/>
    <w:rsid w:val="00C02DF2"/>
    <w:rsid w:val="00C04CF1"/>
    <w:rsid w:val="00C07BF6"/>
    <w:rsid w:val="00C1038F"/>
    <w:rsid w:val="00C14F70"/>
    <w:rsid w:val="00C15508"/>
    <w:rsid w:val="00C1662E"/>
    <w:rsid w:val="00C16750"/>
    <w:rsid w:val="00C16A9C"/>
    <w:rsid w:val="00C24808"/>
    <w:rsid w:val="00C257FD"/>
    <w:rsid w:val="00C26070"/>
    <w:rsid w:val="00C32DDA"/>
    <w:rsid w:val="00C34FE9"/>
    <w:rsid w:val="00C36B14"/>
    <w:rsid w:val="00C37057"/>
    <w:rsid w:val="00C40D6D"/>
    <w:rsid w:val="00C419E4"/>
    <w:rsid w:val="00C44F3B"/>
    <w:rsid w:val="00C4531C"/>
    <w:rsid w:val="00C47358"/>
    <w:rsid w:val="00C473FE"/>
    <w:rsid w:val="00C50A72"/>
    <w:rsid w:val="00C50BA3"/>
    <w:rsid w:val="00C51EEB"/>
    <w:rsid w:val="00C5276A"/>
    <w:rsid w:val="00C53274"/>
    <w:rsid w:val="00C54D7E"/>
    <w:rsid w:val="00C5532B"/>
    <w:rsid w:val="00C56D4A"/>
    <w:rsid w:val="00C574ED"/>
    <w:rsid w:val="00C602F3"/>
    <w:rsid w:val="00C6212F"/>
    <w:rsid w:val="00C62C8F"/>
    <w:rsid w:val="00C63099"/>
    <w:rsid w:val="00C631F2"/>
    <w:rsid w:val="00C64959"/>
    <w:rsid w:val="00C65094"/>
    <w:rsid w:val="00C67BAF"/>
    <w:rsid w:val="00C712CB"/>
    <w:rsid w:val="00C72498"/>
    <w:rsid w:val="00C72DEE"/>
    <w:rsid w:val="00C75264"/>
    <w:rsid w:val="00C7551D"/>
    <w:rsid w:val="00C762E2"/>
    <w:rsid w:val="00C762E6"/>
    <w:rsid w:val="00C76C54"/>
    <w:rsid w:val="00C80B74"/>
    <w:rsid w:val="00C849F9"/>
    <w:rsid w:val="00C870E1"/>
    <w:rsid w:val="00C87671"/>
    <w:rsid w:val="00C90DB7"/>
    <w:rsid w:val="00C92920"/>
    <w:rsid w:val="00C931BC"/>
    <w:rsid w:val="00C9389F"/>
    <w:rsid w:val="00C93ED7"/>
    <w:rsid w:val="00C95CF1"/>
    <w:rsid w:val="00C970CA"/>
    <w:rsid w:val="00C97222"/>
    <w:rsid w:val="00C978EE"/>
    <w:rsid w:val="00CA0C13"/>
    <w:rsid w:val="00CA1385"/>
    <w:rsid w:val="00CA272B"/>
    <w:rsid w:val="00CA3AE7"/>
    <w:rsid w:val="00CB282C"/>
    <w:rsid w:val="00CB3FBC"/>
    <w:rsid w:val="00CB4940"/>
    <w:rsid w:val="00CB6C82"/>
    <w:rsid w:val="00CB6D39"/>
    <w:rsid w:val="00CC0BDE"/>
    <w:rsid w:val="00CC7378"/>
    <w:rsid w:val="00CD6437"/>
    <w:rsid w:val="00CD7201"/>
    <w:rsid w:val="00CE08A6"/>
    <w:rsid w:val="00CE0B12"/>
    <w:rsid w:val="00CE0F86"/>
    <w:rsid w:val="00CE20C4"/>
    <w:rsid w:val="00CE25E0"/>
    <w:rsid w:val="00CE468C"/>
    <w:rsid w:val="00CE497B"/>
    <w:rsid w:val="00CE607A"/>
    <w:rsid w:val="00CE711D"/>
    <w:rsid w:val="00CF042C"/>
    <w:rsid w:val="00CF0F22"/>
    <w:rsid w:val="00CF1C81"/>
    <w:rsid w:val="00CF4BE2"/>
    <w:rsid w:val="00CF6BB9"/>
    <w:rsid w:val="00CF6E0D"/>
    <w:rsid w:val="00CF6FC9"/>
    <w:rsid w:val="00CF777F"/>
    <w:rsid w:val="00D00219"/>
    <w:rsid w:val="00D00900"/>
    <w:rsid w:val="00D00E71"/>
    <w:rsid w:val="00D0119D"/>
    <w:rsid w:val="00D04043"/>
    <w:rsid w:val="00D042C3"/>
    <w:rsid w:val="00D04E00"/>
    <w:rsid w:val="00D0599B"/>
    <w:rsid w:val="00D06403"/>
    <w:rsid w:val="00D101C9"/>
    <w:rsid w:val="00D10F3F"/>
    <w:rsid w:val="00D15BD0"/>
    <w:rsid w:val="00D16F6E"/>
    <w:rsid w:val="00D17771"/>
    <w:rsid w:val="00D1780A"/>
    <w:rsid w:val="00D20505"/>
    <w:rsid w:val="00D23571"/>
    <w:rsid w:val="00D24C16"/>
    <w:rsid w:val="00D25356"/>
    <w:rsid w:val="00D268F5"/>
    <w:rsid w:val="00D3387D"/>
    <w:rsid w:val="00D33F75"/>
    <w:rsid w:val="00D36FF4"/>
    <w:rsid w:val="00D41AD2"/>
    <w:rsid w:val="00D43DD0"/>
    <w:rsid w:val="00D443E3"/>
    <w:rsid w:val="00D44715"/>
    <w:rsid w:val="00D45180"/>
    <w:rsid w:val="00D50556"/>
    <w:rsid w:val="00D50A99"/>
    <w:rsid w:val="00D510B7"/>
    <w:rsid w:val="00D5131C"/>
    <w:rsid w:val="00D51F99"/>
    <w:rsid w:val="00D528D8"/>
    <w:rsid w:val="00D53595"/>
    <w:rsid w:val="00D54C1B"/>
    <w:rsid w:val="00D55547"/>
    <w:rsid w:val="00D603A8"/>
    <w:rsid w:val="00D6200C"/>
    <w:rsid w:val="00D63372"/>
    <w:rsid w:val="00D63DA0"/>
    <w:rsid w:val="00D647B5"/>
    <w:rsid w:val="00D65D02"/>
    <w:rsid w:val="00D674F3"/>
    <w:rsid w:val="00D70321"/>
    <w:rsid w:val="00D74CE4"/>
    <w:rsid w:val="00D75157"/>
    <w:rsid w:val="00D75E50"/>
    <w:rsid w:val="00D76437"/>
    <w:rsid w:val="00D81DC1"/>
    <w:rsid w:val="00D8292A"/>
    <w:rsid w:val="00D84C22"/>
    <w:rsid w:val="00D91E9C"/>
    <w:rsid w:val="00D9410D"/>
    <w:rsid w:val="00D94250"/>
    <w:rsid w:val="00D94FFB"/>
    <w:rsid w:val="00D95213"/>
    <w:rsid w:val="00D96B28"/>
    <w:rsid w:val="00D97430"/>
    <w:rsid w:val="00D978B1"/>
    <w:rsid w:val="00DA0804"/>
    <w:rsid w:val="00DA30CD"/>
    <w:rsid w:val="00DA376F"/>
    <w:rsid w:val="00DA4B38"/>
    <w:rsid w:val="00DA55B5"/>
    <w:rsid w:val="00DA61A2"/>
    <w:rsid w:val="00DB0CFB"/>
    <w:rsid w:val="00DB1347"/>
    <w:rsid w:val="00DB1D37"/>
    <w:rsid w:val="00DB2820"/>
    <w:rsid w:val="00DB282F"/>
    <w:rsid w:val="00DB5431"/>
    <w:rsid w:val="00DB5F1C"/>
    <w:rsid w:val="00DB6DE8"/>
    <w:rsid w:val="00DC0936"/>
    <w:rsid w:val="00DC0AAE"/>
    <w:rsid w:val="00DC2126"/>
    <w:rsid w:val="00DC2E84"/>
    <w:rsid w:val="00DC31AD"/>
    <w:rsid w:val="00DC413B"/>
    <w:rsid w:val="00DD1468"/>
    <w:rsid w:val="00DD2C08"/>
    <w:rsid w:val="00DD3A76"/>
    <w:rsid w:val="00DD490A"/>
    <w:rsid w:val="00DD6A18"/>
    <w:rsid w:val="00DD7896"/>
    <w:rsid w:val="00DE2585"/>
    <w:rsid w:val="00DE3582"/>
    <w:rsid w:val="00DE3A27"/>
    <w:rsid w:val="00DE45C8"/>
    <w:rsid w:val="00DE51AA"/>
    <w:rsid w:val="00DE7588"/>
    <w:rsid w:val="00DF04BE"/>
    <w:rsid w:val="00DF15AB"/>
    <w:rsid w:val="00DF3718"/>
    <w:rsid w:val="00DF3929"/>
    <w:rsid w:val="00DF77F7"/>
    <w:rsid w:val="00E0054A"/>
    <w:rsid w:val="00E00A36"/>
    <w:rsid w:val="00E01213"/>
    <w:rsid w:val="00E02CCB"/>
    <w:rsid w:val="00E02F69"/>
    <w:rsid w:val="00E03256"/>
    <w:rsid w:val="00E032DC"/>
    <w:rsid w:val="00E048FF"/>
    <w:rsid w:val="00E1046E"/>
    <w:rsid w:val="00E11DE1"/>
    <w:rsid w:val="00E130AE"/>
    <w:rsid w:val="00E210D7"/>
    <w:rsid w:val="00E21C1D"/>
    <w:rsid w:val="00E22661"/>
    <w:rsid w:val="00E229E1"/>
    <w:rsid w:val="00E26A07"/>
    <w:rsid w:val="00E30A05"/>
    <w:rsid w:val="00E31176"/>
    <w:rsid w:val="00E329A9"/>
    <w:rsid w:val="00E33DBB"/>
    <w:rsid w:val="00E3443B"/>
    <w:rsid w:val="00E349E2"/>
    <w:rsid w:val="00E350A3"/>
    <w:rsid w:val="00E35A64"/>
    <w:rsid w:val="00E40501"/>
    <w:rsid w:val="00E432A1"/>
    <w:rsid w:val="00E44710"/>
    <w:rsid w:val="00E460ED"/>
    <w:rsid w:val="00E46B98"/>
    <w:rsid w:val="00E5064E"/>
    <w:rsid w:val="00E527D8"/>
    <w:rsid w:val="00E544A3"/>
    <w:rsid w:val="00E56B92"/>
    <w:rsid w:val="00E613A3"/>
    <w:rsid w:val="00E61659"/>
    <w:rsid w:val="00E62940"/>
    <w:rsid w:val="00E65048"/>
    <w:rsid w:val="00E660DF"/>
    <w:rsid w:val="00E66826"/>
    <w:rsid w:val="00E66833"/>
    <w:rsid w:val="00E668E8"/>
    <w:rsid w:val="00E6727B"/>
    <w:rsid w:val="00E7054E"/>
    <w:rsid w:val="00E722FE"/>
    <w:rsid w:val="00E72BFD"/>
    <w:rsid w:val="00E72F6E"/>
    <w:rsid w:val="00E730F4"/>
    <w:rsid w:val="00E74F9E"/>
    <w:rsid w:val="00E77906"/>
    <w:rsid w:val="00E8078C"/>
    <w:rsid w:val="00E80DFE"/>
    <w:rsid w:val="00E91245"/>
    <w:rsid w:val="00E91D69"/>
    <w:rsid w:val="00E91E2C"/>
    <w:rsid w:val="00E9216F"/>
    <w:rsid w:val="00E9231D"/>
    <w:rsid w:val="00E933BE"/>
    <w:rsid w:val="00E93C2D"/>
    <w:rsid w:val="00E954DF"/>
    <w:rsid w:val="00E95E58"/>
    <w:rsid w:val="00E96E31"/>
    <w:rsid w:val="00EA195C"/>
    <w:rsid w:val="00EA25F0"/>
    <w:rsid w:val="00EA3D65"/>
    <w:rsid w:val="00EA40A6"/>
    <w:rsid w:val="00EA58F3"/>
    <w:rsid w:val="00EA5A9E"/>
    <w:rsid w:val="00EA643A"/>
    <w:rsid w:val="00EA78B3"/>
    <w:rsid w:val="00EA7ECA"/>
    <w:rsid w:val="00EB0966"/>
    <w:rsid w:val="00EB4BCE"/>
    <w:rsid w:val="00EB56C1"/>
    <w:rsid w:val="00EB666B"/>
    <w:rsid w:val="00EB7C3B"/>
    <w:rsid w:val="00EB7D9F"/>
    <w:rsid w:val="00EC3F1C"/>
    <w:rsid w:val="00EC41E3"/>
    <w:rsid w:val="00EC4FD5"/>
    <w:rsid w:val="00EC5593"/>
    <w:rsid w:val="00EC7896"/>
    <w:rsid w:val="00ED42E9"/>
    <w:rsid w:val="00ED440C"/>
    <w:rsid w:val="00ED4ECB"/>
    <w:rsid w:val="00ED5AC5"/>
    <w:rsid w:val="00ED7448"/>
    <w:rsid w:val="00ED7DA3"/>
    <w:rsid w:val="00EE0B21"/>
    <w:rsid w:val="00EE162E"/>
    <w:rsid w:val="00EE37C8"/>
    <w:rsid w:val="00EE4E03"/>
    <w:rsid w:val="00EE51A0"/>
    <w:rsid w:val="00EF03C4"/>
    <w:rsid w:val="00EF04E0"/>
    <w:rsid w:val="00EF1CAE"/>
    <w:rsid w:val="00EF3A12"/>
    <w:rsid w:val="00EF54B5"/>
    <w:rsid w:val="00EF6A35"/>
    <w:rsid w:val="00EF77C1"/>
    <w:rsid w:val="00EF7A37"/>
    <w:rsid w:val="00F00460"/>
    <w:rsid w:val="00F0087C"/>
    <w:rsid w:val="00F01156"/>
    <w:rsid w:val="00F02695"/>
    <w:rsid w:val="00F10130"/>
    <w:rsid w:val="00F12A90"/>
    <w:rsid w:val="00F12C2E"/>
    <w:rsid w:val="00F1323A"/>
    <w:rsid w:val="00F1436E"/>
    <w:rsid w:val="00F20DCB"/>
    <w:rsid w:val="00F2255B"/>
    <w:rsid w:val="00F225D0"/>
    <w:rsid w:val="00F23A73"/>
    <w:rsid w:val="00F31033"/>
    <w:rsid w:val="00F3149E"/>
    <w:rsid w:val="00F31D0F"/>
    <w:rsid w:val="00F31D36"/>
    <w:rsid w:val="00F32380"/>
    <w:rsid w:val="00F3445A"/>
    <w:rsid w:val="00F34D24"/>
    <w:rsid w:val="00F37B08"/>
    <w:rsid w:val="00F41AAE"/>
    <w:rsid w:val="00F42070"/>
    <w:rsid w:val="00F43327"/>
    <w:rsid w:val="00F43E1F"/>
    <w:rsid w:val="00F45B4C"/>
    <w:rsid w:val="00F45FF4"/>
    <w:rsid w:val="00F46404"/>
    <w:rsid w:val="00F46A65"/>
    <w:rsid w:val="00F47796"/>
    <w:rsid w:val="00F47C6E"/>
    <w:rsid w:val="00F50012"/>
    <w:rsid w:val="00F51B34"/>
    <w:rsid w:val="00F52BAE"/>
    <w:rsid w:val="00F5370F"/>
    <w:rsid w:val="00F54DAE"/>
    <w:rsid w:val="00F5569B"/>
    <w:rsid w:val="00F558A4"/>
    <w:rsid w:val="00F5593D"/>
    <w:rsid w:val="00F66644"/>
    <w:rsid w:val="00F6792F"/>
    <w:rsid w:val="00F7264C"/>
    <w:rsid w:val="00F727A2"/>
    <w:rsid w:val="00F73154"/>
    <w:rsid w:val="00F73F1C"/>
    <w:rsid w:val="00F74264"/>
    <w:rsid w:val="00F74753"/>
    <w:rsid w:val="00F7495E"/>
    <w:rsid w:val="00F773B0"/>
    <w:rsid w:val="00F80C43"/>
    <w:rsid w:val="00F82050"/>
    <w:rsid w:val="00F82B07"/>
    <w:rsid w:val="00F84B2F"/>
    <w:rsid w:val="00F9117A"/>
    <w:rsid w:val="00F91239"/>
    <w:rsid w:val="00F915F7"/>
    <w:rsid w:val="00F91B8C"/>
    <w:rsid w:val="00F91FBB"/>
    <w:rsid w:val="00F920F6"/>
    <w:rsid w:val="00F9217B"/>
    <w:rsid w:val="00F93F3F"/>
    <w:rsid w:val="00F94BEB"/>
    <w:rsid w:val="00F954B9"/>
    <w:rsid w:val="00F9663A"/>
    <w:rsid w:val="00FA0294"/>
    <w:rsid w:val="00FA0DE4"/>
    <w:rsid w:val="00FA258F"/>
    <w:rsid w:val="00FA4780"/>
    <w:rsid w:val="00FA4EBC"/>
    <w:rsid w:val="00FA5526"/>
    <w:rsid w:val="00FA5D12"/>
    <w:rsid w:val="00FA6F9E"/>
    <w:rsid w:val="00FA7F82"/>
    <w:rsid w:val="00FB3E6A"/>
    <w:rsid w:val="00FB47C9"/>
    <w:rsid w:val="00FB503C"/>
    <w:rsid w:val="00FB6BF0"/>
    <w:rsid w:val="00FB7144"/>
    <w:rsid w:val="00FC12D6"/>
    <w:rsid w:val="00FC384A"/>
    <w:rsid w:val="00FC6F3E"/>
    <w:rsid w:val="00FC7E87"/>
    <w:rsid w:val="00FD0CB1"/>
    <w:rsid w:val="00FD340A"/>
    <w:rsid w:val="00FD4F76"/>
    <w:rsid w:val="00FD52E4"/>
    <w:rsid w:val="00FD53E1"/>
    <w:rsid w:val="00FD59CE"/>
    <w:rsid w:val="00FD67F9"/>
    <w:rsid w:val="00FD76BB"/>
    <w:rsid w:val="00FD7D25"/>
    <w:rsid w:val="00FE078A"/>
    <w:rsid w:val="00FE5002"/>
    <w:rsid w:val="00FE54BC"/>
    <w:rsid w:val="00FE683B"/>
    <w:rsid w:val="00FE7961"/>
    <w:rsid w:val="00FE7BEA"/>
    <w:rsid w:val="00FE7E38"/>
    <w:rsid w:val="00FF0240"/>
    <w:rsid w:val="00FF1611"/>
    <w:rsid w:val="00FF4A3A"/>
    <w:rsid w:val="00FF5EB8"/>
    <w:rsid w:val="00FF72D5"/>
    <w:rsid w:val="0E774EDA"/>
    <w:rsid w:val="150354C0"/>
    <w:rsid w:val="20BE6734"/>
    <w:rsid w:val="249337B6"/>
    <w:rsid w:val="3ADB287E"/>
    <w:rsid w:val="3F8E3764"/>
    <w:rsid w:val="42743D60"/>
    <w:rsid w:val="47670F3A"/>
    <w:rsid w:val="4C2716B6"/>
    <w:rsid w:val="4C687BC7"/>
    <w:rsid w:val="50C111C5"/>
    <w:rsid w:val="566D0567"/>
    <w:rsid w:val="570144E9"/>
    <w:rsid w:val="66065FEC"/>
    <w:rsid w:val="796377B3"/>
    <w:rsid w:val="7C5C6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34"/>
    <w:qFormat/>
    <w:uiPriority w:val="0"/>
    <w:pPr>
      <w:keepNext/>
      <w:widowControl/>
      <w:tabs>
        <w:tab w:val="left" w:pos="432"/>
      </w:tabs>
      <w:jc w:val="center"/>
      <w:outlineLvl w:val="0"/>
    </w:pPr>
    <w:rPr>
      <w:rFonts w:ascii="黑体" w:eastAsia="黑体"/>
      <w:kern w:val="0"/>
      <w:sz w:val="52"/>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5"/>
    <w:link w:val="36"/>
    <w:qFormat/>
    <w:uiPriority w:val="0"/>
    <w:pPr>
      <w:keepNext/>
      <w:keepLines/>
      <w:widowControl/>
      <w:tabs>
        <w:tab w:val="left" w:pos="720"/>
      </w:tabs>
      <w:spacing w:before="120" w:after="120" w:line="360" w:lineRule="auto"/>
      <w:jc w:val="center"/>
      <w:outlineLvl w:val="2"/>
    </w:pPr>
    <w:rPr>
      <w:rFonts w:eastAsia="宋体"/>
      <w:b/>
      <w:kern w:val="0"/>
    </w:rPr>
  </w:style>
  <w:style w:type="paragraph" w:styleId="6">
    <w:name w:val="heading 6"/>
    <w:basedOn w:val="1"/>
    <w:next w:val="1"/>
    <w:link w:val="37"/>
    <w:qFormat/>
    <w:uiPriority w:val="0"/>
    <w:pPr>
      <w:keepNext/>
      <w:keepLines/>
      <w:widowControl/>
      <w:tabs>
        <w:tab w:val="left" w:pos="1440"/>
      </w:tabs>
      <w:spacing w:before="240" w:after="64" w:line="320" w:lineRule="auto"/>
      <w:jc w:val="left"/>
      <w:outlineLvl w:val="5"/>
    </w:pPr>
    <w:rPr>
      <w:rFonts w:ascii="Arial" w:hAnsi="Arial" w:eastAsia="黑体"/>
      <w:b/>
      <w:bCs/>
      <w:kern w:val="0"/>
      <w:sz w:val="24"/>
      <w:szCs w:val="24"/>
    </w:rPr>
  </w:style>
  <w:style w:type="paragraph" w:styleId="7">
    <w:name w:val="heading 7"/>
    <w:basedOn w:val="1"/>
    <w:next w:val="1"/>
    <w:link w:val="38"/>
    <w:qFormat/>
    <w:uiPriority w:val="0"/>
    <w:pPr>
      <w:keepNext/>
      <w:keepLines/>
      <w:widowControl/>
      <w:tabs>
        <w:tab w:val="left" w:pos="2520"/>
      </w:tabs>
      <w:spacing w:before="240" w:after="64" w:line="320" w:lineRule="auto"/>
      <w:jc w:val="left"/>
      <w:outlineLvl w:val="6"/>
    </w:pPr>
    <w:rPr>
      <w:rFonts w:eastAsia="宋体"/>
      <w:b/>
      <w:bCs/>
      <w:kern w:val="0"/>
      <w:sz w:val="24"/>
      <w:szCs w:val="24"/>
    </w:rPr>
  </w:style>
  <w:style w:type="paragraph" w:styleId="8">
    <w:name w:val="heading 8"/>
    <w:basedOn w:val="1"/>
    <w:next w:val="1"/>
    <w:link w:val="39"/>
    <w:qFormat/>
    <w:uiPriority w:val="0"/>
    <w:pPr>
      <w:keepNext/>
      <w:keepLines/>
      <w:widowControl/>
      <w:tabs>
        <w:tab w:val="left" w:pos="1440"/>
      </w:tabs>
      <w:spacing w:before="240" w:after="64" w:line="320" w:lineRule="auto"/>
      <w:jc w:val="left"/>
      <w:outlineLvl w:val="7"/>
    </w:pPr>
    <w:rPr>
      <w:rFonts w:ascii="Arial" w:hAnsi="Arial" w:eastAsia="黑体"/>
      <w:kern w:val="0"/>
      <w:sz w:val="24"/>
      <w:szCs w:val="24"/>
    </w:rPr>
  </w:style>
  <w:style w:type="paragraph" w:styleId="9">
    <w:name w:val="heading 9"/>
    <w:basedOn w:val="1"/>
    <w:next w:val="1"/>
    <w:link w:val="40"/>
    <w:qFormat/>
    <w:uiPriority w:val="0"/>
    <w:pPr>
      <w:keepNext/>
      <w:keepLines/>
      <w:widowControl/>
      <w:tabs>
        <w:tab w:val="left" w:pos="1584"/>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eastAsia="宋体"/>
      <w:sz w:val="21"/>
    </w:rPr>
  </w:style>
  <w:style w:type="paragraph" w:styleId="10">
    <w:name w:val="List 3"/>
    <w:basedOn w:val="1"/>
    <w:qFormat/>
    <w:uiPriority w:val="0"/>
    <w:pPr>
      <w:ind w:left="100" w:leftChars="400" w:hanging="200" w:hangingChars="200"/>
    </w:pPr>
    <w:rPr>
      <w:rFonts w:eastAsia="宋体"/>
      <w:sz w:val="21"/>
      <w:szCs w:val="24"/>
    </w:rPr>
  </w:style>
  <w:style w:type="paragraph" w:styleId="11">
    <w:name w:val="caption"/>
    <w:basedOn w:val="1"/>
    <w:next w:val="1"/>
    <w:qFormat/>
    <w:uiPriority w:val="0"/>
    <w:rPr>
      <w:rFonts w:ascii="Arial" w:hAnsi="Arial" w:eastAsia="黑体" w:cs="Arial"/>
      <w:sz w:val="20"/>
    </w:rPr>
  </w:style>
  <w:style w:type="paragraph" w:styleId="12">
    <w:name w:val="annotation text"/>
    <w:basedOn w:val="1"/>
    <w:link w:val="56"/>
    <w:qFormat/>
    <w:uiPriority w:val="0"/>
    <w:pPr>
      <w:jc w:val="left"/>
    </w:pPr>
    <w:rPr>
      <w:rFonts w:ascii="Calibri" w:hAnsi="Calibri"/>
    </w:rPr>
  </w:style>
  <w:style w:type="paragraph" w:styleId="13">
    <w:name w:val="Body Text 3"/>
    <w:basedOn w:val="1"/>
    <w:link w:val="48"/>
    <w:qFormat/>
    <w:uiPriority w:val="0"/>
    <w:pPr>
      <w:spacing w:line="360" w:lineRule="auto"/>
    </w:pPr>
    <w:rPr>
      <w:rFonts w:ascii="宋体" w:hAnsi="宋体" w:eastAsia="宋体"/>
      <w:color w:val="FF0000"/>
      <w:sz w:val="21"/>
      <w:szCs w:val="21"/>
    </w:rPr>
  </w:style>
  <w:style w:type="paragraph" w:styleId="14">
    <w:name w:val="Body Text"/>
    <w:basedOn w:val="1"/>
    <w:link w:val="49"/>
    <w:unhideWhenUsed/>
    <w:qFormat/>
    <w:uiPriority w:val="0"/>
    <w:pPr>
      <w:spacing w:after="120"/>
    </w:pPr>
  </w:style>
  <w:style w:type="paragraph" w:styleId="15">
    <w:name w:val="Body Text Indent"/>
    <w:basedOn w:val="1"/>
    <w:link w:val="51"/>
    <w:qFormat/>
    <w:uiPriority w:val="0"/>
    <w:pPr>
      <w:spacing w:after="120"/>
      <w:ind w:left="420" w:leftChars="200"/>
    </w:pPr>
    <w:rPr>
      <w:rFonts w:eastAsia="宋体"/>
      <w:sz w:val="21"/>
      <w:szCs w:val="24"/>
    </w:rPr>
  </w:style>
  <w:style w:type="paragraph" w:styleId="16">
    <w:name w:val="List 2"/>
    <w:basedOn w:val="1"/>
    <w:qFormat/>
    <w:uiPriority w:val="0"/>
    <w:pPr>
      <w:ind w:left="100" w:leftChars="200" w:hanging="200" w:hangingChars="200"/>
    </w:pPr>
    <w:rPr>
      <w:rFonts w:eastAsia="宋体"/>
      <w:sz w:val="21"/>
      <w:szCs w:val="24"/>
    </w:rPr>
  </w:style>
  <w:style w:type="paragraph" w:styleId="17">
    <w:name w:val="Date"/>
    <w:basedOn w:val="1"/>
    <w:next w:val="1"/>
    <w:link w:val="43"/>
    <w:unhideWhenUsed/>
    <w:qFormat/>
    <w:uiPriority w:val="0"/>
    <w:pPr>
      <w:ind w:left="100" w:leftChars="2500"/>
    </w:pPr>
  </w:style>
  <w:style w:type="paragraph" w:styleId="18">
    <w:name w:val="Balloon Text"/>
    <w:basedOn w:val="1"/>
    <w:link w:val="46"/>
    <w:semiHidden/>
    <w:unhideWhenUsed/>
    <w:qFormat/>
    <w:uiPriority w:val="0"/>
    <w:rPr>
      <w:sz w:val="18"/>
      <w:szCs w:val="18"/>
    </w:rPr>
  </w:style>
  <w:style w:type="paragraph" w:styleId="19">
    <w:name w:val="footer"/>
    <w:basedOn w:val="1"/>
    <w:link w:val="4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20">
    <w:name w:val="header"/>
    <w:basedOn w:val="1"/>
    <w:link w:val="4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1">
    <w:name w:val="List"/>
    <w:basedOn w:val="1"/>
    <w:qFormat/>
    <w:uiPriority w:val="0"/>
    <w:pPr>
      <w:ind w:left="200" w:hanging="200" w:hangingChars="200"/>
    </w:pPr>
    <w:rPr>
      <w:rFonts w:eastAsia="宋体"/>
      <w:sz w:val="21"/>
      <w:szCs w:val="24"/>
    </w:rPr>
  </w:style>
  <w:style w:type="paragraph" w:styleId="22">
    <w:name w:val="Body Text Indent 3"/>
    <w:basedOn w:val="1"/>
    <w:link w:val="53"/>
    <w:unhideWhenUsed/>
    <w:qFormat/>
    <w:uiPriority w:val="0"/>
    <w:pPr>
      <w:spacing w:after="120"/>
      <w:ind w:left="420" w:leftChars="200"/>
    </w:pPr>
    <w:rPr>
      <w:sz w:val="16"/>
      <w:szCs w:val="16"/>
    </w:rPr>
  </w:style>
  <w:style w:type="paragraph" w:styleId="23">
    <w:name w:val="List 4"/>
    <w:basedOn w:val="1"/>
    <w:qFormat/>
    <w:uiPriority w:val="0"/>
    <w:pPr>
      <w:ind w:left="100" w:leftChars="600" w:hanging="200" w:hangingChars="200"/>
    </w:pPr>
    <w:rPr>
      <w:rFonts w:eastAsia="宋体"/>
      <w:sz w:val="21"/>
      <w:szCs w:val="24"/>
    </w:rPr>
  </w:style>
  <w:style w:type="paragraph" w:styleId="2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link w:val="54"/>
    <w:qFormat/>
    <w:uiPriority w:val="0"/>
    <w:pPr>
      <w:spacing w:before="240" w:after="60"/>
      <w:jc w:val="center"/>
      <w:outlineLvl w:val="0"/>
    </w:pPr>
    <w:rPr>
      <w:rFonts w:ascii="Arial" w:hAnsi="Arial" w:eastAsia="宋体" w:cs="Arial"/>
      <w:b/>
      <w:bCs/>
      <w:szCs w:val="32"/>
    </w:rPr>
  </w:style>
  <w:style w:type="paragraph" w:styleId="26">
    <w:name w:val="Body Text First Indent"/>
    <w:basedOn w:val="14"/>
    <w:link w:val="50"/>
    <w:qFormat/>
    <w:uiPriority w:val="0"/>
    <w:pPr>
      <w:ind w:firstLine="420" w:firstLineChars="100"/>
    </w:pPr>
    <w:rPr>
      <w:rFonts w:eastAsia="宋体"/>
      <w:sz w:val="21"/>
      <w:szCs w:val="24"/>
    </w:rPr>
  </w:style>
  <w:style w:type="paragraph" w:styleId="27">
    <w:name w:val="Body Text First Indent 2"/>
    <w:basedOn w:val="15"/>
    <w:link w:val="52"/>
    <w:qFormat/>
    <w:uiPriority w:val="0"/>
    <w:pPr>
      <w:ind w:firstLine="420" w:firstLineChars="200"/>
    </w:pPr>
  </w:style>
  <w:style w:type="character" w:styleId="30">
    <w:name w:val="Strong"/>
    <w:qFormat/>
    <w:uiPriority w:val="0"/>
    <w:rPr>
      <w:b/>
      <w:bCs/>
    </w:rPr>
  </w:style>
  <w:style w:type="character" w:styleId="31">
    <w:name w:val="page number"/>
    <w:basedOn w:val="29"/>
    <w:qFormat/>
    <w:uiPriority w:val="0"/>
  </w:style>
  <w:style w:type="character" w:styleId="32">
    <w:name w:val="Hyperlink"/>
    <w:basedOn w:val="29"/>
    <w:qFormat/>
    <w:uiPriority w:val="0"/>
    <w:rPr>
      <w:color w:val="000000"/>
      <w:u w:val="none"/>
    </w:rPr>
  </w:style>
  <w:style w:type="character" w:styleId="33">
    <w:name w:val="annotation reference"/>
    <w:qFormat/>
    <w:uiPriority w:val="0"/>
    <w:rPr>
      <w:sz w:val="21"/>
      <w:szCs w:val="21"/>
    </w:rPr>
  </w:style>
  <w:style w:type="character" w:customStyle="1" w:styleId="34">
    <w:name w:val="标题 1 Char"/>
    <w:basedOn w:val="29"/>
    <w:link w:val="2"/>
    <w:qFormat/>
    <w:uiPriority w:val="0"/>
    <w:rPr>
      <w:rFonts w:ascii="黑体" w:hAnsi="Times New Roman" w:eastAsia="黑体" w:cs="Times New Roman"/>
      <w:kern w:val="0"/>
      <w:sz w:val="52"/>
      <w:szCs w:val="20"/>
    </w:rPr>
  </w:style>
  <w:style w:type="character" w:customStyle="1" w:styleId="35">
    <w:name w:val="标题 2 Char"/>
    <w:basedOn w:val="29"/>
    <w:link w:val="3"/>
    <w:qFormat/>
    <w:uiPriority w:val="0"/>
    <w:rPr>
      <w:rFonts w:ascii="Arial" w:hAnsi="Arial" w:eastAsia="黑体" w:cs="Times New Roman"/>
      <w:b/>
      <w:bCs/>
      <w:sz w:val="32"/>
      <w:szCs w:val="32"/>
    </w:rPr>
  </w:style>
  <w:style w:type="character" w:customStyle="1" w:styleId="36">
    <w:name w:val="标题 3 Char"/>
    <w:basedOn w:val="29"/>
    <w:link w:val="4"/>
    <w:qFormat/>
    <w:uiPriority w:val="0"/>
    <w:rPr>
      <w:rFonts w:ascii="Times New Roman" w:hAnsi="Times New Roman" w:eastAsia="宋体" w:cs="Times New Roman"/>
      <w:b/>
      <w:kern w:val="0"/>
      <w:sz w:val="32"/>
      <w:szCs w:val="20"/>
    </w:rPr>
  </w:style>
  <w:style w:type="character" w:customStyle="1" w:styleId="37">
    <w:name w:val="标题 6 Char"/>
    <w:basedOn w:val="29"/>
    <w:link w:val="6"/>
    <w:qFormat/>
    <w:uiPriority w:val="0"/>
    <w:rPr>
      <w:rFonts w:ascii="Arial" w:hAnsi="Arial" w:eastAsia="黑体" w:cs="Times New Roman"/>
      <w:b/>
      <w:bCs/>
      <w:kern w:val="0"/>
      <w:sz w:val="24"/>
      <w:szCs w:val="24"/>
    </w:rPr>
  </w:style>
  <w:style w:type="character" w:customStyle="1" w:styleId="38">
    <w:name w:val="标题 7 Char"/>
    <w:basedOn w:val="29"/>
    <w:link w:val="7"/>
    <w:qFormat/>
    <w:uiPriority w:val="0"/>
    <w:rPr>
      <w:rFonts w:ascii="Times New Roman" w:hAnsi="Times New Roman" w:eastAsia="宋体" w:cs="Times New Roman"/>
      <w:b/>
      <w:bCs/>
      <w:kern w:val="0"/>
      <w:sz w:val="24"/>
      <w:szCs w:val="24"/>
    </w:rPr>
  </w:style>
  <w:style w:type="character" w:customStyle="1" w:styleId="39">
    <w:name w:val="标题 8 Char"/>
    <w:basedOn w:val="29"/>
    <w:link w:val="8"/>
    <w:qFormat/>
    <w:uiPriority w:val="0"/>
    <w:rPr>
      <w:rFonts w:ascii="Arial" w:hAnsi="Arial" w:eastAsia="黑体" w:cs="Times New Roman"/>
      <w:kern w:val="0"/>
      <w:sz w:val="24"/>
      <w:szCs w:val="24"/>
    </w:rPr>
  </w:style>
  <w:style w:type="character" w:customStyle="1" w:styleId="40">
    <w:name w:val="标题 9 Char"/>
    <w:basedOn w:val="29"/>
    <w:link w:val="9"/>
    <w:qFormat/>
    <w:uiPriority w:val="0"/>
    <w:rPr>
      <w:rFonts w:ascii="Arial" w:hAnsi="Arial" w:eastAsia="黑体" w:cs="Times New Roman"/>
      <w:kern w:val="0"/>
      <w:szCs w:val="21"/>
    </w:rPr>
  </w:style>
  <w:style w:type="character" w:customStyle="1" w:styleId="41">
    <w:name w:val="页眉 Char"/>
    <w:basedOn w:val="29"/>
    <w:link w:val="20"/>
    <w:qFormat/>
    <w:uiPriority w:val="0"/>
    <w:rPr>
      <w:sz w:val="18"/>
      <w:szCs w:val="18"/>
    </w:rPr>
  </w:style>
  <w:style w:type="character" w:customStyle="1" w:styleId="42">
    <w:name w:val="页脚 Char"/>
    <w:basedOn w:val="29"/>
    <w:link w:val="19"/>
    <w:qFormat/>
    <w:uiPriority w:val="0"/>
    <w:rPr>
      <w:sz w:val="18"/>
      <w:szCs w:val="18"/>
    </w:rPr>
  </w:style>
  <w:style w:type="character" w:customStyle="1" w:styleId="43">
    <w:name w:val="日期 Char"/>
    <w:basedOn w:val="29"/>
    <w:link w:val="17"/>
    <w:qFormat/>
    <w:uiPriority w:val="0"/>
    <w:rPr>
      <w:rFonts w:ascii="Times New Roman" w:hAnsi="Times New Roman" w:eastAsia="仿宋_GB2312" w:cs="Times New Roman"/>
      <w:sz w:val="32"/>
      <w:szCs w:val="20"/>
    </w:rPr>
  </w:style>
  <w:style w:type="paragraph" w:customStyle="1" w:styleId="44">
    <w:name w:val="Default"/>
    <w:qFormat/>
    <w:uiPriority w:val="0"/>
    <w:pPr>
      <w:widowControl w:val="0"/>
      <w:autoSpaceDE w:val="0"/>
      <w:autoSpaceDN w:val="0"/>
      <w:adjustRightInd w:val="0"/>
    </w:pPr>
    <w:rPr>
      <w:rFonts w:ascii="Times New Roman" w:hAnsi="Times New Roman" w:eastAsia="微软雅黑" w:cs="Times New Roman"/>
      <w:color w:val="000000"/>
      <w:kern w:val="0"/>
      <w:sz w:val="24"/>
      <w:szCs w:val="24"/>
      <w:lang w:val="en-US" w:eastAsia="zh-CN" w:bidi="ar-SA"/>
    </w:rPr>
  </w:style>
  <w:style w:type="paragraph" w:customStyle="1" w:styleId="45">
    <w:name w:val="Char"/>
    <w:basedOn w:val="1"/>
    <w:qFormat/>
    <w:uiPriority w:val="0"/>
  </w:style>
  <w:style w:type="character" w:customStyle="1" w:styleId="46">
    <w:name w:val="批注框文本 Char"/>
    <w:basedOn w:val="29"/>
    <w:link w:val="18"/>
    <w:semiHidden/>
    <w:qFormat/>
    <w:uiPriority w:val="0"/>
    <w:rPr>
      <w:rFonts w:ascii="Times New Roman" w:hAnsi="Times New Roman" w:eastAsia="仿宋_GB2312" w:cs="Times New Roman"/>
      <w:sz w:val="18"/>
      <w:szCs w:val="18"/>
    </w:rPr>
  </w:style>
  <w:style w:type="paragraph" w:customStyle="1" w:styleId="47">
    <w:name w:val="11111定格"/>
    <w:basedOn w:val="1"/>
    <w:qFormat/>
    <w:uiPriority w:val="0"/>
    <w:pPr>
      <w:snapToGrid w:val="0"/>
      <w:ind w:firstLine="646"/>
    </w:pPr>
    <w:rPr>
      <w:rFonts w:cs="黑体"/>
      <w:color w:val="000000"/>
      <w:szCs w:val="32"/>
    </w:rPr>
  </w:style>
  <w:style w:type="character" w:customStyle="1" w:styleId="48">
    <w:name w:val="正文文本 3 Char"/>
    <w:basedOn w:val="29"/>
    <w:link w:val="13"/>
    <w:qFormat/>
    <w:uiPriority w:val="0"/>
    <w:rPr>
      <w:rFonts w:ascii="宋体" w:hAnsi="宋体" w:eastAsia="宋体" w:cs="Times New Roman"/>
      <w:color w:val="FF0000"/>
      <w:szCs w:val="21"/>
    </w:rPr>
  </w:style>
  <w:style w:type="character" w:customStyle="1" w:styleId="49">
    <w:name w:val="正文文本 Char"/>
    <w:basedOn w:val="29"/>
    <w:link w:val="14"/>
    <w:qFormat/>
    <w:uiPriority w:val="0"/>
    <w:rPr>
      <w:rFonts w:ascii="Times New Roman" w:hAnsi="Times New Roman" w:eastAsia="仿宋_GB2312" w:cs="Times New Roman"/>
      <w:sz w:val="32"/>
      <w:szCs w:val="20"/>
    </w:rPr>
  </w:style>
  <w:style w:type="character" w:customStyle="1" w:styleId="50">
    <w:name w:val="正文首行缩进 Char"/>
    <w:basedOn w:val="49"/>
    <w:link w:val="26"/>
    <w:qFormat/>
    <w:uiPriority w:val="0"/>
    <w:rPr>
      <w:rFonts w:ascii="Times New Roman" w:hAnsi="Times New Roman" w:eastAsia="宋体" w:cs="Times New Roman"/>
      <w:sz w:val="32"/>
      <w:szCs w:val="24"/>
    </w:rPr>
  </w:style>
  <w:style w:type="character" w:customStyle="1" w:styleId="51">
    <w:name w:val="正文文本缩进 Char"/>
    <w:basedOn w:val="29"/>
    <w:link w:val="15"/>
    <w:qFormat/>
    <w:uiPriority w:val="0"/>
    <w:rPr>
      <w:rFonts w:ascii="Times New Roman" w:hAnsi="Times New Roman" w:eastAsia="宋体" w:cs="Times New Roman"/>
      <w:szCs w:val="24"/>
    </w:rPr>
  </w:style>
  <w:style w:type="character" w:customStyle="1" w:styleId="52">
    <w:name w:val="正文首行缩进 2 Char"/>
    <w:basedOn w:val="51"/>
    <w:link w:val="27"/>
    <w:qFormat/>
    <w:uiPriority w:val="0"/>
    <w:rPr>
      <w:rFonts w:ascii="Times New Roman" w:hAnsi="Times New Roman" w:eastAsia="宋体" w:cs="Times New Roman"/>
      <w:szCs w:val="24"/>
    </w:rPr>
  </w:style>
  <w:style w:type="character" w:customStyle="1" w:styleId="53">
    <w:name w:val="正文文本缩进 3 Char"/>
    <w:basedOn w:val="29"/>
    <w:link w:val="22"/>
    <w:qFormat/>
    <w:uiPriority w:val="0"/>
    <w:rPr>
      <w:rFonts w:ascii="Times New Roman" w:hAnsi="Times New Roman" w:eastAsia="仿宋_GB2312" w:cs="Times New Roman"/>
      <w:sz w:val="16"/>
      <w:szCs w:val="16"/>
    </w:rPr>
  </w:style>
  <w:style w:type="character" w:customStyle="1" w:styleId="54">
    <w:name w:val="标题 Char"/>
    <w:basedOn w:val="29"/>
    <w:link w:val="25"/>
    <w:qFormat/>
    <w:uiPriority w:val="0"/>
    <w:rPr>
      <w:rFonts w:ascii="Arial" w:hAnsi="Arial" w:eastAsia="宋体" w:cs="Arial"/>
      <w:b/>
      <w:bCs/>
      <w:sz w:val="32"/>
      <w:szCs w:val="32"/>
    </w:rPr>
  </w:style>
  <w:style w:type="paragraph" w:styleId="55">
    <w:name w:val="List Paragraph"/>
    <w:basedOn w:val="1"/>
    <w:qFormat/>
    <w:uiPriority w:val="34"/>
    <w:pPr>
      <w:ind w:firstLine="420" w:firstLineChars="200"/>
    </w:pPr>
  </w:style>
  <w:style w:type="character" w:customStyle="1" w:styleId="56">
    <w:name w:val="批注文字 Char"/>
    <w:basedOn w:val="29"/>
    <w:link w:val="12"/>
    <w:qFormat/>
    <w:uiPriority w:val="0"/>
    <w:rPr>
      <w:rFonts w:ascii="Calibri" w:hAnsi="Calibri" w:eastAsia="仿宋_GB2312" w:cs="Times New Roman"/>
      <w:sz w:val="32"/>
      <w:szCs w:val="20"/>
    </w:rPr>
  </w:style>
  <w:style w:type="paragraph" w:customStyle="1" w:styleId="57">
    <w:name w:val="Body text|1"/>
    <w:basedOn w:val="1"/>
    <w:qFormat/>
    <w:uiPriority w:val="0"/>
    <w:pPr>
      <w:spacing w:line="480" w:lineRule="auto"/>
      <w:ind w:firstLine="400"/>
    </w:pPr>
    <w:rPr>
      <w:rFonts w:ascii="宋体" w:hAnsi="宋体" w:eastAsia="宋体" w:cs="宋体"/>
      <w:sz w:val="18"/>
      <w:szCs w:val="18"/>
      <w:lang w:val="zh-TW" w:eastAsia="zh-TW" w:bidi="zh-TW"/>
    </w:rPr>
  </w:style>
  <w:style w:type="paragraph" w:customStyle="1" w:styleId="58">
    <w:name w:val="Header or footer|1"/>
    <w:basedOn w:val="1"/>
    <w:qFormat/>
    <w:uiPriority w:val="0"/>
    <w:pPr>
      <w:spacing w:line="461" w:lineRule="auto"/>
    </w:pPr>
    <w:rPr>
      <w:sz w:val="19"/>
      <w:szCs w:val="19"/>
    </w:rPr>
  </w:style>
  <w:style w:type="paragraph" w:customStyle="1" w:styleId="59">
    <w:name w:val="Header or footer|2"/>
    <w:basedOn w:val="1"/>
    <w:qFormat/>
    <w:uiPriority w:val="0"/>
    <w:rPr>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00BED-13ED-42D5-9FC2-B513A9BE1A9D}">
  <ds:schemaRefs/>
</ds:datastoreItem>
</file>

<file path=docProps/app.xml><?xml version="1.0" encoding="utf-8"?>
<Properties xmlns="http://schemas.openxmlformats.org/officeDocument/2006/extended-properties" xmlns:vt="http://schemas.openxmlformats.org/officeDocument/2006/docPropsVTypes">
  <Template>Normal.dotm</Template>
  <Company>Win7w.Com</Company>
  <Pages>80</Pages>
  <Words>6279</Words>
  <Characters>35793</Characters>
  <Lines>298</Lines>
  <Paragraphs>83</Paragraphs>
  <TotalTime>372</TotalTime>
  <ScaleCrop>false</ScaleCrop>
  <LinksUpToDate>false</LinksUpToDate>
  <CharactersWithSpaces>41989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2019-12-06T01:01:00Z</dcterms:created>
  <dc:creator>建设局</dc:creator>
  <cp:lastModifiedBy>鹧鸪天</cp:lastModifiedBy>
  <cp:lastPrinted>2019-04-03T09:04:00Z</cp:lastPrinted>
  <dcterms:modified xsi:type="dcterms:W3CDTF">2023-07-16T08:58:05Z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4177634AEE614CC398C4816A513633B7_13</vt:lpwstr>
  </property>
</Properties>
</file>