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jc w:val="center"/>
        <w:rPr>
          <w:rFonts w:ascii="黑体" w:hAnsi="宋体" w:eastAsia="黑体"/>
          <w:b/>
          <w:color w:val="auto"/>
          <w:sz w:val="48"/>
          <w:szCs w:val="48"/>
        </w:rPr>
      </w:pPr>
    </w:p>
    <w:p>
      <w:pPr>
        <w:pStyle w:val="27"/>
        <w:jc w:val="center"/>
        <w:rPr>
          <w:rFonts w:ascii="黑体" w:hAnsi="宋体" w:eastAsia="黑体"/>
          <w:b/>
          <w:color w:val="auto"/>
          <w:sz w:val="48"/>
          <w:szCs w:val="48"/>
        </w:rPr>
      </w:pPr>
    </w:p>
    <w:p>
      <w:pPr>
        <w:pStyle w:val="27"/>
        <w:jc w:val="center"/>
        <w:rPr>
          <w:rFonts w:ascii="宋体" w:hAnsi="宋体" w:cs="宋体"/>
          <w:b/>
          <w:color w:val="auto"/>
          <w:sz w:val="72"/>
          <w:szCs w:val="72"/>
        </w:rPr>
      </w:pPr>
    </w:p>
    <w:p>
      <w:pPr>
        <w:pStyle w:val="27"/>
        <w:jc w:val="center"/>
        <w:rPr>
          <w:rFonts w:ascii="宋体" w:hAnsi="宋体" w:cs="宋体"/>
          <w:b/>
          <w:color w:val="auto"/>
          <w:sz w:val="72"/>
          <w:szCs w:val="72"/>
        </w:rPr>
      </w:pPr>
    </w:p>
    <w:p>
      <w:pPr>
        <w:pStyle w:val="27"/>
        <w:jc w:val="center"/>
        <w:rPr>
          <w:rFonts w:ascii="宋体" w:hAnsi="宋体" w:cs="宋体"/>
          <w:b/>
          <w:color w:val="auto"/>
          <w:sz w:val="72"/>
          <w:szCs w:val="72"/>
        </w:rPr>
      </w:pPr>
      <w:r>
        <w:rPr>
          <w:rFonts w:hint="eastAsia" w:ascii="宋体" w:hAnsi="宋体" w:cs="宋体"/>
          <w:b/>
          <w:color w:val="auto"/>
          <w:sz w:val="72"/>
          <w:szCs w:val="72"/>
          <w:lang w:val="en-US" w:eastAsia="zh-CN"/>
        </w:rPr>
        <w:t>伊宁市</w:t>
      </w:r>
      <w:r>
        <w:rPr>
          <w:rFonts w:hint="eastAsia" w:ascii="宋体" w:hAnsi="宋体" w:cs="宋体"/>
          <w:b/>
          <w:color w:val="auto"/>
          <w:sz w:val="72"/>
          <w:szCs w:val="72"/>
        </w:rPr>
        <w:t>公共资源交易中心</w:t>
      </w:r>
    </w:p>
    <w:p>
      <w:pPr>
        <w:pStyle w:val="27"/>
        <w:rPr>
          <w:rFonts w:ascii="宋体" w:hAnsi="宋体"/>
          <w:color w:val="auto"/>
          <w:sz w:val="32"/>
        </w:rPr>
      </w:pPr>
    </w:p>
    <w:p>
      <w:pPr>
        <w:pStyle w:val="27"/>
        <w:rPr>
          <w:rFonts w:ascii="宋体" w:hAnsi="宋体"/>
          <w:color w:val="auto"/>
          <w:sz w:val="32"/>
        </w:rPr>
      </w:pPr>
    </w:p>
    <w:p>
      <w:pPr>
        <w:pStyle w:val="27"/>
        <w:jc w:val="center"/>
        <w:rPr>
          <w:rFonts w:ascii="黑体" w:hAnsi="华文中宋" w:eastAsia="黑体"/>
          <w:b/>
          <w:bCs/>
          <w:color w:val="auto"/>
          <w:sz w:val="72"/>
          <w:szCs w:val="72"/>
        </w:rPr>
      </w:pPr>
      <w:r>
        <w:rPr>
          <w:rFonts w:hint="eastAsia" w:ascii="黑体" w:hAnsi="华文中宋" w:eastAsia="黑体"/>
          <w:b/>
          <w:bCs/>
          <w:color w:val="auto"/>
          <w:sz w:val="72"/>
          <w:szCs w:val="72"/>
        </w:rPr>
        <w:t>公开招标文件</w:t>
      </w:r>
    </w:p>
    <w:p>
      <w:pPr>
        <w:pStyle w:val="27"/>
        <w:ind w:firstLine="2640" w:firstLineChars="600"/>
        <w:rPr>
          <w:rFonts w:ascii="黑体" w:hAnsi="宋体" w:eastAsia="黑体"/>
          <w:color w:val="auto"/>
          <w:sz w:val="44"/>
          <w:szCs w:val="44"/>
        </w:rPr>
      </w:pPr>
    </w:p>
    <w:p>
      <w:pPr>
        <w:pStyle w:val="27"/>
        <w:jc w:val="center"/>
        <w:rPr>
          <w:rFonts w:ascii="黑体" w:hAnsi="宋体" w:eastAsia="黑体"/>
          <w:color w:val="auto"/>
          <w:sz w:val="48"/>
          <w:szCs w:val="48"/>
        </w:rPr>
      </w:pPr>
      <w:r>
        <w:rPr>
          <w:rFonts w:hint="eastAsia" w:ascii="黑体" w:hAnsi="宋体" w:eastAsia="黑体"/>
          <w:color w:val="auto"/>
          <w:sz w:val="48"/>
          <w:szCs w:val="48"/>
        </w:rPr>
        <w:t>（货物类）</w:t>
      </w:r>
    </w:p>
    <w:p>
      <w:pPr>
        <w:pStyle w:val="27"/>
        <w:ind w:firstLine="1920" w:firstLineChars="600"/>
        <w:rPr>
          <w:rFonts w:ascii="黑体" w:hAnsi="宋体" w:eastAsia="黑体"/>
          <w:color w:val="auto"/>
          <w:sz w:val="32"/>
        </w:rPr>
      </w:pPr>
    </w:p>
    <w:p>
      <w:pPr>
        <w:pStyle w:val="27"/>
        <w:ind w:firstLine="1920" w:firstLineChars="600"/>
        <w:rPr>
          <w:rFonts w:ascii="黑体" w:hAnsi="宋体" w:eastAsia="黑体"/>
          <w:color w:val="auto"/>
          <w:sz w:val="32"/>
        </w:rPr>
      </w:pPr>
    </w:p>
    <w:p>
      <w:pPr>
        <w:pStyle w:val="27"/>
        <w:jc w:val="both"/>
        <w:rPr>
          <w:rFonts w:ascii="仿宋_GB2312" w:hAnsi="宋体" w:eastAsia="仿宋_GB2312"/>
          <w:b/>
          <w:color w:val="auto"/>
          <w:sz w:val="32"/>
          <w:szCs w:val="31"/>
        </w:rPr>
      </w:pPr>
    </w:p>
    <w:tbl>
      <w:tblPr>
        <w:tblStyle w:val="21"/>
        <w:tblW w:w="846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trPr>
        <w:tc>
          <w:tcPr>
            <w:tcW w:w="8460" w:type="dxa"/>
          </w:tcPr>
          <w:p>
            <w:pPr>
              <w:keepNext w:val="0"/>
              <w:keepLines w:val="0"/>
              <w:pageBreakBefore w:val="0"/>
              <w:widowControl w:val="0"/>
              <w:kinsoku/>
              <w:wordWrap/>
              <w:overflowPunct/>
              <w:topLinePunct w:val="0"/>
              <w:autoSpaceDE/>
              <w:autoSpaceDN/>
              <w:bidi w:val="0"/>
              <w:adjustRightInd/>
              <w:snapToGrid/>
              <w:spacing w:line="500" w:lineRule="exact"/>
              <w:ind w:left="0" w:hanging="1928" w:hangingChars="600"/>
              <w:textAlignment w:val="auto"/>
              <w:rPr>
                <w:rFonts w:hint="default" w:ascii="楷体" w:hAnsi="楷体" w:eastAsia="楷体" w:cs="楷体"/>
                <w:sz w:val="32"/>
                <w:lang w:val="en-US" w:eastAsia="zh-CN"/>
              </w:rPr>
            </w:pPr>
            <w:r>
              <w:rPr>
                <w:rFonts w:hint="eastAsia" w:ascii="楷体" w:hAnsi="楷体" w:eastAsia="楷体" w:cs="楷体"/>
                <w:b/>
                <w:bCs/>
                <w:sz w:val="32"/>
                <w:szCs w:val="32"/>
              </w:rPr>
              <w:t>项目名称：伊宁市第一中学、第八小学和第三十一小学教学设备采购项目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8460" w:type="dxa"/>
          </w:tcPr>
          <w:p>
            <w:pPr>
              <w:rPr>
                <w:rFonts w:hint="eastAsia" w:ascii="楷体" w:hAnsi="楷体" w:eastAsia="楷体" w:cs="楷体"/>
                <w:sz w:val="32"/>
                <w:lang w:eastAsia="zh-CN"/>
              </w:rPr>
            </w:pPr>
            <w:r>
              <w:rPr>
                <w:rFonts w:hint="eastAsia" w:ascii="楷体" w:hAnsi="楷体" w:eastAsia="楷体" w:cs="楷体"/>
                <w:b/>
                <w:bCs/>
                <w:sz w:val="32"/>
                <w:szCs w:val="32"/>
              </w:rPr>
              <w:t>文件编号：</w:t>
            </w:r>
            <w:r>
              <w:rPr>
                <w:rFonts w:hint="eastAsia" w:ascii="楷体" w:hAnsi="楷体" w:eastAsia="楷体" w:cs="楷体"/>
                <w:b/>
                <w:bCs/>
                <w:sz w:val="32"/>
                <w:szCs w:val="32"/>
                <w:lang w:eastAsia="zh-CN"/>
              </w:rPr>
              <w:t>Y</w:t>
            </w:r>
            <w:r>
              <w:rPr>
                <w:rFonts w:hint="eastAsia" w:ascii="楷体" w:hAnsi="楷体" w:eastAsia="楷体" w:cs="楷体"/>
                <w:b/>
                <w:bCs/>
                <w:sz w:val="32"/>
                <w:szCs w:val="32"/>
                <w:lang w:val="en-US" w:eastAsia="zh-CN"/>
              </w:rPr>
              <w:t>N</w:t>
            </w:r>
            <w:r>
              <w:rPr>
                <w:rFonts w:hint="eastAsia" w:ascii="楷体" w:hAnsi="楷体" w:eastAsia="楷体" w:cs="楷体"/>
                <w:b/>
                <w:bCs/>
                <w:sz w:val="32"/>
                <w:szCs w:val="32"/>
                <w:lang w:eastAsia="zh-CN"/>
              </w:rPr>
              <w:t>CG-202</w:t>
            </w:r>
            <w:r>
              <w:rPr>
                <w:rFonts w:hint="eastAsia" w:ascii="楷体" w:hAnsi="楷体" w:eastAsia="楷体" w:cs="楷体"/>
                <w:b/>
                <w:bCs/>
                <w:sz w:val="32"/>
                <w:szCs w:val="32"/>
                <w:lang w:val="en-US" w:eastAsia="zh-CN"/>
              </w:rPr>
              <w:t>4</w:t>
            </w:r>
            <w:r>
              <w:rPr>
                <w:rFonts w:hint="eastAsia" w:ascii="楷体" w:hAnsi="楷体" w:eastAsia="楷体" w:cs="楷体"/>
                <w:b/>
                <w:bCs/>
                <w:sz w:val="32"/>
                <w:szCs w:val="32"/>
                <w:lang w:eastAsia="zh-CN"/>
              </w:rPr>
              <w:t>-00</w:t>
            </w:r>
            <w:r>
              <w:rPr>
                <w:rFonts w:hint="eastAsia" w:ascii="楷体" w:hAnsi="楷体" w:eastAsia="楷体" w:cs="楷体"/>
                <w:b/>
                <w:bCs/>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8460" w:type="dxa"/>
          </w:tcPr>
          <w:p>
            <w:pPr>
              <w:jc w:val="left"/>
              <w:rPr>
                <w:rFonts w:hint="default" w:ascii="楷体" w:hAnsi="楷体" w:eastAsia="楷体" w:cs="楷体"/>
                <w:sz w:val="32"/>
                <w:lang w:val="en-US" w:eastAsia="zh-CN"/>
              </w:rPr>
            </w:pPr>
            <w:r>
              <w:rPr>
                <w:rFonts w:hint="eastAsia" w:ascii="楷体" w:hAnsi="楷体" w:eastAsia="楷体" w:cs="楷体"/>
                <w:b/>
                <w:bCs/>
                <w:sz w:val="32"/>
                <w:szCs w:val="32"/>
              </w:rPr>
              <w:t>采 购 人：</w:t>
            </w:r>
            <w:r>
              <w:rPr>
                <w:rFonts w:hint="eastAsia" w:ascii="楷体" w:hAnsi="楷体" w:eastAsia="楷体" w:cs="楷体"/>
                <w:b/>
                <w:bCs/>
                <w:sz w:val="32"/>
                <w:szCs w:val="32"/>
                <w:lang w:val="en-US" w:eastAsia="zh-CN"/>
              </w:rPr>
              <w:t>伊宁市教育局</w:t>
            </w:r>
          </w:p>
        </w:tc>
      </w:tr>
    </w:tbl>
    <w:p>
      <w:pPr>
        <w:pStyle w:val="27"/>
        <w:rPr>
          <w:rFonts w:ascii="黑体" w:hAnsi="宋体" w:eastAsia="黑体"/>
          <w:color w:val="auto"/>
          <w:sz w:val="30"/>
        </w:rPr>
      </w:pPr>
    </w:p>
    <w:p>
      <w:pPr>
        <w:pStyle w:val="27"/>
        <w:rPr>
          <w:rFonts w:ascii="黑体" w:hAnsi="宋体" w:eastAsia="黑体"/>
          <w:color w:val="auto"/>
          <w:sz w:val="30"/>
        </w:rPr>
      </w:pPr>
    </w:p>
    <w:p>
      <w:pPr>
        <w:pStyle w:val="17"/>
      </w:pPr>
    </w:p>
    <w:p>
      <w:pPr>
        <w:jc w:val="center"/>
        <w:rPr>
          <w:rFonts w:hint="eastAsia" w:ascii="黑体" w:eastAsia="黑体"/>
          <w:sz w:val="30"/>
          <w:szCs w:val="30"/>
        </w:rPr>
        <w:sectPr>
          <w:headerReference r:id="rId4" w:type="first"/>
          <w:footerReference r:id="rId7" w:type="first"/>
          <w:headerReference r:id="rId3" w:type="default"/>
          <w:footerReference r:id="rId5" w:type="default"/>
          <w:footerReference r:id="rId6" w:type="even"/>
          <w:pgSz w:w="11906" w:h="16838"/>
          <w:pgMar w:top="1134" w:right="1134" w:bottom="1134" w:left="1418" w:header="851" w:footer="992" w:gutter="0"/>
          <w:pgNumType w:fmt="numberInDash" w:start="1"/>
          <w:cols w:space="720" w:num="1"/>
          <w:titlePg/>
          <w:docGrid w:type="lines" w:linePitch="333" w:charSpace="0"/>
        </w:sectPr>
      </w:pPr>
    </w:p>
    <w:p>
      <w:pPr>
        <w:tabs>
          <w:tab w:val="left" w:pos="1979"/>
          <w:tab w:val="center" w:pos="4737"/>
        </w:tabs>
        <w:jc w:val="left"/>
        <w:rPr>
          <w:rFonts w:ascii="黑体" w:eastAsia="黑体"/>
          <w:sz w:val="30"/>
          <w:szCs w:val="30"/>
        </w:rPr>
      </w:pPr>
      <w:r>
        <w:rPr>
          <w:rFonts w:hint="eastAsia" w:ascii="黑体" w:eastAsia="黑体"/>
          <w:sz w:val="30"/>
          <w:szCs w:val="30"/>
          <w:lang w:eastAsia="zh-CN"/>
        </w:rPr>
        <w:tab/>
      </w:r>
      <w:r>
        <w:rPr>
          <w:rFonts w:hint="eastAsia" w:ascii="黑体" w:eastAsia="黑体"/>
          <w:sz w:val="30"/>
          <w:szCs w:val="30"/>
          <w:lang w:eastAsia="zh-CN"/>
        </w:rPr>
        <w:tab/>
      </w:r>
      <w:r>
        <w:rPr>
          <w:rFonts w:hint="eastAsia" w:ascii="黑体" w:eastAsia="黑体"/>
          <w:sz w:val="30"/>
          <w:szCs w:val="30"/>
        </w:rPr>
        <w:t>目    录</w:t>
      </w:r>
    </w:p>
    <w:p>
      <w:pPr>
        <w:pStyle w:val="16"/>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TOC \o "1-3" \h \u </w:instrText>
      </w:r>
      <w:r>
        <w:rPr>
          <w:rFonts w:hint="eastAsia" w:ascii="仿宋_GB2312" w:eastAsia="仿宋_GB2312"/>
          <w:szCs w:val="21"/>
        </w:rPr>
        <w:fldChar w:fldCharType="separate"/>
      </w:r>
      <w:r>
        <w:rPr>
          <w:rFonts w:hint="eastAsia" w:ascii="仿宋_GB2312" w:eastAsia="仿宋_GB2312"/>
          <w:szCs w:val="21"/>
        </w:rPr>
        <w:fldChar w:fldCharType="begin"/>
      </w:r>
      <w:r>
        <w:rPr>
          <w:rFonts w:hint="eastAsia" w:ascii="仿宋_GB2312" w:eastAsia="仿宋_GB2312"/>
          <w:szCs w:val="21"/>
        </w:rPr>
        <w:instrText xml:space="preserve"> HYPERLINK \l _Toc29630 </w:instrText>
      </w:r>
      <w:r>
        <w:rPr>
          <w:rFonts w:hint="eastAsia" w:ascii="仿宋_GB2312" w:eastAsia="仿宋_GB2312"/>
          <w:szCs w:val="21"/>
        </w:rPr>
        <w:fldChar w:fldCharType="separate"/>
      </w:r>
      <w:r>
        <w:rPr>
          <w:rFonts w:hint="eastAsia" w:ascii="宋体" w:hAnsi="宋体"/>
          <w:szCs w:val="32"/>
        </w:rPr>
        <w:t>第一部分  投标邀请</w:t>
      </w:r>
      <w:r>
        <w:tab/>
      </w:r>
      <w:r>
        <w:fldChar w:fldCharType="begin"/>
      </w:r>
      <w:r>
        <w:instrText xml:space="preserve"> PAGEREF _Toc29630 \h </w:instrText>
      </w:r>
      <w:r>
        <w:fldChar w:fldCharType="separate"/>
      </w:r>
      <w:r>
        <w:t>- 1 -</w:t>
      </w:r>
      <w:r>
        <w:fldChar w:fldCharType="end"/>
      </w:r>
      <w:r>
        <w:rPr>
          <w:rFonts w:hint="eastAsia" w:ascii="仿宋_GB2312" w:eastAsia="仿宋_GB2312"/>
          <w:szCs w:val="21"/>
        </w:rPr>
        <w:fldChar w:fldCharType="end"/>
      </w:r>
    </w:p>
    <w:p>
      <w:pPr>
        <w:pStyle w:val="16"/>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_Toc22950 </w:instrText>
      </w:r>
      <w:r>
        <w:rPr>
          <w:rFonts w:hint="eastAsia" w:ascii="仿宋_GB2312" w:eastAsia="仿宋_GB2312"/>
          <w:szCs w:val="21"/>
        </w:rPr>
        <w:fldChar w:fldCharType="separate"/>
      </w:r>
      <w:r>
        <w:rPr>
          <w:rFonts w:hint="eastAsia" w:ascii="宋体" w:hAnsi="宋体"/>
          <w:kern w:val="2"/>
          <w:szCs w:val="36"/>
        </w:rPr>
        <w:t>第二部分  投标人须知</w:t>
      </w:r>
      <w:r>
        <w:tab/>
      </w:r>
      <w:r>
        <w:fldChar w:fldCharType="begin"/>
      </w:r>
      <w:r>
        <w:instrText xml:space="preserve"> PAGEREF _Toc22950 \h </w:instrText>
      </w:r>
      <w:r>
        <w:fldChar w:fldCharType="separate"/>
      </w:r>
      <w:r>
        <w:t>- 2 -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_Toc32147 </w:instrText>
      </w:r>
      <w:r>
        <w:rPr>
          <w:rFonts w:hint="eastAsia" w:ascii="仿宋_GB2312" w:eastAsia="仿宋_GB2312"/>
          <w:szCs w:val="21"/>
        </w:rPr>
        <w:fldChar w:fldCharType="separate"/>
      </w:r>
      <w:r>
        <w:rPr>
          <w:rFonts w:hint="eastAsia" w:ascii="仿宋_GB2312" w:hAnsi="Arial" w:eastAsia="仿宋_GB2312"/>
        </w:rPr>
        <w:t xml:space="preserve">第一章 </w:t>
      </w:r>
      <w:r>
        <w:rPr>
          <w:rFonts w:hint="eastAsia" w:ascii="仿宋_GB2312" w:hAnsi="宋体" w:eastAsia="仿宋_GB2312"/>
          <w:kern w:val="2"/>
          <w:szCs w:val="32"/>
        </w:rPr>
        <w:t>招标说明</w:t>
      </w:r>
      <w:r>
        <w:tab/>
      </w:r>
      <w:r>
        <w:fldChar w:fldCharType="begin"/>
      </w:r>
      <w:r>
        <w:instrText xml:space="preserve"> PAGEREF _Toc32147 \h </w:instrText>
      </w:r>
      <w:r>
        <w:fldChar w:fldCharType="separate"/>
      </w:r>
      <w:r>
        <w:t>- 2 -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_Toc21134 </w:instrText>
      </w:r>
      <w:r>
        <w:rPr>
          <w:rFonts w:hint="eastAsia" w:ascii="仿宋_GB2312" w:eastAsia="仿宋_GB2312"/>
          <w:szCs w:val="21"/>
        </w:rPr>
        <w:fldChar w:fldCharType="separate"/>
      </w:r>
      <w:r>
        <w:rPr>
          <w:rFonts w:hint="eastAsia" w:ascii="仿宋_GB2312" w:hAnsi="宋体" w:eastAsia="仿宋_GB2312"/>
          <w:szCs w:val="36"/>
        </w:rPr>
        <w:t xml:space="preserve">第二章 </w:t>
      </w:r>
      <w:r>
        <w:rPr>
          <w:rFonts w:hint="eastAsia" w:ascii="仿宋" w:hAnsi="仿宋" w:eastAsia="仿宋" w:cs="仿宋"/>
          <w:bCs/>
          <w:szCs w:val="36"/>
        </w:rPr>
        <w:t>投标人的资格要求</w:t>
      </w:r>
      <w:r>
        <w:tab/>
      </w:r>
      <w:r>
        <w:fldChar w:fldCharType="begin"/>
      </w:r>
      <w:r>
        <w:instrText xml:space="preserve"> PAGEREF _Toc21134 \h </w:instrText>
      </w:r>
      <w:r>
        <w:fldChar w:fldCharType="separate"/>
      </w:r>
      <w:r>
        <w:t>- 3 -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_Toc3143 </w:instrText>
      </w:r>
      <w:r>
        <w:rPr>
          <w:rFonts w:hint="eastAsia" w:ascii="仿宋_GB2312" w:eastAsia="仿宋_GB2312"/>
          <w:szCs w:val="21"/>
        </w:rPr>
        <w:fldChar w:fldCharType="separate"/>
      </w:r>
      <w:r>
        <w:rPr>
          <w:rFonts w:hint="eastAsia" w:ascii="宋体" w:hAnsi="宋体" w:cs="宋体"/>
          <w:szCs w:val="32"/>
        </w:rPr>
        <w:t>第四章 投标报价及保证金</w:t>
      </w:r>
      <w:r>
        <w:tab/>
      </w:r>
      <w:r>
        <w:fldChar w:fldCharType="begin"/>
      </w:r>
      <w:r>
        <w:instrText xml:space="preserve"> PAGEREF _Toc3143 \h </w:instrText>
      </w:r>
      <w:r>
        <w:fldChar w:fldCharType="separate"/>
      </w:r>
      <w:r>
        <w:t>- 5 -</w:t>
      </w:r>
      <w:r>
        <w:fldChar w:fldCharType="end"/>
      </w:r>
      <w:r>
        <w:rPr>
          <w:rFonts w:hint="eastAsia" w:ascii="仿宋_GB2312" w:eastAsia="仿宋_GB2312"/>
          <w:szCs w:val="21"/>
        </w:rPr>
        <w:fldChar w:fldCharType="end"/>
      </w:r>
    </w:p>
    <w:p>
      <w:pPr>
        <w:pStyle w:val="16"/>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_Toc1103 </w:instrText>
      </w:r>
      <w:r>
        <w:rPr>
          <w:rFonts w:hint="eastAsia" w:ascii="仿宋_GB2312" w:eastAsia="仿宋_GB2312"/>
          <w:szCs w:val="21"/>
        </w:rPr>
        <w:fldChar w:fldCharType="separate"/>
      </w:r>
      <w:r>
        <w:rPr>
          <w:rFonts w:hint="eastAsia"/>
        </w:rPr>
        <w:t>第三部分  采购需求及商务要求</w:t>
      </w:r>
      <w:r>
        <w:tab/>
      </w:r>
      <w:r>
        <w:fldChar w:fldCharType="begin"/>
      </w:r>
      <w:r>
        <w:instrText xml:space="preserve"> PAGEREF _Toc1103 \h </w:instrText>
      </w:r>
      <w:r>
        <w:fldChar w:fldCharType="separate"/>
      </w:r>
      <w:r>
        <w:t>- 5 -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_Toc32529 </w:instrText>
      </w:r>
      <w:r>
        <w:rPr>
          <w:rFonts w:hint="eastAsia" w:ascii="仿宋_GB2312" w:eastAsia="仿宋_GB2312"/>
          <w:szCs w:val="21"/>
        </w:rPr>
        <w:fldChar w:fldCharType="separate"/>
      </w:r>
      <w:r>
        <w:rPr>
          <w:rFonts w:hint="eastAsia" w:ascii="宋体" w:hAnsi="宋体"/>
          <w:szCs w:val="32"/>
        </w:rPr>
        <w:t>第一章 采购需求及技术参数</w:t>
      </w:r>
      <w:r>
        <w:tab/>
      </w:r>
      <w:r>
        <w:fldChar w:fldCharType="begin"/>
      </w:r>
      <w:r>
        <w:instrText xml:space="preserve"> PAGEREF _Toc32529 \h </w:instrText>
      </w:r>
      <w:r>
        <w:fldChar w:fldCharType="separate"/>
      </w:r>
      <w:r>
        <w:t>- 5 -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_Toc12012 </w:instrText>
      </w:r>
      <w:r>
        <w:rPr>
          <w:rFonts w:hint="eastAsia" w:ascii="仿宋_GB2312" w:eastAsia="仿宋_GB2312"/>
          <w:szCs w:val="21"/>
        </w:rPr>
        <w:fldChar w:fldCharType="separate"/>
      </w:r>
      <w:r>
        <w:rPr>
          <w:rFonts w:hint="eastAsia" w:ascii="宋体" w:hAnsi="宋体" w:cs="宋体"/>
          <w:bCs/>
          <w:szCs w:val="28"/>
          <w:highlight w:val="none"/>
        </w:rPr>
        <w:t>一、</w:t>
      </w:r>
      <w:r>
        <w:rPr>
          <w:rFonts w:hint="eastAsia" w:ascii="宋体" w:hAnsi="宋体" w:cs="宋体"/>
          <w:bCs/>
          <w:szCs w:val="28"/>
          <w:highlight w:val="none"/>
          <w:lang w:eastAsia="zh-CN"/>
        </w:rPr>
        <w:t>项目</w:t>
      </w:r>
      <w:r>
        <w:rPr>
          <w:rFonts w:hint="eastAsia" w:ascii="宋体" w:hAnsi="宋体" w:cs="宋体"/>
          <w:bCs/>
          <w:szCs w:val="28"/>
          <w:highlight w:val="none"/>
        </w:rPr>
        <w:t>内容</w:t>
      </w:r>
      <w:r>
        <w:tab/>
      </w:r>
      <w:r>
        <w:fldChar w:fldCharType="begin"/>
      </w:r>
      <w:r>
        <w:instrText xml:space="preserve"> PAGEREF _Toc12012 \h </w:instrText>
      </w:r>
      <w:r>
        <w:fldChar w:fldCharType="separate"/>
      </w:r>
      <w:r>
        <w:t>- 5 -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_Toc9447 </w:instrText>
      </w:r>
      <w:r>
        <w:rPr>
          <w:rFonts w:hint="eastAsia" w:ascii="仿宋_GB2312" w:eastAsia="仿宋_GB2312"/>
          <w:szCs w:val="21"/>
        </w:rPr>
        <w:fldChar w:fldCharType="separate"/>
      </w:r>
      <w:r>
        <w:rPr>
          <w:rFonts w:hint="eastAsia" w:ascii="仿宋_GB2312" w:hAnsi="宋体" w:eastAsia="仿宋_GB2312"/>
          <w:kern w:val="2"/>
          <w:szCs w:val="32"/>
        </w:rPr>
        <w:t>第二章 付款方式及程序</w:t>
      </w:r>
      <w:r>
        <w:tab/>
      </w:r>
      <w:r>
        <w:fldChar w:fldCharType="begin"/>
      </w:r>
      <w:r>
        <w:instrText xml:space="preserve"> PAGEREF _Toc9447 \h </w:instrText>
      </w:r>
      <w:r>
        <w:fldChar w:fldCharType="separate"/>
      </w:r>
      <w:r>
        <w:t>- 55 -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_Toc16509 </w:instrText>
      </w:r>
      <w:r>
        <w:rPr>
          <w:rFonts w:hint="eastAsia" w:ascii="仿宋_GB2312" w:eastAsia="仿宋_GB2312"/>
          <w:szCs w:val="21"/>
        </w:rPr>
        <w:fldChar w:fldCharType="separate"/>
      </w:r>
      <w:r>
        <w:rPr>
          <w:rFonts w:hint="eastAsia" w:ascii="仿宋_GB2312" w:hAnsi="宋体" w:eastAsia="仿宋_GB2312"/>
          <w:szCs w:val="32"/>
        </w:rPr>
        <w:t>第三章 售后服务要求</w:t>
      </w:r>
      <w:r>
        <w:tab/>
      </w:r>
      <w:r>
        <w:fldChar w:fldCharType="begin"/>
      </w:r>
      <w:r>
        <w:instrText xml:space="preserve"> PAGEREF _Toc16509 \h </w:instrText>
      </w:r>
      <w:r>
        <w:fldChar w:fldCharType="separate"/>
      </w:r>
      <w:r>
        <w:t>- 55 -</w:t>
      </w:r>
      <w:r>
        <w:fldChar w:fldCharType="end"/>
      </w:r>
      <w:r>
        <w:rPr>
          <w:rFonts w:hint="eastAsia" w:ascii="仿宋_GB2312" w:eastAsia="仿宋_GB2312"/>
          <w:szCs w:val="21"/>
        </w:rPr>
        <w:fldChar w:fldCharType="end"/>
      </w:r>
    </w:p>
    <w:p>
      <w:pPr>
        <w:pStyle w:val="16"/>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_Toc2713 </w:instrText>
      </w:r>
      <w:r>
        <w:rPr>
          <w:rFonts w:hint="eastAsia" w:ascii="仿宋_GB2312" w:eastAsia="仿宋_GB2312"/>
          <w:szCs w:val="21"/>
        </w:rPr>
        <w:fldChar w:fldCharType="separate"/>
      </w:r>
      <w:r>
        <w:rPr>
          <w:rFonts w:hint="eastAsia" w:ascii="宋体" w:hAnsi="宋体"/>
          <w:szCs w:val="36"/>
        </w:rPr>
        <w:t>第四部分  招标组织程序</w:t>
      </w:r>
      <w:r>
        <w:tab/>
      </w:r>
      <w:r>
        <w:fldChar w:fldCharType="begin"/>
      </w:r>
      <w:r>
        <w:instrText xml:space="preserve"> PAGEREF _Toc2713 \h </w:instrText>
      </w:r>
      <w:r>
        <w:fldChar w:fldCharType="separate"/>
      </w:r>
      <w:r>
        <w:t>- 55 -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_Toc21856 </w:instrText>
      </w:r>
      <w:r>
        <w:rPr>
          <w:rFonts w:hint="eastAsia" w:ascii="仿宋_GB2312" w:eastAsia="仿宋_GB2312"/>
          <w:szCs w:val="21"/>
        </w:rPr>
        <w:fldChar w:fldCharType="separate"/>
      </w:r>
      <w:r>
        <w:rPr>
          <w:rFonts w:hint="eastAsia" w:ascii="仿宋_GB2312" w:hAnsi="Arial" w:eastAsia="仿宋_GB2312"/>
          <w:szCs w:val="32"/>
        </w:rPr>
        <w:t>第一章 评标委员会</w:t>
      </w:r>
      <w:r>
        <w:tab/>
      </w:r>
      <w:r>
        <w:fldChar w:fldCharType="begin"/>
      </w:r>
      <w:r>
        <w:instrText xml:space="preserve"> PAGEREF _Toc21856 \h </w:instrText>
      </w:r>
      <w:r>
        <w:fldChar w:fldCharType="separate"/>
      </w:r>
      <w:r>
        <w:t>- 55 -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_Toc15017 </w:instrText>
      </w:r>
      <w:r>
        <w:rPr>
          <w:rFonts w:hint="eastAsia" w:ascii="仿宋_GB2312" w:eastAsia="仿宋_GB2312"/>
          <w:szCs w:val="21"/>
        </w:rPr>
        <w:fldChar w:fldCharType="separate"/>
      </w:r>
      <w:r>
        <w:rPr>
          <w:rFonts w:hint="eastAsia" w:ascii="仿宋_GB2312" w:hAnsi="宋体" w:eastAsia="仿宋_GB2312"/>
          <w:szCs w:val="36"/>
        </w:rPr>
        <w:t>第二章 开评标和定标</w:t>
      </w:r>
      <w:r>
        <w:tab/>
      </w:r>
      <w:r>
        <w:fldChar w:fldCharType="begin"/>
      </w:r>
      <w:r>
        <w:instrText xml:space="preserve"> PAGEREF _Toc15017 \h </w:instrText>
      </w:r>
      <w:r>
        <w:fldChar w:fldCharType="separate"/>
      </w:r>
      <w:r>
        <w:t>- 56 -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_Toc14117 </w:instrText>
      </w:r>
      <w:r>
        <w:rPr>
          <w:rFonts w:hint="eastAsia" w:ascii="仿宋_GB2312" w:eastAsia="仿宋_GB2312"/>
          <w:szCs w:val="21"/>
        </w:rPr>
        <w:fldChar w:fldCharType="separate"/>
      </w:r>
      <w:r>
        <w:rPr>
          <w:rFonts w:hint="eastAsia" w:ascii="仿宋" w:hAnsi="仿宋" w:eastAsia="仿宋" w:cs="仿宋"/>
          <w:bCs/>
          <w:szCs w:val="30"/>
        </w:rPr>
        <w:t>第三章 无效投标及废标</w:t>
      </w:r>
      <w:r>
        <w:tab/>
      </w:r>
      <w:r>
        <w:fldChar w:fldCharType="begin"/>
      </w:r>
      <w:r>
        <w:instrText xml:space="preserve"> PAGEREF _Toc14117 \h </w:instrText>
      </w:r>
      <w:r>
        <w:fldChar w:fldCharType="separate"/>
      </w:r>
      <w:r>
        <w:t>- 61 -</w:t>
      </w:r>
      <w:r>
        <w:fldChar w:fldCharType="end"/>
      </w:r>
      <w:r>
        <w:rPr>
          <w:rFonts w:hint="eastAsia" w:ascii="仿宋_GB2312" w:eastAsia="仿宋_GB2312"/>
          <w:szCs w:val="21"/>
        </w:rPr>
        <w:fldChar w:fldCharType="end"/>
      </w:r>
    </w:p>
    <w:p>
      <w:pPr>
        <w:pStyle w:val="16"/>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_Toc1307 </w:instrText>
      </w:r>
      <w:r>
        <w:rPr>
          <w:rFonts w:hint="eastAsia" w:ascii="仿宋_GB2312" w:eastAsia="仿宋_GB2312"/>
          <w:szCs w:val="21"/>
        </w:rPr>
        <w:fldChar w:fldCharType="separate"/>
      </w:r>
      <w:r>
        <w:rPr>
          <w:rFonts w:hint="eastAsia" w:ascii="仿宋" w:hAnsi="仿宋" w:eastAsia="仿宋" w:cs="仿宋"/>
          <w:bCs/>
          <w:szCs w:val="32"/>
        </w:rPr>
        <w:t>第五部分  招标结束后注意事项</w:t>
      </w:r>
      <w:r>
        <w:tab/>
      </w:r>
      <w:r>
        <w:fldChar w:fldCharType="begin"/>
      </w:r>
      <w:r>
        <w:instrText xml:space="preserve"> PAGEREF _Toc1307 \h </w:instrText>
      </w:r>
      <w:r>
        <w:fldChar w:fldCharType="separate"/>
      </w:r>
      <w:r>
        <w:t>- 62 -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_Toc14252 </w:instrText>
      </w:r>
      <w:r>
        <w:rPr>
          <w:rFonts w:hint="eastAsia" w:ascii="仿宋_GB2312" w:eastAsia="仿宋_GB2312"/>
          <w:szCs w:val="21"/>
        </w:rPr>
        <w:fldChar w:fldCharType="separate"/>
      </w:r>
      <w:r>
        <w:rPr>
          <w:rFonts w:hint="eastAsia" w:ascii="仿宋" w:hAnsi="仿宋" w:eastAsia="仿宋" w:cs="仿宋"/>
          <w:bCs/>
          <w:szCs w:val="32"/>
        </w:rPr>
        <w:t>第一章 质疑处理</w:t>
      </w:r>
      <w:r>
        <w:tab/>
      </w:r>
      <w:r>
        <w:fldChar w:fldCharType="begin"/>
      </w:r>
      <w:r>
        <w:instrText xml:space="preserve"> PAGEREF _Toc14252 \h </w:instrText>
      </w:r>
      <w:r>
        <w:fldChar w:fldCharType="separate"/>
      </w:r>
      <w:r>
        <w:t>- 62 -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_Toc22161 </w:instrText>
      </w:r>
      <w:r>
        <w:rPr>
          <w:rFonts w:hint="eastAsia" w:ascii="仿宋_GB2312" w:eastAsia="仿宋_GB2312"/>
          <w:szCs w:val="21"/>
        </w:rPr>
        <w:fldChar w:fldCharType="separate"/>
      </w:r>
      <w:r>
        <w:rPr>
          <w:rFonts w:hint="eastAsia" w:ascii="仿宋" w:hAnsi="仿宋" w:eastAsia="仿宋" w:cs="仿宋"/>
          <w:bCs/>
          <w:szCs w:val="30"/>
        </w:rPr>
        <w:t>第二章 签订合同</w:t>
      </w:r>
      <w:r>
        <w:tab/>
      </w:r>
      <w:r>
        <w:fldChar w:fldCharType="begin"/>
      </w:r>
      <w:r>
        <w:instrText xml:space="preserve"> PAGEREF _Toc22161 \h </w:instrText>
      </w:r>
      <w:r>
        <w:fldChar w:fldCharType="separate"/>
      </w:r>
      <w:r>
        <w:t>- 62 -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_Toc29254 </w:instrText>
      </w:r>
      <w:r>
        <w:rPr>
          <w:rFonts w:hint="eastAsia" w:ascii="仿宋_GB2312" w:eastAsia="仿宋_GB2312"/>
          <w:szCs w:val="21"/>
        </w:rPr>
        <w:fldChar w:fldCharType="separate"/>
      </w:r>
      <w:r>
        <w:rPr>
          <w:rFonts w:hint="eastAsia" w:ascii="仿宋" w:hAnsi="仿宋" w:eastAsia="仿宋" w:cs="仿宋"/>
          <w:bCs/>
          <w:kern w:val="2"/>
          <w:szCs w:val="30"/>
        </w:rPr>
        <w:t>合同格式范本（仅供参考）</w:t>
      </w:r>
      <w:r>
        <w:tab/>
      </w:r>
      <w:r>
        <w:fldChar w:fldCharType="begin"/>
      </w:r>
      <w:r>
        <w:instrText xml:space="preserve"> PAGEREF _Toc29254 \h </w:instrText>
      </w:r>
      <w:r>
        <w:fldChar w:fldCharType="separate"/>
      </w:r>
      <w:r>
        <w:t>- 63 -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_Toc8556 </w:instrText>
      </w:r>
      <w:r>
        <w:rPr>
          <w:rFonts w:hint="eastAsia" w:ascii="仿宋_GB2312" w:eastAsia="仿宋_GB2312"/>
          <w:szCs w:val="21"/>
        </w:rPr>
        <w:fldChar w:fldCharType="separate"/>
      </w:r>
      <w:r>
        <w:rPr>
          <w:rFonts w:hint="eastAsia" w:ascii="仿宋" w:hAnsi="仿宋" w:eastAsia="仿宋" w:cs="仿宋"/>
          <w:bCs/>
          <w:szCs w:val="32"/>
        </w:rPr>
        <w:t>第三章 项目验收</w:t>
      </w:r>
      <w:r>
        <w:tab/>
      </w:r>
      <w:r>
        <w:fldChar w:fldCharType="begin"/>
      </w:r>
      <w:r>
        <w:instrText xml:space="preserve"> PAGEREF _Toc8556 \h </w:instrText>
      </w:r>
      <w:r>
        <w:fldChar w:fldCharType="separate"/>
      </w:r>
      <w:r>
        <w:t>- 65 -</w:t>
      </w:r>
      <w:r>
        <w:fldChar w:fldCharType="end"/>
      </w:r>
      <w:r>
        <w:rPr>
          <w:rFonts w:hint="eastAsia" w:ascii="仿宋_GB2312" w:eastAsia="仿宋_GB2312"/>
          <w:szCs w:val="21"/>
        </w:rPr>
        <w:fldChar w:fldCharType="end"/>
      </w:r>
    </w:p>
    <w:p>
      <w:pPr>
        <w:pStyle w:val="16"/>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_Toc2782 </w:instrText>
      </w:r>
      <w:r>
        <w:rPr>
          <w:rFonts w:hint="eastAsia" w:ascii="仿宋_GB2312" w:eastAsia="仿宋_GB2312"/>
          <w:szCs w:val="21"/>
        </w:rPr>
        <w:fldChar w:fldCharType="separate"/>
      </w:r>
      <w:r>
        <w:rPr>
          <w:rFonts w:hint="eastAsia" w:ascii="宋体" w:hAnsi="宋体"/>
        </w:rPr>
        <w:t xml:space="preserve">第六部分 </w:t>
      </w:r>
      <w:r>
        <w:rPr>
          <w:rFonts w:hint="eastAsia" w:ascii="宋体" w:hAnsi="宋体"/>
          <w:szCs w:val="36"/>
        </w:rPr>
        <w:t>投标文件范本格式</w:t>
      </w:r>
      <w:r>
        <w:tab/>
      </w:r>
      <w:r>
        <w:fldChar w:fldCharType="begin"/>
      </w:r>
      <w:r>
        <w:instrText xml:space="preserve"> PAGEREF _Toc2782 \h </w:instrText>
      </w:r>
      <w:r>
        <w:fldChar w:fldCharType="separate"/>
      </w:r>
      <w:r>
        <w:t>- 67 -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_Toc12487 </w:instrText>
      </w:r>
      <w:r>
        <w:rPr>
          <w:rFonts w:hint="eastAsia" w:ascii="仿宋_GB2312" w:eastAsia="仿宋_GB2312"/>
          <w:szCs w:val="21"/>
        </w:rPr>
        <w:fldChar w:fldCharType="separate"/>
      </w:r>
      <w:r>
        <w:rPr>
          <w:rFonts w:hint="eastAsia" w:ascii="仿宋" w:hAnsi="仿宋" w:eastAsia="仿宋" w:cs="仿宋"/>
          <w:bCs/>
          <w:szCs w:val="32"/>
        </w:rPr>
        <w:t>（一）投标文件封面</w:t>
      </w:r>
      <w:r>
        <w:tab/>
      </w:r>
      <w:r>
        <w:fldChar w:fldCharType="begin"/>
      </w:r>
      <w:r>
        <w:instrText xml:space="preserve"> PAGEREF _Toc12487 \h </w:instrText>
      </w:r>
      <w:r>
        <w:fldChar w:fldCharType="separate"/>
      </w:r>
      <w:r>
        <w:t>- 67 -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_Toc889 </w:instrText>
      </w:r>
      <w:r>
        <w:rPr>
          <w:rFonts w:hint="eastAsia" w:ascii="仿宋_GB2312" w:eastAsia="仿宋_GB2312"/>
          <w:szCs w:val="21"/>
        </w:rPr>
        <w:fldChar w:fldCharType="separate"/>
      </w:r>
      <w:r>
        <w:rPr>
          <w:rFonts w:hint="eastAsia" w:ascii="仿宋" w:hAnsi="仿宋" w:eastAsia="仿宋" w:cs="仿宋"/>
          <w:szCs w:val="32"/>
        </w:rPr>
        <w:t>（二）投标文件目录</w:t>
      </w:r>
      <w:r>
        <w:tab/>
      </w:r>
      <w:r>
        <w:fldChar w:fldCharType="begin"/>
      </w:r>
      <w:r>
        <w:instrText xml:space="preserve"> PAGEREF _Toc889 \h </w:instrText>
      </w:r>
      <w:r>
        <w:fldChar w:fldCharType="separate"/>
      </w:r>
      <w:r>
        <w:t>- 68 -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_Toc15502 </w:instrText>
      </w:r>
      <w:r>
        <w:rPr>
          <w:rFonts w:hint="eastAsia" w:ascii="仿宋_GB2312" w:eastAsia="仿宋_GB2312"/>
          <w:szCs w:val="21"/>
        </w:rPr>
        <w:fldChar w:fldCharType="separate"/>
      </w:r>
      <w:r>
        <w:rPr>
          <w:rFonts w:hint="eastAsia" w:ascii="仿宋" w:hAnsi="仿宋" w:eastAsia="仿宋" w:cs="仿宋"/>
        </w:rPr>
        <w:t>（三）投 标 函</w:t>
      </w:r>
      <w:r>
        <w:tab/>
      </w:r>
      <w:r>
        <w:fldChar w:fldCharType="begin"/>
      </w:r>
      <w:r>
        <w:instrText xml:space="preserve"> PAGEREF _Toc15502 \h </w:instrText>
      </w:r>
      <w:r>
        <w:fldChar w:fldCharType="separate"/>
      </w:r>
      <w:r>
        <w:t>- 69 -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_Toc17027 </w:instrText>
      </w:r>
      <w:r>
        <w:rPr>
          <w:rFonts w:hint="eastAsia" w:ascii="仿宋_GB2312" w:eastAsia="仿宋_GB2312"/>
          <w:szCs w:val="21"/>
        </w:rPr>
        <w:fldChar w:fldCharType="separate"/>
      </w:r>
      <w:r>
        <w:rPr>
          <w:rFonts w:hint="eastAsia" w:ascii="仿宋" w:hAnsi="仿宋" w:eastAsia="仿宋" w:cs="仿宋"/>
        </w:rPr>
        <w:t>（四）法人代表授权书</w:t>
      </w:r>
      <w:r>
        <w:tab/>
      </w:r>
      <w:r>
        <w:fldChar w:fldCharType="begin"/>
      </w:r>
      <w:r>
        <w:instrText xml:space="preserve"> PAGEREF _Toc17027 \h </w:instrText>
      </w:r>
      <w:r>
        <w:fldChar w:fldCharType="separate"/>
      </w:r>
      <w:r>
        <w:t>- 69 -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_Toc3833 </w:instrText>
      </w:r>
      <w:r>
        <w:rPr>
          <w:rFonts w:hint="eastAsia" w:ascii="仿宋_GB2312" w:eastAsia="仿宋_GB2312"/>
          <w:szCs w:val="21"/>
        </w:rPr>
        <w:fldChar w:fldCharType="separate"/>
      </w:r>
      <w:r>
        <w:rPr>
          <w:rFonts w:hint="eastAsia" w:ascii="仿宋" w:hAnsi="仿宋" w:eastAsia="仿宋" w:cs="仿宋"/>
        </w:rPr>
        <w:t>（五）开标一览表</w:t>
      </w:r>
      <w:r>
        <w:tab/>
      </w:r>
      <w:r>
        <w:fldChar w:fldCharType="begin"/>
      </w:r>
      <w:r>
        <w:instrText xml:space="preserve"> PAGEREF _Toc3833 \h </w:instrText>
      </w:r>
      <w:r>
        <w:fldChar w:fldCharType="separate"/>
      </w:r>
      <w:r>
        <w:t>- 70 -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_Toc30922 </w:instrText>
      </w:r>
      <w:r>
        <w:rPr>
          <w:rFonts w:hint="eastAsia" w:ascii="仿宋_GB2312" w:eastAsia="仿宋_GB2312"/>
          <w:szCs w:val="21"/>
        </w:rPr>
        <w:fldChar w:fldCharType="separate"/>
      </w:r>
      <w:r>
        <w:rPr>
          <w:rFonts w:hint="eastAsia" w:ascii="仿宋" w:hAnsi="仿宋" w:eastAsia="仿宋" w:cs="仿宋"/>
        </w:rPr>
        <w:t>（六）报价明细表</w:t>
      </w:r>
      <w:r>
        <w:tab/>
      </w:r>
      <w:r>
        <w:fldChar w:fldCharType="begin"/>
      </w:r>
      <w:r>
        <w:instrText xml:space="preserve"> PAGEREF _Toc30922 \h </w:instrText>
      </w:r>
      <w:r>
        <w:fldChar w:fldCharType="separate"/>
      </w:r>
      <w:r>
        <w:t>- 70 -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_Toc20274 </w:instrText>
      </w:r>
      <w:r>
        <w:rPr>
          <w:rFonts w:hint="eastAsia" w:ascii="仿宋_GB2312" w:eastAsia="仿宋_GB2312"/>
          <w:szCs w:val="21"/>
        </w:rPr>
        <w:fldChar w:fldCharType="separate"/>
      </w:r>
      <w:r>
        <w:rPr>
          <w:rFonts w:hint="eastAsia" w:ascii="仿宋" w:hAnsi="仿宋" w:eastAsia="仿宋" w:cs="仿宋"/>
        </w:rPr>
        <w:t>（七）技术参数、功能偏离表</w:t>
      </w:r>
      <w:r>
        <w:tab/>
      </w:r>
      <w:r>
        <w:fldChar w:fldCharType="begin"/>
      </w:r>
      <w:r>
        <w:instrText xml:space="preserve"> PAGEREF _Toc20274 \h </w:instrText>
      </w:r>
      <w:r>
        <w:fldChar w:fldCharType="separate"/>
      </w:r>
      <w:r>
        <w:t>- 71 -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_Toc19480 </w:instrText>
      </w:r>
      <w:r>
        <w:rPr>
          <w:rFonts w:hint="eastAsia" w:ascii="仿宋_GB2312" w:eastAsia="仿宋_GB2312"/>
          <w:szCs w:val="21"/>
        </w:rPr>
        <w:fldChar w:fldCharType="separate"/>
      </w:r>
      <w:r>
        <w:rPr>
          <w:rFonts w:hint="eastAsia" w:ascii="仿宋" w:hAnsi="仿宋" w:eastAsia="仿宋" w:cs="仿宋"/>
        </w:rPr>
        <w:t>（八）近三年类似业绩表</w:t>
      </w:r>
      <w:r>
        <w:tab/>
      </w:r>
      <w:r>
        <w:fldChar w:fldCharType="begin"/>
      </w:r>
      <w:r>
        <w:instrText xml:space="preserve"> PAGEREF _Toc19480 \h </w:instrText>
      </w:r>
      <w:r>
        <w:fldChar w:fldCharType="separate"/>
      </w:r>
      <w:r>
        <w:t>- 71 -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_Toc25082 </w:instrText>
      </w:r>
      <w:r>
        <w:rPr>
          <w:rFonts w:hint="eastAsia" w:ascii="仿宋_GB2312" w:eastAsia="仿宋_GB2312"/>
          <w:szCs w:val="21"/>
        </w:rPr>
        <w:fldChar w:fldCharType="separate"/>
      </w:r>
      <w:r>
        <w:rPr>
          <w:rFonts w:hint="eastAsia" w:ascii="仿宋" w:hAnsi="仿宋" w:eastAsia="仿宋" w:cs="仿宋"/>
          <w:bCs/>
          <w:szCs w:val="32"/>
        </w:rPr>
        <w:t>（十）无重大违法记录声明函</w:t>
      </w:r>
      <w:r>
        <w:tab/>
      </w:r>
      <w:r>
        <w:fldChar w:fldCharType="begin"/>
      </w:r>
      <w:r>
        <w:instrText xml:space="preserve"> PAGEREF _Toc25082 \h </w:instrText>
      </w:r>
      <w:r>
        <w:fldChar w:fldCharType="separate"/>
      </w:r>
      <w:r>
        <w:t>- 72 -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_Toc5062 </w:instrText>
      </w:r>
      <w:r>
        <w:rPr>
          <w:rFonts w:hint="eastAsia" w:ascii="仿宋_GB2312" w:eastAsia="仿宋_GB2312"/>
          <w:szCs w:val="21"/>
        </w:rPr>
        <w:fldChar w:fldCharType="separate"/>
      </w:r>
      <w:r>
        <w:rPr>
          <w:rFonts w:hint="eastAsia" w:ascii="仿宋" w:hAnsi="仿宋" w:eastAsia="仿宋" w:cs="仿宋"/>
          <w:bCs/>
          <w:szCs w:val="32"/>
        </w:rPr>
        <w:t>（十一）政府采购诚信承诺书</w:t>
      </w:r>
      <w:r>
        <w:tab/>
      </w:r>
      <w:r>
        <w:fldChar w:fldCharType="begin"/>
      </w:r>
      <w:r>
        <w:instrText xml:space="preserve"> PAGEREF _Toc5062 \h </w:instrText>
      </w:r>
      <w:r>
        <w:fldChar w:fldCharType="separate"/>
      </w:r>
      <w:r>
        <w:t>- 72 -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_Toc6267 </w:instrText>
      </w:r>
      <w:r>
        <w:rPr>
          <w:rFonts w:hint="eastAsia" w:ascii="仿宋_GB2312" w:eastAsia="仿宋_GB2312"/>
          <w:szCs w:val="21"/>
        </w:rPr>
        <w:fldChar w:fldCharType="separate"/>
      </w:r>
      <w:r>
        <w:rPr>
          <w:rFonts w:hint="eastAsia" w:ascii="仿宋" w:hAnsi="仿宋" w:eastAsia="仿宋" w:cs="仿宋"/>
          <w:szCs w:val="32"/>
        </w:rPr>
        <w:t>（十三）残疾人福利性单位声明函</w:t>
      </w:r>
      <w:r>
        <w:tab/>
      </w:r>
      <w:r>
        <w:fldChar w:fldCharType="begin"/>
      </w:r>
      <w:r>
        <w:instrText xml:space="preserve"> PAGEREF _Toc6267 \h </w:instrText>
      </w:r>
      <w:r>
        <w:fldChar w:fldCharType="separate"/>
      </w:r>
      <w:r>
        <w:t>- 75 -</w:t>
      </w:r>
      <w:r>
        <w:fldChar w:fldCharType="end"/>
      </w:r>
      <w:r>
        <w:rPr>
          <w:rFonts w:hint="eastAsia" w:ascii="仿宋_GB2312" w:eastAsia="仿宋_GB2312"/>
          <w:szCs w:val="21"/>
        </w:rPr>
        <w:fldChar w:fldCharType="end"/>
      </w:r>
    </w:p>
    <w:p>
      <w:pPr>
        <w:pStyle w:val="18"/>
        <w:tabs>
          <w:tab w:val="right" w:leader="dot" w:pos="9354"/>
        </w:tabs>
      </w:pPr>
      <w:r>
        <w:rPr>
          <w:rFonts w:hint="eastAsia" w:ascii="仿宋_GB2312" w:eastAsia="仿宋_GB2312"/>
          <w:szCs w:val="21"/>
        </w:rPr>
        <w:fldChar w:fldCharType="begin"/>
      </w:r>
      <w:r>
        <w:rPr>
          <w:rFonts w:hint="eastAsia" w:ascii="仿宋_GB2312" w:eastAsia="仿宋_GB2312"/>
          <w:szCs w:val="21"/>
        </w:rPr>
        <w:instrText xml:space="preserve"> HYPERLINK \l _Toc7873 </w:instrText>
      </w:r>
      <w:r>
        <w:rPr>
          <w:rFonts w:hint="eastAsia" w:ascii="仿宋_GB2312" w:eastAsia="仿宋_GB2312"/>
          <w:szCs w:val="21"/>
        </w:rPr>
        <w:fldChar w:fldCharType="separate"/>
      </w:r>
      <w:r>
        <w:rPr>
          <w:rFonts w:hint="eastAsia" w:ascii="仿宋" w:hAnsi="仿宋" w:eastAsia="仿宋" w:cs="仿宋"/>
          <w:bCs/>
          <w:szCs w:val="32"/>
        </w:rPr>
        <w:t>（十四）监狱企业证明</w:t>
      </w:r>
      <w:r>
        <w:tab/>
      </w:r>
      <w:r>
        <w:fldChar w:fldCharType="begin"/>
      </w:r>
      <w:r>
        <w:instrText xml:space="preserve"> PAGEREF _Toc7873 \h </w:instrText>
      </w:r>
      <w:r>
        <w:fldChar w:fldCharType="separate"/>
      </w:r>
      <w:r>
        <w:t>- 75 -</w:t>
      </w:r>
      <w:r>
        <w:fldChar w:fldCharType="end"/>
      </w:r>
      <w:r>
        <w:rPr>
          <w:rFonts w:hint="eastAsia" w:ascii="仿宋_GB2312" w:eastAsia="仿宋_GB2312"/>
          <w:szCs w:val="21"/>
        </w:rPr>
        <w:fldChar w:fldCharType="end"/>
      </w:r>
    </w:p>
    <w:p>
      <w:pPr>
        <w:pStyle w:val="28"/>
        <w:tabs>
          <w:tab w:val="right" w:leader="dot" w:pos="9354"/>
        </w:tabs>
        <w:snapToGrid w:val="0"/>
        <w:rPr>
          <w:rFonts w:ascii="仿宋_GB2312" w:eastAsia="仿宋_GB2312"/>
        </w:rPr>
      </w:pPr>
      <w:r>
        <w:rPr>
          <w:rFonts w:hint="eastAsia" w:ascii="仿宋_GB2312" w:eastAsia="仿宋_GB2312"/>
          <w:szCs w:val="21"/>
        </w:rPr>
        <w:fldChar w:fldCharType="end"/>
      </w:r>
    </w:p>
    <w:p>
      <w:pPr>
        <w:pStyle w:val="28"/>
        <w:tabs>
          <w:tab w:val="right" w:leader="dot" w:pos="9354"/>
        </w:tabs>
        <w:jc w:val="center"/>
        <w:outlineLvl w:val="0"/>
        <w:rPr>
          <w:rFonts w:hint="eastAsia" w:ascii="宋体" w:hAnsi="宋体"/>
          <w:b/>
          <w:sz w:val="32"/>
          <w:szCs w:val="32"/>
        </w:rPr>
        <w:sectPr>
          <w:footerReference r:id="rId9" w:type="first"/>
          <w:footerReference r:id="rId8" w:type="default"/>
          <w:pgSz w:w="11906" w:h="16838"/>
          <w:pgMar w:top="1134" w:right="1134" w:bottom="1134" w:left="1418" w:header="851" w:footer="992" w:gutter="0"/>
          <w:pgNumType w:fmt="numberInDash" w:start="1"/>
          <w:cols w:space="720" w:num="1"/>
          <w:docGrid w:type="lines" w:linePitch="333" w:charSpace="0"/>
        </w:sectPr>
      </w:pPr>
      <w:bookmarkStart w:id="0" w:name="_Toc21269"/>
      <w:bookmarkStart w:id="1" w:name="_Toc26036"/>
      <w:bookmarkStart w:id="2" w:name="_Toc20184"/>
      <w:bookmarkStart w:id="3" w:name="_Toc28443"/>
      <w:bookmarkStart w:id="4" w:name="_Toc22229"/>
      <w:bookmarkStart w:id="5" w:name="_Toc26997"/>
      <w:bookmarkStart w:id="6" w:name="_Toc19398"/>
      <w:bookmarkStart w:id="7" w:name="_Toc21251_WPSOffice_Level1"/>
      <w:bookmarkStart w:id="8" w:name="_Toc27621"/>
      <w:bookmarkStart w:id="9" w:name="_Toc6101"/>
      <w:bookmarkStart w:id="10" w:name="_Toc6557"/>
      <w:bookmarkStart w:id="11" w:name="_Toc4508"/>
      <w:bookmarkStart w:id="12" w:name="_Toc15825"/>
      <w:bookmarkStart w:id="13" w:name="_Toc27673"/>
      <w:bookmarkStart w:id="14" w:name="_Toc24291"/>
      <w:bookmarkStart w:id="15" w:name="_Toc16402"/>
      <w:bookmarkStart w:id="16" w:name="_Toc21404"/>
    </w:p>
    <w:p>
      <w:pPr>
        <w:pStyle w:val="28"/>
        <w:tabs>
          <w:tab w:val="right" w:leader="dot" w:pos="9354"/>
        </w:tabs>
        <w:jc w:val="center"/>
        <w:outlineLvl w:val="0"/>
        <w:rPr>
          <w:rFonts w:ascii="宋体" w:hAnsi="宋体"/>
          <w:b/>
          <w:sz w:val="36"/>
        </w:rPr>
      </w:pPr>
      <w:bookmarkStart w:id="17" w:name="_Toc29630"/>
      <w:r>
        <w:rPr>
          <w:rFonts w:hint="eastAsia" w:ascii="宋体" w:hAnsi="宋体"/>
          <w:b/>
          <w:sz w:val="32"/>
          <w:szCs w:val="32"/>
        </w:rPr>
        <w:t>第一部分  投标邀请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snapToGrid w:val="0"/>
        <w:spacing w:line="400" w:lineRule="exact"/>
        <w:jc w:val="left"/>
        <w:rPr>
          <w:rFonts w:ascii="仿宋_GB2312" w:hAnsi="Arial" w:eastAsia="仿宋_GB2312"/>
          <w:b/>
          <w:sz w:val="24"/>
          <w:szCs w:val="24"/>
        </w:rPr>
      </w:pPr>
      <w:bookmarkStart w:id="18" w:name="_Toc8218"/>
      <w:bookmarkStart w:id="19" w:name="_Toc17459"/>
      <w:bookmarkStart w:id="20" w:name="_Toc8310"/>
      <w:bookmarkStart w:id="21" w:name="_Toc12636"/>
      <w:bookmarkStart w:id="22" w:name="_Toc21409"/>
      <w:bookmarkStart w:id="23" w:name="_Toc25090"/>
      <w:bookmarkStart w:id="24" w:name="_Toc12930"/>
      <w:bookmarkStart w:id="25" w:name="_Toc30433"/>
      <w:bookmarkStart w:id="26" w:name="_Toc5573"/>
      <w:bookmarkStart w:id="27" w:name="_Toc21387"/>
      <w:bookmarkStart w:id="28" w:name="_Toc31723"/>
      <w:bookmarkStart w:id="29" w:name="_Toc31860"/>
      <w:r>
        <w:rPr>
          <w:rFonts w:hint="eastAsia" w:ascii="宋体" w:hAnsi="宋体" w:cs="宋体"/>
          <w:b/>
          <w:bCs/>
          <w:sz w:val="24"/>
          <w:szCs w:val="24"/>
          <w:lang w:val="en-US" w:eastAsia="zh-CN"/>
        </w:rPr>
        <w:t>伊宁市</w:t>
      </w:r>
      <w:r>
        <w:rPr>
          <w:rFonts w:hint="eastAsia" w:ascii="宋体" w:hAnsi="宋体" w:cs="宋体"/>
          <w:b/>
          <w:bCs/>
          <w:sz w:val="24"/>
          <w:szCs w:val="24"/>
        </w:rPr>
        <w:t>公共资源交易中心拟对以下项目进行集中采购，欢迎符合条件的投标人参加</w:t>
      </w:r>
      <w:r>
        <w:rPr>
          <w:rFonts w:hint="eastAsia" w:ascii="方正仿宋_GBK" w:hAnsi="宋体" w:eastAsia="方正仿宋_GBK"/>
          <w:sz w:val="24"/>
          <w:szCs w:val="24"/>
        </w:rPr>
        <w:t>。</w:t>
      </w:r>
    </w:p>
    <w:tbl>
      <w:tblPr>
        <w:tblStyle w:val="21"/>
        <w:tblW w:w="972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9"/>
        <w:gridCol w:w="1443"/>
        <w:gridCol w:w="283"/>
        <w:gridCol w:w="696"/>
        <w:gridCol w:w="2687"/>
        <w:gridCol w:w="1253"/>
        <w:gridCol w:w="894"/>
        <w:gridCol w:w="19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549"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sz w:val="24"/>
              </w:rPr>
            </w:pPr>
            <w:r>
              <w:rPr>
                <w:rFonts w:ascii="宋体" w:hAnsi="宋体"/>
                <w:sz w:val="24"/>
              </w:rPr>
              <w:t>1</w:t>
            </w:r>
          </w:p>
        </w:tc>
        <w:tc>
          <w:tcPr>
            <w:tcW w:w="1443" w:type="dxa"/>
            <w:vMerge w:val="restart"/>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b/>
                <w:sz w:val="24"/>
              </w:rPr>
            </w:pPr>
            <w:r>
              <w:rPr>
                <w:rFonts w:hint="eastAsia" w:ascii="仿宋" w:hAnsi="仿宋" w:eastAsia="仿宋"/>
                <w:b/>
                <w:sz w:val="24"/>
              </w:rPr>
              <w:t>采购项目</w:t>
            </w:r>
          </w:p>
        </w:tc>
        <w:tc>
          <w:tcPr>
            <w:tcW w:w="9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rPr>
            </w:pPr>
            <w:r>
              <w:rPr>
                <w:rFonts w:hint="eastAsia" w:ascii="仿宋" w:hAnsi="仿宋" w:eastAsia="仿宋"/>
                <w:b/>
                <w:sz w:val="24"/>
              </w:rPr>
              <w:t xml:space="preserve">名  称               </w:t>
            </w:r>
          </w:p>
        </w:tc>
        <w:tc>
          <w:tcPr>
            <w:tcW w:w="675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2"/>
                <w:lang w:val="en-US" w:eastAsia="zh-CN"/>
              </w:rPr>
            </w:pPr>
            <w:r>
              <w:rPr>
                <w:rFonts w:hint="eastAsia" w:ascii="仿宋" w:hAnsi="仿宋" w:eastAsia="仿宋"/>
                <w:sz w:val="24"/>
                <w:szCs w:val="22"/>
                <w:lang w:val="en-US" w:eastAsia="zh-CN"/>
              </w:rPr>
              <w:t>伊宁市第一中学、第八小学和第三十一小学教学设备采购项目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549"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p>
        </w:tc>
        <w:tc>
          <w:tcPr>
            <w:tcW w:w="1443" w:type="dxa"/>
            <w:vMerge w:val="continue"/>
            <w:tcBorders>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rPr>
            </w:pPr>
          </w:p>
        </w:tc>
        <w:tc>
          <w:tcPr>
            <w:tcW w:w="9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rPr>
            </w:pPr>
            <w:r>
              <w:rPr>
                <w:rFonts w:hint="eastAsia" w:ascii="仿宋" w:hAnsi="仿宋" w:eastAsia="仿宋"/>
                <w:b/>
                <w:sz w:val="24"/>
              </w:rPr>
              <w:t>编  号</w:t>
            </w:r>
          </w:p>
        </w:tc>
        <w:tc>
          <w:tcPr>
            <w:tcW w:w="675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2"/>
                <w:lang w:val="en-US" w:eastAsia="zh-CN"/>
              </w:rPr>
            </w:pPr>
            <w:r>
              <w:rPr>
                <w:rFonts w:hint="eastAsia" w:ascii="仿宋" w:hAnsi="仿宋" w:eastAsia="仿宋"/>
                <w:sz w:val="24"/>
                <w:szCs w:val="22"/>
                <w:lang w:val="en-US" w:eastAsia="zh-CN"/>
              </w:rPr>
              <w:t>YNCG-2024-003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549"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2</w:t>
            </w:r>
          </w:p>
        </w:tc>
        <w:tc>
          <w:tcPr>
            <w:tcW w:w="1443" w:type="dxa"/>
            <w:vMerge w:val="restart"/>
            <w:tcBorders>
              <w:top w:val="single" w:color="auto" w:sz="4" w:space="0"/>
              <w:left w:val="single" w:color="auto" w:sz="4" w:space="0"/>
              <w:right w:val="single" w:color="auto" w:sz="4" w:space="0"/>
            </w:tcBorders>
            <w:vAlign w:val="center"/>
          </w:tcPr>
          <w:p>
            <w:pPr>
              <w:spacing w:line="400" w:lineRule="exact"/>
              <w:rPr>
                <w:rFonts w:ascii="仿宋" w:hAnsi="仿宋" w:eastAsia="仿宋"/>
                <w:b/>
                <w:sz w:val="24"/>
              </w:rPr>
            </w:pPr>
            <w:r>
              <w:rPr>
                <w:rFonts w:hint="eastAsia" w:ascii="仿宋" w:hAnsi="仿宋" w:eastAsia="仿宋"/>
                <w:b/>
                <w:sz w:val="24"/>
              </w:rPr>
              <w:t xml:space="preserve">采 购 人                                   </w:t>
            </w:r>
          </w:p>
        </w:tc>
        <w:tc>
          <w:tcPr>
            <w:tcW w:w="97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b/>
                <w:sz w:val="24"/>
              </w:rPr>
            </w:pPr>
            <w:r>
              <w:rPr>
                <w:rFonts w:hint="eastAsia" w:ascii="仿宋" w:hAnsi="仿宋" w:eastAsia="仿宋"/>
                <w:b/>
                <w:sz w:val="24"/>
              </w:rPr>
              <w:t xml:space="preserve">名  称      </w:t>
            </w:r>
          </w:p>
        </w:tc>
        <w:tc>
          <w:tcPr>
            <w:tcW w:w="675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sz w:val="24"/>
                <w:lang w:val="en-US" w:eastAsia="zh-CN"/>
              </w:rPr>
            </w:pPr>
            <w:r>
              <w:rPr>
                <w:rFonts w:hint="eastAsia" w:ascii="仿宋" w:hAnsi="仿宋" w:eastAsia="仿宋"/>
                <w:sz w:val="24"/>
                <w:lang w:val="en-US" w:eastAsia="zh-CN"/>
              </w:rPr>
              <w:t>伊宁市教育局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4" w:hRule="atLeast"/>
        </w:trPr>
        <w:tc>
          <w:tcPr>
            <w:tcW w:w="549"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p>
        </w:tc>
        <w:tc>
          <w:tcPr>
            <w:tcW w:w="1443" w:type="dxa"/>
            <w:vMerge w:val="continue"/>
            <w:tcBorders>
              <w:left w:val="single" w:color="auto" w:sz="4" w:space="0"/>
              <w:bottom w:val="single" w:color="auto" w:sz="4" w:space="0"/>
              <w:right w:val="single" w:color="auto" w:sz="4" w:space="0"/>
            </w:tcBorders>
            <w:vAlign w:val="center"/>
          </w:tcPr>
          <w:p>
            <w:pPr>
              <w:spacing w:line="400" w:lineRule="exact"/>
              <w:rPr>
                <w:rFonts w:ascii="仿宋" w:hAnsi="仿宋" w:eastAsia="仿宋"/>
                <w:b/>
                <w:sz w:val="24"/>
              </w:rPr>
            </w:pPr>
          </w:p>
        </w:tc>
        <w:tc>
          <w:tcPr>
            <w:tcW w:w="97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b/>
                <w:sz w:val="24"/>
                <w:highlight w:val="none"/>
              </w:rPr>
            </w:pPr>
            <w:r>
              <w:rPr>
                <w:rFonts w:hint="eastAsia" w:ascii="仿宋" w:hAnsi="仿宋" w:eastAsia="仿宋"/>
                <w:b/>
                <w:sz w:val="24"/>
                <w:highlight w:val="none"/>
              </w:rPr>
              <w:t>联系人</w:t>
            </w:r>
          </w:p>
        </w:tc>
        <w:tc>
          <w:tcPr>
            <w:tcW w:w="26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sz w:val="24"/>
                <w:highlight w:val="none"/>
                <w:lang w:val="en-US" w:eastAsia="zh-CN"/>
              </w:rPr>
            </w:pPr>
            <w:r>
              <w:rPr>
                <w:rFonts w:hint="eastAsia" w:ascii="仿宋" w:hAnsi="仿宋" w:eastAsia="仿宋"/>
                <w:sz w:val="24"/>
                <w:highlight w:val="none"/>
                <w:lang w:val="en-US" w:eastAsia="zh-CN"/>
              </w:rPr>
              <w:t xml:space="preserve"> 贾尧</w:t>
            </w:r>
          </w:p>
        </w:tc>
        <w:tc>
          <w:tcPr>
            <w:tcW w:w="12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highlight w:val="none"/>
              </w:rPr>
            </w:pPr>
            <w:r>
              <w:rPr>
                <w:rFonts w:hint="eastAsia" w:ascii="仿宋" w:hAnsi="仿宋" w:eastAsia="仿宋"/>
                <w:sz w:val="24"/>
                <w:highlight w:val="none"/>
              </w:rPr>
              <w:t>联系电话</w:t>
            </w:r>
          </w:p>
        </w:tc>
        <w:tc>
          <w:tcPr>
            <w:tcW w:w="281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sz w:val="24"/>
                <w:highlight w:val="none"/>
                <w:lang w:val="en-US" w:eastAsia="zh-CN"/>
              </w:rPr>
            </w:pPr>
            <w:r>
              <w:rPr>
                <w:rFonts w:hint="eastAsia" w:ascii="仿宋" w:hAnsi="仿宋" w:eastAsia="仿宋"/>
                <w:sz w:val="24"/>
                <w:highlight w:val="none"/>
                <w:lang w:val="en-US" w:eastAsia="zh-CN"/>
              </w:rPr>
              <w:t>15276368880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1" w:hRule="atLeast"/>
        </w:trPr>
        <w:tc>
          <w:tcPr>
            <w:tcW w:w="549"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3</w:t>
            </w:r>
          </w:p>
        </w:tc>
        <w:tc>
          <w:tcPr>
            <w:tcW w:w="1443" w:type="dxa"/>
            <w:vMerge w:val="restart"/>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b/>
                <w:sz w:val="24"/>
              </w:rPr>
            </w:pPr>
            <w:r>
              <w:rPr>
                <w:rFonts w:hint="eastAsia" w:ascii="仿宋" w:hAnsi="仿宋" w:eastAsia="仿宋"/>
                <w:b/>
                <w:sz w:val="24"/>
              </w:rPr>
              <w:t>集采机构</w:t>
            </w:r>
          </w:p>
        </w:tc>
        <w:tc>
          <w:tcPr>
            <w:tcW w:w="9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rPr>
            </w:pPr>
            <w:r>
              <w:rPr>
                <w:rFonts w:hint="eastAsia" w:ascii="仿宋" w:hAnsi="仿宋" w:eastAsia="仿宋"/>
                <w:b/>
                <w:sz w:val="24"/>
              </w:rPr>
              <w:t>名  称</w:t>
            </w:r>
          </w:p>
        </w:tc>
        <w:tc>
          <w:tcPr>
            <w:tcW w:w="675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sz w:val="24"/>
              </w:rPr>
            </w:pPr>
            <w:r>
              <w:rPr>
                <w:rFonts w:hint="eastAsia" w:ascii="仿宋" w:hAnsi="仿宋" w:eastAsia="仿宋"/>
                <w:sz w:val="24"/>
                <w:lang w:val="en-US" w:eastAsia="zh-CN"/>
              </w:rPr>
              <w:t>伊宁市</w:t>
            </w:r>
            <w:r>
              <w:rPr>
                <w:rFonts w:hint="eastAsia" w:ascii="仿宋" w:hAnsi="仿宋" w:eastAsia="仿宋"/>
                <w:sz w:val="24"/>
              </w:rPr>
              <w:t>公共资源交易中心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549"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p>
        </w:tc>
        <w:tc>
          <w:tcPr>
            <w:tcW w:w="1443" w:type="dxa"/>
            <w:vMerge w:val="continue"/>
            <w:tcBorders>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rPr>
            </w:pPr>
          </w:p>
        </w:tc>
        <w:tc>
          <w:tcPr>
            <w:tcW w:w="9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rPr>
            </w:pPr>
            <w:r>
              <w:rPr>
                <w:rFonts w:hint="eastAsia" w:ascii="仿宋" w:hAnsi="仿宋" w:eastAsia="仿宋"/>
                <w:b/>
                <w:sz w:val="24"/>
              </w:rPr>
              <w:t>地  址</w:t>
            </w:r>
          </w:p>
        </w:tc>
        <w:tc>
          <w:tcPr>
            <w:tcW w:w="675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default" w:ascii="仿宋" w:hAnsi="仿宋" w:eastAsia="仿宋"/>
                <w:sz w:val="24"/>
                <w:lang w:val="en-US" w:eastAsia="zh-CN"/>
              </w:rPr>
            </w:pPr>
            <w:r>
              <w:rPr>
                <w:rFonts w:hint="eastAsia" w:ascii="仿宋" w:hAnsi="仿宋" w:eastAsia="仿宋"/>
                <w:sz w:val="24"/>
              </w:rPr>
              <w:t>新疆伊宁市</w:t>
            </w:r>
            <w:r>
              <w:rPr>
                <w:rFonts w:hint="eastAsia" w:ascii="仿宋" w:hAnsi="仿宋" w:eastAsia="仿宋"/>
                <w:sz w:val="24"/>
                <w:lang w:val="en-US" w:eastAsia="zh-CN"/>
              </w:rPr>
              <w:t>广东路中原国际B座4楼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trPr>
        <w:tc>
          <w:tcPr>
            <w:tcW w:w="549"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4</w:t>
            </w:r>
          </w:p>
        </w:tc>
        <w:tc>
          <w:tcPr>
            <w:tcW w:w="1443" w:type="dxa"/>
            <w:vMerge w:val="restart"/>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b/>
                <w:sz w:val="24"/>
              </w:rPr>
            </w:pPr>
            <w:r>
              <w:rPr>
                <w:rFonts w:hint="eastAsia" w:ascii="仿宋" w:hAnsi="仿宋" w:eastAsia="仿宋"/>
                <w:b/>
                <w:sz w:val="24"/>
              </w:rPr>
              <w:t>招标内容</w:t>
            </w:r>
          </w:p>
        </w:tc>
        <w:tc>
          <w:tcPr>
            <w:tcW w:w="979"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 xml:space="preserve">标 项                 </w:t>
            </w:r>
          </w:p>
        </w:tc>
        <w:tc>
          <w:tcPr>
            <w:tcW w:w="48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highlight w:val="none"/>
                <w:lang w:eastAsia="zh-CN"/>
              </w:rPr>
              <w:t>标项名称</w:t>
            </w:r>
          </w:p>
        </w:tc>
        <w:tc>
          <w:tcPr>
            <w:tcW w:w="19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采购预算</w:t>
            </w:r>
          </w:p>
          <w:p>
            <w:pPr>
              <w:jc w:val="center"/>
              <w:rPr>
                <w:rFonts w:ascii="仿宋" w:hAnsi="仿宋" w:eastAsia="仿宋"/>
                <w:sz w:val="24"/>
              </w:rPr>
            </w:pPr>
            <w:r>
              <w:rPr>
                <w:rFonts w:hint="eastAsia" w:ascii="仿宋" w:hAnsi="仿宋" w:eastAsia="仿宋"/>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trPr>
        <w:tc>
          <w:tcPr>
            <w:tcW w:w="549"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p>
        </w:tc>
        <w:tc>
          <w:tcPr>
            <w:tcW w:w="1443" w:type="dxa"/>
            <w:vMerge w:val="continue"/>
            <w:tcBorders>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rPr>
            </w:pPr>
          </w:p>
        </w:tc>
        <w:tc>
          <w:tcPr>
            <w:tcW w:w="979"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标项一</w:t>
            </w:r>
          </w:p>
        </w:tc>
        <w:tc>
          <w:tcPr>
            <w:tcW w:w="483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 w:hAnsi="仿宋" w:eastAsia="仿宋" w:cs="仿宋"/>
                <w:sz w:val="24"/>
                <w:szCs w:val="24"/>
                <w:lang w:eastAsia="zh-CN"/>
              </w:rPr>
            </w:pPr>
            <w:r>
              <w:rPr>
                <w:rFonts w:hint="eastAsia" w:ascii="仿宋" w:hAnsi="仿宋" w:eastAsia="仿宋"/>
                <w:sz w:val="24"/>
                <w:szCs w:val="22"/>
                <w:lang w:val="en-US" w:eastAsia="zh-CN"/>
              </w:rPr>
              <w:t>伊宁市第一中学、第八小学和第三十一小学教学设备采购项目（一标段办公电脑、计算机教室及办公设备）</w:t>
            </w:r>
          </w:p>
        </w:tc>
        <w:tc>
          <w:tcPr>
            <w:tcW w:w="191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240" w:firstLineChars="100"/>
              <w:rPr>
                <w:rFonts w:hint="default" w:ascii="仿宋" w:hAnsi="仿宋" w:eastAsia="仿宋"/>
                <w:sz w:val="24"/>
                <w:lang w:val="en-US" w:eastAsia="zh-CN"/>
              </w:rPr>
            </w:pPr>
            <w:r>
              <w:rPr>
                <w:rFonts w:hint="eastAsia" w:ascii="仿宋" w:hAnsi="仿宋" w:eastAsia="仿宋"/>
                <w:sz w:val="24"/>
                <w:lang w:val="en-US" w:eastAsia="zh-CN"/>
              </w:rPr>
              <w:t>205.193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49"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p>
        </w:tc>
        <w:tc>
          <w:tcPr>
            <w:tcW w:w="1443" w:type="dxa"/>
            <w:vMerge w:val="continue"/>
            <w:tcBorders>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rPr>
            </w:pPr>
          </w:p>
        </w:tc>
        <w:tc>
          <w:tcPr>
            <w:tcW w:w="979"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标项二</w:t>
            </w:r>
          </w:p>
        </w:tc>
        <w:tc>
          <w:tcPr>
            <w:tcW w:w="483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lang w:eastAsia="zh-CN"/>
              </w:rPr>
            </w:pPr>
            <w:r>
              <w:rPr>
                <w:rFonts w:hint="eastAsia" w:ascii="仿宋" w:hAnsi="仿宋" w:eastAsia="仿宋"/>
                <w:sz w:val="24"/>
                <w:szCs w:val="22"/>
                <w:lang w:val="en-US" w:eastAsia="zh-CN"/>
              </w:rPr>
              <w:t>伊宁市第一中学、第八小学和第三十一小学教学设备采购项目（二标段学生教师及宿舍办公家具）</w:t>
            </w:r>
          </w:p>
        </w:tc>
        <w:tc>
          <w:tcPr>
            <w:tcW w:w="191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240" w:firstLineChars="100"/>
              <w:rPr>
                <w:rFonts w:hint="default" w:ascii="仿宋" w:hAnsi="仿宋" w:eastAsia="仿宋"/>
                <w:sz w:val="24"/>
                <w:lang w:val="en-US" w:eastAsia="zh-CN"/>
              </w:rPr>
            </w:pPr>
            <w:r>
              <w:rPr>
                <w:rFonts w:hint="eastAsia" w:ascii="仿宋" w:hAnsi="仿宋" w:eastAsia="仿宋"/>
                <w:sz w:val="24"/>
                <w:lang w:val="en-US" w:eastAsia="zh-CN"/>
              </w:rPr>
              <w:t>418.65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5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5</w:t>
            </w:r>
          </w:p>
        </w:tc>
        <w:tc>
          <w:tcPr>
            <w:tcW w:w="14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rPr>
            </w:pPr>
            <w:r>
              <w:rPr>
                <w:rFonts w:hint="eastAsia" w:ascii="仿宋" w:hAnsi="仿宋" w:eastAsia="仿宋"/>
                <w:b/>
                <w:sz w:val="24"/>
              </w:rPr>
              <w:t>采购方式</w:t>
            </w:r>
          </w:p>
        </w:tc>
        <w:tc>
          <w:tcPr>
            <w:tcW w:w="772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sz w:val="24"/>
              </w:rPr>
            </w:pPr>
            <w:r>
              <w:rPr>
                <w:rFonts w:hint="eastAsia" w:ascii="仿宋" w:hAnsi="仿宋" w:eastAsia="仿宋"/>
                <w:sz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549"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6</w:t>
            </w:r>
          </w:p>
        </w:tc>
        <w:tc>
          <w:tcPr>
            <w:tcW w:w="1443"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b/>
                <w:sz w:val="24"/>
              </w:rPr>
            </w:pPr>
            <w:r>
              <w:rPr>
                <w:rFonts w:hint="eastAsia" w:ascii="仿宋" w:hAnsi="仿宋" w:eastAsia="仿宋"/>
                <w:b/>
                <w:sz w:val="24"/>
              </w:rPr>
              <w:t>评标办法</w:t>
            </w:r>
          </w:p>
        </w:tc>
        <w:tc>
          <w:tcPr>
            <w:tcW w:w="7729" w:type="dxa"/>
            <w:gridSpan w:val="6"/>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sz w:val="24"/>
              </w:rPr>
            </w:pPr>
            <w:r>
              <w:rPr>
                <w:rFonts w:hint="eastAsia" w:ascii="仿宋" w:hAnsi="仿宋" w:eastAsia="仿宋"/>
                <w:sz w:val="24"/>
              </w:rPr>
              <w:t>综合评分法（其中：报价</w:t>
            </w:r>
            <w:r>
              <w:rPr>
                <w:rFonts w:ascii="仿宋" w:hAnsi="仿宋" w:eastAsia="仿宋"/>
                <w:sz w:val="24"/>
              </w:rPr>
              <w:t>30</w:t>
            </w:r>
            <w:r>
              <w:rPr>
                <w:rFonts w:hint="eastAsia" w:ascii="仿宋" w:hAnsi="仿宋" w:eastAsia="仿宋"/>
                <w:sz w:val="24"/>
              </w:rPr>
              <w:t>分，技术和商务</w:t>
            </w:r>
            <w:r>
              <w:rPr>
                <w:rFonts w:ascii="仿宋" w:hAnsi="仿宋" w:eastAsia="仿宋"/>
                <w:sz w:val="24"/>
              </w:rPr>
              <w:t>70</w:t>
            </w:r>
            <w:r>
              <w:rPr>
                <w:rFonts w:hint="eastAsia" w:ascii="仿宋" w:hAnsi="仿宋" w:eastAsia="仿宋"/>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549"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7</w:t>
            </w:r>
          </w:p>
        </w:tc>
        <w:tc>
          <w:tcPr>
            <w:tcW w:w="1443" w:type="dxa"/>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b/>
                <w:sz w:val="24"/>
              </w:rPr>
            </w:pPr>
            <w:r>
              <w:rPr>
                <w:rFonts w:hint="eastAsia" w:ascii="仿宋" w:hAnsi="仿宋" w:eastAsia="仿宋"/>
                <w:b/>
                <w:sz w:val="24"/>
              </w:rPr>
              <w:t>投标保证金</w:t>
            </w:r>
          </w:p>
        </w:tc>
        <w:tc>
          <w:tcPr>
            <w:tcW w:w="7729" w:type="dxa"/>
            <w:gridSpan w:val="6"/>
            <w:tcBorders>
              <w:top w:val="single" w:color="auto" w:sz="4" w:space="0"/>
              <w:left w:val="single" w:color="auto" w:sz="4" w:space="0"/>
              <w:right w:val="single" w:color="auto" w:sz="4" w:space="0"/>
            </w:tcBorders>
            <w:vAlign w:val="center"/>
          </w:tcPr>
          <w:p>
            <w:pPr>
              <w:snapToGrid w:val="0"/>
              <w:spacing w:line="400" w:lineRule="exact"/>
              <w:rPr>
                <w:rFonts w:ascii="仿宋" w:hAnsi="仿宋" w:eastAsia="仿宋"/>
                <w:sz w:val="24"/>
              </w:rPr>
            </w:pPr>
            <w:r>
              <w:rPr>
                <w:rFonts w:hint="eastAsia" w:ascii="仿宋" w:hAnsi="仿宋" w:eastAsia="仿宋"/>
                <w:sz w:val="24"/>
              </w:rPr>
              <w:t>本项目免收投标保证金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549"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8</w:t>
            </w:r>
          </w:p>
        </w:tc>
        <w:tc>
          <w:tcPr>
            <w:tcW w:w="242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rPr>
            </w:pPr>
            <w:r>
              <w:rPr>
                <w:rFonts w:hint="eastAsia" w:ascii="仿宋" w:hAnsi="仿宋" w:eastAsia="仿宋"/>
                <w:b/>
                <w:sz w:val="24"/>
              </w:rPr>
              <w:t>投标文件的组成</w:t>
            </w:r>
          </w:p>
        </w:tc>
        <w:tc>
          <w:tcPr>
            <w:tcW w:w="675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sz w:val="24"/>
              </w:rPr>
            </w:pPr>
            <w:r>
              <w:rPr>
                <w:rFonts w:hint="eastAsia" w:ascii="仿宋" w:hAnsi="仿宋" w:eastAsia="仿宋"/>
                <w:sz w:val="24"/>
              </w:rPr>
              <w:t>电子版《开标一览表》、资格审查材料、投标文件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549"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9</w:t>
            </w:r>
          </w:p>
        </w:tc>
        <w:tc>
          <w:tcPr>
            <w:tcW w:w="2422" w:type="dxa"/>
            <w:gridSpan w:val="3"/>
            <w:tcBorders>
              <w:top w:val="single" w:color="auto" w:sz="4" w:space="0"/>
              <w:left w:val="single" w:color="auto" w:sz="4" w:space="0"/>
              <w:bottom w:val="single" w:color="auto" w:sz="4" w:space="0"/>
              <w:right w:val="single" w:color="auto" w:sz="4" w:space="0"/>
            </w:tcBorders>
            <w:vAlign w:val="center"/>
          </w:tcPr>
          <w:p>
            <w:pPr>
              <w:pStyle w:val="10"/>
              <w:spacing w:line="400" w:lineRule="exact"/>
              <w:rPr>
                <w:rFonts w:ascii="仿宋" w:hAnsi="仿宋" w:eastAsia="仿宋"/>
                <w:b/>
                <w:sz w:val="24"/>
              </w:rPr>
            </w:pPr>
            <w:r>
              <w:rPr>
                <w:rFonts w:hint="eastAsia" w:ascii="仿宋" w:hAnsi="仿宋" w:eastAsia="仿宋"/>
                <w:b/>
                <w:sz w:val="24"/>
              </w:rPr>
              <w:t>投标文件有效期</w:t>
            </w:r>
          </w:p>
        </w:tc>
        <w:tc>
          <w:tcPr>
            <w:tcW w:w="6750" w:type="dxa"/>
            <w:gridSpan w:val="4"/>
            <w:tcBorders>
              <w:top w:val="single" w:color="auto" w:sz="4" w:space="0"/>
              <w:left w:val="single" w:color="auto" w:sz="4" w:space="0"/>
              <w:bottom w:val="single" w:color="auto" w:sz="4" w:space="0"/>
              <w:right w:val="single" w:color="auto" w:sz="4" w:space="0"/>
            </w:tcBorders>
            <w:vAlign w:val="center"/>
          </w:tcPr>
          <w:p>
            <w:pPr>
              <w:pStyle w:val="10"/>
              <w:spacing w:line="400" w:lineRule="exact"/>
              <w:rPr>
                <w:rFonts w:ascii="仿宋" w:hAnsi="仿宋" w:eastAsia="仿宋"/>
                <w:sz w:val="24"/>
              </w:rPr>
            </w:pPr>
            <w:r>
              <w:rPr>
                <w:rFonts w:hint="eastAsia" w:ascii="仿宋" w:hAnsi="仿宋" w:eastAsia="仿宋"/>
                <w:sz w:val="24"/>
              </w:rPr>
              <w:t>自开标时间起90日内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9" w:hRule="atLeast"/>
        </w:trPr>
        <w:tc>
          <w:tcPr>
            <w:tcW w:w="549"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10</w:t>
            </w:r>
          </w:p>
        </w:tc>
        <w:tc>
          <w:tcPr>
            <w:tcW w:w="2422" w:type="dxa"/>
            <w:gridSpan w:val="3"/>
            <w:tcBorders>
              <w:top w:val="single" w:color="auto" w:sz="4" w:space="0"/>
              <w:left w:val="single" w:color="auto" w:sz="4" w:space="0"/>
              <w:bottom w:val="single" w:color="auto" w:sz="4" w:space="0"/>
              <w:right w:val="single" w:color="auto" w:sz="4" w:space="0"/>
            </w:tcBorders>
            <w:vAlign w:val="center"/>
          </w:tcPr>
          <w:p>
            <w:pPr>
              <w:pStyle w:val="10"/>
              <w:spacing w:line="400" w:lineRule="exact"/>
              <w:rPr>
                <w:rFonts w:hint="eastAsia" w:ascii="仿宋" w:hAnsi="仿宋" w:eastAsia="仿宋"/>
                <w:b/>
                <w:sz w:val="24"/>
                <w:szCs w:val="22"/>
              </w:rPr>
            </w:pPr>
            <w:r>
              <w:rPr>
                <w:rFonts w:hint="eastAsia" w:ascii="仿宋" w:hAnsi="仿宋" w:eastAsia="仿宋"/>
                <w:b/>
                <w:sz w:val="24"/>
                <w:szCs w:val="22"/>
              </w:rPr>
              <w:t>招标文件取得时间</w:t>
            </w:r>
          </w:p>
        </w:tc>
        <w:tc>
          <w:tcPr>
            <w:tcW w:w="6750" w:type="dxa"/>
            <w:gridSpan w:val="4"/>
            <w:tcBorders>
              <w:top w:val="single" w:color="auto" w:sz="4" w:space="0"/>
              <w:left w:val="single" w:color="auto" w:sz="4" w:space="0"/>
              <w:bottom w:val="single" w:color="auto" w:sz="4" w:space="0"/>
              <w:right w:val="single" w:color="auto" w:sz="4" w:space="0"/>
            </w:tcBorders>
            <w:vAlign w:val="center"/>
          </w:tcPr>
          <w:p>
            <w:pPr>
              <w:pStyle w:val="10"/>
              <w:spacing w:line="400" w:lineRule="exact"/>
              <w:rPr>
                <w:rFonts w:hint="eastAsia" w:ascii="仿宋" w:hAnsi="仿宋" w:eastAsia="仿宋"/>
                <w:b/>
                <w:sz w:val="24"/>
                <w:szCs w:val="22"/>
                <w:lang w:eastAsia="zh-CN"/>
              </w:rPr>
            </w:pPr>
            <w:r>
              <w:rPr>
                <w:rFonts w:hint="eastAsia" w:ascii="仿宋" w:hAnsi="仿宋" w:eastAsia="仿宋"/>
                <w:b/>
                <w:sz w:val="24"/>
                <w:szCs w:val="22"/>
              </w:rPr>
              <w:t>202</w:t>
            </w:r>
            <w:r>
              <w:rPr>
                <w:rFonts w:hint="eastAsia" w:ascii="仿宋" w:hAnsi="仿宋" w:eastAsia="仿宋"/>
                <w:b/>
                <w:sz w:val="24"/>
                <w:szCs w:val="22"/>
                <w:lang w:val="en-US" w:eastAsia="zh-CN"/>
              </w:rPr>
              <w:t>4</w:t>
            </w:r>
            <w:r>
              <w:rPr>
                <w:rFonts w:hint="eastAsia" w:ascii="仿宋" w:hAnsi="仿宋" w:eastAsia="仿宋"/>
                <w:b/>
                <w:sz w:val="24"/>
                <w:szCs w:val="22"/>
              </w:rPr>
              <w:t>年</w:t>
            </w:r>
            <w:r>
              <w:rPr>
                <w:rFonts w:hint="eastAsia" w:ascii="仿宋" w:hAnsi="仿宋" w:eastAsia="仿宋"/>
                <w:b/>
                <w:sz w:val="24"/>
                <w:szCs w:val="22"/>
                <w:lang w:val="en-US" w:eastAsia="zh-CN"/>
              </w:rPr>
              <w:t>7</w:t>
            </w:r>
            <w:r>
              <w:rPr>
                <w:rFonts w:hint="eastAsia" w:ascii="仿宋" w:hAnsi="仿宋" w:eastAsia="仿宋"/>
                <w:b/>
                <w:sz w:val="24"/>
                <w:szCs w:val="22"/>
              </w:rPr>
              <w:t>月</w:t>
            </w:r>
            <w:r>
              <w:rPr>
                <w:rFonts w:hint="eastAsia" w:ascii="仿宋" w:hAnsi="仿宋" w:eastAsia="仿宋"/>
                <w:b/>
                <w:sz w:val="24"/>
                <w:szCs w:val="22"/>
                <w:lang w:val="en-US" w:eastAsia="zh-CN"/>
              </w:rPr>
              <w:t>1</w:t>
            </w:r>
            <w:r>
              <w:rPr>
                <w:rFonts w:hint="eastAsia" w:ascii="仿宋" w:hAnsi="仿宋" w:eastAsia="仿宋"/>
                <w:b/>
                <w:sz w:val="24"/>
                <w:szCs w:val="22"/>
              </w:rPr>
              <w:t>日至202</w:t>
            </w:r>
            <w:r>
              <w:rPr>
                <w:rFonts w:hint="eastAsia" w:ascii="仿宋" w:hAnsi="仿宋" w:eastAsia="仿宋"/>
                <w:b/>
                <w:sz w:val="24"/>
                <w:szCs w:val="22"/>
                <w:lang w:val="en-US" w:eastAsia="zh-CN"/>
              </w:rPr>
              <w:t>4</w:t>
            </w:r>
            <w:r>
              <w:rPr>
                <w:rFonts w:hint="eastAsia" w:ascii="仿宋" w:hAnsi="仿宋" w:eastAsia="仿宋"/>
                <w:b/>
                <w:sz w:val="24"/>
                <w:szCs w:val="22"/>
              </w:rPr>
              <w:t>年</w:t>
            </w:r>
            <w:r>
              <w:rPr>
                <w:rFonts w:hint="eastAsia" w:ascii="仿宋" w:hAnsi="仿宋" w:eastAsia="仿宋"/>
                <w:b/>
                <w:sz w:val="24"/>
                <w:szCs w:val="22"/>
                <w:lang w:val="en-US" w:eastAsia="zh-CN"/>
              </w:rPr>
              <w:t>7</w:t>
            </w:r>
            <w:r>
              <w:rPr>
                <w:rFonts w:hint="eastAsia" w:ascii="仿宋" w:hAnsi="仿宋" w:eastAsia="仿宋"/>
                <w:b/>
                <w:sz w:val="24"/>
                <w:szCs w:val="22"/>
              </w:rPr>
              <w:t>月</w:t>
            </w:r>
            <w:r>
              <w:rPr>
                <w:rFonts w:hint="eastAsia" w:ascii="仿宋" w:hAnsi="仿宋" w:eastAsia="仿宋"/>
                <w:b/>
                <w:sz w:val="24"/>
                <w:szCs w:val="22"/>
                <w:lang w:val="en-US" w:eastAsia="zh-CN"/>
              </w:rPr>
              <w:t>5</w:t>
            </w:r>
            <w:r>
              <w:rPr>
                <w:rFonts w:hint="eastAsia" w:ascii="仿宋" w:hAnsi="仿宋" w:eastAsia="仿宋"/>
                <w:b/>
                <w:sz w:val="24"/>
                <w:szCs w:val="22"/>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trPr>
        <w:tc>
          <w:tcPr>
            <w:tcW w:w="549"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11</w:t>
            </w:r>
          </w:p>
        </w:tc>
        <w:tc>
          <w:tcPr>
            <w:tcW w:w="2422" w:type="dxa"/>
            <w:gridSpan w:val="3"/>
            <w:tcBorders>
              <w:top w:val="single" w:color="auto" w:sz="4" w:space="0"/>
              <w:left w:val="single" w:color="auto" w:sz="4" w:space="0"/>
              <w:bottom w:val="single" w:color="auto" w:sz="4" w:space="0"/>
              <w:right w:val="single" w:color="auto" w:sz="4" w:space="0"/>
            </w:tcBorders>
            <w:vAlign w:val="center"/>
          </w:tcPr>
          <w:p>
            <w:pPr>
              <w:pStyle w:val="10"/>
              <w:spacing w:line="400" w:lineRule="exact"/>
              <w:rPr>
                <w:rFonts w:ascii="仿宋" w:hAnsi="仿宋" w:eastAsia="仿宋"/>
                <w:b/>
                <w:sz w:val="24"/>
              </w:rPr>
            </w:pPr>
            <w:r>
              <w:rPr>
                <w:rFonts w:hint="eastAsia" w:ascii="仿宋" w:hAnsi="仿宋" w:eastAsia="仿宋"/>
                <w:b/>
                <w:sz w:val="24"/>
              </w:rPr>
              <w:t>招标文件取得方式</w:t>
            </w:r>
          </w:p>
        </w:tc>
        <w:tc>
          <w:tcPr>
            <w:tcW w:w="6750" w:type="dxa"/>
            <w:gridSpan w:val="4"/>
            <w:tcBorders>
              <w:top w:val="single" w:color="auto" w:sz="4" w:space="0"/>
              <w:left w:val="single" w:color="auto" w:sz="4" w:space="0"/>
              <w:bottom w:val="single" w:color="auto" w:sz="4" w:space="0"/>
              <w:right w:val="single" w:color="auto" w:sz="4" w:space="0"/>
            </w:tcBorders>
            <w:vAlign w:val="center"/>
          </w:tcPr>
          <w:p>
            <w:pPr>
              <w:pStyle w:val="10"/>
              <w:spacing w:line="240" w:lineRule="exact"/>
              <w:rPr>
                <w:rFonts w:ascii="仿宋" w:hAnsi="仿宋" w:eastAsia="仿宋"/>
                <w:sz w:val="24"/>
              </w:rPr>
            </w:pPr>
            <w:r>
              <w:rPr>
                <w:rFonts w:ascii="仿宋" w:hAnsi="仿宋" w:eastAsia="仿宋"/>
                <w:szCs w:val="21"/>
              </w:rPr>
              <w:t>供应商登录政采云平台https://www.zcygov.cn/在线申请获取采购文件（进入“项目采购”应用，在获取</w:t>
            </w:r>
            <w:r>
              <w:rPr>
                <w:rFonts w:hint="eastAsia" w:ascii="仿宋" w:hAnsi="仿宋" w:eastAsia="仿宋"/>
                <w:szCs w:val="21"/>
              </w:rPr>
              <w:t>招标</w:t>
            </w:r>
            <w:r>
              <w:rPr>
                <w:rFonts w:ascii="仿宋" w:hAnsi="仿宋" w:eastAsia="仿宋"/>
                <w:szCs w:val="21"/>
              </w:rPr>
              <w:t>文件菜单中选择项目，申请获取</w:t>
            </w:r>
            <w:r>
              <w:rPr>
                <w:rFonts w:hint="eastAsia" w:ascii="仿宋" w:hAnsi="仿宋" w:eastAsia="仿宋"/>
                <w:szCs w:val="21"/>
              </w:rPr>
              <w:t>招标</w:t>
            </w:r>
            <w:r>
              <w:rPr>
                <w:rFonts w:ascii="仿宋" w:hAnsi="仿宋" w:eastAsia="仿宋"/>
                <w:szCs w:val="21"/>
              </w:rPr>
              <w:t>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549"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sz w:val="24"/>
              </w:rPr>
            </w:pPr>
            <w:r>
              <w:rPr>
                <w:rFonts w:hint="eastAsia" w:ascii="宋体" w:hAnsi="宋体"/>
                <w:sz w:val="24"/>
              </w:rPr>
              <w:t>12</w:t>
            </w:r>
          </w:p>
        </w:tc>
        <w:tc>
          <w:tcPr>
            <w:tcW w:w="2422" w:type="dxa"/>
            <w:gridSpan w:val="3"/>
            <w:tcBorders>
              <w:top w:val="single" w:color="auto" w:sz="4" w:space="0"/>
              <w:left w:val="single" w:color="auto" w:sz="4" w:space="0"/>
              <w:bottom w:val="single" w:color="auto" w:sz="4" w:space="0"/>
              <w:right w:val="single" w:color="auto" w:sz="4" w:space="0"/>
            </w:tcBorders>
            <w:vAlign w:val="center"/>
          </w:tcPr>
          <w:p>
            <w:pPr>
              <w:pStyle w:val="10"/>
              <w:spacing w:line="400" w:lineRule="exact"/>
              <w:rPr>
                <w:rFonts w:ascii="仿宋" w:hAnsi="仿宋" w:eastAsia="仿宋"/>
                <w:b/>
                <w:sz w:val="24"/>
              </w:rPr>
            </w:pPr>
            <w:r>
              <w:rPr>
                <w:rFonts w:hint="eastAsia" w:ascii="仿宋" w:hAnsi="仿宋" w:eastAsia="仿宋"/>
                <w:b/>
                <w:sz w:val="24"/>
              </w:rPr>
              <w:t>投标截止及开标时间</w:t>
            </w:r>
          </w:p>
        </w:tc>
        <w:tc>
          <w:tcPr>
            <w:tcW w:w="6750" w:type="dxa"/>
            <w:gridSpan w:val="4"/>
            <w:tcBorders>
              <w:top w:val="single" w:color="auto" w:sz="4" w:space="0"/>
              <w:left w:val="single" w:color="auto" w:sz="4" w:space="0"/>
              <w:bottom w:val="single" w:color="auto" w:sz="4" w:space="0"/>
              <w:right w:val="single" w:color="auto" w:sz="4" w:space="0"/>
            </w:tcBorders>
            <w:vAlign w:val="center"/>
          </w:tcPr>
          <w:p>
            <w:pPr>
              <w:pStyle w:val="10"/>
              <w:spacing w:line="400" w:lineRule="exact"/>
              <w:rPr>
                <w:rFonts w:ascii="仿宋" w:hAnsi="仿宋" w:eastAsia="仿宋"/>
                <w:sz w:val="24"/>
              </w:rPr>
            </w:pPr>
            <w:r>
              <w:rPr>
                <w:rFonts w:hint="eastAsia" w:ascii="仿宋" w:hAnsi="仿宋" w:eastAsia="仿宋"/>
                <w:sz w:val="24"/>
              </w:rPr>
              <w:t>202</w:t>
            </w:r>
            <w:r>
              <w:rPr>
                <w:rFonts w:hint="eastAsia" w:ascii="仿宋" w:hAnsi="仿宋" w:eastAsia="仿宋"/>
                <w:sz w:val="24"/>
                <w:lang w:val="en-US" w:eastAsia="zh-CN"/>
              </w:rPr>
              <w:t>4</w:t>
            </w:r>
            <w:r>
              <w:rPr>
                <w:rFonts w:hint="eastAsia" w:ascii="仿宋" w:hAnsi="仿宋" w:eastAsia="仿宋"/>
                <w:sz w:val="24"/>
              </w:rPr>
              <w:t>年</w:t>
            </w:r>
            <w:r>
              <w:rPr>
                <w:rFonts w:hint="eastAsia" w:ascii="仿宋" w:hAnsi="仿宋" w:eastAsia="仿宋"/>
                <w:sz w:val="24"/>
                <w:lang w:val="en-US" w:eastAsia="zh-CN"/>
              </w:rPr>
              <w:t>7</w:t>
            </w:r>
            <w:r>
              <w:rPr>
                <w:rFonts w:hint="eastAsia" w:ascii="仿宋" w:hAnsi="仿宋" w:eastAsia="仿宋"/>
                <w:sz w:val="24"/>
              </w:rPr>
              <w:t>月</w:t>
            </w:r>
            <w:r>
              <w:rPr>
                <w:rFonts w:hint="eastAsia" w:ascii="仿宋" w:hAnsi="仿宋" w:eastAsia="仿宋"/>
                <w:sz w:val="24"/>
                <w:lang w:val="en-US" w:eastAsia="zh-CN"/>
              </w:rPr>
              <w:t>21</w:t>
            </w:r>
            <w:r>
              <w:rPr>
                <w:rFonts w:hint="eastAsia" w:ascii="仿宋" w:hAnsi="仿宋" w:eastAsia="仿宋"/>
                <w:sz w:val="24"/>
              </w:rPr>
              <w:t>日京时10:30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5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4"/>
              </w:rPr>
            </w:pPr>
            <w:r>
              <w:rPr>
                <w:rFonts w:ascii="宋体" w:hAnsi="宋体"/>
                <w:sz w:val="24"/>
              </w:rPr>
              <w:t>1</w:t>
            </w:r>
            <w:r>
              <w:rPr>
                <w:rFonts w:hint="eastAsia" w:ascii="宋体" w:hAnsi="宋体"/>
                <w:sz w:val="24"/>
              </w:rPr>
              <w:t>3</w:t>
            </w:r>
          </w:p>
        </w:tc>
        <w:tc>
          <w:tcPr>
            <w:tcW w:w="2422" w:type="dxa"/>
            <w:gridSpan w:val="3"/>
            <w:tcBorders>
              <w:top w:val="single" w:color="auto" w:sz="4" w:space="0"/>
              <w:left w:val="single" w:color="auto" w:sz="4" w:space="0"/>
              <w:bottom w:val="single" w:color="auto" w:sz="4" w:space="0"/>
              <w:right w:val="single" w:color="auto" w:sz="4" w:space="0"/>
            </w:tcBorders>
            <w:vAlign w:val="center"/>
          </w:tcPr>
          <w:p>
            <w:pPr>
              <w:pStyle w:val="10"/>
              <w:spacing w:line="400" w:lineRule="exact"/>
              <w:rPr>
                <w:rFonts w:ascii="仿宋" w:hAnsi="仿宋" w:eastAsia="仿宋"/>
                <w:b/>
                <w:sz w:val="24"/>
              </w:rPr>
            </w:pPr>
            <w:r>
              <w:rPr>
                <w:rFonts w:hint="eastAsia" w:ascii="仿宋" w:hAnsi="仿宋" w:eastAsia="仿宋"/>
                <w:b/>
                <w:sz w:val="24"/>
              </w:rPr>
              <w:t>投标人资质审查时间</w:t>
            </w:r>
          </w:p>
        </w:tc>
        <w:tc>
          <w:tcPr>
            <w:tcW w:w="6750" w:type="dxa"/>
            <w:gridSpan w:val="4"/>
            <w:tcBorders>
              <w:top w:val="single" w:color="auto" w:sz="4" w:space="0"/>
              <w:left w:val="single" w:color="auto" w:sz="4" w:space="0"/>
              <w:bottom w:val="single" w:color="auto" w:sz="4" w:space="0"/>
              <w:right w:val="single" w:color="auto" w:sz="4" w:space="0"/>
            </w:tcBorders>
            <w:vAlign w:val="center"/>
          </w:tcPr>
          <w:p>
            <w:pPr>
              <w:pStyle w:val="10"/>
              <w:spacing w:line="400" w:lineRule="exact"/>
              <w:rPr>
                <w:rFonts w:ascii="仿宋" w:hAnsi="仿宋" w:eastAsia="仿宋"/>
                <w:sz w:val="24"/>
              </w:rPr>
            </w:pPr>
            <w:r>
              <w:rPr>
                <w:rFonts w:hint="eastAsia" w:ascii="仿宋" w:hAnsi="仿宋" w:eastAsia="仿宋"/>
                <w:sz w:val="24"/>
              </w:rPr>
              <w:t>202</w:t>
            </w:r>
            <w:r>
              <w:rPr>
                <w:rFonts w:hint="eastAsia" w:ascii="仿宋" w:hAnsi="仿宋" w:eastAsia="仿宋"/>
                <w:sz w:val="24"/>
                <w:lang w:val="en-US" w:eastAsia="zh-CN"/>
              </w:rPr>
              <w:t>4</w:t>
            </w:r>
            <w:r>
              <w:rPr>
                <w:rFonts w:hint="eastAsia" w:ascii="仿宋" w:hAnsi="仿宋" w:eastAsia="仿宋"/>
                <w:sz w:val="24"/>
              </w:rPr>
              <w:t>年</w:t>
            </w:r>
            <w:r>
              <w:rPr>
                <w:rFonts w:hint="eastAsia" w:ascii="仿宋" w:hAnsi="仿宋" w:eastAsia="仿宋"/>
                <w:sz w:val="24"/>
                <w:lang w:val="en-US" w:eastAsia="zh-CN"/>
              </w:rPr>
              <w:t>7</w:t>
            </w:r>
            <w:r>
              <w:rPr>
                <w:rFonts w:hint="eastAsia" w:ascii="仿宋" w:hAnsi="仿宋" w:eastAsia="仿宋"/>
                <w:sz w:val="24"/>
              </w:rPr>
              <w:t>月</w:t>
            </w:r>
            <w:r>
              <w:rPr>
                <w:rFonts w:hint="eastAsia" w:ascii="仿宋" w:hAnsi="仿宋" w:eastAsia="仿宋"/>
                <w:sz w:val="24"/>
                <w:lang w:val="en-US" w:eastAsia="zh-CN"/>
              </w:rPr>
              <w:t>21</w:t>
            </w:r>
            <w:r>
              <w:rPr>
                <w:rFonts w:hint="eastAsia" w:ascii="仿宋" w:hAnsi="仿宋" w:eastAsia="仿宋"/>
                <w:sz w:val="24"/>
              </w:rPr>
              <w:t>日京时10:30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7" w:hRule="atLeast"/>
        </w:trPr>
        <w:tc>
          <w:tcPr>
            <w:tcW w:w="5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4</w:t>
            </w:r>
          </w:p>
        </w:tc>
        <w:tc>
          <w:tcPr>
            <w:tcW w:w="172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b/>
                <w:bCs/>
                <w:sz w:val="24"/>
                <w:szCs w:val="24"/>
              </w:rPr>
            </w:pPr>
            <w:r>
              <w:rPr>
                <w:rFonts w:hint="eastAsia" w:ascii="仿宋" w:hAnsi="仿宋" w:eastAsia="仿宋" w:cs="仿宋"/>
                <w:b/>
                <w:bCs/>
                <w:sz w:val="24"/>
                <w:szCs w:val="24"/>
              </w:rPr>
              <w:t>开评标地点</w:t>
            </w:r>
          </w:p>
        </w:tc>
        <w:tc>
          <w:tcPr>
            <w:tcW w:w="7446"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bCs/>
                <w:szCs w:val="21"/>
              </w:rPr>
            </w:pPr>
            <w:r>
              <w:rPr>
                <w:rFonts w:hint="eastAsia" w:ascii="仿宋" w:hAnsi="仿宋" w:eastAsia="仿宋" w:cs="仿宋"/>
                <w:bCs/>
                <w:szCs w:val="21"/>
              </w:rPr>
              <w:t>政采云平台（http://www.ccgp-xinjiang.gov.cn/home.html）</w:t>
            </w:r>
          </w:p>
          <w:p>
            <w:pPr>
              <w:snapToGrid w:val="0"/>
              <w:spacing w:line="240" w:lineRule="exact"/>
              <w:rPr>
                <w:rFonts w:ascii="仿宋" w:hAnsi="仿宋" w:eastAsia="仿宋" w:cs="仿宋"/>
                <w:bCs/>
                <w:sz w:val="24"/>
                <w:szCs w:val="24"/>
              </w:rPr>
            </w:pPr>
            <w:r>
              <w:rPr>
                <w:rFonts w:hint="eastAsia" w:ascii="仿宋" w:hAnsi="仿宋" w:eastAsia="仿宋" w:cs="仿宋"/>
                <w:bCs/>
                <w:szCs w:val="21"/>
              </w:rPr>
              <w:t>开标时间后30分钟内供应商可以登录“政采云”平台，用“项目采购-开标评标”功能进行解密电子响应文件，解密时长为：30分钟。</w:t>
            </w:r>
            <w:r>
              <w:rPr>
                <w:rFonts w:hint="eastAsia" w:ascii="仿宋" w:hAnsi="仿宋" w:eastAsia="仿宋" w:cs="仿宋"/>
                <w:bCs/>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5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5</w:t>
            </w:r>
          </w:p>
        </w:tc>
        <w:tc>
          <w:tcPr>
            <w:tcW w:w="172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cs="仿宋"/>
                <w:b/>
                <w:bCs/>
                <w:sz w:val="24"/>
                <w:szCs w:val="24"/>
              </w:rPr>
            </w:pPr>
            <w:r>
              <w:rPr>
                <w:rFonts w:hint="eastAsia" w:ascii="仿宋" w:hAnsi="仿宋" w:eastAsia="仿宋" w:cs="仿宋"/>
                <w:b/>
                <w:bCs/>
                <w:sz w:val="24"/>
                <w:szCs w:val="24"/>
              </w:rPr>
              <w:t>公告发布媒体</w:t>
            </w:r>
          </w:p>
        </w:tc>
        <w:tc>
          <w:tcPr>
            <w:tcW w:w="7446"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仿宋" w:hAnsi="仿宋" w:eastAsia="仿宋" w:cs="仿宋"/>
                <w:bCs/>
                <w:sz w:val="24"/>
                <w:szCs w:val="24"/>
                <w:lang w:eastAsia="zh-CN"/>
              </w:rPr>
            </w:pPr>
            <w:r>
              <w:rPr>
                <w:rFonts w:hint="eastAsia" w:ascii="仿宋_GB2312" w:hAnsi="宋体" w:eastAsia="仿宋_GB2312" w:cs="仿宋_GB2312"/>
                <w:color w:val="000000"/>
                <w:sz w:val="24"/>
                <w:szCs w:val="24"/>
              </w:rPr>
              <w:t>《新疆政府采购网》(</w:t>
            </w:r>
            <w:r>
              <w:rPr>
                <w:rFonts w:hint="eastAsia" w:ascii="仿宋_GB2312" w:hAnsi="宋体" w:eastAsia="仿宋_GB2312" w:cs="仿宋_GB2312"/>
                <w:color w:val="000000"/>
                <w:sz w:val="24"/>
                <w:szCs w:val="24"/>
              </w:rPr>
              <w:fldChar w:fldCharType="begin"/>
            </w:r>
            <w:r>
              <w:rPr>
                <w:rFonts w:hint="eastAsia" w:ascii="仿宋_GB2312" w:hAnsi="宋体" w:eastAsia="仿宋_GB2312" w:cs="仿宋_GB2312"/>
                <w:color w:val="000000"/>
                <w:sz w:val="24"/>
                <w:szCs w:val="24"/>
              </w:rPr>
              <w:instrText xml:space="preserve"> HYPERLINK "http://www.xjzfcg.gov.cn-" </w:instrText>
            </w:r>
            <w:r>
              <w:rPr>
                <w:rFonts w:hint="eastAsia" w:ascii="仿宋_GB2312" w:hAnsi="宋体" w:eastAsia="仿宋_GB2312" w:cs="仿宋_GB2312"/>
                <w:color w:val="000000"/>
                <w:sz w:val="24"/>
                <w:szCs w:val="24"/>
              </w:rPr>
              <w:fldChar w:fldCharType="separate"/>
            </w:r>
            <w:r>
              <w:rPr>
                <w:rFonts w:hint="eastAsia" w:ascii="仿宋_GB2312" w:hAnsi="宋体" w:eastAsia="仿宋_GB2312" w:cs="仿宋_GB2312"/>
                <w:color w:val="000000"/>
                <w:sz w:val="24"/>
                <w:szCs w:val="24"/>
              </w:rPr>
              <w:t>http://www.ccgp-xinjiang.gov.cn</w:t>
            </w:r>
            <w:r>
              <w:rPr>
                <w:rFonts w:hint="eastAsia" w:ascii="仿宋_GB2312" w:hAnsi="宋体" w:eastAsia="仿宋_GB2312" w:cs="仿宋_GB2312"/>
                <w:color w:val="000000"/>
                <w:sz w:val="24"/>
                <w:szCs w:val="24"/>
              </w:rPr>
              <w:fldChar w:fldCharType="end"/>
            </w:r>
            <w:r>
              <w:rPr>
                <w:rFonts w:hint="eastAsia" w:ascii="仿宋_GB2312" w:hAnsi="宋体"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6</w:t>
            </w:r>
          </w:p>
        </w:tc>
        <w:tc>
          <w:tcPr>
            <w:tcW w:w="172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cs="仿宋"/>
                <w:b/>
                <w:bCs/>
                <w:sz w:val="24"/>
                <w:szCs w:val="24"/>
              </w:rPr>
            </w:pPr>
            <w:r>
              <w:rPr>
                <w:rFonts w:hint="eastAsia" w:ascii="仿宋" w:hAnsi="仿宋" w:eastAsia="仿宋" w:cs="仿宋"/>
                <w:b/>
                <w:bCs/>
                <w:sz w:val="24"/>
                <w:szCs w:val="24"/>
              </w:rPr>
              <w:t>中标通知书</w:t>
            </w:r>
          </w:p>
        </w:tc>
        <w:tc>
          <w:tcPr>
            <w:tcW w:w="7446"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cs="仿宋"/>
                <w:bCs/>
                <w:sz w:val="24"/>
                <w:szCs w:val="24"/>
              </w:rPr>
            </w:pPr>
            <w:r>
              <w:rPr>
                <w:rFonts w:hint="eastAsia" w:ascii="仿宋_GB2312" w:hAnsi="宋体" w:eastAsia="仿宋_GB2312" w:cs="仿宋_GB2312"/>
                <w:color w:val="000000"/>
                <w:sz w:val="24"/>
                <w:szCs w:val="24"/>
              </w:rPr>
              <w:t>公告成交结果的同时发出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5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Cs/>
                <w:sz w:val="24"/>
                <w:szCs w:val="24"/>
              </w:rPr>
            </w:pPr>
            <w:r>
              <w:rPr>
                <w:rFonts w:hint="eastAsia" w:ascii="仿宋" w:hAnsi="仿宋" w:eastAsia="仿宋" w:cs="仿宋"/>
                <w:bCs/>
                <w:sz w:val="24"/>
                <w:szCs w:val="24"/>
              </w:rPr>
              <w:t>17</w:t>
            </w:r>
          </w:p>
        </w:tc>
        <w:tc>
          <w:tcPr>
            <w:tcW w:w="172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cs="仿宋"/>
                <w:b/>
                <w:bCs/>
                <w:sz w:val="24"/>
                <w:szCs w:val="24"/>
              </w:rPr>
            </w:pPr>
            <w:r>
              <w:rPr>
                <w:rFonts w:hint="eastAsia" w:ascii="仿宋" w:hAnsi="仿宋" w:eastAsia="仿宋" w:cs="仿宋"/>
                <w:b/>
                <w:bCs/>
                <w:sz w:val="24"/>
                <w:szCs w:val="24"/>
              </w:rPr>
              <w:t>签订合同时间</w:t>
            </w:r>
          </w:p>
        </w:tc>
        <w:tc>
          <w:tcPr>
            <w:tcW w:w="7446"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cs="仿宋"/>
                <w:bCs/>
                <w:sz w:val="24"/>
                <w:szCs w:val="24"/>
              </w:rPr>
            </w:pPr>
            <w:r>
              <w:rPr>
                <w:rFonts w:hint="eastAsia" w:ascii="仿宋" w:hAnsi="仿宋" w:eastAsia="仿宋" w:cs="仿宋"/>
                <w:bCs/>
                <w:sz w:val="24"/>
                <w:szCs w:val="24"/>
              </w:rPr>
              <w:t>中标通知书发出之日起30日内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5" w:hRule="atLeast"/>
        </w:trPr>
        <w:tc>
          <w:tcPr>
            <w:tcW w:w="5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Cs/>
                <w:sz w:val="24"/>
                <w:szCs w:val="24"/>
              </w:rPr>
            </w:pPr>
            <w:r>
              <w:rPr>
                <w:rFonts w:hint="eastAsia" w:ascii="仿宋" w:hAnsi="仿宋" w:eastAsia="仿宋" w:cs="仿宋"/>
                <w:bCs/>
                <w:sz w:val="24"/>
                <w:szCs w:val="24"/>
              </w:rPr>
              <w:t>18</w:t>
            </w:r>
          </w:p>
        </w:tc>
        <w:tc>
          <w:tcPr>
            <w:tcW w:w="172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cs="仿宋"/>
                <w:b/>
                <w:bCs/>
                <w:sz w:val="24"/>
                <w:szCs w:val="24"/>
              </w:rPr>
            </w:pPr>
            <w:r>
              <w:rPr>
                <w:rFonts w:hint="eastAsia" w:ascii="仿宋" w:hAnsi="仿宋" w:eastAsia="仿宋" w:cs="仿宋"/>
                <w:b/>
                <w:bCs/>
                <w:sz w:val="24"/>
                <w:szCs w:val="24"/>
              </w:rPr>
              <w:t>项目完成时间</w:t>
            </w:r>
          </w:p>
        </w:tc>
        <w:tc>
          <w:tcPr>
            <w:tcW w:w="7446"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r>
              <w:rPr>
                <w:rFonts w:hint="eastAsia" w:ascii="仿宋" w:hAnsi="仿宋" w:eastAsia="仿宋" w:cs="仿宋"/>
                <w:bCs/>
                <w:sz w:val="24"/>
                <w:szCs w:val="24"/>
              </w:rPr>
              <w:t>签订合同之日起</w:t>
            </w:r>
            <w:r>
              <w:rPr>
                <w:rFonts w:hint="eastAsia" w:ascii="仿宋" w:hAnsi="仿宋" w:eastAsia="仿宋" w:cs="仿宋"/>
                <w:bCs/>
                <w:sz w:val="24"/>
                <w:szCs w:val="24"/>
                <w:lang w:val="en-US" w:eastAsia="zh-CN"/>
              </w:rPr>
              <w:t>30</w:t>
            </w:r>
            <w:r>
              <w:rPr>
                <w:rFonts w:hint="eastAsia" w:ascii="仿宋" w:hAnsi="仿宋" w:eastAsia="仿宋" w:cs="仿宋"/>
                <w:bCs/>
                <w:sz w:val="24"/>
                <w:szCs w:val="24"/>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5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Cs/>
                <w:sz w:val="24"/>
                <w:szCs w:val="24"/>
              </w:rPr>
            </w:pPr>
            <w:r>
              <w:rPr>
                <w:rFonts w:hint="eastAsia" w:ascii="仿宋" w:hAnsi="仿宋" w:eastAsia="仿宋" w:cs="仿宋"/>
                <w:bCs/>
                <w:sz w:val="24"/>
                <w:szCs w:val="24"/>
              </w:rPr>
              <w:t>19</w:t>
            </w:r>
          </w:p>
        </w:tc>
        <w:tc>
          <w:tcPr>
            <w:tcW w:w="172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cs="仿宋"/>
                <w:b/>
                <w:bCs/>
                <w:sz w:val="24"/>
                <w:szCs w:val="24"/>
              </w:rPr>
            </w:pPr>
            <w:r>
              <w:rPr>
                <w:rFonts w:hint="eastAsia" w:ascii="仿宋" w:hAnsi="仿宋" w:eastAsia="仿宋" w:cs="仿宋"/>
                <w:b/>
                <w:bCs/>
                <w:sz w:val="24"/>
                <w:szCs w:val="24"/>
              </w:rPr>
              <w:t>项目实施地点</w:t>
            </w:r>
          </w:p>
        </w:tc>
        <w:tc>
          <w:tcPr>
            <w:tcW w:w="7446"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default" w:ascii="仿宋" w:hAnsi="仿宋" w:eastAsia="仿宋" w:cs="仿宋"/>
                <w:bCs/>
                <w:sz w:val="24"/>
                <w:szCs w:val="24"/>
                <w:lang w:val="en-US" w:eastAsia="zh-CN"/>
              </w:rPr>
            </w:pPr>
            <w:r>
              <w:rPr>
                <w:rFonts w:hint="eastAsia" w:ascii="仿宋" w:hAnsi="仿宋" w:eastAsia="仿宋"/>
                <w:sz w:val="24"/>
                <w:szCs w:val="22"/>
                <w:lang w:val="en-US" w:eastAsia="zh-CN"/>
              </w:rPr>
              <w:t>第一中学、第八小学和第三十一小学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9" w:hRule="atLeast"/>
        </w:trPr>
        <w:tc>
          <w:tcPr>
            <w:tcW w:w="5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Cs/>
                <w:sz w:val="24"/>
                <w:szCs w:val="24"/>
              </w:rPr>
            </w:pPr>
            <w:r>
              <w:rPr>
                <w:rFonts w:hint="eastAsia" w:ascii="仿宋" w:hAnsi="仿宋" w:eastAsia="仿宋" w:cs="仿宋"/>
                <w:bCs/>
                <w:sz w:val="24"/>
                <w:szCs w:val="24"/>
              </w:rPr>
              <w:t>20</w:t>
            </w:r>
          </w:p>
        </w:tc>
        <w:tc>
          <w:tcPr>
            <w:tcW w:w="172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cs="仿宋"/>
                <w:b/>
                <w:bCs/>
                <w:sz w:val="24"/>
                <w:szCs w:val="24"/>
              </w:rPr>
            </w:pPr>
            <w:r>
              <w:rPr>
                <w:rFonts w:hint="eastAsia" w:ascii="仿宋" w:hAnsi="仿宋" w:eastAsia="仿宋" w:cs="仿宋"/>
                <w:b/>
                <w:bCs/>
                <w:sz w:val="24"/>
                <w:szCs w:val="24"/>
              </w:rPr>
              <w:t>项目质保期限</w:t>
            </w:r>
          </w:p>
        </w:tc>
        <w:tc>
          <w:tcPr>
            <w:tcW w:w="7446"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eastAsia" w:ascii="仿宋" w:hAnsi="仿宋" w:eastAsia="仿宋" w:cs="仿宋"/>
                <w:bCs/>
                <w:sz w:val="24"/>
                <w:szCs w:val="24"/>
                <w:lang w:eastAsia="zh-CN"/>
              </w:rPr>
            </w:pPr>
            <w:r>
              <w:rPr>
                <w:rFonts w:hint="eastAsia" w:ascii="仿宋" w:hAnsi="仿宋" w:eastAsia="仿宋" w:cs="仿宋"/>
                <w:sz w:val="24"/>
                <w:szCs w:val="24"/>
                <w:highlight w:val="none"/>
                <w:lang w:val="en-US" w:eastAsia="zh-CN"/>
              </w:rPr>
              <w:t>本项目标项一、二、三均要求</w:t>
            </w:r>
            <w:r>
              <w:rPr>
                <w:rFonts w:hint="eastAsia" w:ascii="仿宋" w:hAnsi="仿宋" w:eastAsia="仿宋" w:cs="仿宋"/>
                <w:sz w:val="24"/>
                <w:szCs w:val="24"/>
                <w:highlight w:val="none"/>
                <w:lang w:eastAsia="zh-CN"/>
              </w:rPr>
              <w:t>三</w:t>
            </w:r>
            <w:r>
              <w:rPr>
                <w:rFonts w:hint="eastAsia" w:ascii="仿宋" w:hAnsi="仿宋" w:eastAsia="仿宋" w:cs="仿宋"/>
                <w:sz w:val="24"/>
                <w:szCs w:val="24"/>
                <w:highlight w:val="none"/>
              </w:rPr>
              <w:t>年质保</w:t>
            </w:r>
            <w:r>
              <w:rPr>
                <w:rFonts w:hint="eastAsia" w:ascii="仿宋" w:hAnsi="仿宋" w:eastAsia="仿宋" w:cs="仿宋"/>
                <w:sz w:val="24"/>
                <w:szCs w:val="24"/>
                <w:highlight w:val="none"/>
                <w:lang w:eastAsia="zh-CN"/>
              </w:rPr>
              <w:t>，提供三年免费售后服务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9" w:hRule="atLeast"/>
        </w:trPr>
        <w:tc>
          <w:tcPr>
            <w:tcW w:w="5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21</w:t>
            </w:r>
          </w:p>
        </w:tc>
        <w:tc>
          <w:tcPr>
            <w:tcW w:w="172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其他说明</w:t>
            </w:r>
          </w:p>
        </w:tc>
        <w:tc>
          <w:tcPr>
            <w:tcW w:w="7446"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本项目投标须按照标项投标</w:t>
            </w:r>
          </w:p>
        </w:tc>
      </w:tr>
    </w:tbl>
    <w:p>
      <w:pPr>
        <w:autoSpaceDE w:val="0"/>
        <w:autoSpaceDN w:val="0"/>
        <w:snapToGrid w:val="0"/>
        <w:spacing w:line="400" w:lineRule="exact"/>
        <w:textAlignment w:val="bottom"/>
        <w:rPr>
          <w:rFonts w:ascii="宋体" w:hAnsi="宋体"/>
          <w:b/>
          <w:sz w:val="36"/>
          <w:szCs w:val="36"/>
        </w:rPr>
      </w:pPr>
      <w:bookmarkStart w:id="30" w:name="_Toc3863"/>
      <w:bookmarkStart w:id="31" w:name="_Toc7897_WPSOffice_Level1"/>
      <w:bookmarkStart w:id="32" w:name="_Toc19429"/>
      <w:bookmarkStart w:id="33" w:name="_Toc22843"/>
    </w:p>
    <w:p>
      <w:pPr>
        <w:pStyle w:val="27"/>
        <w:ind w:firstLine="2873" w:firstLineChars="795"/>
        <w:outlineLvl w:val="0"/>
        <w:rPr>
          <w:rFonts w:ascii="仿宋_GB2312" w:hAnsi="Arial" w:eastAsia="仿宋_GB2312"/>
          <w:b/>
          <w:color w:val="auto"/>
          <w:sz w:val="32"/>
        </w:rPr>
      </w:pPr>
      <w:bookmarkStart w:id="34" w:name="_Toc22950"/>
      <w:r>
        <w:rPr>
          <w:rFonts w:hint="eastAsia" w:ascii="宋体" w:hAnsi="宋体"/>
          <w:b/>
          <w:color w:val="auto"/>
          <w:kern w:val="2"/>
          <w:sz w:val="36"/>
          <w:szCs w:val="36"/>
        </w:rPr>
        <w:t>第二部分  投标人须知</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27"/>
        <w:jc w:val="center"/>
        <w:outlineLvl w:val="1"/>
        <w:rPr>
          <w:rFonts w:ascii="仿宋_GB2312" w:hAnsi="宋体" w:eastAsia="仿宋_GB2312"/>
          <w:b/>
          <w:color w:val="auto"/>
          <w:kern w:val="2"/>
          <w:sz w:val="32"/>
          <w:szCs w:val="32"/>
        </w:rPr>
      </w:pPr>
      <w:bookmarkStart w:id="35" w:name="_Toc13562"/>
      <w:bookmarkStart w:id="36" w:name="_Toc30699_WPSOffice_Level2"/>
      <w:bookmarkStart w:id="37" w:name="_Toc12713"/>
      <w:bookmarkStart w:id="38" w:name="_Toc25060"/>
      <w:bookmarkStart w:id="39" w:name="_Toc3376"/>
      <w:bookmarkStart w:id="40" w:name="_Toc32082"/>
      <w:bookmarkStart w:id="41" w:name="_Toc18253"/>
      <w:bookmarkStart w:id="42" w:name="_Toc10828"/>
      <w:bookmarkStart w:id="43" w:name="_Toc30588"/>
      <w:bookmarkStart w:id="44" w:name="_Toc4609"/>
      <w:bookmarkStart w:id="45" w:name="_Toc22129"/>
      <w:bookmarkStart w:id="46" w:name="_Toc32147"/>
      <w:bookmarkStart w:id="47" w:name="_Toc31446"/>
      <w:bookmarkStart w:id="48" w:name="_Toc2122"/>
      <w:bookmarkStart w:id="49" w:name="_Toc7066"/>
      <w:bookmarkStart w:id="50" w:name="_Toc2340"/>
      <w:bookmarkStart w:id="51" w:name="_Toc1790"/>
      <w:r>
        <w:rPr>
          <w:rFonts w:hint="eastAsia" w:ascii="仿宋_GB2312" w:hAnsi="Arial" w:eastAsia="仿宋_GB2312"/>
          <w:b/>
          <w:color w:val="auto"/>
          <w:sz w:val="32"/>
        </w:rPr>
        <w:t xml:space="preserve">第一章 </w:t>
      </w:r>
      <w:r>
        <w:rPr>
          <w:rFonts w:hint="eastAsia" w:ascii="仿宋_GB2312" w:hAnsi="宋体" w:eastAsia="仿宋_GB2312"/>
          <w:b/>
          <w:color w:val="auto"/>
          <w:kern w:val="2"/>
          <w:sz w:val="32"/>
          <w:szCs w:val="32"/>
        </w:rPr>
        <w:t>招标说明</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ind w:firstLine="482" w:firstLineChars="200"/>
        <w:rPr>
          <w:rFonts w:ascii="宋体" w:hAnsi="宋体" w:cs="宋体"/>
          <w:b/>
          <w:sz w:val="24"/>
        </w:rPr>
      </w:pPr>
      <w:r>
        <w:rPr>
          <w:rFonts w:hint="eastAsia" w:ascii="宋体" w:hAnsi="宋体" w:cs="宋体"/>
          <w:b/>
          <w:sz w:val="24"/>
        </w:rPr>
        <w:t>1、 适用范围</w:t>
      </w:r>
    </w:p>
    <w:p>
      <w:pPr>
        <w:ind w:firstLine="480" w:firstLineChars="200"/>
        <w:rPr>
          <w:rFonts w:ascii="仿宋" w:hAnsi="仿宋" w:eastAsia="仿宋" w:cs="仿宋"/>
          <w:sz w:val="24"/>
        </w:rPr>
      </w:pPr>
      <w:r>
        <w:rPr>
          <w:rFonts w:hint="eastAsia" w:ascii="仿宋" w:hAnsi="仿宋" w:eastAsia="仿宋" w:cs="仿宋"/>
          <w:sz w:val="24"/>
        </w:rPr>
        <w:t>本招标文件仅适用于参加</w:t>
      </w:r>
      <w:r>
        <w:rPr>
          <w:rFonts w:hint="eastAsia" w:ascii="仿宋" w:hAnsi="仿宋" w:eastAsia="仿宋" w:cs="Arial"/>
          <w:b/>
          <w:bCs/>
          <w:sz w:val="24"/>
          <w:szCs w:val="24"/>
          <w:u w:val="single"/>
          <w:shd w:val="clear" w:color="auto" w:fill="FFFFFF"/>
          <w:lang w:val="en-US" w:eastAsia="zh-CN"/>
        </w:rPr>
        <w:t>伊宁市第一中学、第八小学和第三十一小学教学设备采购项目</w:t>
      </w:r>
      <w:r>
        <w:rPr>
          <w:rFonts w:hint="eastAsia" w:ascii="仿宋" w:hAnsi="仿宋" w:eastAsia="仿宋" w:cs="仿宋"/>
          <w:sz w:val="24"/>
        </w:rPr>
        <w:t>的合格投标人。</w:t>
      </w:r>
    </w:p>
    <w:p>
      <w:pPr>
        <w:tabs>
          <w:tab w:val="left" w:pos="1185"/>
        </w:tabs>
        <w:ind w:firstLine="482" w:firstLineChars="200"/>
        <w:rPr>
          <w:rFonts w:ascii="宋体" w:hAnsi="宋体" w:cs="宋体"/>
          <w:b/>
          <w:sz w:val="24"/>
        </w:rPr>
      </w:pPr>
      <w:r>
        <w:rPr>
          <w:rFonts w:hint="eastAsia" w:ascii="宋体" w:hAnsi="宋体" w:cs="宋体"/>
          <w:b/>
          <w:sz w:val="24"/>
        </w:rPr>
        <w:t>2、名词定义</w:t>
      </w:r>
    </w:p>
    <w:p>
      <w:pPr>
        <w:ind w:firstLine="482"/>
        <w:rPr>
          <w:rFonts w:ascii="仿宋" w:hAnsi="仿宋" w:eastAsia="仿宋"/>
          <w:sz w:val="24"/>
        </w:rPr>
      </w:pPr>
      <w:r>
        <w:rPr>
          <w:rFonts w:hint="eastAsia" w:ascii="仿宋" w:hAnsi="仿宋" w:eastAsia="仿宋"/>
          <w:sz w:val="24"/>
        </w:rPr>
        <w:t xml:space="preserve">下列术语和缩写的定义为： </w:t>
      </w:r>
    </w:p>
    <w:p>
      <w:pPr>
        <w:ind w:firstLine="482"/>
        <w:rPr>
          <w:rFonts w:hint="default" w:ascii="仿宋" w:hAnsi="仿宋" w:eastAsia="仿宋" w:cs="Arial"/>
          <w:b/>
          <w:bCs/>
          <w:sz w:val="24"/>
          <w:szCs w:val="24"/>
          <w:u w:val="single"/>
          <w:shd w:val="clear" w:color="auto" w:fill="FFFFFF"/>
          <w:lang w:val="en-US" w:eastAsia="zh-CN"/>
        </w:rPr>
      </w:pPr>
      <w:r>
        <w:rPr>
          <w:rFonts w:hint="eastAsia" w:ascii="仿宋" w:hAnsi="仿宋" w:eastAsia="仿宋"/>
          <w:sz w:val="24"/>
        </w:rPr>
        <w:t>2.1 “采购人”是指依法进行政府采购的国家机关、</w:t>
      </w:r>
      <w:r>
        <w:rPr>
          <w:rFonts w:hint="eastAsia" w:ascii="仿宋" w:hAnsi="仿宋" w:eastAsia="仿宋" w:cs="宋体"/>
          <w:sz w:val="24"/>
        </w:rPr>
        <w:t>事业单位和社会团体组织。即</w:t>
      </w:r>
      <w:r>
        <w:rPr>
          <w:rFonts w:hint="eastAsia" w:ascii="仿宋" w:hAnsi="仿宋" w:eastAsia="仿宋" w:cs="Arial"/>
          <w:b/>
          <w:bCs/>
          <w:sz w:val="24"/>
          <w:szCs w:val="24"/>
          <w:u w:val="single"/>
          <w:shd w:val="clear" w:color="auto" w:fill="FFFFFF"/>
          <w:lang w:val="en-US" w:eastAsia="zh-CN"/>
        </w:rPr>
        <w:t>伊宁市教育局</w:t>
      </w:r>
    </w:p>
    <w:p>
      <w:pPr>
        <w:ind w:firstLine="482"/>
        <w:rPr>
          <w:rFonts w:ascii="仿宋" w:hAnsi="仿宋" w:eastAsia="仿宋" w:cs="宋体"/>
          <w:sz w:val="24"/>
        </w:rPr>
      </w:pPr>
      <w:r>
        <w:rPr>
          <w:rFonts w:hint="eastAsia" w:ascii="仿宋" w:hAnsi="仿宋" w:eastAsia="仿宋" w:cs="宋体"/>
          <w:sz w:val="24"/>
        </w:rPr>
        <w:t>2.2 “集采机构”是指依法设立，对纳入集中采购目录范围内项目独立组织招标的机构。即</w:t>
      </w:r>
      <w:r>
        <w:rPr>
          <w:rFonts w:hint="eastAsia" w:ascii="仿宋" w:hAnsi="仿宋" w:eastAsia="仿宋" w:cs="宋体"/>
          <w:b/>
          <w:bCs/>
          <w:sz w:val="24"/>
          <w:u w:val="single"/>
          <w:lang w:val="en-US" w:eastAsia="zh-CN"/>
        </w:rPr>
        <w:t>伊宁市</w:t>
      </w:r>
      <w:r>
        <w:rPr>
          <w:rFonts w:hint="eastAsia" w:ascii="仿宋" w:hAnsi="仿宋" w:eastAsia="仿宋" w:cs="宋体"/>
          <w:b/>
          <w:bCs/>
          <w:sz w:val="24"/>
          <w:u w:val="single"/>
        </w:rPr>
        <w:t>公共资源交易中心</w:t>
      </w:r>
      <w:r>
        <w:rPr>
          <w:rFonts w:hint="eastAsia" w:ascii="仿宋" w:hAnsi="仿宋" w:eastAsia="仿宋" w:cs="宋体"/>
          <w:sz w:val="24"/>
        </w:rPr>
        <w:t>。</w:t>
      </w:r>
    </w:p>
    <w:p>
      <w:pPr>
        <w:tabs>
          <w:tab w:val="left" w:pos="1185"/>
        </w:tabs>
        <w:ind w:firstLine="480" w:firstLineChars="200"/>
        <w:rPr>
          <w:rFonts w:ascii="仿宋" w:hAnsi="仿宋" w:eastAsia="仿宋"/>
          <w:sz w:val="24"/>
        </w:rPr>
      </w:pPr>
      <w:r>
        <w:rPr>
          <w:rFonts w:hint="eastAsia" w:ascii="仿宋" w:hAnsi="仿宋" w:eastAsia="仿宋"/>
          <w:sz w:val="24"/>
        </w:rPr>
        <w:t>2.3 “投标人”系指有资格的投标人（制造商或代理商）及投标表现人。</w:t>
      </w:r>
    </w:p>
    <w:p>
      <w:pPr>
        <w:tabs>
          <w:tab w:val="left" w:pos="1185"/>
        </w:tabs>
        <w:ind w:firstLine="480" w:firstLineChars="200"/>
        <w:rPr>
          <w:rFonts w:ascii="仿宋" w:hAnsi="仿宋" w:eastAsia="仿宋"/>
          <w:sz w:val="24"/>
        </w:rPr>
      </w:pPr>
      <w:r>
        <w:rPr>
          <w:rFonts w:hint="eastAsia" w:ascii="仿宋" w:hAnsi="仿宋" w:eastAsia="仿宋"/>
          <w:sz w:val="24"/>
        </w:rPr>
        <w:t>2.4 “货物”系指招标文件规定的，投标人须向集采机构提供的一切设备、附件、备品备件、工具、手册及其它有关资料和材料。</w:t>
      </w:r>
    </w:p>
    <w:p>
      <w:pPr>
        <w:ind w:firstLine="480" w:firstLineChars="200"/>
        <w:rPr>
          <w:rFonts w:ascii="仿宋" w:hAnsi="仿宋" w:eastAsia="仿宋"/>
          <w:sz w:val="24"/>
        </w:rPr>
      </w:pPr>
      <w:r>
        <w:rPr>
          <w:rFonts w:hint="eastAsia" w:ascii="仿宋" w:hAnsi="仿宋" w:eastAsia="仿宋"/>
          <w:sz w:val="24"/>
        </w:rPr>
        <w:t>2.5 “服务”系指招标文件规定投标人必须承担的保修、技术协助、培训及其他类似的责任。</w:t>
      </w:r>
    </w:p>
    <w:p>
      <w:pPr>
        <w:ind w:firstLine="482" w:firstLineChars="200"/>
        <w:rPr>
          <w:rFonts w:ascii="宋体" w:hAnsi="宋体" w:cs="宋体"/>
          <w:b/>
          <w:sz w:val="24"/>
        </w:rPr>
      </w:pPr>
      <w:r>
        <w:rPr>
          <w:rFonts w:hint="eastAsia" w:ascii="宋体" w:hAnsi="宋体" w:cs="宋体"/>
          <w:b/>
          <w:sz w:val="24"/>
        </w:rPr>
        <w:t>3.</w:t>
      </w:r>
      <w:r>
        <w:rPr>
          <w:rFonts w:hint="eastAsia" w:ascii="宋体" w:hAnsi="宋体" w:cs="宋体"/>
          <w:sz w:val="24"/>
        </w:rPr>
        <w:t xml:space="preserve"> </w:t>
      </w:r>
      <w:r>
        <w:rPr>
          <w:rFonts w:hint="eastAsia" w:ascii="宋体" w:hAnsi="宋体" w:cs="宋体"/>
          <w:b/>
          <w:sz w:val="24"/>
        </w:rPr>
        <w:t>投标费用</w:t>
      </w:r>
    </w:p>
    <w:p>
      <w:pPr>
        <w:ind w:firstLine="482"/>
        <w:rPr>
          <w:rFonts w:ascii="仿宋" w:hAnsi="仿宋" w:eastAsia="仿宋"/>
          <w:sz w:val="24"/>
        </w:rPr>
      </w:pPr>
      <w:r>
        <w:rPr>
          <w:rFonts w:hint="eastAsia" w:ascii="仿宋" w:hAnsi="仿宋" w:eastAsia="仿宋"/>
          <w:sz w:val="24"/>
        </w:rPr>
        <w:t>3.1　无论投标结果如何，凡参与招标、投标活动有关的所有费用将由投标人自行承担。</w:t>
      </w:r>
    </w:p>
    <w:p>
      <w:pPr>
        <w:ind w:firstLine="480" w:firstLineChars="200"/>
        <w:rPr>
          <w:rFonts w:ascii="仿宋" w:hAnsi="仿宋" w:eastAsia="仿宋"/>
          <w:sz w:val="24"/>
        </w:rPr>
      </w:pPr>
      <w:r>
        <w:rPr>
          <w:rFonts w:hint="eastAsia" w:ascii="仿宋" w:hAnsi="仿宋" w:eastAsia="仿宋"/>
          <w:sz w:val="24"/>
        </w:rPr>
        <w:t>3.2　投标人被视为熟悉本招标项目的各种情况以及与履行合同有关的一切情况。</w:t>
      </w:r>
    </w:p>
    <w:p>
      <w:pPr>
        <w:tabs>
          <w:tab w:val="left" w:pos="1185"/>
        </w:tabs>
        <w:ind w:firstLine="482" w:firstLineChars="200"/>
        <w:rPr>
          <w:rFonts w:ascii="仿宋" w:hAnsi="仿宋" w:eastAsia="仿宋"/>
          <w:sz w:val="24"/>
        </w:rPr>
      </w:pPr>
      <w:r>
        <w:rPr>
          <w:rFonts w:hint="eastAsia" w:ascii="宋体" w:hAnsi="宋体" w:cs="宋体"/>
          <w:b/>
          <w:sz w:val="24"/>
        </w:rPr>
        <w:t>4. 招标文件的构成</w:t>
      </w:r>
    </w:p>
    <w:p>
      <w:pPr>
        <w:ind w:firstLine="720" w:firstLineChars="300"/>
        <w:rPr>
          <w:rFonts w:ascii="仿宋" w:hAnsi="仿宋" w:eastAsia="仿宋"/>
          <w:sz w:val="24"/>
        </w:rPr>
      </w:pPr>
      <w:r>
        <w:rPr>
          <w:rFonts w:hint="eastAsia" w:ascii="仿宋" w:hAnsi="仿宋" w:eastAsia="仿宋"/>
          <w:sz w:val="24"/>
        </w:rPr>
        <w:t>第一部分 投标邀请</w:t>
      </w:r>
    </w:p>
    <w:p>
      <w:pPr>
        <w:ind w:firstLine="720" w:firstLineChars="300"/>
        <w:rPr>
          <w:rFonts w:ascii="仿宋" w:hAnsi="仿宋" w:eastAsia="仿宋"/>
          <w:sz w:val="24"/>
        </w:rPr>
      </w:pPr>
      <w:r>
        <w:rPr>
          <w:rFonts w:hint="eastAsia" w:ascii="仿宋" w:hAnsi="仿宋" w:eastAsia="仿宋"/>
          <w:sz w:val="24"/>
        </w:rPr>
        <w:t>第二部分 投标人须知</w:t>
      </w:r>
    </w:p>
    <w:p>
      <w:pPr>
        <w:ind w:firstLine="720" w:firstLineChars="300"/>
        <w:rPr>
          <w:rFonts w:ascii="仿宋" w:hAnsi="仿宋" w:eastAsia="仿宋"/>
          <w:sz w:val="24"/>
        </w:rPr>
      </w:pPr>
      <w:r>
        <w:rPr>
          <w:rFonts w:hint="eastAsia" w:ascii="仿宋" w:hAnsi="仿宋" w:eastAsia="仿宋"/>
          <w:sz w:val="24"/>
        </w:rPr>
        <w:t>第三部分 技术需求及商务要求</w:t>
      </w:r>
    </w:p>
    <w:p>
      <w:pPr>
        <w:ind w:firstLine="720" w:firstLineChars="300"/>
        <w:rPr>
          <w:rFonts w:ascii="仿宋" w:hAnsi="仿宋" w:eastAsia="仿宋"/>
          <w:sz w:val="24"/>
        </w:rPr>
      </w:pPr>
      <w:r>
        <w:rPr>
          <w:rFonts w:hint="eastAsia" w:ascii="仿宋" w:hAnsi="仿宋" w:eastAsia="仿宋"/>
          <w:sz w:val="24"/>
        </w:rPr>
        <w:t>第四部分 招标组织程序</w:t>
      </w:r>
    </w:p>
    <w:p>
      <w:pPr>
        <w:ind w:firstLine="720" w:firstLineChars="300"/>
        <w:rPr>
          <w:rFonts w:ascii="仿宋" w:hAnsi="仿宋" w:eastAsia="仿宋"/>
          <w:sz w:val="24"/>
        </w:rPr>
      </w:pPr>
      <w:r>
        <w:rPr>
          <w:rFonts w:hint="eastAsia" w:ascii="仿宋" w:hAnsi="仿宋" w:eastAsia="仿宋"/>
          <w:sz w:val="24"/>
        </w:rPr>
        <w:t>第五部分 招标结束后注意事项</w:t>
      </w:r>
    </w:p>
    <w:p>
      <w:pPr>
        <w:ind w:firstLine="720" w:firstLineChars="300"/>
        <w:rPr>
          <w:rFonts w:ascii="仿宋" w:hAnsi="仿宋" w:eastAsia="仿宋"/>
          <w:sz w:val="24"/>
        </w:rPr>
      </w:pPr>
      <w:r>
        <w:rPr>
          <w:rFonts w:hint="eastAsia" w:ascii="仿宋" w:hAnsi="仿宋" w:eastAsia="仿宋"/>
          <w:sz w:val="24"/>
        </w:rPr>
        <w:t>第六部分 有关附件范本格式</w:t>
      </w:r>
    </w:p>
    <w:p>
      <w:pPr>
        <w:ind w:firstLine="482" w:firstLineChars="200"/>
        <w:jc w:val="left"/>
        <w:rPr>
          <w:rFonts w:ascii="宋体" w:hAnsi="宋体" w:cs="宋体"/>
          <w:b/>
          <w:sz w:val="24"/>
          <w:szCs w:val="24"/>
        </w:rPr>
      </w:pPr>
      <w:r>
        <w:rPr>
          <w:rFonts w:hint="eastAsia" w:ascii="宋体" w:hAnsi="宋体" w:cs="宋体"/>
          <w:b/>
          <w:sz w:val="24"/>
        </w:rPr>
        <w:t>5.</w:t>
      </w:r>
      <w:r>
        <w:rPr>
          <w:rFonts w:hint="eastAsia" w:ascii="宋体" w:hAnsi="宋体" w:cs="宋体"/>
          <w:b/>
          <w:sz w:val="24"/>
          <w:szCs w:val="24"/>
        </w:rPr>
        <w:t>对招标文件质疑与答复</w:t>
      </w:r>
    </w:p>
    <w:p>
      <w:pPr>
        <w:ind w:firstLine="480" w:firstLineChars="200"/>
        <w:rPr>
          <w:rFonts w:ascii="仿宋" w:hAnsi="仿宋" w:eastAsia="仿宋"/>
          <w:bCs/>
          <w:sz w:val="24"/>
        </w:rPr>
      </w:pPr>
      <w:r>
        <w:rPr>
          <w:rFonts w:hint="eastAsia" w:ascii="仿宋_GB2312" w:hAnsi="宋体" w:eastAsia="仿宋_GB2312"/>
          <w:sz w:val="24"/>
          <w:szCs w:val="24"/>
        </w:rPr>
        <w:t>5.1</w:t>
      </w:r>
      <w:r>
        <w:rPr>
          <w:rFonts w:hint="eastAsia" w:ascii="仿宋" w:hAnsi="仿宋" w:eastAsia="仿宋"/>
          <w:b/>
          <w:sz w:val="24"/>
        </w:rPr>
        <w:t>投标人对招标文件中的采购需求（资质要求、采购技术参数、付款方式、交货期限、售后服务和质保期）有异议的，应当自合法渠道获取招标文件之日起7个工作日内，以书面方式向采购人提出</w:t>
      </w:r>
      <w:r>
        <w:rPr>
          <w:rFonts w:hint="eastAsia" w:ascii="仿宋" w:hAnsi="仿宋" w:eastAsia="仿宋"/>
          <w:bCs/>
          <w:sz w:val="24"/>
        </w:rPr>
        <w:t>。</w:t>
      </w:r>
    </w:p>
    <w:p>
      <w:pPr>
        <w:ind w:firstLine="480" w:firstLineChars="200"/>
        <w:rPr>
          <w:rFonts w:ascii="仿宋" w:hAnsi="仿宋" w:eastAsia="仿宋"/>
          <w:bCs/>
          <w:sz w:val="24"/>
        </w:rPr>
      </w:pPr>
      <w:r>
        <w:rPr>
          <w:rFonts w:hint="eastAsia" w:ascii="仿宋" w:hAnsi="仿宋" w:eastAsia="仿宋"/>
          <w:bCs/>
          <w:sz w:val="24"/>
        </w:rPr>
        <w:t>5.2采购人在收到投标人的质疑函后7个工作日内予以答复，并以书面形式通知质疑投标人，同时将质疑答复抄送集采机构。</w:t>
      </w:r>
    </w:p>
    <w:p>
      <w:pPr>
        <w:ind w:firstLine="480" w:firstLineChars="200"/>
        <w:jc w:val="left"/>
        <w:rPr>
          <w:rFonts w:ascii="仿宋" w:hAnsi="仿宋" w:eastAsia="仿宋"/>
          <w:bCs/>
          <w:sz w:val="24"/>
        </w:rPr>
      </w:pPr>
      <w:r>
        <w:rPr>
          <w:rFonts w:hint="eastAsia" w:ascii="仿宋" w:hAnsi="仿宋" w:eastAsia="仿宋"/>
          <w:bCs/>
          <w:sz w:val="24"/>
        </w:rPr>
        <w:t>5.3投标人在法定质疑期内针对招标文件的质疑必须一次性提出，投标人在规定时间内，未对招标文件提出质疑的，则视为投标人完全同意招标文件的所有内容。</w:t>
      </w:r>
    </w:p>
    <w:p>
      <w:pPr>
        <w:ind w:firstLine="482" w:firstLineChars="200"/>
        <w:jc w:val="left"/>
        <w:rPr>
          <w:rFonts w:ascii="宋体" w:hAnsi="宋体" w:cs="宋体"/>
          <w:b/>
          <w:sz w:val="24"/>
        </w:rPr>
      </w:pPr>
      <w:r>
        <w:rPr>
          <w:rFonts w:hint="eastAsia" w:ascii="宋体" w:hAnsi="宋体" w:cs="宋体"/>
          <w:b/>
          <w:sz w:val="24"/>
        </w:rPr>
        <w:t>6.招标文件的澄清或修改</w:t>
      </w:r>
    </w:p>
    <w:p>
      <w:pPr>
        <w:ind w:firstLine="480" w:firstLineChars="200"/>
        <w:jc w:val="left"/>
        <w:rPr>
          <w:rFonts w:ascii="仿宋" w:hAnsi="仿宋" w:eastAsia="仿宋"/>
          <w:sz w:val="24"/>
        </w:rPr>
      </w:pPr>
      <w:r>
        <w:rPr>
          <w:rFonts w:hint="eastAsia" w:ascii="仿宋" w:hAnsi="仿宋" w:eastAsia="仿宋"/>
          <w:sz w:val="24"/>
        </w:rPr>
        <w:t>6</w:t>
      </w:r>
      <w:r>
        <w:rPr>
          <w:rFonts w:ascii="仿宋" w:hAnsi="仿宋" w:eastAsia="仿宋"/>
          <w:sz w:val="24"/>
        </w:rPr>
        <w:t>.</w:t>
      </w:r>
      <w:r>
        <w:rPr>
          <w:rFonts w:hint="eastAsia" w:ascii="仿宋" w:hAnsi="仿宋" w:eastAsia="仿宋"/>
          <w:sz w:val="24"/>
        </w:rPr>
        <w:t>1采购人或者集采机构可以对已发出的招标文件进行必要的澄清或者修改。澄清或者修改的内容可能影响投标文件编制的，采购人或者集采机构应当在投标截止时间至少15日前，以公告形式通知所有获取招标文件的潜在投标人；不足15日的，采购人或者集采机构应当顺延提交投标文件的截止时间。投标人在收到该通知后应立即以电报或传真的形式予以确认。</w:t>
      </w:r>
    </w:p>
    <w:p>
      <w:pPr>
        <w:ind w:firstLine="480" w:firstLineChars="200"/>
        <w:rPr>
          <w:rFonts w:ascii="仿宋" w:hAnsi="仿宋" w:eastAsia="仿宋"/>
          <w:sz w:val="24"/>
          <w:szCs w:val="24"/>
        </w:rPr>
      </w:pPr>
      <w:r>
        <w:rPr>
          <w:rFonts w:hint="eastAsia" w:ascii="仿宋" w:hAnsi="仿宋" w:eastAsia="仿宋"/>
          <w:sz w:val="24"/>
        </w:rPr>
        <w:t>6</w:t>
      </w:r>
      <w:r>
        <w:rPr>
          <w:rFonts w:ascii="仿宋" w:hAnsi="仿宋" w:eastAsia="仿宋"/>
          <w:sz w:val="24"/>
        </w:rPr>
        <w:t>.</w:t>
      </w:r>
      <w:r>
        <w:rPr>
          <w:rFonts w:hint="eastAsia" w:ascii="仿宋" w:hAnsi="仿宋" w:eastAsia="仿宋"/>
          <w:sz w:val="24"/>
        </w:rPr>
        <w:t>2</w:t>
      </w:r>
      <w:r>
        <w:rPr>
          <w:rFonts w:hint="eastAsia" w:ascii="仿宋" w:hAnsi="仿宋" w:eastAsia="仿宋"/>
          <w:sz w:val="24"/>
          <w:szCs w:val="24"/>
        </w:rPr>
        <w:t>招标文件的修改和补充文件将构成招标文件的一部分，并且对投标人具有优先约束力。</w:t>
      </w:r>
    </w:p>
    <w:p>
      <w:pPr>
        <w:spacing w:line="240" w:lineRule="exact"/>
        <w:jc w:val="center"/>
        <w:outlineLvl w:val="1"/>
        <w:rPr>
          <w:rFonts w:ascii="仿宋_GB2312" w:hAnsi="宋体" w:eastAsia="仿宋_GB2312"/>
          <w:b/>
          <w:sz w:val="32"/>
          <w:szCs w:val="32"/>
        </w:rPr>
      </w:pPr>
      <w:bookmarkStart w:id="52" w:name="_Toc4244"/>
      <w:bookmarkStart w:id="53" w:name="_Toc30637"/>
      <w:bookmarkStart w:id="54" w:name="_Toc27879_WPSOffice_Level2"/>
      <w:bookmarkStart w:id="55" w:name="_Toc17436"/>
      <w:bookmarkStart w:id="56" w:name="_Toc21110"/>
      <w:bookmarkStart w:id="57" w:name="_Toc8278"/>
      <w:bookmarkStart w:id="58" w:name="_Toc25097"/>
      <w:bookmarkStart w:id="59" w:name="_Toc14958"/>
      <w:bookmarkStart w:id="60" w:name="_Toc15920"/>
      <w:bookmarkStart w:id="61" w:name="_Toc2594"/>
      <w:bookmarkStart w:id="62" w:name="_Toc22946"/>
      <w:bookmarkStart w:id="63" w:name="_Toc25732"/>
      <w:bookmarkStart w:id="64" w:name="_Toc23877"/>
      <w:bookmarkStart w:id="65" w:name="_Toc22600"/>
      <w:bookmarkStart w:id="66" w:name="_Toc1839"/>
      <w:bookmarkStart w:id="67" w:name="_Toc9247"/>
    </w:p>
    <w:p>
      <w:pPr>
        <w:jc w:val="center"/>
        <w:outlineLvl w:val="1"/>
        <w:rPr>
          <w:rFonts w:ascii="仿宋" w:hAnsi="仿宋" w:eastAsia="仿宋" w:cs="仿宋"/>
          <w:sz w:val="36"/>
          <w:szCs w:val="36"/>
        </w:rPr>
      </w:pPr>
      <w:bookmarkStart w:id="68" w:name="_Toc21134"/>
      <w:r>
        <w:rPr>
          <w:rFonts w:hint="eastAsia" w:ascii="仿宋_GB2312" w:hAnsi="宋体" w:eastAsia="仿宋_GB2312"/>
          <w:b/>
          <w:sz w:val="36"/>
          <w:szCs w:val="36"/>
        </w:rPr>
        <w:t xml:space="preserve">第二章 </w:t>
      </w:r>
      <w:r>
        <w:rPr>
          <w:rFonts w:hint="eastAsia" w:ascii="仿宋" w:hAnsi="仿宋" w:eastAsia="仿宋" w:cs="仿宋"/>
          <w:b/>
          <w:bCs/>
          <w:sz w:val="36"/>
          <w:szCs w:val="36"/>
        </w:rPr>
        <w:t>投标人的资格要求</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ind w:firstLine="482" w:firstLineChars="200"/>
        <w:rPr>
          <w:rFonts w:ascii="宋体" w:hAnsi="宋体" w:cs="宋体"/>
          <w:b/>
          <w:sz w:val="24"/>
        </w:rPr>
      </w:pPr>
      <w:r>
        <w:rPr>
          <w:rFonts w:hint="eastAsia" w:ascii="宋体" w:hAnsi="宋体" w:cs="宋体"/>
          <w:b/>
          <w:sz w:val="24"/>
          <w:lang w:val="en-US" w:eastAsia="zh-CN"/>
        </w:rPr>
        <w:t>7</w:t>
      </w:r>
      <w:r>
        <w:rPr>
          <w:rFonts w:hint="eastAsia" w:ascii="宋体" w:hAnsi="宋体" w:cs="宋体"/>
          <w:b/>
          <w:sz w:val="24"/>
        </w:rPr>
        <w:t>、投标资质</w:t>
      </w:r>
    </w:p>
    <w:p>
      <w:pPr>
        <w:ind w:firstLine="480" w:firstLineChars="200"/>
        <w:rPr>
          <w:rFonts w:ascii="仿宋" w:hAnsi="仿宋" w:eastAsia="仿宋"/>
          <w:b/>
          <w:sz w:val="24"/>
        </w:rPr>
      </w:pPr>
      <w:r>
        <w:rPr>
          <w:rFonts w:hint="eastAsia" w:ascii="仿宋" w:hAnsi="仿宋" w:eastAsia="仿宋"/>
          <w:sz w:val="24"/>
        </w:rPr>
        <w:t>投标人必须提交能够证明其具有履行本采购项目合同能力的资质证明文件，作为投标文件的一部分，所有非中文资质证明文件必须提供译文证明文件。</w:t>
      </w:r>
      <w:r>
        <w:rPr>
          <w:rFonts w:hint="eastAsia" w:ascii="仿宋" w:hAnsi="仿宋" w:eastAsia="仿宋"/>
          <w:b/>
          <w:sz w:val="24"/>
        </w:rPr>
        <w:t>本项目不接收联合体投标</w:t>
      </w:r>
      <w:r>
        <w:rPr>
          <w:rFonts w:hint="eastAsia" w:ascii="仿宋" w:hAnsi="仿宋" w:eastAsia="仿宋"/>
          <w:b/>
          <w:bCs/>
          <w:sz w:val="24"/>
        </w:rPr>
        <w:t>。</w:t>
      </w:r>
    </w:p>
    <w:p>
      <w:pPr>
        <w:ind w:firstLine="482" w:firstLineChars="200"/>
        <w:rPr>
          <w:rFonts w:ascii="仿宋" w:hAnsi="仿宋" w:eastAsia="仿宋" w:cs="仿宋"/>
          <w:sz w:val="24"/>
          <w:szCs w:val="24"/>
        </w:rPr>
      </w:pPr>
      <w:r>
        <w:rPr>
          <w:rFonts w:hint="eastAsia" w:ascii="仿宋" w:hAnsi="仿宋" w:eastAsia="仿宋" w:cs="仿宋"/>
          <w:b/>
          <w:bCs/>
          <w:sz w:val="24"/>
          <w:szCs w:val="24"/>
        </w:rPr>
        <w:t>（1）法人代表授权书原件扫描件；</w:t>
      </w:r>
    </w:p>
    <w:p>
      <w:pPr>
        <w:ind w:firstLine="482" w:firstLineChars="200"/>
        <w:rPr>
          <w:rFonts w:ascii="仿宋" w:hAnsi="仿宋" w:eastAsia="仿宋" w:cs="仿宋"/>
          <w:b/>
          <w:bCs/>
          <w:sz w:val="24"/>
          <w:szCs w:val="24"/>
        </w:rPr>
      </w:pPr>
      <w:r>
        <w:rPr>
          <w:rFonts w:hint="eastAsia" w:ascii="仿宋" w:hAnsi="仿宋" w:eastAsia="仿宋" w:cs="仿宋"/>
          <w:b/>
          <w:bCs/>
          <w:sz w:val="24"/>
          <w:szCs w:val="24"/>
        </w:rPr>
        <w:t>（2）法人及被授权人《居民身份证》原件扫描件；</w:t>
      </w:r>
    </w:p>
    <w:p>
      <w:pPr>
        <w:ind w:firstLine="482" w:firstLineChars="200"/>
        <w:rPr>
          <w:rFonts w:ascii="仿宋" w:hAnsi="仿宋" w:eastAsia="仿宋" w:cs="仿宋"/>
          <w:b/>
          <w:bCs/>
          <w:sz w:val="24"/>
          <w:szCs w:val="24"/>
        </w:rPr>
      </w:pPr>
      <w:r>
        <w:rPr>
          <w:rFonts w:hint="eastAsia" w:ascii="仿宋" w:hAnsi="仿宋" w:eastAsia="仿宋" w:cs="仿宋"/>
          <w:b/>
          <w:bCs/>
          <w:sz w:val="24"/>
          <w:szCs w:val="24"/>
        </w:rPr>
        <w:t>（3）具有独立承担民事责任的能力【</w:t>
      </w:r>
      <w:r>
        <w:rPr>
          <w:rFonts w:hint="eastAsia" w:ascii="仿宋" w:hAnsi="仿宋" w:eastAsia="仿宋" w:cs="仿宋"/>
          <w:b/>
          <w:bCs/>
          <w:color w:val="0070C0"/>
          <w:sz w:val="24"/>
          <w:szCs w:val="24"/>
        </w:rPr>
        <w:t>提供有效期内营业执照副本原件扫描件加盖供应商公章</w:t>
      </w:r>
      <w:r>
        <w:rPr>
          <w:rFonts w:hint="eastAsia" w:ascii="仿宋" w:hAnsi="仿宋" w:eastAsia="仿宋" w:cs="仿宋"/>
          <w:b/>
          <w:bCs/>
          <w:sz w:val="24"/>
          <w:szCs w:val="24"/>
        </w:rPr>
        <w:t>】；</w:t>
      </w:r>
    </w:p>
    <w:p>
      <w:pPr>
        <w:ind w:firstLine="482" w:firstLineChars="200"/>
        <w:rPr>
          <w:rFonts w:ascii="仿宋" w:hAnsi="仿宋" w:eastAsia="仿宋" w:cs="仿宋"/>
          <w:b/>
          <w:bCs/>
          <w:sz w:val="24"/>
          <w:szCs w:val="24"/>
        </w:rPr>
      </w:pPr>
      <w:r>
        <w:rPr>
          <w:rFonts w:hint="eastAsia" w:ascii="仿宋" w:hAnsi="仿宋" w:eastAsia="仿宋" w:cs="仿宋"/>
          <w:b/>
          <w:bCs/>
          <w:sz w:val="24"/>
          <w:szCs w:val="24"/>
        </w:rPr>
        <w:t>（4）具有良好的商业信誉和健全的财务会计制度【提供202</w:t>
      </w: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年任意一个月财务报表】；</w:t>
      </w:r>
    </w:p>
    <w:p>
      <w:pPr>
        <w:ind w:firstLine="482" w:firstLineChars="200"/>
        <w:rPr>
          <w:rFonts w:ascii="仿宋" w:hAnsi="仿宋" w:eastAsia="仿宋" w:cs="仿宋"/>
          <w:b/>
          <w:bCs/>
          <w:sz w:val="24"/>
          <w:szCs w:val="24"/>
        </w:rPr>
      </w:pPr>
      <w:r>
        <w:rPr>
          <w:rFonts w:hint="eastAsia" w:ascii="仿宋" w:hAnsi="仿宋" w:eastAsia="仿宋" w:cs="仿宋"/>
          <w:b/>
          <w:bCs/>
          <w:sz w:val="24"/>
          <w:szCs w:val="24"/>
        </w:rPr>
        <w:t>（5）具备履行合同所必需的设备和专业技术能力书面声明【</w:t>
      </w:r>
      <w:r>
        <w:rPr>
          <w:rFonts w:hint="eastAsia" w:ascii="仿宋" w:hAnsi="仿宋" w:eastAsia="仿宋" w:cs="仿宋"/>
          <w:b/>
          <w:bCs/>
          <w:color w:val="0070C0"/>
          <w:sz w:val="24"/>
          <w:szCs w:val="24"/>
        </w:rPr>
        <w:t>提供原件扫描件（格式附后）</w:t>
      </w:r>
      <w:r>
        <w:rPr>
          <w:rFonts w:hint="eastAsia" w:ascii="仿宋" w:hAnsi="仿宋" w:eastAsia="仿宋" w:cs="仿宋"/>
          <w:b/>
          <w:bCs/>
          <w:sz w:val="24"/>
          <w:szCs w:val="24"/>
        </w:rPr>
        <w:t>】;</w:t>
      </w:r>
    </w:p>
    <w:p>
      <w:pPr>
        <w:ind w:firstLine="482" w:firstLineChars="200"/>
        <w:rPr>
          <w:rFonts w:ascii="仿宋" w:hAnsi="仿宋" w:eastAsia="仿宋" w:cs="仿宋"/>
          <w:b/>
          <w:bCs/>
          <w:sz w:val="24"/>
          <w:szCs w:val="24"/>
        </w:rPr>
      </w:pPr>
      <w:r>
        <w:rPr>
          <w:rFonts w:hint="eastAsia" w:ascii="仿宋" w:hAnsi="仿宋" w:eastAsia="仿宋" w:cs="仿宋"/>
          <w:b/>
          <w:bCs/>
          <w:sz w:val="24"/>
          <w:szCs w:val="24"/>
        </w:rPr>
        <w:t>（6）有依法缴纳税收和社会保障资金的良好纪录【</w:t>
      </w:r>
      <w:r>
        <w:rPr>
          <w:rFonts w:hint="eastAsia" w:ascii="仿宋" w:hAnsi="仿宋" w:eastAsia="仿宋" w:cs="仿宋"/>
          <w:b/>
          <w:bCs/>
          <w:color w:val="0070C0"/>
          <w:sz w:val="24"/>
          <w:szCs w:val="24"/>
        </w:rPr>
        <w:t>提供为其员工缴纳社保资金证明和依法纳税证明原件扫描件加盖供应商公章</w:t>
      </w:r>
      <w:r>
        <w:rPr>
          <w:rFonts w:hint="eastAsia" w:ascii="仿宋" w:hAnsi="仿宋" w:eastAsia="仿宋" w:cs="仿宋"/>
          <w:b/>
          <w:bCs/>
          <w:sz w:val="24"/>
          <w:szCs w:val="24"/>
        </w:rPr>
        <w:t>】；</w:t>
      </w:r>
    </w:p>
    <w:p>
      <w:pPr>
        <w:ind w:firstLine="482" w:firstLineChars="200"/>
        <w:rPr>
          <w:rFonts w:ascii="仿宋" w:hAnsi="仿宋" w:eastAsia="仿宋" w:cs="仿宋"/>
          <w:b/>
          <w:bCs/>
          <w:sz w:val="24"/>
          <w:szCs w:val="24"/>
        </w:rPr>
      </w:pPr>
      <w:r>
        <w:rPr>
          <w:rFonts w:hint="eastAsia" w:ascii="仿宋" w:hAnsi="仿宋" w:eastAsia="仿宋" w:cs="仿宋"/>
          <w:b/>
          <w:bCs/>
          <w:sz w:val="24"/>
          <w:szCs w:val="24"/>
        </w:rPr>
        <w:t>（7）参加采购活动前三年内，在经营活动中没有重大违法记录</w:t>
      </w:r>
      <w:r>
        <w:rPr>
          <w:rFonts w:hint="eastAsia" w:ascii="仿宋" w:hAnsi="仿宋" w:eastAsia="仿宋" w:cs="仿宋"/>
          <w:b/>
          <w:bCs/>
          <w:color w:val="2E75B6" w:themeColor="accent1" w:themeShade="BF"/>
          <w:sz w:val="24"/>
          <w:szCs w:val="24"/>
        </w:rPr>
        <w:t>【提供《无重大违法记录声明函》原件扫描件（格式附后）和“信用中国”网站（ http://www.creditchina.gov.cn/ ）无违法违规行为的查询纪录网页截图】</w:t>
      </w:r>
    </w:p>
    <w:p>
      <w:pPr>
        <w:ind w:firstLine="482" w:firstLineChars="200"/>
        <w:rPr>
          <w:rFonts w:ascii="仿宋" w:hAnsi="仿宋" w:eastAsia="仿宋"/>
          <w:b/>
          <w:bCs/>
          <w:sz w:val="24"/>
        </w:rPr>
      </w:pPr>
      <w:r>
        <w:rPr>
          <w:rFonts w:hint="eastAsia" w:ascii="仿宋" w:hAnsi="仿宋" w:eastAsia="仿宋"/>
          <w:b/>
          <w:bCs/>
          <w:sz w:val="24"/>
        </w:rPr>
        <w:t>说明：其中（1）-（</w:t>
      </w:r>
      <w:r>
        <w:rPr>
          <w:rFonts w:ascii="仿宋" w:hAnsi="仿宋" w:eastAsia="仿宋"/>
          <w:b/>
          <w:bCs/>
          <w:sz w:val="24"/>
        </w:rPr>
        <w:t>7</w:t>
      </w:r>
      <w:r>
        <w:rPr>
          <w:rFonts w:hint="eastAsia" w:ascii="仿宋" w:hAnsi="仿宋" w:eastAsia="仿宋"/>
          <w:b/>
          <w:bCs/>
          <w:sz w:val="24"/>
        </w:rPr>
        <w:t>）为投标资格审查时的必备条件，如果提供不全则视为对招标文件资格审查内容的不响应，投标将被拒绝（不接受二次提供）。</w:t>
      </w:r>
    </w:p>
    <w:p>
      <w:pPr>
        <w:ind w:firstLine="482" w:firstLineChars="200"/>
        <w:rPr>
          <w:rFonts w:ascii="仿宋" w:hAnsi="仿宋" w:eastAsia="仿宋" w:cs="仿宋"/>
          <w:b/>
          <w:bCs/>
          <w:sz w:val="24"/>
          <w:szCs w:val="24"/>
        </w:rPr>
      </w:pP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.1  落实政府采购政策需满足的资格要求：详见公告。</w:t>
      </w:r>
    </w:p>
    <w:p>
      <w:pPr>
        <w:ind w:firstLine="482" w:firstLineChars="200"/>
        <w:rPr>
          <w:rFonts w:ascii="仿宋" w:hAnsi="仿宋" w:eastAsia="仿宋" w:cs="仿宋"/>
          <w:b/>
          <w:bCs/>
          <w:sz w:val="24"/>
          <w:szCs w:val="24"/>
        </w:rPr>
      </w:pP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.2  本项目的特定资格要求：无。</w:t>
      </w:r>
    </w:p>
    <w:p>
      <w:pPr>
        <w:ind w:firstLine="482" w:firstLineChars="200"/>
        <w:rPr>
          <w:rFonts w:hint="eastAsia" w:eastAsia="仿宋"/>
          <w:highlight w:val="red"/>
          <w:lang w:eastAsia="zh-CN"/>
        </w:rPr>
      </w:pP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.3  本项目</w:t>
      </w:r>
      <w:r>
        <w:rPr>
          <w:rFonts w:hint="eastAsia" w:ascii="仿宋" w:hAnsi="仿宋" w:eastAsia="仿宋" w:cs="仿宋"/>
          <w:b/>
          <w:bCs/>
          <w:sz w:val="24"/>
          <w:szCs w:val="24"/>
          <w:lang w:eastAsia="zh-CN"/>
        </w:rPr>
        <w:t>不专门面向中小企业。</w:t>
      </w:r>
    </w:p>
    <w:p>
      <w:pPr>
        <w:pStyle w:val="17"/>
      </w:pPr>
    </w:p>
    <w:p>
      <w:pPr>
        <w:pStyle w:val="17"/>
      </w:pPr>
    </w:p>
    <w:p>
      <w:pPr>
        <w:rPr>
          <w:rFonts w:ascii="黑体" w:hAnsi="黑体" w:eastAsia="黑体"/>
          <w:b/>
          <w:sz w:val="36"/>
          <w:szCs w:val="36"/>
        </w:rPr>
      </w:pPr>
      <w:r>
        <w:rPr>
          <w:rFonts w:hint="eastAsia" w:ascii="仿宋" w:hAnsi="仿宋" w:eastAsia="仿宋"/>
          <w:bCs/>
          <w:sz w:val="32"/>
          <w:szCs w:val="32"/>
        </w:rPr>
        <w:t xml:space="preserve"> </w:t>
      </w:r>
      <w:bookmarkStart w:id="69" w:name="_Toc9207"/>
      <w:bookmarkStart w:id="70" w:name="_Toc24384"/>
      <w:bookmarkStart w:id="71" w:name="_Toc31802_WPSOffice_Level2"/>
      <w:bookmarkStart w:id="72" w:name="_Toc20956"/>
      <w:bookmarkStart w:id="73" w:name="_Toc13247"/>
      <w:bookmarkStart w:id="74" w:name="_Toc2902"/>
      <w:bookmarkStart w:id="75" w:name="_Toc25337"/>
      <w:bookmarkStart w:id="76" w:name="_Toc22942"/>
      <w:bookmarkStart w:id="77" w:name="_Toc32591"/>
      <w:bookmarkStart w:id="78" w:name="_Toc20622"/>
      <w:bookmarkStart w:id="79" w:name="_Toc10249"/>
      <w:bookmarkStart w:id="80" w:name="_Toc28868"/>
      <w:bookmarkStart w:id="81" w:name="_Toc2819"/>
      <w:bookmarkStart w:id="82" w:name="_Toc31157"/>
      <w:bookmarkStart w:id="83" w:name="_Toc6422"/>
      <w:bookmarkStart w:id="84" w:name="_Toc7952"/>
      <w:bookmarkStart w:id="85" w:name="_Toc31108"/>
      <w:bookmarkStart w:id="86" w:name="_Toc906"/>
      <w:bookmarkStart w:id="87" w:name="_Toc10911"/>
      <w:bookmarkStart w:id="88" w:name="_Toc29272"/>
      <w:bookmarkStart w:id="89" w:name="_Toc24445"/>
      <w:bookmarkStart w:id="90" w:name="_Toc3845"/>
      <w:bookmarkStart w:id="91" w:name="_Toc15827"/>
      <w:bookmarkStart w:id="92" w:name="_Toc19011"/>
      <w:bookmarkStart w:id="93" w:name="_Toc7949"/>
      <w:bookmarkStart w:id="94" w:name="_Toc6330"/>
      <w:bookmarkStart w:id="95" w:name="_Toc16595"/>
      <w:bookmarkStart w:id="96" w:name="_Toc12570"/>
      <w:r>
        <w:rPr>
          <w:rFonts w:hint="eastAsia" w:ascii="仿宋" w:hAnsi="仿宋" w:eastAsia="仿宋"/>
          <w:bCs/>
          <w:sz w:val="32"/>
          <w:szCs w:val="32"/>
        </w:rPr>
        <w:t xml:space="preserve">            </w:t>
      </w:r>
      <w:r>
        <w:rPr>
          <w:rFonts w:hint="eastAsia" w:ascii="黑体" w:hAnsi="黑体" w:eastAsia="黑体"/>
          <w:b/>
          <w:sz w:val="32"/>
          <w:szCs w:val="32"/>
        </w:rPr>
        <w:t xml:space="preserve">  </w:t>
      </w:r>
      <w:r>
        <w:rPr>
          <w:rFonts w:hint="eastAsia" w:ascii="黑体" w:hAnsi="黑体" w:eastAsia="黑体"/>
          <w:b/>
          <w:sz w:val="36"/>
          <w:szCs w:val="36"/>
        </w:rPr>
        <w:t xml:space="preserve"> </w:t>
      </w:r>
      <w:r>
        <w:rPr>
          <w:rFonts w:hint="eastAsia" w:ascii="宋体" w:hAnsi="宋体" w:cs="宋体"/>
          <w:b/>
          <w:sz w:val="36"/>
          <w:szCs w:val="36"/>
        </w:rPr>
        <w:t>第三章  投标文件的编制和递交</w:t>
      </w: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Pr>
        <w:ind w:firstLine="482" w:firstLineChars="200"/>
        <w:rPr>
          <w:rFonts w:ascii="宋体" w:hAnsi="宋体" w:cs="宋体"/>
          <w:b/>
          <w:bCs/>
          <w:sz w:val="24"/>
        </w:rPr>
      </w:pPr>
      <w:r>
        <w:rPr>
          <w:rFonts w:hint="eastAsia" w:ascii="宋体" w:hAnsi="宋体" w:cs="宋体"/>
          <w:b/>
          <w:bCs/>
          <w:sz w:val="24"/>
          <w:lang w:val="en-US" w:eastAsia="zh-CN"/>
        </w:rPr>
        <w:t>8</w:t>
      </w:r>
      <w:r>
        <w:rPr>
          <w:rFonts w:hint="eastAsia" w:ascii="宋体" w:hAnsi="宋体" w:cs="宋体"/>
          <w:b/>
          <w:bCs/>
          <w:sz w:val="24"/>
        </w:rPr>
        <w:t>、电子投标文件的编制</w:t>
      </w:r>
    </w:p>
    <w:p>
      <w:pPr>
        <w:pStyle w:val="29"/>
        <w:ind w:firstLine="480" w:firstLineChars="200"/>
        <w:rPr>
          <w:rFonts w:ascii="仿宋" w:hAnsi="仿宋" w:eastAsia="仿宋"/>
          <w:bCs/>
          <w:sz w:val="24"/>
          <w:szCs w:val="20"/>
        </w:rPr>
      </w:pPr>
      <w:r>
        <w:rPr>
          <w:rFonts w:hint="eastAsia" w:ascii="仿宋" w:hAnsi="仿宋" w:eastAsia="仿宋"/>
          <w:bCs/>
          <w:sz w:val="24"/>
          <w:szCs w:val="20"/>
          <w:lang w:val="en-US" w:eastAsia="zh-CN"/>
        </w:rPr>
        <w:t>8</w:t>
      </w:r>
      <w:r>
        <w:rPr>
          <w:rFonts w:hint="eastAsia" w:ascii="仿宋" w:hAnsi="仿宋" w:eastAsia="仿宋"/>
          <w:bCs/>
          <w:sz w:val="24"/>
          <w:szCs w:val="20"/>
        </w:rPr>
        <w:t>.1</w:t>
      </w:r>
      <w:bookmarkStart w:id="97" w:name="_Ref467306195"/>
      <w:bookmarkStart w:id="98" w:name="_Ref467306676"/>
      <w:bookmarkStart w:id="99" w:name="_Toc516367022"/>
      <w:bookmarkStart w:id="100" w:name="_Toc10364"/>
      <w:bookmarkStart w:id="101" w:name="_Toc520356152"/>
      <w:bookmarkStart w:id="102" w:name="_Toc18692"/>
      <w:bookmarkStart w:id="103" w:name="_Toc515647768"/>
      <w:bookmarkStart w:id="104" w:name="_Toc28307"/>
      <w:r>
        <w:rPr>
          <w:rFonts w:hint="eastAsia" w:ascii="仿宋" w:hAnsi="仿宋" w:eastAsia="仿宋"/>
          <w:bCs/>
          <w:sz w:val="24"/>
          <w:szCs w:val="20"/>
        </w:rPr>
        <w:t>本项目实行电子招投标，供应商须登录政采云平台申请获取招标文件，并需要使用CA锁，登录政采云电子投标客户端制作招标文件，若供应商参与投标,自行承担与投标有关的一切费用。</w:t>
      </w:r>
    </w:p>
    <w:p>
      <w:pPr>
        <w:pStyle w:val="29"/>
        <w:ind w:firstLine="480" w:firstLineChars="200"/>
        <w:rPr>
          <w:rFonts w:ascii="仿宋" w:hAnsi="仿宋" w:eastAsia="仿宋"/>
          <w:bCs/>
          <w:sz w:val="24"/>
          <w:szCs w:val="20"/>
        </w:rPr>
      </w:pPr>
      <w:r>
        <w:rPr>
          <w:rFonts w:hint="eastAsia" w:ascii="仿宋" w:hAnsi="仿宋" w:eastAsia="仿宋"/>
          <w:bCs/>
          <w:sz w:val="24"/>
          <w:szCs w:val="20"/>
          <w:lang w:val="en-US" w:eastAsia="zh-CN"/>
        </w:rPr>
        <w:t>8</w:t>
      </w:r>
      <w:r>
        <w:rPr>
          <w:rFonts w:hint="eastAsia" w:ascii="仿宋" w:hAnsi="仿宋" w:eastAsia="仿宋"/>
          <w:bCs/>
          <w:sz w:val="24"/>
          <w:szCs w:val="20"/>
        </w:rPr>
        <w:t>.2各供应商应在开标前确保是新疆维吾尔自治区政府采购网正式注册入库的供应商，并完成CA数字证书申领。因未注册入库、未办理CA数字证书等原因造成无法投标或投标失败等后果的由供应商自行承担。</w:t>
      </w:r>
    </w:p>
    <w:p>
      <w:pPr>
        <w:pStyle w:val="29"/>
        <w:ind w:firstLine="480" w:firstLineChars="200"/>
        <w:rPr>
          <w:rFonts w:ascii="仿宋" w:hAnsi="仿宋" w:eastAsia="仿宋"/>
          <w:bCs/>
          <w:sz w:val="24"/>
          <w:szCs w:val="20"/>
        </w:rPr>
      </w:pPr>
      <w:r>
        <w:rPr>
          <w:rFonts w:hint="eastAsia" w:ascii="仿宋" w:hAnsi="仿宋" w:eastAsia="仿宋"/>
          <w:bCs/>
          <w:sz w:val="24"/>
          <w:szCs w:val="20"/>
          <w:lang w:val="en-US" w:eastAsia="zh-CN"/>
        </w:rPr>
        <w:t>8</w:t>
      </w:r>
      <w:r>
        <w:rPr>
          <w:rFonts w:hint="eastAsia" w:ascii="仿宋" w:hAnsi="仿宋" w:eastAsia="仿宋"/>
          <w:bCs/>
          <w:sz w:val="24"/>
          <w:szCs w:val="20"/>
        </w:rPr>
        <w:t>.3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w:t>
      </w:r>
      <w:r>
        <w:rPr>
          <w:rFonts w:hint="eastAsia" w:ascii="仿宋" w:hAnsi="仿宋" w:eastAsia="仿宋"/>
          <w:bCs/>
          <w:sz w:val="24"/>
          <w:szCs w:val="20"/>
          <w:lang w:val="en-US" w:eastAsia="zh-CN"/>
        </w:rPr>
        <w:t>95763</w:t>
      </w:r>
      <w:r>
        <w:rPr>
          <w:rFonts w:hint="eastAsia" w:ascii="仿宋" w:hAnsi="仿宋" w:eastAsia="仿宋"/>
          <w:bCs/>
          <w:sz w:val="24"/>
          <w:szCs w:val="20"/>
        </w:rPr>
        <w:t xml:space="preserve">进行咨询。      </w:t>
      </w:r>
    </w:p>
    <w:p>
      <w:pPr>
        <w:pStyle w:val="29"/>
        <w:ind w:firstLine="480" w:firstLineChars="200"/>
        <w:rPr>
          <w:rFonts w:ascii="仿宋" w:hAnsi="仿宋" w:eastAsia="仿宋"/>
          <w:bCs/>
          <w:sz w:val="24"/>
          <w:szCs w:val="20"/>
        </w:rPr>
      </w:pPr>
      <w:r>
        <w:rPr>
          <w:rFonts w:hint="eastAsia" w:ascii="仿宋" w:hAnsi="仿宋" w:eastAsia="仿宋"/>
          <w:bCs/>
          <w:sz w:val="24"/>
          <w:szCs w:val="20"/>
          <w:lang w:val="en-US" w:eastAsia="zh-CN"/>
        </w:rPr>
        <w:t>8</w:t>
      </w:r>
      <w:r>
        <w:rPr>
          <w:rFonts w:hint="eastAsia" w:ascii="仿宋" w:hAnsi="仿宋" w:eastAsia="仿宋"/>
          <w:bCs/>
          <w:sz w:val="24"/>
          <w:szCs w:val="20"/>
        </w:rPr>
        <w:t>.4电子投标文件须使用投标人公章的电子签章以及法定代表人的电子签章。若无电子签章，则视为无效投标。</w:t>
      </w:r>
    </w:p>
    <w:p>
      <w:pPr>
        <w:pStyle w:val="29"/>
        <w:ind w:firstLine="480" w:firstLineChars="200"/>
        <w:rPr>
          <w:rFonts w:ascii="仿宋" w:hAnsi="仿宋" w:eastAsia="仿宋"/>
          <w:bCs/>
          <w:sz w:val="24"/>
          <w:szCs w:val="20"/>
        </w:rPr>
      </w:pPr>
      <w:r>
        <w:rPr>
          <w:rFonts w:hint="eastAsia" w:ascii="仿宋" w:hAnsi="仿宋" w:eastAsia="仿宋"/>
          <w:bCs/>
          <w:sz w:val="24"/>
          <w:szCs w:val="20"/>
          <w:lang w:val="en-US" w:eastAsia="zh-CN"/>
        </w:rPr>
        <w:t>8</w:t>
      </w:r>
      <w:r>
        <w:rPr>
          <w:rFonts w:hint="eastAsia" w:ascii="仿宋" w:hAnsi="仿宋" w:eastAsia="仿宋"/>
          <w:bCs/>
          <w:sz w:val="24"/>
          <w:szCs w:val="20"/>
        </w:rPr>
        <w:t xml:space="preserve">.5电子招投标文件具有法律效力，与其他形式的招投标文件在内容和格式上等同，若投标文件与招标文件要求不一致，其内容影响中标结果时，责任由投标人自行承担。投标人递交的电子投标文件因投标人自身原因而导致无法导入电子辅助评标系统，该投标文件视为无效投标文件，将导致其投标被拒绝。 </w:t>
      </w:r>
    </w:p>
    <w:p>
      <w:pPr>
        <w:ind w:firstLine="482" w:firstLineChars="200"/>
        <w:rPr>
          <w:rFonts w:ascii="宋体" w:hAnsi="宋体" w:cs="宋体"/>
          <w:b/>
          <w:bCs/>
          <w:sz w:val="24"/>
          <w:szCs w:val="24"/>
        </w:rPr>
      </w:pPr>
      <w:r>
        <w:rPr>
          <w:rFonts w:hint="eastAsia" w:ascii="宋体" w:hAnsi="宋体" w:cs="宋体"/>
          <w:b/>
          <w:bCs/>
          <w:sz w:val="24"/>
          <w:szCs w:val="24"/>
          <w:lang w:val="en-US" w:eastAsia="zh-CN"/>
        </w:rPr>
        <w:t>9</w:t>
      </w:r>
      <w:r>
        <w:rPr>
          <w:rFonts w:hint="eastAsia" w:ascii="宋体" w:hAnsi="宋体" w:cs="宋体"/>
          <w:b/>
          <w:bCs/>
          <w:sz w:val="24"/>
          <w:szCs w:val="24"/>
        </w:rPr>
        <w:t>、电子投标文件的加密上传解密</w:t>
      </w:r>
    </w:p>
    <w:p>
      <w:pPr>
        <w:pStyle w:val="29"/>
        <w:ind w:firstLine="480" w:firstLineChars="200"/>
        <w:rPr>
          <w:rFonts w:ascii="仿宋" w:hAnsi="仿宋" w:eastAsia="仿宋"/>
          <w:bCs/>
          <w:sz w:val="24"/>
          <w:szCs w:val="20"/>
        </w:rPr>
      </w:pPr>
      <w:r>
        <w:rPr>
          <w:rFonts w:hint="eastAsia" w:ascii="仿宋" w:hAnsi="仿宋" w:eastAsia="仿宋"/>
          <w:bCs/>
          <w:sz w:val="24"/>
          <w:szCs w:val="20"/>
          <w:lang w:val="en-US" w:eastAsia="zh-CN"/>
        </w:rPr>
        <w:t>9</w:t>
      </w:r>
      <w:r>
        <w:rPr>
          <w:rFonts w:hint="eastAsia" w:ascii="仿宋" w:hAnsi="仿宋" w:eastAsia="仿宋"/>
          <w:bCs/>
          <w:sz w:val="24"/>
          <w:szCs w:val="20"/>
        </w:rPr>
        <w:t>.1投标文件以电子文件提交；</w:t>
      </w:r>
    </w:p>
    <w:p>
      <w:pPr>
        <w:pStyle w:val="29"/>
        <w:ind w:firstLine="480" w:firstLineChars="200"/>
        <w:rPr>
          <w:rFonts w:ascii="仿宋" w:hAnsi="仿宋" w:eastAsia="仿宋"/>
          <w:bCs/>
          <w:sz w:val="24"/>
          <w:szCs w:val="20"/>
        </w:rPr>
      </w:pPr>
      <w:r>
        <w:rPr>
          <w:rFonts w:hint="eastAsia" w:ascii="仿宋" w:hAnsi="仿宋" w:eastAsia="仿宋"/>
          <w:bCs/>
          <w:sz w:val="24"/>
          <w:szCs w:val="20"/>
          <w:lang w:val="en-US" w:eastAsia="zh-CN"/>
        </w:rPr>
        <w:t>9</w:t>
      </w:r>
      <w:r>
        <w:rPr>
          <w:rFonts w:hint="eastAsia" w:ascii="仿宋" w:hAnsi="仿宋" w:eastAsia="仿宋"/>
          <w:bCs/>
          <w:sz w:val="24"/>
          <w:szCs w:val="20"/>
        </w:rPr>
        <w:t xml:space="preserve">.2投标供应商应当在投标截止时间前，将生成的“电子加密响应文件”上传递交至“政府采购云平台”，投标截止时间以后上传递交的响应文件将被“政府采购云平台”拒收。   </w:t>
      </w:r>
    </w:p>
    <w:p>
      <w:pPr>
        <w:pStyle w:val="29"/>
        <w:ind w:firstLine="480" w:firstLineChars="200"/>
        <w:rPr>
          <w:rFonts w:ascii="仿宋" w:hAnsi="仿宋" w:eastAsia="仿宋"/>
          <w:bCs/>
          <w:sz w:val="24"/>
          <w:szCs w:val="20"/>
        </w:rPr>
      </w:pPr>
      <w:r>
        <w:rPr>
          <w:rFonts w:hint="eastAsia" w:ascii="仿宋" w:hAnsi="仿宋" w:eastAsia="仿宋"/>
          <w:bCs/>
          <w:sz w:val="24"/>
          <w:szCs w:val="20"/>
          <w:lang w:val="en-US" w:eastAsia="zh-CN"/>
        </w:rPr>
        <w:t>9</w:t>
      </w:r>
      <w:r>
        <w:rPr>
          <w:rFonts w:hint="eastAsia" w:ascii="仿宋" w:hAnsi="仿宋" w:eastAsia="仿宋"/>
          <w:bCs/>
          <w:sz w:val="24"/>
          <w:szCs w:val="20"/>
        </w:rPr>
        <w:t>.3投标供应商在开标时须携带制作加密电子响应文件所使用的CA锁，电脑须提前配置好浏览器（建议使用360浏览器或谷歌浏览器），以便开标时在线解密。</w:t>
      </w:r>
    </w:p>
    <w:p>
      <w:pPr>
        <w:pStyle w:val="29"/>
        <w:ind w:firstLine="480" w:firstLineChars="200"/>
        <w:rPr>
          <w:rFonts w:ascii="仿宋" w:hAnsi="仿宋" w:eastAsia="仿宋"/>
          <w:bCs/>
          <w:sz w:val="24"/>
          <w:szCs w:val="20"/>
        </w:rPr>
      </w:pPr>
      <w:r>
        <w:rPr>
          <w:rFonts w:hint="eastAsia" w:ascii="仿宋" w:hAnsi="仿宋" w:eastAsia="仿宋"/>
          <w:bCs/>
          <w:sz w:val="24"/>
          <w:szCs w:val="20"/>
          <w:lang w:val="en-US" w:eastAsia="zh-CN"/>
        </w:rPr>
        <w:t>9</w:t>
      </w:r>
      <w:r>
        <w:rPr>
          <w:rFonts w:hint="eastAsia" w:ascii="仿宋" w:hAnsi="仿宋" w:eastAsia="仿宋"/>
          <w:bCs/>
          <w:sz w:val="24"/>
          <w:szCs w:val="20"/>
        </w:rPr>
        <w:t>.4本项目响应文件解密时间定为30分钟，如因自身原因导致无法正常解密，后果由供应商自行承担。</w:t>
      </w:r>
    </w:p>
    <w:p>
      <w:pPr>
        <w:ind w:firstLine="482" w:firstLineChars="200"/>
        <w:rPr>
          <w:rFonts w:ascii="宋体" w:hAnsi="宋体" w:cs="宋体"/>
          <w:b/>
          <w:bCs/>
          <w:sz w:val="24"/>
          <w:szCs w:val="24"/>
        </w:rPr>
      </w:pPr>
      <w:r>
        <w:rPr>
          <w:rFonts w:hint="eastAsia" w:ascii="宋体" w:hAnsi="宋体" w:cs="宋体"/>
          <w:b/>
          <w:bCs/>
          <w:sz w:val="24"/>
          <w:szCs w:val="24"/>
        </w:rPr>
        <w:t>1</w:t>
      </w:r>
      <w:r>
        <w:rPr>
          <w:rFonts w:hint="eastAsia" w:ascii="宋体" w:hAnsi="宋体" w:cs="宋体"/>
          <w:b/>
          <w:bCs/>
          <w:sz w:val="24"/>
          <w:szCs w:val="24"/>
          <w:lang w:val="en-US" w:eastAsia="zh-CN"/>
        </w:rPr>
        <w:t>0</w:t>
      </w:r>
      <w:r>
        <w:rPr>
          <w:rFonts w:hint="eastAsia" w:ascii="宋体" w:hAnsi="宋体" w:cs="宋体"/>
          <w:b/>
          <w:bCs/>
          <w:sz w:val="24"/>
          <w:szCs w:val="24"/>
        </w:rPr>
        <w:t>、投标文件</w:t>
      </w:r>
      <w:bookmarkEnd w:id="97"/>
      <w:bookmarkEnd w:id="98"/>
      <w:bookmarkEnd w:id="99"/>
      <w:r>
        <w:rPr>
          <w:rFonts w:hint="eastAsia" w:ascii="宋体" w:hAnsi="宋体" w:cs="宋体"/>
          <w:b/>
          <w:bCs/>
          <w:sz w:val="24"/>
          <w:szCs w:val="24"/>
        </w:rPr>
        <w:t>构成</w:t>
      </w:r>
      <w:bookmarkEnd w:id="100"/>
      <w:bookmarkEnd w:id="101"/>
      <w:bookmarkEnd w:id="102"/>
      <w:bookmarkEnd w:id="103"/>
      <w:bookmarkEnd w:id="104"/>
      <w:r>
        <w:rPr>
          <w:rFonts w:hint="eastAsia" w:ascii="宋体" w:hAnsi="宋体" w:cs="宋体"/>
          <w:b/>
          <w:bCs/>
          <w:sz w:val="24"/>
          <w:szCs w:val="24"/>
        </w:rPr>
        <w:t>和编制顺序</w:t>
      </w:r>
    </w:p>
    <w:p>
      <w:pPr>
        <w:pStyle w:val="29"/>
        <w:ind w:firstLine="480" w:firstLineChars="200"/>
        <w:rPr>
          <w:rFonts w:ascii="仿宋" w:hAnsi="仿宋" w:eastAsia="仿宋"/>
          <w:bCs/>
          <w:sz w:val="24"/>
          <w:szCs w:val="20"/>
        </w:rPr>
      </w:pPr>
      <w:bookmarkStart w:id="105" w:name="_Ref467052588"/>
      <w:bookmarkStart w:id="106" w:name="_Toc515647769"/>
      <w:bookmarkStart w:id="107" w:name="_Toc10379"/>
      <w:bookmarkStart w:id="108" w:name="_Toc520356153"/>
      <w:bookmarkStart w:id="109" w:name="_Toc13143"/>
      <w:bookmarkStart w:id="110" w:name="_Toc4601"/>
      <w:bookmarkStart w:id="111" w:name="_Toc516367023"/>
      <w:r>
        <w:rPr>
          <w:rFonts w:hint="eastAsia" w:ascii="仿宋" w:hAnsi="仿宋" w:eastAsia="仿宋"/>
          <w:bCs/>
          <w:sz w:val="24"/>
          <w:szCs w:val="24"/>
        </w:rPr>
        <w:t>1</w:t>
      </w:r>
      <w:r>
        <w:rPr>
          <w:rFonts w:hint="eastAsia" w:ascii="仿宋" w:hAnsi="仿宋" w:eastAsia="仿宋"/>
          <w:bCs/>
          <w:sz w:val="24"/>
          <w:szCs w:val="24"/>
          <w:lang w:val="en-US" w:eastAsia="zh-CN"/>
        </w:rPr>
        <w:t>0</w:t>
      </w:r>
      <w:r>
        <w:rPr>
          <w:rFonts w:hint="eastAsia" w:ascii="仿宋" w:hAnsi="仿宋" w:eastAsia="仿宋"/>
          <w:bCs/>
          <w:sz w:val="24"/>
          <w:szCs w:val="24"/>
        </w:rPr>
        <w:t>.1本</w:t>
      </w:r>
      <w:r>
        <w:rPr>
          <w:rFonts w:hint="eastAsia" w:ascii="仿宋" w:hAnsi="仿宋" w:eastAsia="仿宋"/>
          <w:bCs/>
          <w:sz w:val="24"/>
          <w:szCs w:val="20"/>
        </w:rPr>
        <w:t>项目采用不见面开标，投标人需要递交电子投标文件。加密的电子投标文件，在投标截止时间前通过新疆政采云平台上传到指定位置，无需递交纸质文件。</w:t>
      </w:r>
    </w:p>
    <w:p>
      <w:pPr>
        <w:ind w:firstLine="480" w:firstLineChars="200"/>
        <w:rPr>
          <w:rFonts w:ascii="仿宋" w:hAnsi="仿宋" w:eastAsia="仿宋"/>
          <w:bCs/>
          <w:sz w:val="24"/>
        </w:rPr>
      </w:pPr>
      <w:r>
        <w:rPr>
          <w:rFonts w:hint="eastAsia" w:ascii="仿宋" w:hAnsi="仿宋" w:eastAsia="仿宋"/>
          <w:bCs/>
          <w:sz w:val="24"/>
        </w:rPr>
        <w:t>1</w:t>
      </w:r>
      <w:r>
        <w:rPr>
          <w:rFonts w:hint="eastAsia" w:ascii="仿宋" w:hAnsi="仿宋" w:eastAsia="仿宋"/>
          <w:bCs/>
          <w:sz w:val="24"/>
          <w:lang w:val="en-US" w:eastAsia="zh-CN"/>
        </w:rPr>
        <w:t>0</w:t>
      </w:r>
      <w:r>
        <w:rPr>
          <w:rFonts w:hint="eastAsia" w:ascii="仿宋" w:hAnsi="仿宋" w:eastAsia="仿宋"/>
          <w:bCs/>
          <w:sz w:val="24"/>
        </w:rPr>
        <w:t>.2开标当日，投标人无需到达开标现场，仅需通过政采云系统完成远程解密、提疑澄清、开标唱标、结果公布等交互环节。投标人必须使用能正确解密响应文件的“CA锁”在规定的时间内完成远程解密，因投标人原因未能解密、解密失败或解密超时，视为投标人撤销其响应文件，系统内响应文件将被退回；因采购人原因或政采云平台发生故障，导致无法按时完成响应文件解密或开、评标工作无法进行的，可根据实际情况相应延迟解密时间或调整开、评标时间。</w:t>
      </w:r>
    </w:p>
    <w:p>
      <w:pPr>
        <w:ind w:firstLine="480" w:firstLineChars="200"/>
        <w:rPr>
          <w:rFonts w:ascii="仿宋" w:hAnsi="仿宋" w:eastAsia="仿宋"/>
          <w:bCs/>
          <w:sz w:val="24"/>
        </w:rPr>
      </w:pPr>
      <w:r>
        <w:rPr>
          <w:rFonts w:hint="eastAsia" w:ascii="仿宋" w:hAnsi="仿宋" w:eastAsia="仿宋"/>
          <w:bCs/>
          <w:sz w:val="24"/>
        </w:rPr>
        <w:t>1</w:t>
      </w:r>
      <w:r>
        <w:rPr>
          <w:rFonts w:hint="eastAsia" w:ascii="仿宋" w:hAnsi="仿宋" w:eastAsia="仿宋"/>
          <w:bCs/>
          <w:sz w:val="24"/>
          <w:lang w:val="en-US" w:eastAsia="zh-CN"/>
        </w:rPr>
        <w:t>0</w:t>
      </w:r>
      <w:r>
        <w:rPr>
          <w:rFonts w:hint="eastAsia" w:ascii="仿宋" w:hAnsi="仿宋" w:eastAsia="仿宋"/>
          <w:bCs/>
          <w:sz w:val="24"/>
        </w:rPr>
        <w:t>.3</w:t>
      </w:r>
      <w:r>
        <w:rPr>
          <w:rFonts w:hint="eastAsia" w:ascii="仿宋" w:hAnsi="仿宋" w:eastAsia="仿宋"/>
          <w:sz w:val="24"/>
          <w:szCs w:val="24"/>
        </w:rPr>
        <w:t>严格按照本招标文件“第六部分投标文件范本格式”的顺序和格式要求编制投标文件，如未按要求编制及提交电子投标文件的，将影响中标结果。</w:t>
      </w:r>
    </w:p>
    <w:bookmarkEnd w:id="105"/>
    <w:p>
      <w:pPr>
        <w:ind w:firstLine="482" w:firstLineChars="200"/>
        <w:rPr>
          <w:rFonts w:ascii="宋体" w:hAnsi="宋体" w:cs="宋体"/>
          <w:b/>
          <w:sz w:val="24"/>
        </w:rPr>
      </w:pPr>
      <w:r>
        <w:rPr>
          <w:rFonts w:hint="eastAsia" w:ascii="宋体" w:hAnsi="宋体" w:cs="宋体"/>
          <w:b/>
          <w:bCs/>
          <w:sz w:val="24"/>
          <w:szCs w:val="24"/>
        </w:rPr>
        <w:t>1</w:t>
      </w:r>
      <w:r>
        <w:rPr>
          <w:rFonts w:hint="eastAsia" w:ascii="宋体" w:hAnsi="宋体" w:cs="宋体"/>
          <w:b/>
          <w:bCs/>
          <w:sz w:val="24"/>
          <w:szCs w:val="24"/>
          <w:lang w:val="en-US" w:eastAsia="zh-CN"/>
        </w:rPr>
        <w:t>1</w:t>
      </w:r>
      <w:r>
        <w:rPr>
          <w:rFonts w:hint="eastAsia" w:ascii="宋体" w:hAnsi="宋体" w:cs="宋体"/>
          <w:b/>
          <w:bCs/>
          <w:sz w:val="24"/>
          <w:szCs w:val="24"/>
        </w:rPr>
        <w:t>、</w:t>
      </w:r>
      <w:r>
        <w:rPr>
          <w:rFonts w:hint="eastAsia" w:ascii="宋体" w:hAnsi="宋体" w:cs="宋体"/>
          <w:b/>
          <w:sz w:val="24"/>
        </w:rPr>
        <w:t>投标截止时间</w:t>
      </w:r>
    </w:p>
    <w:p>
      <w:pPr>
        <w:pStyle w:val="30"/>
        <w:ind w:firstLine="480" w:firstLineChars="200"/>
        <w:rPr>
          <w:rFonts w:ascii="仿宋" w:hAnsi="仿宋" w:eastAsia="仿宋"/>
          <w:bCs/>
          <w:kern w:val="2"/>
          <w:szCs w:val="20"/>
        </w:rPr>
      </w:pPr>
      <w:r>
        <w:rPr>
          <w:rFonts w:hint="eastAsia" w:ascii="仿宋" w:hAnsi="仿宋" w:eastAsia="仿宋"/>
        </w:rPr>
        <w:t>1</w:t>
      </w:r>
      <w:r>
        <w:rPr>
          <w:rFonts w:hint="eastAsia" w:ascii="仿宋" w:hAnsi="仿宋" w:eastAsia="仿宋"/>
          <w:lang w:val="en-US" w:eastAsia="zh-CN"/>
        </w:rPr>
        <w:t>1</w:t>
      </w:r>
      <w:r>
        <w:rPr>
          <w:rFonts w:hint="eastAsia" w:ascii="仿宋" w:hAnsi="仿宋" w:eastAsia="仿宋"/>
        </w:rPr>
        <w:t>.1 电子投标文件应在</w:t>
      </w:r>
      <w:r>
        <w:rPr>
          <w:rFonts w:hint="eastAsia" w:ascii="仿宋" w:hAnsi="仿宋" w:eastAsia="仿宋"/>
          <w:b/>
        </w:rPr>
        <w:t>20</w:t>
      </w:r>
      <w:r>
        <w:rPr>
          <w:rFonts w:hint="eastAsia" w:ascii="仿宋" w:hAnsi="仿宋" w:eastAsia="仿宋"/>
          <w:b/>
          <w:u w:val="single"/>
        </w:rPr>
        <w:t>2</w:t>
      </w:r>
      <w:r>
        <w:rPr>
          <w:rFonts w:hint="eastAsia" w:ascii="仿宋" w:hAnsi="仿宋" w:eastAsia="仿宋"/>
          <w:b/>
          <w:u w:val="single"/>
          <w:lang w:val="en-US" w:eastAsia="zh-CN"/>
        </w:rPr>
        <w:t>4</w:t>
      </w:r>
      <w:r>
        <w:rPr>
          <w:rFonts w:hint="eastAsia" w:ascii="仿宋" w:hAnsi="仿宋" w:eastAsia="仿宋"/>
          <w:b/>
        </w:rPr>
        <w:t>年</w:t>
      </w:r>
      <w:r>
        <w:rPr>
          <w:rFonts w:hint="eastAsia" w:ascii="仿宋" w:hAnsi="仿宋" w:eastAsia="仿宋"/>
          <w:b/>
          <w:u w:val="single"/>
          <w:lang w:val="en-US" w:eastAsia="zh-CN"/>
        </w:rPr>
        <w:t>7</w:t>
      </w:r>
      <w:r>
        <w:rPr>
          <w:rFonts w:hint="eastAsia" w:ascii="仿宋" w:hAnsi="仿宋" w:eastAsia="仿宋"/>
          <w:b/>
        </w:rPr>
        <w:t>月</w:t>
      </w:r>
      <w:r>
        <w:rPr>
          <w:rFonts w:hint="eastAsia" w:ascii="仿宋" w:hAnsi="仿宋" w:eastAsia="仿宋"/>
          <w:b/>
          <w:u w:val="single"/>
          <w:lang w:val="en-US" w:eastAsia="zh-CN"/>
        </w:rPr>
        <w:t>21</w:t>
      </w:r>
      <w:r>
        <w:rPr>
          <w:rFonts w:hint="eastAsia" w:ascii="仿宋" w:hAnsi="仿宋" w:eastAsia="仿宋"/>
        </w:rPr>
        <w:t>日上午</w:t>
      </w:r>
      <w:r>
        <w:rPr>
          <w:rFonts w:hint="eastAsia" w:ascii="仿宋" w:hAnsi="仿宋" w:eastAsia="仿宋"/>
          <w:b/>
          <w:bCs/>
          <w:u w:val="single"/>
        </w:rPr>
        <w:t>10:30</w:t>
      </w:r>
      <w:r>
        <w:rPr>
          <w:rFonts w:hint="eastAsia" w:ascii="仿宋" w:hAnsi="仿宋" w:eastAsia="仿宋"/>
        </w:rPr>
        <w:t>（北京时间）之前上传。</w:t>
      </w:r>
      <w:r>
        <w:rPr>
          <w:rFonts w:hint="eastAsia" w:ascii="仿宋" w:hAnsi="仿宋" w:eastAsia="仿宋"/>
          <w:bCs/>
          <w:kern w:val="2"/>
          <w:szCs w:val="20"/>
        </w:rPr>
        <w:t>开标时间后30分钟内供应商可以登录“政采云”平台，用“项目采购-开标评标”功能进行解密响应文件。若供应商在规定时间内未按时解密的，视为电子响应文件撤回。</w:t>
      </w:r>
    </w:p>
    <w:p>
      <w:pPr>
        <w:pStyle w:val="30"/>
        <w:ind w:firstLine="480" w:firstLineChars="200"/>
        <w:rPr>
          <w:rFonts w:ascii="仿宋" w:hAnsi="仿宋" w:eastAsia="仿宋"/>
          <w:bCs/>
          <w:kern w:val="2"/>
          <w:szCs w:val="20"/>
        </w:rPr>
      </w:pPr>
      <w:r>
        <w:rPr>
          <w:rFonts w:hint="eastAsia" w:ascii="仿宋" w:hAnsi="仿宋" w:eastAsia="仿宋"/>
          <w:kern w:val="2"/>
          <w:szCs w:val="20"/>
        </w:rPr>
        <w:t>1</w:t>
      </w:r>
      <w:r>
        <w:rPr>
          <w:rFonts w:hint="eastAsia" w:ascii="仿宋" w:hAnsi="仿宋" w:eastAsia="仿宋"/>
          <w:kern w:val="2"/>
          <w:szCs w:val="20"/>
          <w:lang w:val="en-US" w:eastAsia="zh-CN"/>
        </w:rPr>
        <w:t>1</w:t>
      </w:r>
      <w:r>
        <w:rPr>
          <w:rFonts w:hint="eastAsia" w:ascii="仿宋" w:hAnsi="仿宋" w:eastAsia="仿宋"/>
          <w:kern w:val="2"/>
          <w:szCs w:val="20"/>
        </w:rPr>
        <w:t xml:space="preserve">.2 </w:t>
      </w:r>
      <w:r>
        <w:rPr>
          <w:rFonts w:hint="eastAsia" w:eastAsia="仿宋"/>
          <w:kern w:val="2"/>
        </w:rPr>
        <w:t>开标时报价签字确认时段不得超过30分钟。</w:t>
      </w:r>
    </w:p>
    <w:p>
      <w:pPr>
        <w:ind w:firstLine="480" w:firstLineChars="200"/>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1</w:t>
      </w:r>
      <w:r>
        <w:rPr>
          <w:rFonts w:ascii="仿宋" w:hAnsi="仿宋" w:eastAsia="仿宋"/>
          <w:sz w:val="24"/>
        </w:rPr>
        <w:t>.</w:t>
      </w:r>
      <w:r>
        <w:rPr>
          <w:rFonts w:hint="eastAsia" w:ascii="仿宋" w:hAnsi="仿宋" w:eastAsia="仿宋"/>
          <w:sz w:val="24"/>
        </w:rPr>
        <w:t>3 出现因招标文件的修改而推迟投标截止时间的情况时，投标人则须按集采机构的书面修改通知重新规定的投标截止时间之前上传。</w:t>
      </w:r>
    </w:p>
    <w:p>
      <w:pPr>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2</w:t>
      </w:r>
      <w:r>
        <w:rPr>
          <w:rFonts w:hint="eastAsia" w:ascii="宋体" w:hAnsi="宋体" w:cs="宋体"/>
          <w:b/>
          <w:sz w:val="24"/>
        </w:rPr>
        <w:t>、投标文件的修改和撤销</w:t>
      </w:r>
    </w:p>
    <w:p>
      <w:pPr>
        <w:ind w:firstLine="480" w:firstLineChars="200"/>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2</w:t>
      </w:r>
      <w:r>
        <w:rPr>
          <w:rFonts w:ascii="仿宋" w:hAnsi="仿宋" w:eastAsia="仿宋"/>
          <w:sz w:val="24"/>
        </w:rPr>
        <w:t>.</w:t>
      </w:r>
      <w:r>
        <w:rPr>
          <w:rFonts w:hint="eastAsia" w:ascii="仿宋" w:hAnsi="仿宋" w:eastAsia="仿宋"/>
          <w:sz w:val="24"/>
        </w:rPr>
        <w:t>1投标人在上传投标文件后，可在规定的投标截止时间之前，进行修改或撤消。</w:t>
      </w:r>
    </w:p>
    <w:p>
      <w:pPr>
        <w:ind w:firstLine="480" w:firstLineChars="200"/>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2</w:t>
      </w:r>
      <w:r>
        <w:rPr>
          <w:rFonts w:ascii="仿宋" w:hAnsi="仿宋" w:eastAsia="仿宋"/>
          <w:sz w:val="24"/>
        </w:rPr>
        <w:t>.</w:t>
      </w:r>
      <w:r>
        <w:rPr>
          <w:rFonts w:hint="eastAsia" w:ascii="仿宋" w:hAnsi="仿宋" w:eastAsia="仿宋"/>
          <w:sz w:val="24"/>
        </w:rPr>
        <w:t>3投标截止时间以后不得修改投标文件。</w:t>
      </w:r>
    </w:p>
    <w:p>
      <w:pPr>
        <w:ind w:firstLine="480" w:firstLineChars="200"/>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2</w:t>
      </w:r>
      <w:r>
        <w:rPr>
          <w:rFonts w:ascii="仿宋" w:hAnsi="仿宋" w:eastAsia="仿宋"/>
          <w:sz w:val="24"/>
        </w:rPr>
        <w:t>.</w:t>
      </w:r>
      <w:r>
        <w:rPr>
          <w:rFonts w:hint="eastAsia" w:ascii="仿宋" w:hAnsi="仿宋" w:eastAsia="仿宋"/>
          <w:sz w:val="24"/>
        </w:rPr>
        <w:t>4 投标人不得在开标后至投标有效期期满前撤销投标文件。</w:t>
      </w:r>
    </w:p>
    <w:bookmarkEnd w:id="106"/>
    <w:bookmarkEnd w:id="107"/>
    <w:bookmarkEnd w:id="108"/>
    <w:bookmarkEnd w:id="109"/>
    <w:bookmarkEnd w:id="110"/>
    <w:bookmarkEnd w:id="111"/>
    <w:p>
      <w:pPr>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3</w:t>
      </w:r>
      <w:r>
        <w:rPr>
          <w:rFonts w:hint="eastAsia" w:ascii="宋体" w:hAnsi="宋体" w:cs="宋体"/>
          <w:b/>
          <w:sz w:val="24"/>
        </w:rPr>
        <w:t>、投标响应文件的密封和标记</w:t>
      </w:r>
    </w:p>
    <w:p>
      <w:pPr>
        <w:pStyle w:val="31"/>
        <w:ind w:firstLine="480"/>
        <w:jc w:val="left"/>
        <w:rPr>
          <w:rFonts w:ascii="仿宋" w:hAnsi="仿宋" w:eastAsia="仿宋"/>
          <w:bCs/>
          <w:kern w:val="2"/>
          <w:sz w:val="24"/>
        </w:rPr>
      </w:pPr>
      <w:r>
        <w:rPr>
          <w:rFonts w:hint="eastAsia" w:ascii="仿宋" w:hAnsi="仿宋" w:eastAsia="仿宋"/>
          <w:bCs/>
          <w:kern w:val="2"/>
          <w:sz w:val="24"/>
        </w:rPr>
        <w:t>1</w:t>
      </w:r>
      <w:r>
        <w:rPr>
          <w:rFonts w:hint="eastAsia" w:ascii="仿宋" w:hAnsi="仿宋" w:eastAsia="仿宋"/>
          <w:bCs/>
          <w:kern w:val="2"/>
          <w:sz w:val="24"/>
          <w:lang w:val="en-US" w:eastAsia="zh-CN"/>
        </w:rPr>
        <w:t>3</w:t>
      </w:r>
      <w:r>
        <w:rPr>
          <w:rFonts w:hint="eastAsia" w:ascii="仿宋" w:hAnsi="仿宋" w:eastAsia="仿宋"/>
          <w:bCs/>
          <w:kern w:val="2"/>
          <w:sz w:val="24"/>
        </w:rPr>
        <w:t>.1电子响应文件的密封和标记。电子响应文件的内容通过数字证书进行加密并签章，投标截止时间前通过政采云平台上传到指定位置。未按要求加密和数字证书认证的电子响应文件，电子评标系统将无法接受,代理机构及采购方不予受理。</w:t>
      </w:r>
      <w:bookmarkStart w:id="112" w:name="_Toc520356161"/>
      <w:bookmarkStart w:id="113" w:name="_Toc24017"/>
      <w:bookmarkStart w:id="114" w:name="_Toc515647776"/>
      <w:bookmarkStart w:id="115" w:name="_Toc12751"/>
      <w:bookmarkStart w:id="116" w:name="_Toc9840"/>
    </w:p>
    <w:bookmarkEnd w:id="112"/>
    <w:bookmarkEnd w:id="113"/>
    <w:bookmarkEnd w:id="114"/>
    <w:bookmarkEnd w:id="115"/>
    <w:bookmarkEnd w:id="116"/>
    <w:p>
      <w:pPr>
        <w:ind w:firstLine="482" w:firstLineChars="200"/>
        <w:rPr>
          <w:rFonts w:ascii="宋体" w:hAnsi="宋体" w:cs="宋体"/>
          <w:b/>
          <w:bCs/>
          <w:sz w:val="24"/>
        </w:rPr>
      </w:pPr>
      <w:r>
        <w:rPr>
          <w:rFonts w:hint="eastAsia" w:ascii="宋体" w:hAnsi="宋体" w:cs="宋体"/>
          <w:b/>
          <w:bCs/>
          <w:sz w:val="24"/>
        </w:rPr>
        <w:t>1</w:t>
      </w:r>
      <w:r>
        <w:rPr>
          <w:rFonts w:hint="eastAsia" w:ascii="宋体" w:hAnsi="宋体" w:cs="宋体"/>
          <w:b/>
          <w:bCs/>
          <w:sz w:val="24"/>
          <w:lang w:val="en-US" w:eastAsia="zh-CN"/>
        </w:rPr>
        <w:t>4</w:t>
      </w:r>
      <w:r>
        <w:rPr>
          <w:rFonts w:hint="eastAsia" w:ascii="宋体" w:hAnsi="宋体" w:cs="宋体"/>
          <w:b/>
          <w:bCs/>
          <w:sz w:val="24"/>
        </w:rPr>
        <w:t>、递交的招标投标电子响应文件</w:t>
      </w:r>
    </w:p>
    <w:p>
      <w:pPr>
        <w:ind w:firstLine="480" w:firstLineChars="200"/>
        <w:rPr>
          <w:rFonts w:ascii="仿宋" w:hAnsi="仿宋" w:eastAsia="仿宋"/>
          <w:bCs/>
          <w:sz w:val="24"/>
        </w:rPr>
      </w:pPr>
      <w:r>
        <w:rPr>
          <w:rFonts w:hint="eastAsia" w:ascii="仿宋" w:hAnsi="仿宋" w:eastAsia="仿宋"/>
          <w:bCs/>
          <w:sz w:val="24"/>
        </w:rPr>
        <w:t>1</w:t>
      </w:r>
      <w:r>
        <w:rPr>
          <w:rFonts w:hint="eastAsia" w:ascii="仿宋" w:hAnsi="仿宋" w:eastAsia="仿宋"/>
          <w:bCs/>
          <w:sz w:val="24"/>
          <w:lang w:val="en-US" w:eastAsia="zh-CN"/>
        </w:rPr>
        <w:t>4</w:t>
      </w:r>
      <w:r>
        <w:rPr>
          <w:rFonts w:hint="eastAsia" w:ascii="仿宋" w:hAnsi="仿宋" w:eastAsia="仿宋"/>
          <w:bCs/>
          <w:sz w:val="24"/>
        </w:rPr>
        <w:t>.1各供应商应在开标前应确保成为新疆政府采购网正式注册入库供应商，并完成CA数字证书申领。因未注册入库、未办理CA数字证书等原因造成无法投标或投标失败等后果由供应商自行承担。建议于投标电子响应文件递交截止时间前1个工作日完成投标电子响应文件的制作与上传。</w:t>
      </w:r>
    </w:p>
    <w:p>
      <w:pPr>
        <w:ind w:firstLine="480" w:firstLineChars="200"/>
        <w:rPr>
          <w:rFonts w:ascii="仿宋" w:hAnsi="仿宋" w:eastAsia="仿宋"/>
          <w:bCs/>
          <w:sz w:val="24"/>
        </w:rPr>
      </w:pPr>
      <w:r>
        <w:rPr>
          <w:rFonts w:hint="eastAsia" w:ascii="仿宋" w:hAnsi="仿宋" w:eastAsia="仿宋"/>
          <w:bCs/>
          <w:sz w:val="24"/>
        </w:rPr>
        <w:t>1</w:t>
      </w:r>
      <w:r>
        <w:rPr>
          <w:rFonts w:hint="eastAsia" w:ascii="仿宋" w:hAnsi="仿宋" w:eastAsia="仿宋"/>
          <w:bCs/>
          <w:sz w:val="24"/>
          <w:lang w:val="en-US" w:eastAsia="zh-CN"/>
        </w:rPr>
        <w:t>4</w:t>
      </w:r>
      <w:r>
        <w:rPr>
          <w:rFonts w:hint="eastAsia" w:ascii="仿宋" w:hAnsi="仿宋" w:eastAsia="仿宋"/>
          <w:bCs/>
          <w:sz w:val="24"/>
        </w:rPr>
        <w:t>.2电子投标文件的递交</w:t>
      </w:r>
    </w:p>
    <w:p>
      <w:pPr>
        <w:ind w:firstLine="480" w:firstLineChars="200"/>
        <w:rPr>
          <w:rFonts w:ascii="仿宋" w:hAnsi="仿宋" w:eastAsia="仿宋"/>
          <w:bCs/>
          <w:sz w:val="24"/>
        </w:rPr>
      </w:pPr>
      <w:r>
        <w:rPr>
          <w:rFonts w:hint="eastAsia" w:ascii="仿宋" w:hAnsi="仿宋" w:eastAsia="仿宋"/>
          <w:bCs/>
          <w:sz w:val="24"/>
        </w:rPr>
        <w:t>投标人应当按照《操作手册》规定，在投标截止时间前</w:t>
      </w:r>
      <w:r>
        <w:rPr>
          <w:rFonts w:ascii="仿宋" w:hAnsi="仿宋" w:eastAsia="仿宋"/>
          <w:bCs/>
          <w:sz w:val="24"/>
        </w:rPr>
        <w:t>制作</w:t>
      </w:r>
      <w:r>
        <w:rPr>
          <w:rFonts w:hint="eastAsia" w:ascii="仿宋" w:hAnsi="仿宋" w:eastAsia="仿宋"/>
          <w:bCs/>
          <w:sz w:val="24"/>
        </w:rPr>
        <w:t>并上传电子投标文件。</w:t>
      </w:r>
    </w:p>
    <w:p>
      <w:pPr>
        <w:pStyle w:val="17"/>
      </w:pPr>
    </w:p>
    <w:p>
      <w:pPr>
        <w:pStyle w:val="17"/>
      </w:pPr>
    </w:p>
    <w:p>
      <w:pPr>
        <w:jc w:val="center"/>
        <w:outlineLvl w:val="1"/>
        <w:rPr>
          <w:rFonts w:ascii="宋体" w:hAnsi="宋体" w:cs="宋体"/>
          <w:b/>
          <w:sz w:val="32"/>
          <w:szCs w:val="32"/>
        </w:rPr>
      </w:pPr>
      <w:bookmarkStart w:id="117" w:name="_Toc11645"/>
      <w:bookmarkStart w:id="118" w:name="_Toc29699_WPSOffice_Level2"/>
      <w:bookmarkStart w:id="119" w:name="_Toc17190"/>
      <w:bookmarkStart w:id="120" w:name="_Toc4955"/>
      <w:bookmarkStart w:id="121" w:name="_Toc3143"/>
      <w:r>
        <w:rPr>
          <w:rFonts w:hint="eastAsia" w:ascii="宋体" w:hAnsi="宋体" w:cs="宋体"/>
          <w:b/>
          <w:sz w:val="32"/>
          <w:szCs w:val="32"/>
        </w:rPr>
        <w:t>第四章 投标报价及保证金</w:t>
      </w:r>
      <w:bookmarkEnd w:id="85"/>
      <w:bookmarkEnd w:id="86"/>
      <w:bookmarkEnd w:id="87"/>
      <w:bookmarkEnd w:id="88"/>
      <w:bookmarkEnd w:id="89"/>
      <w:bookmarkEnd w:id="90"/>
      <w:bookmarkEnd w:id="91"/>
      <w:bookmarkEnd w:id="92"/>
      <w:bookmarkEnd w:id="93"/>
      <w:bookmarkEnd w:id="94"/>
      <w:bookmarkEnd w:id="95"/>
      <w:bookmarkEnd w:id="96"/>
      <w:bookmarkEnd w:id="117"/>
      <w:bookmarkEnd w:id="118"/>
      <w:bookmarkEnd w:id="119"/>
      <w:bookmarkEnd w:id="120"/>
      <w:bookmarkEnd w:id="121"/>
    </w:p>
    <w:p>
      <w:pPr>
        <w:ind w:firstLine="482" w:firstLineChars="200"/>
        <w:rPr>
          <w:rFonts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val="en-US" w:eastAsia="zh-CN"/>
        </w:rPr>
        <w:t>5</w:t>
      </w:r>
      <w:r>
        <w:rPr>
          <w:rFonts w:hint="eastAsia" w:ascii="宋体" w:hAnsi="宋体" w:cs="宋体"/>
          <w:b/>
          <w:sz w:val="24"/>
          <w:szCs w:val="24"/>
        </w:rPr>
        <w:t>、投标报价</w:t>
      </w:r>
    </w:p>
    <w:p>
      <w:pPr>
        <w:ind w:firstLine="480" w:firstLineChars="200"/>
        <w:rPr>
          <w:rFonts w:hint="eastAsia" w:ascii="仿宋" w:hAnsi="仿宋" w:eastAsia="仿宋"/>
          <w:bCs/>
          <w:sz w:val="24"/>
          <w:szCs w:val="22"/>
        </w:rPr>
      </w:pPr>
      <w:r>
        <w:rPr>
          <w:rFonts w:hint="eastAsia" w:ascii="仿宋" w:hAnsi="仿宋" w:eastAsia="仿宋"/>
          <w:bCs/>
          <w:sz w:val="24"/>
        </w:rPr>
        <w:t>1</w:t>
      </w:r>
      <w:r>
        <w:rPr>
          <w:rFonts w:hint="eastAsia" w:ascii="仿宋" w:hAnsi="仿宋" w:eastAsia="仿宋"/>
          <w:bCs/>
          <w:sz w:val="24"/>
          <w:lang w:val="en-US" w:eastAsia="zh-CN"/>
        </w:rPr>
        <w:t>5</w:t>
      </w:r>
      <w:r>
        <w:rPr>
          <w:rFonts w:hint="eastAsia" w:ascii="仿宋" w:hAnsi="仿宋" w:eastAsia="仿宋"/>
          <w:bCs/>
          <w:sz w:val="24"/>
        </w:rPr>
        <w:t>.1</w:t>
      </w:r>
      <w:r>
        <w:rPr>
          <w:rFonts w:hint="eastAsia" w:ascii="仿宋" w:hAnsi="仿宋" w:eastAsia="仿宋"/>
          <w:bCs/>
          <w:sz w:val="24"/>
          <w:szCs w:val="22"/>
        </w:rPr>
        <w:t>所有投标均以人民币报价。投标人的投标报价应遵守《中华人民共和国价格法》。同时，根据《中华人民共和国政府采购法》第二条的规定，为保证公平竞争，如有货物主体部分的赠与行为，其投标将被认定为投标无效。</w:t>
      </w:r>
      <w:r>
        <w:rPr>
          <w:rFonts w:hint="eastAsia" w:ascii="仿宋" w:hAnsi="仿宋" w:eastAsia="仿宋"/>
          <w:bCs/>
          <w:sz w:val="24"/>
          <w:szCs w:val="22"/>
          <w:lang w:val="en-US" w:eastAsia="zh-CN"/>
        </w:rPr>
        <w:t>投标报价应是完成招标内容所需设备的全部费用，包括但不限于产品的报价及所发生的：包括货物价格、备品备件、包装、运输、仓储、保管、保险、装卸（卸货至甲方指定地点）、安装、调试、售后维护服务、培训、利润、相关税费及市场价格风险在内等一切费用。进口设备除应包括要向中华人民共和国政府缴纳的增值税和其它税，还应包括货物在制造或组装时使用的部件和原材料是从关境外进口的已交纳或应交纳的全部关税、增值税和其它税等一切费用。要求的其他相关费用以本招标文件的内容和要求作为投标依据。报价时单价所反映的内容同上，综合考虑在单价中。在供货、安装、调试、培训等工作中出现硬件、软件等的任何遗漏，均由中标人免费提供，采购人将不再支付任何费用。</w:t>
      </w:r>
    </w:p>
    <w:p>
      <w:pPr>
        <w:ind w:firstLine="480" w:firstLineChars="200"/>
        <w:rPr>
          <w:rFonts w:ascii="仿宋" w:hAnsi="仿宋" w:eastAsia="仿宋"/>
          <w:bCs/>
          <w:sz w:val="24"/>
        </w:rPr>
      </w:pPr>
      <w:r>
        <w:rPr>
          <w:rFonts w:hint="eastAsia" w:ascii="仿宋" w:hAnsi="仿宋" w:eastAsia="仿宋"/>
          <w:bCs/>
          <w:sz w:val="24"/>
          <w:szCs w:val="22"/>
        </w:rPr>
        <w:t>1</w:t>
      </w:r>
      <w:r>
        <w:rPr>
          <w:rFonts w:hint="eastAsia" w:ascii="仿宋" w:hAnsi="仿宋" w:eastAsia="仿宋"/>
          <w:bCs/>
          <w:sz w:val="24"/>
          <w:szCs w:val="22"/>
          <w:lang w:val="en-US" w:eastAsia="zh-CN"/>
        </w:rPr>
        <w:t>5</w:t>
      </w:r>
      <w:r>
        <w:rPr>
          <w:rFonts w:hint="eastAsia" w:ascii="仿宋" w:hAnsi="仿宋" w:eastAsia="仿宋"/>
          <w:bCs/>
          <w:sz w:val="24"/>
          <w:szCs w:val="22"/>
        </w:rPr>
        <w:t>.2投标人应在投标分项报价表上标</w:t>
      </w:r>
      <w:r>
        <w:rPr>
          <w:rFonts w:hint="eastAsia" w:ascii="仿宋" w:hAnsi="仿宋" w:eastAsia="仿宋"/>
          <w:bCs/>
          <w:sz w:val="24"/>
        </w:rPr>
        <w:t>明投标货物及相关服务的单价（如适用）和总价，并由法定代表人或其授权代表签署。</w:t>
      </w:r>
    </w:p>
    <w:p>
      <w:pPr>
        <w:ind w:firstLine="480" w:firstLineChars="200"/>
        <w:rPr>
          <w:rFonts w:ascii="仿宋" w:hAnsi="仿宋" w:eastAsia="仿宋"/>
          <w:bCs/>
          <w:sz w:val="24"/>
        </w:rPr>
      </w:pPr>
      <w:r>
        <w:rPr>
          <w:rFonts w:hint="eastAsia" w:ascii="仿宋" w:hAnsi="仿宋" w:eastAsia="仿宋"/>
          <w:bCs/>
          <w:sz w:val="24"/>
        </w:rPr>
        <w:t>1</w:t>
      </w:r>
      <w:r>
        <w:rPr>
          <w:rFonts w:hint="eastAsia" w:ascii="仿宋" w:hAnsi="仿宋" w:eastAsia="仿宋"/>
          <w:bCs/>
          <w:sz w:val="24"/>
          <w:lang w:val="en-US" w:eastAsia="zh-CN"/>
        </w:rPr>
        <w:t>5</w:t>
      </w:r>
      <w:r>
        <w:rPr>
          <w:rFonts w:hint="eastAsia" w:ascii="仿宋" w:hAnsi="仿宋" w:eastAsia="仿宋"/>
          <w:bCs/>
          <w:sz w:val="24"/>
        </w:rPr>
        <w:t>.3投标分项报价表上的价格应按下列方式填写：</w:t>
      </w:r>
    </w:p>
    <w:p>
      <w:pPr>
        <w:ind w:firstLine="480" w:firstLineChars="200"/>
        <w:rPr>
          <w:rFonts w:ascii="仿宋" w:hAnsi="仿宋" w:eastAsia="仿宋"/>
          <w:bCs/>
          <w:sz w:val="24"/>
        </w:rPr>
      </w:pPr>
      <w:r>
        <w:rPr>
          <w:rFonts w:hint="eastAsia" w:ascii="仿宋" w:hAnsi="仿宋" w:eastAsia="仿宋"/>
          <w:bCs/>
          <w:sz w:val="24"/>
        </w:rPr>
        <w:t>1</w:t>
      </w:r>
      <w:r>
        <w:rPr>
          <w:rFonts w:hint="eastAsia" w:ascii="仿宋" w:hAnsi="仿宋" w:eastAsia="仿宋"/>
          <w:bCs/>
          <w:sz w:val="24"/>
          <w:lang w:val="en-US" w:eastAsia="zh-CN"/>
        </w:rPr>
        <w:t>5</w:t>
      </w:r>
      <w:r>
        <w:rPr>
          <w:rFonts w:hint="eastAsia" w:ascii="仿宋" w:hAnsi="仿宋" w:eastAsia="仿宋"/>
          <w:bCs/>
          <w:sz w:val="24"/>
        </w:rPr>
        <w:t>.3.1投标货物（包括备品备件、专用工具等）的出厂价（包括已在中国国内的仓库交货价、展室交货价或货架交货价），投标货物安装、调试、检验、技术服务和培训等费用；</w:t>
      </w:r>
    </w:p>
    <w:p>
      <w:pPr>
        <w:ind w:firstLine="480" w:firstLineChars="200"/>
        <w:rPr>
          <w:rFonts w:ascii="仿宋" w:hAnsi="仿宋" w:eastAsia="仿宋"/>
          <w:bCs/>
          <w:sz w:val="24"/>
        </w:rPr>
      </w:pPr>
      <w:r>
        <w:rPr>
          <w:rFonts w:hint="eastAsia" w:ascii="仿宋" w:hAnsi="仿宋" w:eastAsia="仿宋"/>
          <w:bCs/>
          <w:sz w:val="24"/>
        </w:rPr>
        <w:t>1</w:t>
      </w:r>
      <w:r>
        <w:rPr>
          <w:rFonts w:hint="eastAsia" w:ascii="仿宋" w:hAnsi="仿宋" w:eastAsia="仿宋"/>
          <w:bCs/>
          <w:sz w:val="24"/>
          <w:lang w:val="en-US" w:eastAsia="zh-CN"/>
        </w:rPr>
        <w:t>5</w:t>
      </w:r>
      <w:r>
        <w:rPr>
          <w:rFonts w:hint="eastAsia" w:ascii="仿宋" w:hAnsi="仿宋" w:eastAsia="仿宋"/>
          <w:bCs/>
          <w:sz w:val="24"/>
        </w:rPr>
        <w:t>.3.2货物运至最终目的地的运输费和保险费用。</w:t>
      </w:r>
    </w:p>
    <w:p>
      <w:pPr>
        <w:ind w:firstLine="480" w:firstLineChars="200"/>
        <w:rPr>
          <w:rFonts w:ascii="仿宋" w:hAnsi="仿宋" w:eastAsia="仿宋"/>
          <w:bCs/>
          <w:sz w:val="24"/>
        </w:rPr>
      </w:pPr>
      <w:r>
        <w:rPr>
          <w:rFonts w:hint="eastAsia" w:ascii="仿宋" w:hAnsi="仿宋" w:eastAsia="仿宋"/>
          <w:bCs/>
          <w:sz w:val="24"/>
        </w:rPr>
        <w:t>1</w:t>
      </w:r>
      <w:r>
        <w:rPr>
          <w:rFonts w:hint="eastAsia" w:ascii="仿宋" w:hAnsi="仿宋" w:eastAsia="仿宋"/>
          <w:bCs/>
          <w:sz w:val="24"/>
          <w:lang w:val="en-US" w:eastAsia="zh-CN"/>
        </w:rPr>
        <w:t>5</w:t>
      </w:r>
      <w:r>
        <w:rPr>
          <w:rFonts w:hint="eastAsia" w:ascii="仿宋" w:hAnsi="仿宋" w:eastAsia="仿宋"/>
          <w:bCs/>
          <w:sz w:val="24"/>
        </w:rPr>
        <w:t>.4投标人所报的各分项投标单价在合同履行过程中是固定不变的，不得以任何理由予以变更。任何包含价格调整要求的投标，其投标将被认定为投标无效。</w:t>
      </w:r>
    </w:p>
    <w:p>
      <w:pPr>
        <w:ind w:firstLine="480" w:firstLineChars="200"/>
        <w:rPr>
          <w:rFonts w:hint="eastAsia" w:ascii="仿宋" w:hAnsi="仿宋" w:eastAsia="仿宋"/>
          <w:bCs/>
          <w:sz w:val="24"/>
        </w:rPr>
      </w:pPr>
      <w:r>
        <w:rPr>
          <w:rFonts w:hint="eastAsia" w:ascii="仿宋" w:hAnsi="仿宋" w:eastAsia="仿宋"/>
          <w:bCs/>
          <w:sz w:val="24"/>
        </w:rPr>
        <w:t>1</w:t>
      </w:r>
      <w:r>
        <w:rPr>
          <w:rFonts w:hint="eastAsia" w:ascii="仿宋" w:hAnsi="仿宋" w:eastAsia="仿宋"/>
          <w:bCs/>
          <w:sz w:val="24"/>
          <w:lang w:val="en-US" w:eastAsia="zh-CN"/>
        </w:rPr>
        <w:t>5</w:t>
      </w:r>
      <w:r>
        <w:rPr>
          <w:rFonts w:hint="eastAsia" w:ascii="仿宋" w:hAnsi="仿宋" w:eastAsia="仿宋"/>
          <w:bCs/>
          <w:sz w:val="24"/>
        </w:rPr>
        <w:t>.5每种货物只能有一个投标报价。采购人不接受具有附加条件的报价。</w:t>
      </w:r>
    </w:p>
    <w:p>
      <w:pPr>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6</w:t>
      </w:r>
      <w:r>
        <w:rPr>
          <w:rFonts w:hint="eastAsia" w:ascii="宋体" w:hAnsi="宋体" w:cs="宋体"/>
          <w:b/>
          <w:sz w:val="24"/>
        </w:rPr>
        <w:t>、投标保证金</w:t>
      </w:r>
    </w:p>
    <w:p>
      <w:pPr>
        <w:ind w:firstLine="480" w:firstLineChars="200"/>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6</w:t>
      </w:r>
      <w:r>
        <w:rPr>
          <w:rFonts w:hint="eastAsia" w:ascii="仿宋" w:hAnsi="仿宋" w:eastAsia="仿宋"/>
          <w:sz w:val="24"/>
        </w:rPr>
        <w:t xml:space="preserve">.1本项目免收投标保证金。 </w:t>
      </w:r>
    </w:p>
    <w:p>
      <w:pPr>
        <w:ind w:firstLine="482" w:firstLineChars="200"/>
        <w:rPr>
          <w:rFonts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val="en-US" w:eastAsia="zh-CN"/>
        </w:rPr>
        <w:t>7</w:t>
      </w:r>
      <w:r>
        <w:rPr>
          <w:rFonts w:hint="eastAsia" w:ascii="宋体" w:hAnsi="宋体" w:cs="宋体"/>
          <w:b/>
          <w:sz w:val="24"/>
          <w:szCs w:val="24"/>
        </w:rPr>
        <w:t>、履约保证金</w:t>
      </w:r>
    </w:p>
    <w:p>
      <w:pPr>
        <w:ind w:firstLine="480" w:firstLineChars="200"/>
        <w:rPr>
          <w:rFonts w:ascii="仿宋_GB2312" w:hAnsi="Arial" w:eastAsia="仿宋_GB2312"/>
          <w:b w:val="0"/>
          <w:bCs w:val="0"/>
          <w:color w:val="auto"/>
          <w:sz w:val="24"/>
          <w:szCs w:val="24"/>
          <w:highlight w:val="none"/>
          <w:shd w:val="clear" w:color="auto" w:fill="auto"/>
        </w:rPr>
      </w:pPr>
      <w:bookmarkStart w:id="122" w:name="_Toc31817"/>
      <w:bookmarkStart w:id="123" w:name="_Toc13449"/>
      <w:bookmarkStart w:id="124" w:name="_Toc25430"/>
      <w:bookmarkStart w:id="125" w:name="_Toc15099"/>
      <w:bookmarkStart w:id="126" w:name="_Toc11833"/>
      <w:bookmarkStart w:id="127" w:name="_Toc24618_WPSOffice_Level1"/>
      <w:bookmarkStart w:id="128" w:name="_Toc32201"/>
      <w:bookmarkStart w:id="129" w:name="_Toc4359"/>
      <w:bookmarkStart w:id="130" w:name="_Toc16920"/>
      <w:bookmarkStart w:id="131" w:name="_Toc23932"/>
      <w:bookmarkStart w:id="132" w:name="_Toc25363"/>
      <w:bookmarkStart w:id="133" w:name="_Toc6143"/>
      <w:bookmarkStart w:id="134" w:name="_Toc21930"/>
      <w:bookmarkStart w:id="135" w:name="_Toc6049"/>
      <w:bookmarkStart w:id="136" w:name="_Toc30111"/>
      <w:bookmarkStart w:id="137" w:name="_Toc6093"/>
      <w:r>
        <w:rPr>
          <w:rFonts w:ascii="仿宋_GB2312" w:hAnsi="Arial" w:eastAsia="仿宋_GB2312" w:cs="仿宋_GB2312"/>
          <w:b w:val="0"/>
          <w:bCs w:val="0"/>
          <w:color w:val="auto"/>
          <w:sz w:val="24"/>
          <w:szCs w:val="24"/>
          <w:highlight w:val="none"/>
          <w:shd w:val="clear" w:color="auto" w:fill="auto"/>
        </w:rPr>
        <w:t>1</w:t>
      </w:r>
      <w:r>
        <w:rPr>
          <w:rFonts w:hint="eastAsia" w:ascii="仿宋_GB2312" w:hAnsi="Arial" w:eastAsia="仿宋_GB2312" w:cs="仿宋_GB2312"/>
          <w:b w:val="0"/>
          <w:bCs w:val="0"/>
          <w:color w:val="auto"/>
          <w:sz w:val="24"/>
          <w:szCs w:val="24"/>
          <w:highlight w:val="none"/>
          <w:shd w:val="clear" w:color="auto" w:fill="auto"/>
          <w:lang w:val="en-US" w:eastAsia="zh-CN"/>
        </w:rPr>
        <w:t>7</w:t>
      </w:r>
      <w:r>
        <w:rPr>
          <w:rFonts w:ascii="仿宋_GB2312" w:hAnsi="Arial" w:eastAsia="仿宋_GB2312" w:cs="仿宋_GB2312"/>
          <w:b w:val="0"/>
          <w:bCs w:val="0"/>
          <w:color w:val="auto"/>
          <w:sz w:val="24"/>
          <w:szCs w:val="24"/>
          <w:highlight w:val="none"/>
          <w:shd w:val="clear" w:color="auto" w:fill="auto"/>
        </w:rPr>
        <w:t xml:space="preserve">.1 </w:t>
      </w:r>
      <w:r>
        <w:rPr>
          <w:rFonts w:hint="eastAsia" w:ascii="仿宋_GB2312" w:hAnsi="Arial" w:eastAsia="仿宋_GB2312" w:cs="仿宋_GB2312"/>
          <w:b w:val="0"/>
          <w:bCs w:val="0"/>
          <w:color w:val="auto"/>
          <w:sz w:val="24"/>
          <w:szCs w:val="24"/>
          <w:highlight w:val="none"/>
          <w:shd w:val="clear" w:color="auto" w:fill="auto"/>
        </w:rPr>
        <w:t>成交供应商应当以</w:t>
      </w:r>
      <w:r>
        <w:rPr>
          <w:rFonts w:hint="eastAsia" w:ascii="仿宋" w:hAnsi="仿宋" w:eastAsia="仿宋" w:cs="仿宋"/>
          <w:b w:val="0"/>
          <w:bCs w:val="0"/>
          <w:color w:val="auto"/>
          <w:sz w:val="24"/>
          <w:szCs w:val="24"/>
          <w:highlight w:val="none"/>
          <w:shd w:val="clear" w:color="auto" w:fill="auto"/>
        </w:rPr>
        <w:t>支票、汇票、本票或者金融机构、担保机构出具的保函等非现金形式</w:t>
      </w:r>
      <w:r>
        <w:rPr>
          <w:rFonts w:hint="eastAsia" w:ascii="仿宋_GB2312" w:hAnsi="Arial" w:eastAsia="仿宋_GB2312" w:cs="仿宋_GB2312"/>
          <w:b w:val="0"/>
          <w:bCs w:val="0"/>
          <w:color w:val="auto"/>
          <w:sz w:val="24"/>
          <w:szCs w:val="24"/>
          <w:highlight w:val="none"/>
          <w:shd w:val="clear" w:color="auto" w:fill="auto"/>
        </w:rPr>
        <w:t>向采购人交纳履约保证金；</w:t>
      </w:r>
    </w:p>
    <w:p>
      <w:pPr>
        <w:ind w:firstLine="480" w:firstLineChars="200"/>
        <w:rPr>
          <w:rFonts w:ascii="仿宋_GB2312" w:hAnsi="Arial" w:eastAsia="仿宋_GB2312"/>
          <w:b w:val="0"/>
          <w:bCs w:val="0"/>
          <w:color w:val="auto"/>
          <w:sz w:val="24"/>
          <w:szCs w:val="24"/>
          <w:highlight w:val="none"/>
          <w:shd w:val="clear" w:color="auto" w:fill="auto"/>
        </w:rPr>
      </w:pPr>
      <w:r>
        <w:rPr>
          <w:rFonts w:ascii="仿宋_GB2312" w:hAnsi="Arial" w:eastAsia="仿宋_GB2312" w:cs="仿宋_GB2312"/>
          <w:b w:val="0"/>
          <w:bCs w:val="0"/>
          <w:color w:val="auto"/>
          <w:sz w:val="24"/>
          <w:szCs w:val="24"/>
          <w:highlight w:val="none"/>
          <w:shd w:val="clear" w:color="auto" w:fill="auto"/>
        </w:rPr>
        <w:t>1</w:t>
      </w:r>
      <w:r>
        <w:rPr>
          <w:rFonts w:hint="eastAsia" w:ascii="仿宋_GB2312" w:hAnsi="Arial" w:eastAsia="仿宋_GB2312" w:cs="仿宋_GB2312"/>
          <w:b w:val="0"/>
          <w:bCs w:val="0"/>
          <w:color w:val="auto"/>
          <w:sz w:val="24"/>
          <w:szCs w:val="24"/>
          <w:highlight w:val="none"/>
          <w:shd w:val="clear" w:color="auto" w:fill="auto"/>
          <w:lang w:val="en-US" w:eastAsia="zh-CN"/>
        </w:rPr>
        <w:t>7</w:t>
      </w:r>
      <w:r>
        <w:rPr>
          <w:rFonts w:ascii="仿宋_GB2312" w:hAnsi="Arial" w:eastAsia="仿宋_GB2312" w:cs="仿宋_GB2312"/>
          <w:b w:val="0"/>
          <w:bCs w:val="0"/>
          <w:color w:val="auto"/>
          <w:sz w:val="24"/>
          <w:szCs w:val="24"/>
          <w:highlight w:val="none"/>
          <w:shd w:val="clear" w:color="auto" w:fill="auto"/>
        </w:rPr>
        <w:t xml:space="preserve">.2  </w:t>
      </w:r>
      <w:r>
        <w:rPr>
          <w:rFonts w:hint="eastAsia" w:ascii="仿宋_GB2312" w:hAnsi="Arial" w:eastAsia="仿宋_GB2312" w:cs="仿宋_GB2312"/>
          <w:b w:val="0"/>
          <w:bCs w:val="0"/>
          <w:color w:val="auto"/>
          <w:sz w:val="24"/>
          <w:szCs w:val="24"/>
          <w:highlight w:val="none"/>
          <w:shd w:val="clear" w:color="auto" w:fill="auto"/>
        </w:rPr>
        <w:t>履约保证金</w:t>
      </w:r>
      <w:r>
        <w:rPr>
          <w:rFonts w:hint="eastAsia" w:ascii="仿宋_GB2312" w:hAnsi="Arial" w:eastAsia="仿宋_GB2312" w:cs="仿宋_GB2312"/>
          <w:b w:val="0"/>
          <w:bCs w:val="0"/>
          <w:color w:val="auto"/>
          <w:sz w:val="24"/>
          <w:szCs w:val="24"/>
          <w:highlight w:val="none"/>
          <w:shd w:val="clear" w:color="auto" w:fill="auto"/>
          <w:lang w:eastAsia="zh-CN"/>
        </w:rPr>
        <w:t>按</w:t>
      </w:r>
      <w:r>
        <w:rPr>
          <w:rFonts w:hint="eastAsia" w:ascii="仿宋_GB2312" w:hAnsi="Arial" w:eastAsia="仿宋_GB2312" w:cs="仿宋_GB2312"/>
          <w:b w:val="0"/>
          <w:bCs w:val="0"/>
          <w:color w:val="auto"/>
          <w:sz w:val="24"/>
          <w:szCs w:val="24"/>
          <w:highlight w:val="none"/>
          <w:shd w:val="clear" w:color="auto" w:fill="auto"/>
        </w:rPr>
        <w:t>政府采购合同金额的</w:t>
      </w:r>
      <w:r>
        <w:rPr>
          <w:rFonts w:hint="eastAsia" w:ascii="仿宋_GB2312" w:hAnsi="Arial" w:eastAsia="仿宋_GB2312" w:cs="仿宋_GB2312"/>
          <w:b w:val="0"/>
          <w:bCs w:val="0"/>
          <w:color w:val="auto"/>
          <w:sz w:val="24"/>
          <w:szCs w:val="24"/>
          <w:highlight w:val="none"/>
          <w:shd w:val="clear" w:color="auto" w:fill="auto"/>
          <w:lang w:val="en-US" w:eastAsia="zh-CN"/>
        </w:rPr>
        <w:t>2</w:t>
      </w:r>
      <w:r>
        <w:rPr>
          <w:rFonts w:ascii="仿宋_GB2312" w:hAnsi="Arial" w:eastAsia="仿宋_GB2312" w:cs="仿宋_GB2312"/>
          <w:b w:val="0"/>
          <w:bCs w:val="0"/>
          <w:color w:val="auto"/>
          <w:sz w:val="24"/>
          <w:szCs w:val="24"/>
          <w:highlight w:val="none"/>
          <w:shd w:val="clear" w:color="auto" w:fill="auto"/>
        </w:rPr>
        <w:t>%</w:t>
      </w:r>
      <w:r>
        <w:rPr>
          <w:rFonts w:hint="eastAsia" w:ascii="仿宋_GB2312" w:hAnsi="Arial" w:eastAsia="仿宋_GB2312" w:cs="仿宋_GB2312"/>
          <w:b w:val="0"/>
          <w:bCs w:val="0"/>
          <w:color w:val="auto"/>
          <w:sz w:val="24"/>
          <w:szCs w:val="24"/>
          <w:highlight w:val="none"/>
          <w:shd w:val="clear" w:color="auto" w:fill="auto"/>
          <w:lang w:eastAsia="zh-CN"/>
        </w:rPr>
        <w:t>收取</w:t>
      </w:r>
      <w:r>
        <w:rPr>
          <w:rFonts w:hint="eastAsia" w:ascii="仿宋_GB2312" w:hAnsi="Arial" w:eastAsia="仿宋_GB2312" w:cs="仿宋_GB2312"/>
          <w:b w:val="0"/>
          <w:bCs w:val="0"/>
          <w:color w:val="auto"/>
          <w:sz w:val="24"/>
          <w:szCs w:val="24"/>
          <w:highlight w:val="none"/>
          <w:shd w:val="clear" w:color="auto" w:fill="auto"/>
        </w:rPr>
        <w:t>；</w:t>
      </w:r>
    </w:p>
    <w:p>
      <w:pPr>
        <w:ind w:firstLine="480" w:firstLineChars="200"/>
        <w:rPr>
          <w:rFonts w:ascii="仿宋_GB2312" w:hAnsi="Arial" w:eastAsia="仿宋_GB2312"/>
          <w:b w:val="0"/>
          <w:bCs w:val="0"/>
          <w:color w:val="auto"/>
          <w:sz w:val="24"/>
          <w:szCs w:val="24"/>
          <w:highlight w:val="none"/>
          <w:shd w:val="clear" w:color="auto" w:fill="auto"/>
        </w:rPr>
      </w:pPr>
      <w:r>
        <w:rPr>
          <w:rFonts w:ascii="仿宋_GB2312" w:hAnsi="Arial" w:eastAsia="仿宋_GB2312" w:cs="仿宋_GB2312"/>
          <w:b w:val="0"/>
          <w:bCs w:val="0"/>
          <w:color w:val="auto"/>
          <w:sz w:val="24"/>
          <w:szCs w:val="24"/>
          <w:highlight w:val="none"/>
          <w:shd w:val="clear" w:color="auto" w:fill="auto"/>
        </w:rPr>
        <w:t>1</w:t>
      </w:r>
      <w:r>
        <w:rPr>
          <w:rFonts w:hint="eastAsia" w:ascii="仿宋_GB2312" w:hAnsi="Arial" w:eastAsia="仿宋_GB2312" w:cs="仿宋_GB2312"/>
          <w:b w:val="0"/>
          <w:bCs w:val="0"/>
          <w:color w:val="auto"/>
          <w:sz w:val="24"/>
          <w:szCs w:val="24"/>
          <w:highlight w:val="none"/>
          <w:shd w:val="clear" w:color="auto" w:fill="auto"/>
          <w:lang w:val="en-US" w:eastAsia="zh-CN"/>
        </w:rPr>
        <w:t>7</w:t>
      </w:r>
      <w:r>
        <w:rPr>
          <w:rFonts w:ascii="仿宋_GB2312" w:hAnsi="Arial" w:eastAsia="仿宋_GB2312" w:cs="仿宋_GB2312"/>
          <w:b w:val="0"/>
          <w:bCs w:val="0"/>
          <w:color w:val="auto"/>
          <w:sz w:val="24"/>
          <w:szCs w:val="24"/>
          <w:highlight w:val="none"/>
          <w:shd w:val="clear" w:color="auto" w:fill="auto"/>
        </w:rPr>
        <w:t xml:space="preserve">.3  </w:t>
      </w:r>
      <w:r>
        <w:rPr>
          <w:rFonts w:hint="eastAsia" w:ascii="仿宋_GB2312" w:hAnsi="Arial" w:eastAsia="仿宋_GB2312" w:cs="仿宋_GB2312"/>
          <w:b w:val="0"/>
          <w:bCs w:val="0"/>
          <w:color w:val="auto"/>
          <w:sz w:val="24"/>
          <w:szCs w:val="24"/>
          <w:highlight w:val="none"/>
          <w:shd w:val="clear" w:color="auto" w:fill="auto"/>
        </w:rPr>
        <w:t>验收合格的项目，采购人应当根据采购合同的约定及时向供应商支付采购资金、退还履约保证金。</w:t>
      </w:r>
    </w:p>
    <w:p>
      <w:pPr>
        <w:pStyle w:val="11"/>
        <w:ind w:firstLine="0"/>
        <w:jc w:val="center"/>
        <w:outlineLvl w:val="0"/>
        <w:rPr>
          <w:b/>
          <w:sz w:val="36"/>
        </w:rPr>
      </w:pPr>
    </w:p>
    <w:p>
      <w:pPr>
        <w:pStyle w:val="11"/>
        <w:ind w:firstLine="0"/>
        <w:jc w:val="center"/>
        <w:outlineLvl w:val="0"/>
        <w:rPr>
          <w:b/>
          <w:sz w:val="18"/>
          <w:szCs w:val="18"/>
        </w:rPr>
      </w:pPr>
      <w:bookmarkStart w:id="138" w:name="_Toc1103"/>
      <w:r>
        <w:rPr>
          <w:rFonts w:hint="eastAsia"/>
          <w:b/>
          <w:sz w:val="36"/>
        </w:rPr>
        <w:t>第三部分  采购需求及商务要求</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11"/>
        <w:ind w:firstLine="708" w:firstLineChars="294"/>
        <w:rPr>
          <w:b/>
          <w:sz w:val="24"/>
        </w:rPr>
      </w:pPr>
      <w:r>
        <w:rPr>
          <w:rFonts w:hint="eastAsia"/>
          <w:b/>
          <w:sz w:val="24"/>
        </w:rPr>
        <w:t>投标人投标货物必须是在中华人民共和国境内生产的全新的、未使用过的货物。</w:t>
      </w:r>
    </w:p>
    <w:p>
      <w:pPr>
        <w:outlineLvl w:val="1"/>
        <w:rPr>
          <w:rFonts w:ascii="仿宋_GB2312" w:eastAsia="仿宋_GB2312"/>
          <w:sz w:val="32"/>
          <w:szCs w:val="32"/>
          <w:highlight w:val="none"/>
        </w:rPr>
      </w:pPr>
      <w:bookmarkStart w:id="139" w:name="_Toc12012"/>
      <w:r>
        <w:rPr>
          <w:rFonts w:hint="eastAsia" w:ascii="宋体" w:hAnsi="宋体" w:cs="宋体"/>
          <w:b/>
          <w:bCs/>
          <w:sz w:val="28"/>
          <w:szCs w:val="28"/>
          <w:highlight w:val="none"/>
        </w:rPr>
        <w:t>一、</w:t>
      </w:r>
      <w:r>
        <w:rPr>
          <w:rFonts w:hint="eastAsia" w:ascii="宋体" w:hAnsi="宋体" w:cs="宋体"/>
          <w:b/>
          <w:bCs/>
          <w:sz w:val="28"/>
          <w:szCs w:val="28"/>
          <w:highlight w:val="none"/>
          <w:lang w:eastAsia="zh-CN"/>
        </w:rPr>
        <w:t>项目</w:t>
      </w:r>
      <w:r>
        <w:rPr>
          <w:rFonts w:hint="eastAsia" w:ascii="宋体" w:hAnsi="宋体" w:cs="宋体"/>
          <w:b/>
          <w:bCs/>
          <w:sz w:val="28"/>
          <w:szCs w:val="28"/>
          <w:highlight w:val="none"/>
        </w:rPr>
        <w:t>内容</w:t>
      </w:r>
      <w:bookmarkEnd w:id="139"/>
    </w:p>
    <w:p>
      <w:pPr>
        <w:ind w:left="1684" w:leftChars="228" w:hanging="1205" w:hangingChars="500"/>
        <w:jc w:val="left"/>
        <w:rPr>
          <w:rFonts w:hint="eastAsia" w:ascii="仿宋" w:hAnsi="仿宋" w:eastAsia="仿宋" w:cs="仿宋"/>
          <w:sz w:val="24"/>
          <w:szCs w:val="24"/>
          <w:lang w:eastAsia="zh-CN"/>
        </w:rPr>
      </w:pPr>
      <w:r>
        <w:rPr>
          <w:rFonts w:hint="eastAsia" w:ascii="仿宋" w:hAnsi="仿宋" w:eastAsia="仿宋" w:cs="仿宋"/>
          <w:b/>
          <w:bCs/>
          <w:sz w:val="24"/>
          <w:szCs w:val="24"/>
        </w:rPr>
        <w:t>项目名称</w:t>
      </w:r>
      <w:r>
        <w:rPr>
          <w:rFonts w:hint="eastAsia" w:ascii="仿宋" w:hAnsi="仿宋" w:eastAsia="仿宋" w:cs="仿宋"/>
          <w:sz w:val="24"/>
          <w:szCs w:val="24"/>
        </w:rPr>
        <w:t>：</w:t>
      </w:r>
      <w:r>
        <w:rPr>
          <w:rFonts w:hint="eastAsia" w:ascii="仿宋" w:hAnsi="仿宋" w:eastAsia="仿宋"/>
          <w:sz w:val="24"/>
          <w:szCs w:val="22"/>
          <w:lang w:val="en-US" w:eastAsia="zh-CN"/>
        </w:rPr>
        <w:t>伊宁市第一中学、第八小学和第三十一小学教学设备采购项目</w:t>
      </w:r>
    </w:p>
    <w:p>
      <w:pPr>
        <w:ind w:left="479" w:leftChars="228"/>
        <w:jc w:val="left"/>
        <w:rPr>
          <w:rFonts w:ascii="仿宋" w:hAnsi="仿宋" w:eastAsia="仿宋" w:cs="仿宋"/>
          <w:sz w:val="24"/>
          <w:szCs w:val="24"/>
        </w:rPr>
      </w:pPr>
      <w:r>
        <w:rPr>
          <w:rFonts w:hint="eastAsia" w:ascii="仿宋" w:hAnsi="仿宋" w:eastAsia="仿宋" w:cs="仿宋"/>
          <w:b/>
          <w:bCs/>
          <w:sz w:val="24"/>
          <w:szCs w:val="24"/>
        </w:rPr>
        <w:t>项目预算</w:t>
      </w:r>
      <w:r>
        <w:rPr>
          <w:rFonts w:hint="eastAsia" w:ascii="仿宋" w:hAnsi="仿宋" w:eastAsia="仿宋" w:cs="仿宋"/>
          <w:sz w:val="24"/>
          <w:szCs w:val="24"/>
        </w:rPr>
        <w:t>（万元）：</w:t>
      </w:r>
      <w:r>
        <w:rPr>
          <w:rFonts w:hint="eastAsia" w:ascii="仿宋" w:hAnsi="仿宋" w:eastAsia="仿宋" w:cs="仿宋"/>
          <w:sz w:val="24"/>
          <w:szCs w:val="24"/>
          <w:lang w:val="en-US" w:eastAsia="zh-CN"/>
        </w:rPr>
        <w:t>623.843</w:t>
      </w:r>
      <w:r>
        <w:rPr>
          <w:rFonts w:hint="eastAsia" w:ascii="仿宋" w:hAnsi="仿宋" w:eastAsia="仿宋" w:cs="仿宋"/>
          <w:sz w:val="24"/>
          <w:szCs w:val="24"/>
        </w:rPr>
        <w:t>万元</w:t>
      </w:r>
    </w:p>
    <w:p>
      <w:pPr>
        <w:ind w:firstLine="482" w:firstLineChars="200"/>
        <w:rPr>
          <w:rFonts w:hint="default" w:ascii="仿宋" w:hAnsi="仿宋" w:eastAsia="仿宋" w:cs="仿宋"/>
          <w:bCs/>
          <w:sz w:val="24"/>
          <w:szCs w:val="24"/>
          <w:lang w:val="en-US"/>
        </w:rPr>
      </w:pPr>
      <w:r>
        <w:rPr>
          <w:rFonts w:hint="eastAsia" w:ascii="仿宋" w:hAnsi="仿宋" w:eastAsia="仿宋" w:cs="仿宋"/>
          <w:b/>
          <w:bCs/>
          <w:sz w:val="24"/>
          <w:szCs w:val="24"/>
        </w:rPr>
        <w:t>项目地点：</w:t>
      </w:r>
      <w:r>
        <w:rPr>
          <w:rFonts w:hint="eastAsia" w:ascii="仿宋" w:hAnsi="仿宋" w:eastAsia="仿宋"/>
          <w:sz w:val="24"/>
          <w:szCs w:val="22"/>
          <w:lang w:val="en-US" w:eastAsia="zh-CN"/>
        </w:rPr>
        <w:t>伊宁市第一中学、第八小学和第三十一小学</w:t>
      </w:r>
    </w:p>
    <w:p>
      <w:pPr>
        <w:ind w:firstLine="482" w:firstLineChars="200"/>
        <w:rPr>
          <w:rFonts w:ascii="仿宋" w:hAnsi="仿宋" w:eastAsia="仿宋" w:cs="仿宋"/>
          <w:b/>
          <w:bCs/>
          <w:sz w:val="24"/>
          <w:szCs w:val="24"/>
        </w:rPr>
      </w:pPr>
      <w:r>
        <w:rPr>
          <w:rFonts w:hint="eastAsia" w:ascii="仿宋" w:hAnsi="仿宋" w:eastAsia="仿宋" w:cs="仿宋"/>
          <w:b/>
          <w:bCs/>
          <w:sz w:val="24"/>
          <w:szCs w:val="24"/>
          <w:lang w:val="en-US" w:eastAsia="zh-CN"/>
        </w:rPr>
        <w:t>供货期限</w:t>
      </w:r>
      <w:r>
        <w:rPr>
          <w:rFonts w:hint="eastAsia" w:ascii="仿宋" w:hAnsi="仿宋" w:eastAsia="仿宋" w:cs="仿宋"/>
          <w:b/>
          <w:bCs/>
          <w:sz w:val="24"/>
          <w:szCs w:val="24"/>
        </w:rPr>
        <w:t>：</w:t>
      </w:r>
      <w:r>
        <w:rPr>
          <w:rFonts w:hint="eastAsia" w:ascii="仿宋" w:hAnsi="仿宋" w:eastAsia="仿宋" w:cs="仿宋"/>
          <w:bCs/>
          <w:sz w:val="24"/>
          <w:szCs w:val="24"/>
        </w:rPr>
        <w:t>签订合同之日起</w:t>
      </w:r>
      <w:r>
        <w:rPr>
          <w:rFonts w:hint="eastAsia" w:ascii="仿宋" w:hAnsi="仿宋" w:eastAsia="仿宋" w:cs="仿宋"/>
          <w:bCs/>
          <w:sz w:val="24"/>
          <w:szCs w:val="24"/>
          <w:lang w:val="en-US" w:eastAsia="zh-CN"/>
        </w:rPr>
        <w:t>30</w:t>
      </w:r>
      <w:r>
        <w:rPr>
          <w:rFonts w:hint="eastAsia" w:ascii="仿宋" w:hAnsi="仿宋" w:eastAsia="仿宋" w:cs="仿宋"/>
          <w:bCs/>
          <w:sz w:val="24"/>
          <w:szCs w:val="24"/>
        </w:rPr>
        <w:t>日内</w:t>
      </w:r>
    </w:p>
    <w:p>
      <w:pPr>
        <w:ind w:firstLine="480" w:firstLineChars="200"/>
        <w:rPr>
          <w:rFonts w:ascii="仿宋" w:hAnsi="仿宋" w:eastAsia="仿宋" w:cs="仿宋"/>
          <w:sz w:val="24"/>
          <w:szCs w:val="24"/>
        </w:rPr>
      </w:pPr>
      <w:r>
        <w:rPr>
          <w:rFonts w:hint="eastAsia" w:ascii="仿宋" w:hAnsi="仿宋" w:eastAsia="仿宋" w:cs="仿宋"/>
          <w:sz w:val="24"/>
          <w:szCs w:val="24"/>
        </w:rPr>
        <w:t>标项一</w:t>
      </w:r>
    </w:p>
    <w:p>
      <w:pPr>
        <w:ind w:firstLine="482" w:firstLineChars="200"/>
        <w:rPr>
          <w:rFonts w:hint="eastAsia" w:ascii="仿宋" w:hAnsi="仿宋" w:eastAsia="仿宋"/>
          <w:sz w:val="24"/>
          <w:szCs w:val="22"/>
          <w:lang w:val="en-US" w:eastAsia="zh-CN"/>
        </w:rPr>
      </w:pPr>
      <w:r>
        <w:rPr>
          <w:rFonts w:hint="eastAsia" w:ascii="仿宋" w:hAnsi="仿宋" w:eastAsia="仿宋" w:cs="仿宋"/>
          <w:b/>
          <w:bCs/>
          <w:sz w:val="24"/>
          <w:szCs w:val="24"/>
        </w:rPr>
        <w:t>标项名称</w:t>
      </w:r>
      <w:r>
        <w:rPr>
          <w:rFonts w:hint="eastAsia" w:ascii="仿宋" w:hAnsi="仿宋" w:eastAsia="仿宋" w:cs="仿宋"/>
          <w:sz w:val="24"/>
          <w:szCs w:val="24"/>
        </w:rPr>
        <w:t>：</w:t>
      </w:r>
      <w:r>
        <w:rPr>
          <w:rFonts w:hint="eastAsia" w:ascii="仿宋" w:hAnsi="仿宋" w:eastAsia="仿宋"/>
          <w:sz w:val="24"/>
          <w:szCs w:val="22"/>
          <w:lang w:val="en-US" w:eastAsia="zh-CN"/>
        </w:rPr>
        <w:t>伊宁市第一中学、第八小学和第三十一小学教学设备采购项目（一标段办公电脑、计算机教室及办公设备）</w:t>
      </w:r>
    </w:p>
    <w:p>
      <w:pPr>
        <w:ind w:firstLine="482" w:firstLineChars="200"/>
      </w:pPr>
      <w:r>
        <w:rPr>
          <w:rFonts w:hint="eastAsia" w:ascii="仿宋" w:hAnsi="仿宋" w:eastAsia="仿宋" w:cs="仿宋"/>
          <w:b/>
          <w:bCs/>
          <w:sz w:val="24"/>
          <w:szCs w:val="24"/>
        </w:rPr>
        <w:t>预算金额</w:t>
      </w:r>
      <w:r>
        <w:rPr>
          <w:rFonts w:hint="eastAsia" w:ascii="仿宋" w:hAnsi="仿宋" w:eastAsia="仿宋" w:cs="仿宋"/>
          <w:sz w:val="24"/>
          <w:szCs w:val="24"/>
        </w:rPr>
        <w:t>（万元）：</w:t>
      </w:r>
      <w:r>
        <w:rPr>
          <w:rFonts w:hint="eastAsia" w:ascii="仿宋" w:hAnsi="仿宋" w:eastAsia="仿宋" w:cs="仿宋"/>
          <w:sz w:val="24"/>
          <w:szCs w:val="24"/>
          <w:lang w:val="en-US" w:eastAsia="zh-CN"/>
        </w:rPr>
        <w:t>205.193</w:t>
      </w:r>
      <w:r>
        <w:rPr>
          <w:rFonts w:hint="eastAsia" w:ascii="仿宋" w:hAnsi="仿宋" w:eastAsia="仿宋" w:cs="仿宋"/>
          <w:sz w:val="24"/>
          <w:szCs w:val="24"/>
          <w:lang w:eastAsia="zh-CN"/>
        </w:rPr>
        <w:t>万</w:t>
      </w:r>
      <w:r>
        <w:rPr>
          <w:rFonts w:hint="eastAsia" w:ascii="仿宋" w:hAnsi="仿宋" w:eastAsia="仿宋" w:cs="仿宋"/>
          <w:sz w:val="24"/>
          <w:szCs w:val="24"/>
        </w:rPr>
        <w:t>元</w:t>
      </w:r>
    </w:p>
    <w:p>
      <w:pPr>
        <w:ind w:firstLine="482" w:firstLineChars="200"/>
        <w:rPr>
          <w:rFonts w:ascii="仿宋_GB2312" w:hAnsi="宋体" w:eastAsia="仿宋_GB2312" w:cs="仿宋_GB2312"/>
          <w:color w:val="000000"/>
          <w:sz w:val="24"/>
          <w:szCs w:val="24"/>
        </w:rPr>
      </w:pPr>
      <w:r>
        <w:rPr>
          <w:rFonts w:hint="eastAsia" w:ascii="仿宋" w:hAnsi="仿宋" w:eastAsia="仿宋" w:cs="仿宋"/>
          <w:b/>
          <w:bCs/>
          <w:sz w:val="24"/>
          <w:szCs w:val="24"/>
        </w:rPr>
        <w:t>标项内容：</w:t>
      </w:r>
      <w:r>
        <w:rPr>
          <w:rFonts w:hint="eastAsia" w:ascii="仿宋" w:hAnsi="仿宋" w:eastAsia="仿宋"/>
          <w:sz w:val="24"/>
          <w:szCs w:val="22"/>
          <w:lang w:val="en-US" w:eastAsia="zh-CN"/>
        </w:rPr>
        <w:t>办公电脑、计算机教室及办公设备</w:t>
      </w:r>
      <w:r>
        <w:rPr>
          <w:rFonts w:hint="eastAsia" w:ascii="仿宋" w:hAnsi="仿宋" w:eastAsia="仿宋" w:cs="仿宋"/>
          <w:sz w:val="24"/>
          <w:szCs w:val="24"/>
        </w:rPr>
        <w:t>。</w:t>
      </w:r>
    </w:p>
    <w:p>
      <w:pPr>
        <w:ind w:firstLine="480" w:firstLineChars="200"/>
        <w:rPr>
          <w:rFonts w:ascii="仿宋" w:hAnsi="仿宋" w:eastAsia="仿宋" w:cs="仿宋"/>
          <w:sz w:val="24"/>
          <w:szCs w:val="24"/>
        </w:rPr>
      </w:pPr>
      <w:r>
        <w:rPr>
          <w:rFonts w:hint="eastAsia" w:ascii="仿宋" w:hAnsi="仿宋" w:eastAsia="仿宋" w:cs="仿宋"/>
          <w:sz w:val="24"/>
          <w:szCs w:val="24"/>
        </w:rPr>
        <w:t>标项二</w:t>
      </w:r>
    </w:p>
    <w:p>
      <w:pPr>
        <w:ind w:firstLine="482" w:firstLineChars="200"/>
        <w:rPr>
          <w:rFonts w:hint="eastAsia" w:ascii="仿宋" w:hAnsi="仿宋" w:eastAsia="仿宋" w:cs="仿宋"/>
          <w:sz w:val="24"/>
          <w:szCs w:val="24"/>
          <w:lang w:eastAsia="zh-CN"/>
        </w:rPr>
      </w:pPr>
      <w:r>
        <w:rPr>
          <w:rFonts w:hint="eastAsia" w:ascii="仿宋" w:hAnsi="仿宋" w:eastAsia="仿宋" w:cs="仿宋"/>
          <w:b/>
          <w:bCs/>
          <w:sz w:val="24"/>
          <w:szCs w:val="24"/>
        </w:rPr>
        <w:t>标项名称</w:t>
      </w:r>
      <w:r>
        <w:rPr>
          <w:rFonts w:hint="eastAsia" w:ascii="仿宋" w:hAnsi="仿宋" w:eastAsia="仿宋" w:cs="仿宋"/>
          <w:sz w:val="24"/>
          <w:szCs w:val="24"/>
        </w:rPr>
        <w:t>：</w:t>
      </w:r>
      <w:r>
        <w:rPr>
          <w:rFonts w:hint="eastAsia" w:ascii="仿宋" w:hAnsi="仿宋" w:eastAsia="仿宋"/>
          <w:sz w:val="24"/>
          <w:szCs w:val="22"/>
          <w:lang w:val="en-US" w:eastAsia="zh-CN"/>
        </w:rPr>
        <w:t>伊宁市第一中学、第八小学和第三十一小学教学设备采购项目（二标段学生教师及宿舍办公家具）</w:t>
      </w:r>
    </w:p>
    <w:p>
      <w:pPr>
        <w:ind w:firstLine="482" w:firstLineChars="200"/>
      </w:pPr>
      <w:r>
        <w:rPr>
          <w:rFonts w:hint="eastAsia" w:ascii="仿宋" w:hAnsi="仿宋" w:eastAsia="仿宋" w:cs="仿宋"/>
          <w:b/>
          <w:bCs/>
          <w:sz w:val="24"/>
          <w:szCs w:val="24"/>
        </w:rPr>
        <w:t>预算金额</w:t>
      </w:r>
      <w:r>
        <w:rPr>
          <w:rFonts w:hint="eastAsia" w:ascii="仿宋" w:hAnsi="仿宋" w:eastAsia="仿宋" w:cs="仿宋"/>
          <w:sz w:val="24"/>
          <w:szCs w:val="24"/>
        </w:rPr>
        <w:t>（万元）：</w:t>
      </w:r>
      <w:r>
        <w:rPr>
          <w:rFonts w:hint="eastAsia" w:ascii="仿宋" w:hAnsi="仿宋" w:eastAsia="仿宋" w:cs="仿宋"/>
          <w:sz w:val="24"/>
          <w:szCs w:val="24"/>
          <w:lang w:val="en-US" w:eastAsia="zh-CN"/>
        </w:rPr>
        <w:t>418.65</w:t>
      </w:r>
      <w:r>
        <w:rPr>
          <w:rFonts w:hint="eastAsia" w:ascii="仿宋" w:hAnsi="仿宋" w:eastAsia="仿宋" w:cs="仿宋"/>
          <w:sz w:val="24"/>
          <w:szCs w:val="24"/>
          <w:lang w:eastAsia="zh-CN"/>
        </w:rPr>
        <w:t>万</w:t>
      </w:r>
      <w:r>
        <w:rPr>
          <w:rFonts w:hint="eastAsia" w:ascii="仿宋" w:hAnsi="仿宋" w:eastAsia="仿宋" w:cs="仿宋"/>
          <w:sz w:val="24"/>
          <w:szCs w:val="24"/>
        </w:rPr>
        <w:t>元</w:t>
      </w:r>
    </w:p>
    <w:p>
      <w:pPr>
        <w:pStyle w:val="32"/>
        <w:spacing w:line="240" w:lineRule="auto"/>
        <w:ind w:firstLine="482"/>
        <w:rPr>
          <w:rFonts w:ascii="仿宋" w:hAnsi="仿宋" w:eastAsia="仿宋" w:cs="仿宋"/>
          <w:sz w:val="24"/>
          <w:szCs w:val="24"/>
        </w:rPr>
      </w:pPr>
      <w:r>
        <w:rPr>
          <w:rFonts w:hint="eastAsia" w:ascii="仿宋" w:hAnsi="仿宋" w:eastAsia="仿宋" w:cs="仿宋"/>
          <w:b/>
          <w:bCs/>
          <w:sz w:val="24"/>
          <w:szCs w:val="24"/>
        </w:rPr>
        <w:t>标项内容：</w:t>
      </w:r>
      <w:r>
        <w:rPr>
          <w:rFonts w:hint="eastAsia" w:ascii="仿宋" w:hAnsi="仿宋" w:eastAsia="仿宋"/>
          <w:sz w:val="24"/>
          <w:szCs w:val="22"/>
          <w:lang w:val="en-US" w:eastAsia="zh-CN"/>
        </w:rPr>
        <w:t>学生教师及宿舍办公家具</w:t>
      </w:r>
      <w:r>
        <w:rPr>
          <w:rFonts w:hint="eastAsia" w:ascii="仿宋" w:hAnsi="仿宋" w:eastAsia="仿宋" w:cs="仿宋"/>
          <w:sz w:val="24"/>
          <w:szCs w:val="24"/>
        </w:rPr>
        <w:t>。</w:t>
      </w: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firstLine="480"/>
        <w:rPr>
          <w:rFonts w:ascii="仿宋" w:hAnsi="仿宋" w:eastAsia="仿宋" w:cs="仿宋"/>
          <w:sz w:val="24"/>
          <w:szCs w:val="24"/>
        </w:rPr>
      </w:pPr>
    </w:p>
    <w:p>
      <w:pPr>
        <w:pStyle w:val="32"/>
        <w:spacing w:line="240" w:lineRule="auto"/>
        <w:ind w:left="0" w:leftChars="0" w:firstLine="0" w:firstLineChars="0"/>
        <w:rPr>
          <w:rFonts w:ascii="仿宋" w:hAnsi="仿宋" w:eastAsia="仿宋" w:cs="仿宋"/>
          <w:sz w:val="24"/>
          <w:szCs w:val="24"/>
        </w:rPr>
        <w:sectPr>
          <w:footerReference r:id="rId10" w:type="default"/>
          <w:pgSz w:w="11906" w:h="16838"/>
          <w:pgMar w:top="1134" w:right="1134" w:bottom="1134" w:left="1418" w:header="851" w:footer="992" w:gutter="0"/>
          <w:pgNumType w:fmt="numberInDash" w:start="1"/>
          <w:cols w:space="720" w:num="1"/>
          <w:docGrid w:type="lines" w:linePitch="333"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51" w:firstLineChars="196"/>
        <w:textAlignment w:val="auto"/>
        <w:outlineLvl w:val="9"/>
        <w:rPr>
          <w:rFonts w:hint="eastAsia" w:ascii="宋体" w:hAnsi="宋体" w:cs="宋体"/>
          <w:b/>
          <w:color w:val="auto"/>
          <w:sz w:val="24"/>
          <w:shd w:val="clear"/>
          <w:lang w:val="en-US"/>
        </w:rPr>
      </w:pPr>
      <w:r>
        <w:rPr>
          <w:rFonts w:hint="eastAsia"/>
          <w:b/>
          <w:bCs/>
          <w:sz w:val="28"/>
          <w:szCs w:val="28"/>
          <w:highlight w:val="none"/>
        </w:rPr>
        <w:t>二、技术规格要求</w:t>
      </w:r>
    </w:p>
    <w:p>
      <w:pPr>
        <w:ind w:firstLine="720" w:firstLineChars="200"/>
        <w:rPr>
          <w:rFonts w:hint="eastAsia" w:ascii="黑体" w:hAnsi="黑体" w:eastAsia="黑体" w:cs="黑体"/>
          <w:sz w:val="36"/>
          <w:szCs w:val="36"/>
          <w:lang w:val="en-US" w:eastAsia="zh-CN"/>
        </w:rPr>
      </w:pPr>
      <w:bookmarkStart w:id="140" w:name="_Toc2002"/>
      <w:bookmarkStart w:id="141" w:name="_Toc28964"/>
      <w:bookmarkStart w:id="142" w:name="_Toc2443"/>
      <w:bookmarkStart w:id="143" w:name="_Toc19161"/>
      <w:bookmarkStart w:id="144" w:name="_Toc22289"/>
      <w:bookmarkStart w:id="145" w:name="_Toc6426"/>
      <w:bookmarkStart w:id="146" w:name="_Toc26049"/>
      <w:bookmarkStart w:id="147" w:name="_Toc16727"/>
      <w:bookmarkStart w:id="148" w:name="_Toc29632"/>
      <w:bookmarkStart w:id="149" w:name="_Toc16709"/>
      <w:bookmarkStart w:id="150" w:name="_Toc9620"/>
      <w:bookmarkStart w:id="151" w:name="_Toc14732"/>
      <w:bookmarkStart w:id="152" w:name="_Toc30987"/>
      <w:bookmarkStart w:id="153" w:name="_Toc17593"/>
      <w:bookmarkStart w:id="154" w:name="_Toc9257_WPSOffice_Level2"/>
      <w:bookmarkStart w:id="155" w:name="_Toc14169"/>
    </w:p>
    <w:p>
      <w:pPr>
        <w:ind w:firstLine="720" w:firstLineChars="200"/>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标项一</w:t>
      </w:r>
    </w:p>
    <w:p>
      <w:pPr>
        <w:ind w:firstLine="720" w:firstLineChars="200"/>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标项名称：伊宁市第一中学、第八小学和第三十一小学教学设备采购项目（一标段办公电脑、计算机教室及办公设备）</w:t>
      </w:r>
    </w:p>
    <w:tbl>
      <w:tblPr>
        <w:tblStyle w:val="21"/>
        <w:tblW w:w="9729" w:type="dxa"/>
        <w:tblInd w:w="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
        <w:gridCol w:w="690"/>
        <w:gridCol w:w="1062"/>
        <w:gridCol w:w="6600"/>
        <w:gridCol w:w="649"/>
        <w:gridCol w:w="725"/>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 w:type="dxa"/>
          <w:trHeight w:val="340" w:hRule="atLeast"/>
        </w:trPr>
        <w:tc>
          <w:tcPr>
            <w:tcW w:w="6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062"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设备名称</w:t>
            </w:r>
          </w:p>
        </w:tc>
        <w:tc>
          <w:tcPr>
            <w:tcW w:w="660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参数</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726" w:type="dxa"/>
            <w:gridSpan w:val="2"/>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 w:type="dxa"/>
          <w:trHeight w:val="320" w:hRule="atLeast"/>
        </w:trPr>
        <w:tc>
          <w:tcPr>
            <w:tcW w:w="690" w:type="dxa"/>
            <w:tcBorders>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w:t>
            </w:r>
          </w:p>
        </w:tc>
        <w:tc>
          <w:tcPr>
            <w:tcW w:w="1062" w:type="dxa"/>
            <w:tcBorders>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办公电脑</w:t>
            </w:r>
          </w:p>
        </w:tc>
        <w:tc>
          <w:tcPr>
            <w:tcW w:w="66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★1、处理器：采用国产处理器，8核，主频2.7GHz。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2、内存：配置16GB DDR4 内存，配置≥2个内存插槽。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3、显卡：集成显卡。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4、硬盘：≥512GB M.2接口NVME协议SSD，最高可支持1TB SSD，最大支持2块3.5英寸机械硬盘扩展。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5、光驱：配置Slim DVD RW光驱。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6、网络：1个RJ45 10/100/1000自适应以太网口。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7、接口：USB接口≥8个（其中前置USB3.0数量≥4个，后置USB3.0数量≥2个，USB2.0数量≥2个），音频接口：麦克风1个，耳机1个；后端3个Audio音频接口。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★8、机箱：免工具拆卸机箱、带顶置提手，便于维护。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★9、电源：电源功率≤180W；电源通过80PLUS认证</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10、键鼠：USB有线键盘鼠标，与主机同品牌。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数据安全：（1）支持基于BIOS级的一键备份和恢复的功能（非操作系统自带功能）；（2）BIOS级USB屏蔽及智能USB数据保护：USB支持BIOS下全部接口一键开关，前后分组开关；针对存储设备支持全部USB接口一键切换禁止访问模式/只读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质控水平：（1）静音舒适性：考虑工作环境的静音舒适，要求设备的噪声声功率级≤3.03Bel，噪声声压级≤23.86dB；（2）环境适应性：考虑使用环境差异，要求设备通过温度0~40℃/低气压61.6kPa（4000m）的环境适应性认证；（3）电磁兼容性：考虑设备工作稳定：要求设备通过浪涌（冲击）抗扰度的适应性认证；（4）★MTBF≥300000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13、操作系统：支持国产操作系统</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售后服务：整机提供3年免费上门原厂质保。要求提供所投产品原厂400免费技术支持电话；原厂承诺在保修期内针对软件原因（如误删除、病毒、系统故障等）或硬件原因（如震荡、撞击、电路板或磁头损坏、机械故障等）导致数据丢失的情况，提供 1 次尝试性恢复故障硬盘上数据的服务，支持时效 7*9；如果服务未取得任何数据恢复效果，则本服务不计次；除提供基础保修年限及上门服务外，额外承诺：当日下午 4 点前报修，下一自然日 24 点前修复，若没有完成修复，则免费赠送延迟日数对应的月度延保服务。要求可通过设备序列号在原厂官方网站查询保修年限。</w:t>
            </w:r>
          </w:p>
        </w:tc>
        <w:tc>
          <w:tcPr>
            <w:tcW w:w="64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26" w:type="dxa"/>
            <w:gridSpan w:val="2"/>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 w:type="dxa"/>
          <w:trHeight w:val="320" w:hRule="atLeast"/>
        </w:trPr>
        <w:tc>
          <w:tcPr>
            <w:tcW w:w="690" w:type="dxa"/>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显示器</w:t>
            </w:r>
          </w:p>
        </w:tc>
        <w:tc>
          <w:tcPr>
            <w:tcW w:w="6600" w:type="dxa"/>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显示器屏幕≥23.8英寸，分辨率≥1920*1080，屏幕亮度≥250nit，支持VGA≥1，HDMI≥1，对比度达到3000:1，屏幕刷新率达到75Hz，响应时间≤7ms，可视角度178/178；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为保证屏幕色彩显示真实度，显示器屏sRGB色域≥ 95%；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为保证教师、学生的用眼舒适，显示屏幕提供低蓝光模式，此模式下蓝光比例≤20%。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为保护教师、学生视力健康，具备低蓝光功能；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为保证兼容性，显示器与教学主机保持同一品牌。</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6" w:type="dxa"/>
            <w:gridSpan w:val="2"/>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 w:type="dxa"/>
          <w:trHeight w:val="320" w:hRule="atLeast"/>
        </w:trPr>
        <w:tc>
          <w:tcPr>
            <w:tcW w:w="690" w:type="dxa"/>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备授课软件</w:t>
            </w:r>
          </w:p>
        </w:tc>
        <w:tc>
          <w:tcPr>
            <w:tcW w:w="6600" w:type="dxa"/>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1.备授课一体化，具有备课模式及授课模式，且操作界面根据备课和授课使用场景不同而区别设计，符合用户使用需求。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2.为使用方全体教师配备个人账号，形成一体的信息化教学账号体系；根据教师账号信息将教师云空间匹配至对应学校、学科校本资源库。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3.支持通过数字账号、微信二维码、硬件密钥方式登录教师个人账号。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4.提供在线云课堂功能，无需额外安装部署直播软件，可实现语音直播、课件同步、互动工具等远程教学功能。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5.教师可一键生成云课堂课程海报，学生扫描课程海报微信二维码即可加入直播课堂，无需额外安装APP。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6.为老师提供可扩展，易于学校管理，安全可靠的云存储空间，根据教师使用时长与教学资料制作频率提供可扩展升级至不小于200G的个人云空间。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7.互动教学课件支持定向精准分享：分享者可将互动课件、课件组精准推送至指定接收方账号云空间，接收方可在云空间接收并打开分享课件；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8.支持快速录制胶囊式微课，微课可录制保存音频和课件的互动操作。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9.系统后台自动统计胶囊式微课的观看次数，便于教师做教研管理。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10.支持课件内嵌图片、音视频等多媒体文件，兼容以下格式：mp3\wav\wma\ogg\aac\mp4\rmvb\wmv\avi\rm\3gp\mkv\flv\mov\bmp\jpg\jpeg\gif\svg\swf\ppt\pptx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11.板中板：支持授课过程中调用板中板辅助教学，可进行批注、加页及背景色切换；板中板支持插入图片、音视频素材进行独立讲解，不影响课件主画面。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12.提供多种翻页按键布局，翻页按键可分布于屏幕单侧或左右两侧，支持上下翻页、课件页面预览及页面非线性跳转。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13.汉字生字卡：支持在田字格上手写输入汉字并自动识别为印刷体，可展示该汉字的部首、读音、笔画顺序、笔画数量等。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14.可一键为课件文本、图片、形状等对象添加蒙层将其隐藏，授课模式下可擦除蒙层展现隐藏内容，丰富课件互动展示效果。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15.内置专用美术画板工具，提供铅笔、毛笔、油画笔等笔触，具备符合绘画调色教学需求的模拟调色盘，可选择不同颜色混合调色，便于学生理解调色合成过程。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★16.智能纠错：软件内置的AI智能语义分析模块，可对输入的英文文本的拼写、句型、语法进行错误检查，并支持一键纠错。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17.配置英语学科听写工具，覆盖不少于4500个英语单词，支持自定义选择单词。自定义听写频率和次数，一键生成听写卡；授课模式支持一键开启听写朗读。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提供古诗词、古文教学资源：包含原文、翻译、背景介绍、作者介绍、原文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多学科课件库：提供语文、数学、英语、物理、化学等学科全部教学章节的交互式课件。课件支持直接预览并下载，预览时支持拖动课堂活动、形状、几何、文本等元素；下载时课件可同步至教师个人云课件存储空间；课件支持教师在线评分。</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6" w:type="dxa"/>
            <w:gridSpan w:val="2"/>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 w:type="dxa"/>
          <w:trHeight w:val="320" w:hRule="atLeast"/>
        </w:trPr>
        <w:tc>
          <w:tcPr>
            <w:tcW w:w="690" w:type="dxa"/>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4</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教研平台</w:t>
            </w:r>
          </w:p>
        </w:tc>
        <w:tc>
          <w:tcPr>
            <w:tcW w:w="6600" w:type="dxa"/>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校本资源库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1.支持电脑端/手机端实现校本资源共建共享。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2.资源上传：支持课件、教案、胶囊及多媒体文件的上传。其中多媒体资源类型与格式包括：文档：doc, docx, pdf, ppt, pptx, xlsx, xls图片：bmp, jpg, png, jpeg, gif视频：mp4，webm音频：wav, mp3, ogg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3.支持实现信息化集体备课。可选择教案、课件、胶囊资源上传发起集备研讨，能够设置多重访问权限，可通过手机号搜索邀请外校老师，用于跨校教研场景。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4.参备人可通过评论区发表观点，可对他人评论的观点进行点赞，评论消息会实时提醒，支持图片的上传。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5.参备人可在线对教案进行随文式批注，追加批注，回复以及查看实时批注消息。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6.能够对课件进行打点式批注，可通过批注定位研讨内容，完成协同备课。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7.完成本次研讨后，主备人可直接进入编辑页面编辑课件/教案，发布新稿件后，备课组进入下一轮研讨，更新稿件后会给参备老师同步教研动态。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8.可对集备中多稿的课件/教案/胶囊进行内容的横向对比，支持批注研。参备成员可随时获取和下载每一稿中的集备稿件到云课件，进行编辑或引用。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音视频教研活动：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研讨发起人在研讨过程中支持在线发起多人音视频研讨在线讨论，构建线上多现场同步研讨，更高效、更针对性的解决问题，研讨内容自动形成音视频记录，有效提高网络教研效率，将音视频技术与集体备课、主题研讨等常规教研活动深度融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10.语音研讨：主备人可以发起远程语音集备，进入语音研讨页面并共享稿件内容，提高集备的及时性与互动性，打造更高效便利的集备形式。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11.集备状态：支持查看集备研讨中/未研讨中的状态，支持查看参备老师的在线状态，方便参备人及时参与语音集备，快速了解集备进度。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12.录制语音：支持主备人录制集备研讨语音和重命名录制好的讨论记录，支持参备人收听录音回放，追溯集备内容。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13.集备管理：支持主备人管理添加/删除参备人员和控制个人和全员语音，支持邀请参备人开麦加入研讨。支持参备人控制个人语音，保障语音集备的有序性。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听评课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14.快速评课：支持通过手机端APP快速评课，不限校内/校外听课评课，通过选择授课老师，听课日期时间和地点即可开始评课，支持按不同评价维度进行评分和记录听课感想，支持随时回顾听课记录。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15.邀请评课：支持手机端APP邀请专家/老师参与评课，发起邀请后系统自动生成邀请海报，被邀请的人员可直接参与评课或通过扫码进入评课，评课后授课老师可即时查看被评价的详情。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16.电脑端邀请评课：支持在电脑端授课模式中发起授课评价，根据课程和评课表生成二维码，可选择是否分享课件，若选择分享课件，评课人通过扫码即可参与评课并获取课件</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6" w:type="dxa"/>
            <w:gridSpan w:val="2"/>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 w:type="dxa"/>
          <w:trHeight w:val="320" w:hRule="atLeast"/>
        </w:trPr>
        <w:tc>
          <w:tcPr>
            <w:tcW w:w="690" w:type="dxa"/>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5</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移动教学端</w:t>
            </w:r>
          </w:p>
        </w:tc>
        <w:tc>
          <w:tcPr>
            <w:tcW w:w="6600" w:type="dxa"/>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1.移动平台支持识别授课端登录状态，授课端处于登录状态时，移动应用平台自动连接移动端与授课端，无需人为操作。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2.移动平台支持安装在Android 5.0及以上、iOS 9.0及以上系统版本的移动终端。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3.教师可在移动平台选择是否接收获取的分享课件，接收后课件储存至个人云空间，可在移动平台的互动课件列表预览。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4.移动平台可将教师的课件通过微信、朋友圈、云空间帐号、二维码、公开链接、加密链接的方式进行分享，分享有效期支持教师自定义。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5.移动平台支持在线预览、下载资料夹中的图片和视频。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6.可以对通过移动平台和其他终端上传的资源移动、删除和重命名。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7.移动平台与授课端账号数据联通，可在移动端选择个人云空间内任意课件放映，授课端同步显示课件内容。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8.支持NFC一碰投屏或直播。在局域网环境或无网环境下，可将移动端屏幕实时同步至授课显示端，同屏窗口、全屏显示方式根据移动端界面自动适配。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9.提供互动课件资源库，包含学科教育、专题教育、特殊教育类课件。可获取到个人云空间，课件资源数量不低于15万份。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10.支持集体教研，线上开展集体研讨，支持研讨内容包括教案、课件、微课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支持以评分表方式移动评课，支持在不需预约评课时间、评课人的情况下一键发起评课</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6" w:type="dxa"/>
            <w:gridSpan w:val="2"/>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 w:type="dxa"/>
          <w:trHeight w:val="320" w:hRule="atLeast"/>
        </w:trPr>
        <w:tc>
          <w:tcPr>
            <w:tcW w:w="690" w:type="dxa"/>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6</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操作系统（三年免费升级）</w:t>
            </w:r>
          </w:p>
        </w:tc>
        <w:tc>
          <w:tcPr>
            <w:tcW w:w="6600" w:type="dxa"/>
            <w:tcBorders>
              <w:tl2br w:val="nil"/>
              <w:tr2bl w:val="nil"/>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1.内核版本：不低于Kernel 4.19，提供系统截图证明；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2.CPU支持：支持AMD64、ARM64、Mips64、LoongArch等CPU架构;支持海光、兆芯、鲲鹏、海思麒麟、飞腾、龙芯、瑞芯微等CPU型号，提供截图证明；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3.应用商店：操作系统产品具有应用商店，应用商店可针对教育行业提供教育专属应用，并提供各地方的智慧教育云平台应用，可提供系统截图证明；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青少年上网保护：支持通过自研浏览器上网，拦截网页中恶意弹窗，诱导点击跳转至不良内容、低俗庸俗等有害页面的行为，在线查阅拦截报表统计、用户举报，提供系统功能截图，并提供同一厂商相关软件著作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★5.浏览器：操作系统预装同品牌自研浏览器，同时支持360安全浏览器、奇安信可信浏览器、红莲花安全浏览器等，提供同品牌浏览器运行截图及软件著作权；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6.安全中心：系统安全中心深度集成杀毒引擎，用户无需单独下载；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★7.光盘刻录：系统支持UDF的刻录方式；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★8.安全要求：满足《信息安全技术 操作系统安全技术要求》GB/T 20272-2019（第四级）；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★9.系统工具：提供常用系统工具包括磁盘管理、文件浏览器、系统监视器、备份还原工具、光盘刻录、计算器等，提供工具截图证明；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★10.输入法：系统集成自研输入法支持五笔、拼音和双拼，支持搜狗、讯飞、华宇等主流输入法，提供功能截图证明；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11.系统安装：集成自研系统安装器，具备中文图形化安装引导界面；支持全盘、手动、无人值守等多种安装方式；支持本地存储介质、网络方式等多种安装方式；支持光盘、U盘、PXE安装；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12.安全等级：符合等级保护2.0标准的结构化保护等级（四级）《信息安全技术 操作系统安全技术要求》GB/T 20272-2019（第四级）</w:t>
            </w:r>
            <w:r>
              <w:rPr>
                <w:rFonts w:hint="eastAsia" w:ascii="宋体" w:hAnsi="宋体" w:cs="宋体"/>
                <w:i w:val="0"/>
                <w:iCs w:val="0"/>
                <w:color w:val="000000"/>
                <w:kern w:val="0"/>
                <w:sz w:val="20"/>
                <w:szCs w:val="20"/>
                <w:u w:val="none"/>
                <w:lang w:val="en-US" w:eastAsia="zh-CN" w:bidi="ar"/>
              </w:rPr>
              <w:t>；</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6" w:type="dxa"/>
            <w:gridSpan w:val="2"/>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 w:type="dxa"/>
          <w:trHeight w:val="320" w:hRule="atLeast"/>
        </w:trPr>
        <w:tc>
          <w:tcPr>
            <w:tcW w:w="690" w:type="dxa"/>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7</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流式办公软件（三年免费升级）</w:t>
            </w:r>
          </w:p>
        </w:tc>
        <w:tc>
          <w:tcPr>
            <w:tcW w:w="6600" w:type="dxa"/>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投标产品须包含文字处理、电子表格和演示文稿三大功能模块，支持三大功能模块在同一个窗口下访问或独立拆分成三个模块使用。支持多个文字、表格、演示的文档集成为一个文件,拥有统一的文件格式，高效地满足日常教学办公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2、投标产品符合OFD文档格式标准及其电子公文应用领域扩展要求，支持UOF、DOC等格式文件编辑，支持OFD格式转存，支持电子公文语义加载，支持系统调用。支持UOF国家标准，OOXML国际标准等一系列国际标准。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文字处理、电子表格和演示文稿三大应用的数据可以集成到同一个文件中，支持在该文件中进行数据的编辑、管理以及互相共享，文档中的数据源复制后，以链接形式粘贴到其他文档中，当源数据变化，目标数据可自动更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4、软件界面与微软office界面在菜单排布和功能界面的操作使用上保持相似，为适应各年龄段使用者的操作习惯，至少支持两套用户界面免重启一键切换。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提供如数学、化学、物理、地理等的科教素材管理器，可以导入导出素材、设置素材属性，并支持存放自定义图片素材；使用科教编辑器，可以编辑数学公式、绘制几何图形、电路图、化学方程式、物理及化学实验装置图，还可以绘制生物结构图、地理天体图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文字处理、电子表格、演示文稿三大应用模块均支持函数图像功能，可直接在文档中插入直角坐标系、一次函数、三角函数、指数对数函数等8种类型的函数图像，无需手动输入函数解析式，调整参数值即可生成所需的函数图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7、在智能界面下支持鼠标、触摸两种模式，以适配不同的教学使用场景。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文字处理、电子表格、演示文稿三大应用模块均支持图形、图片对象各类属性的即时预览，如自选图形填充色、线条样式、线条粗细、线条虚实、箭头样式及阴影、映像、发光效果；图片锐化/柔化效果、亮度/对比度、饱和度、色调属性，可以更便捷的制作教学课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9、文字处理模块支持快速回到上次编辑位置的功能，便于文档二次编辑时的快速定位。支持页眉页脚显示/隐藏文档正文的文字。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10、文字处理模块支持护眼模式，达到缓解使用者眼部疲劳的目的。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11、电子表格模块提供照相机功能，将单元格或单元格区域链接到图片对象，并直观的显示两个对象间的动态变化。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12、电子表格模块支持表格筛选计数功能，并能够导出数据，直观的了解数据信息，协助用户快捷的分析数据。支持通过"监视窗口"监控单元格数值变化，以避免频繁的滚动、切换操作。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13、电子表格模块提供提供强大的数据运算功能,括单变量求解、规划求解、数据分析、模拟运算表、方案等数据运算功能，并且支持数据分配和文本的多列合并。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14、演示模块支持多种放映工具，墨迹、激光笔、放大镜、录制旁白功能和录制音频等。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15、演示模块制作演示文档，支持插入图片、图形、视频和音频来展示多彩的图像，支持将教学ppt课件的放映结果输出为视频，方便学生循环播放和学习。</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6" w:type="dxa"/>
            <w:gridSpan w:val="2"/>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 w:type="dxa"/>
          <w:trHeight w:val="320" w:hRule="atLeast"/>
        </w:trPr>
        <w:tc>
          <w:tcPr>
            <w:tcW w:w="690" w:type="dxa"/>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8</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版式办公软件（三年免费升级）</w:t>
            </w:r>
          </w:p>
        </w:tc>
        <w:tc>
          <w:tcPr>
            <w:tcW w:w="6600" w:type="dxa"/>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图像编辑管理：支持图像管理，按页列表形式显示OFD文档中的所有图像，可以删除、添加、替换、导出图像文件，可拖动或精细化调整图像位置大小，可隐藏/裁减图像、可对图像进行蒙版和透明度，旋转、翻转、图层、OCR提取图像文本等处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独立进程版式文档处理工具：支持文档创建、编辑、转换和页面处理，可无缝集成到版式办公软件中。即支持提取、插入、删除、替换、裁剪、交换、复制、移动、旋转等批量的页面编辑操作；支持文档的合并、拆分等文档级别的批量操作；支持创建空白OFD/PDF文件、批量从图片创建OFD/PDF文件、合并输出一个文件或独立输出多个文件。（提供功能界面截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文档打印：支持按需打印OFD文档内容，包括是否打印注释、签章、水印信息、自定义遮盖区域内容等；支持打印质量控制，自定义设置打印精度；支持配置默认打印选项、打印小册子等高级打印功能；支持设置打印页面范围，奇偶页打印、逆序打印等；支持多种缩放模式打印以及打印时自动旋转、自动居中、灰度打印、双面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文档安全控制：支持文档权限控制，支持编辑、注释、导出、签名、屏幕打印、打印权限限制及打印份数等权限控制；支持文档掩膜技术，可实现阅读/打印时对自定义区域的敏感信息显示遮盖或打印遮盖。（提供功能界面截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界面管理：支持程序窗口经典模式与智能模式相互切换；支持用户界面自定义配置快捷键、组件提示信息、皮肤、菜单栏、工具栏、快速访问栏、导航栏、功能位置等界面元素且即时生效；支持多文档界面状态独立控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6.自动保存(异常恢复)：支持文档自动保存，当遭遇断电、死机等异常状态后，下次打开该文档时能够恢复到最近一次编辑操作之前的OFD文档状态。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印章处理：支持接入标准的签章组件，提供普通盖章、骑缝章、文字定位章、关键字盖章、预设位置盖章等多种电子印章功能；支持签章验证和查看印章属性的功能；支持在一个文档内批量盖章/验证，以及为多个OFD文件批量盖章/验证；支持文号章、署名章等动态图章以及多种橡皮图章; 支持印章删除和文档印章列表展示和定位等管理。（提供功能界面截图）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水印处理：支持文字水印、图片水印功能；支持二维码水印，可设置二维码渐变色、尺寸及嵌入自定义logo，按需动态生成二维码作为水印添加到文档；支持设置区域水印；支持水印平铺，可设置水印间的水平和垂直间距。支持文档水印导览管理及水印增删改操作。（提供功能界面截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文档导览：支持全文搜索、语义树、书签、水印、多文档、多版本、打开文档列表、最近打开文档列表、图层、大纲(支持编辑)、附件(支持编辑)等导览功能，便于管理定位文档中的对应元素；支持一键全文搜索，显示关键字所在页码和个数并自动高亮文字关键字；支持显示、定位语义标引信息，支持导入n棵任意语义树、导出任意节点树、关联/增删语义节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10.应用集成：支持安全可靠环境下B/S、C/S等集成方式，可嵌入Firefox、360等多种浏览器；提供二次开发接口，支持定制开发，能够提供API文档。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阅读操作：支持单页、双页、封面页以及页面连续等多种布局阅读模式；支持上一视图、下一视图快速切换功能；支持页面无极缩放、框选文本放大和旋转等阅读功能；支持多种翻页、定位页以及管理最近阅读记录页面等阅读操作；支持自定义区域截图，同时集成OCR技术，支持提取图片中的文字信息；支持阅读护眼模式，可设定自定义背景颜色、纸张颜色等。（提供功能界面截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签批处理：支持直线、矩形、多边形、铅笔、箭头、折线、文字高亮、多种笔型手写签批等注释功能；支持文本框、注释框等文本标注工具；支持下划线、删除线、波浪线、替换文本、插入文本、文本间距调整标、移动、替换字体等修订功能；支持注释回复框、移动注释、一键隐藏注释、快速擦除注释、以及按照类型、添加时间等方式管理注释。</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13.文件操作：提供OFD/PDF版式文档打开、保存、另存、打印、导出、插入页码等功能；打开文档数量不限，支持一键关闭全部文档，支持导航面板形式便捷管理已打开的大量文档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14.安全可靠：符合OFD版式文档国家标准，符合电子公文应用领域的相关标准规范，通过OFD标准符合性测试。进入党政机关安全可靠应用信息类产品采购名录；支持信创全平台适配(包括loongArch64、SW等CPU以及loongnix等操作系统)。支持丰富的图像和图像掩码格式，支持8级复合对象嵌套，带角度的渐变填充效果等复杂效果OFD文档的正确解析。</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6" w:type="dxa"/>
            <w:gridSpan w:val="2"/>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u w:val="none"/>
                <w:lang w:val="en-US" w:eastAsia="zh-CN" w:bidi="ar"/>
              </w:rPr>
              <w:t>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 w:type="dxa"/>
          <w:trHeight w:val="320" w:hRule="atLeast"/>
        </w:trPr>
        <w:tc>
          <w:tcPr>
            <w:tcW w:w="690" w:type="dxa"/>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u w:val="none"/>
                <w:lang w:val="en-US" w:eastAsia="zh-CN" w:bidi="ar"/>
              </w:rPr>
              <w:t>9</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A3打印机</w:t>
            </w:r>
          </w:p>
        </w:tc>
        <w:tc>
          <w:tcPr>
            <w:tcW w:w="66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A3黑白复合机，打印\复印\扫描（可选配传真功能）；设备接口：USB2.0，10Base-T/100Base-TX/1000 Base-T（RJ-45 网络接口）；内存：4GB；支持自动装订器，支持附加纸盒；具有液晶显示屏、按键操作，方便设置参数和查看机器状态；支持自动双面打印，打印速度35页/分钟，首页打印时间：4.5秒；打印分辨率（最大）：1200dpi×1200dpi；支持稿台和自动进稿器，复印速度：35页/分钟，支持双面复印，支持 N 合 1 复印，缩放范围：25-400%（最小调整量为 1%）；支持彩色扫描，扫描分辨率：600dpi×600dpi，扫描速度：55页/分钟；介质类型：普通纸、薄纸、厚纸、特厚纸、铜版纸、信封、薄信封、厚信封、再生纸、标签纸、信头、彩色纸、光面纸（60-105g/㎡）；介质尺寸：A3、A4、A5、B4、B5、Letter、Legal；供纸盒容量：500页+手送纸盘96页；输出容量：上方中央出纸口 250 页、下方中央出纸口 250 页；适配所有主流国产操作系统，也适配Windows 操作系统；具有安全审计功能：记录打印机使用情况便于管理员查询；粉盒容量：随机墨粉筒9000页，高容量墨粉筒25000页，硒鼓寿命：95300 页</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726" w:type="dxa"/>
            <w:gridSpan w:val="2"/>
            <w:tcBorders>
              <w:tl2br w:val="nil"/>
              <w:tr2bl w:val="nil"/>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 w:type="dxa"/>
          <w:trHeight w:val="320" w:hRule="atLeast"/>
        </w:trPr>
        <w:tc>
          <w:tcPr>
            <w:tcW w:w="690" w:type="dxa"/>
            <w:tcBorders>
              <w:top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u w:val="none"/>
                <w:lang w:val="en-US" w:eastAsia="zh-CN" w:bidi="ar"/>
              </w:rPr>
              <w:t>10</w:t>
            </w:r>
          </w:p>
        </w:tc>
        <w:tc>
          <w:tcPr>
            <w:tcW w:w="1062" w:type="dxa"/>
            <w:tcBorders>
              <w:top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A4打印机</w:t>
            </w:r>
          </w:p>
        </w:tc>
        <w:tc>
          <w:tcPr>
            <w:tcW w:w="66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A4黑白激光打印机，设备接口：USB、RJ45。支持自动双面打印，打印准备时间：5.1秒；连续打印速度：31页/分钟；首页打印时间4.0秒；多页打印速度：30页/分钟；打印分辨率可达1200dpi×1200dpi；支持PC端打印状态监视；内存192MB；处理器数量：2个，处理器主频：266MHz+300MHz；适配国产操作系统及Windows系统；安全可控：采用国产化龙芯芯片，通信基板管控数据，自主开发驱动软件，具有内存、缓存自动清除，一键清除内存，数字水印，安全审计等安全防护特性，耗材无记忆芯片；深度睡眠状态耗电量：0.4W；可选择静音模式，不影响周围的人。鼓粉分离式耗材，硒鼓寿命12000页；安全增强功能：设备安全启动与完整性度量，内存、临时文件和缓存数据清除，设备接入控制，通讯接口控制，硒鼓信息清除，数据存储与流向管控，打印日志记录。</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726" w:type="dxa"/>
            <w:gridSpan w:val="2"/>
            <w:tcBorders>
              <w:tl2br w:val="nil"/>
              <w:tr2bl w:val="nil"/>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65" w:hRule="atLeast"/>
        </w:trPr>
        <w:tc>
          <w:tcPr>
            <w:tcW w:w="9728" w:type="dxa"/>
            <w:gridSpan w:val="6"/>
            <w:tcBorders>
              <w:top w:val="single" w:color="auto" w:sz="4" w:space="0"/>
              <w:tl2br w:val="nil"/>
              <w:tr2bl w:val="nil"/>
            </w:tcBorders>
            <w:noWrap/>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计算教室3间（其中：8小1间，31小2间）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65" w:hRule="atLeast"/>
        </w:trPr>
        <w:tc>
          <w:tcPr>
            <w:tcW w:w="692" w:type="dxa"/>
            <w:gridSpan w:val="2"/>
            <w:tcBorders>
              <w:top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序号</w:t>
            </w:r>
          </w:p>
        </w:tc>
        <w:tc>
          <w:tcPr>
            <w:tcW w:w="1062" w:type="dxa"/>
            <w:tcBorders>
              <w:top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设备名称</w:t>
            </w:r>
          </w:p>
        </w:tc>
        <w:tc>
          <w:tcPr>
            <w:tcW w:w="660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参数</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单位</w:t>
            </w:r>
          </w:p>
        </w:tc>
        <w:tc>
          <w:tcPr>
            <w:tcW w:w="72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2428" w:hRule="atLeast"/>
        </w:trPr>
        <w:tc>
          <w:tcPr>
            <w:tcW w:w="692" w:type="dxa"/>
            <w:gridSpan w:val="2"/>
            <w:tcBorders>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2" w:type="dxa"/>
            <w:tcBorders>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云教室管理系统 </w:t>
            </w:r>
          </w:p>
        </w:tc>
        <w:tc>
          <w:tcPr>
            <w:tcW w:w="6600" w:type="dxa"/>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★为了保证兼容性，要求所投云管理服务器、桌面云终端、显示器、云教室相关软件、教学管理软件为同一品牌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一、云管理服务器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★1、处理器：采用国产处理器，8核，主频2.7GHz。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★2、内存：配置8GB DDR4内存，配置≥2个内存插槽。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3、显卡：配置集成显卡。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★4、硬盘：≥512GB M.2接口NVME协议SSD,最高可支持1块2.5寸HDD。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5、接口：≥6个 USB3.0、≥1个USB3.0 type-C、≥1个DP接口 、≥1个HDMI、≥1个千兆RJ45。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6、网络：1个RJ45 10/100/1000自适应以太网口。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7、电源：电源功率≤90W。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★8、机箱：支持免工具拆卸、可立可卧，可隐藏部署。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系统安全:（1）支持基于BIOS级的一键备份和恢复的功能（非操作系统自带功能），提供软件著作权证书；（2）BIOS级USB屏蔽及智能USB数据保护：USB支持BIOS下全部接口一键开关，前后分组开关；针对存储设备支持全部USB接口一键切换禁止访问模式/只读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售后服务：整机提供3年免费上门原厂质保。要求提供所投产品原厂400免费技术支持电话；原厂承诺在保修期内针对软件原因（如误删除、病毒、系统故障等）或硬件原因（如震荡、撞击、电路板或磁头损坏、机械故障等）导致数据丢失的情况，提供 1 次尝试性恢复故障硬盘上数据的服务，支持时效 7*9；如果服务未取得任何数据恢复效果，则本服务不计次；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二、智能云教室管理平台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1、软件采用B/S架构，基于WEB的全中文图形化管理界面，支持跨网段、跨路由管理。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★2、支持中央服务器管理模式，且可以在主流国产操作系统（UOS、kylin等）上运行部署。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★3、一台服务器可以同时管理多种架构的终端（ARM、AMD、X86、LongArch），支持主流国产操作系统（UOS、kylin）以及windows系列的下发部署。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4、支持镜像集中管理，包括终端所需的系统及软件环境，集中存储在镜像仓库。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5、同一个镜像可以在同类型架构的终端被使用，允许硬件差异的设备上运行，减轻系统维护难度。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6、支持同一个镜像模板被不同的虚拟磁盘使用，避免了镜像的重复制作，减少了镜像的管理和维护时间成本。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7、支持镜像模板的导入和导出功能。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8、支持同时在多个样机上对系统进行上传和更新的维护操作。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9、可支持多个教室同时管理，分组数量无上限，每个教室可最多管理254台终端。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10、支持多个终端同时使用一个系统模板，且多个分组也可以同时使用一个虚拟磁盘。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11、为便于用户管理，可对一个教室进行批量使用桌面模板；也可以在同一个分组下独立对某个终端进行单独的模板关联，例如，在一个分组教室中，教师机使用教师桌面系统，学生使用学生系统。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★12、支持每个分组的策略化管理，且每个桌面支持单独设置对应的管理策略，如引导顺序、保护还原、引导密码、系统是否隐藏等参数）。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★13、软件支持对分组中的所有终端统一设置还原策略，也可以单独对某台终端进行还原策略的设置）。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14、用户可通过浏览器，在任意客户端通过账号和密码访问服务器，对机房的镜像、磁盘、分组进行远程管理和维护。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★15、支持分级管理，多个管理员进行多任务管理操作，管理员可根据需求设置不同的权限）。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★16、为方便用户自管理，支持终端创建本地快照，终端本地可以自建本地快照。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17、支持多个不同的系统同时部署在同一个终端上，且每个系统可独立操作，互不影响，也可任意添加和删除某个系统，满足各种不同的教学环境。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18、终端部署多系统时，无需逐个进入对应的系统进行部署，使得系统交付更方便、灵活，真正实现无人值守、智能交付。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19、支持跨网络部署和管理，包括局域网、校园网、互联网等网络架构上使用；服务器支持端口映射、DMZ方式访问。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20、软件支持P2P部署，有效分解服务器的负载以及加快部署效率。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21、支持断点续传功能，未部署完成的终端，重新开机会主动发现并自动部署终端的剩余数据或桌面需要更新数据。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22、服务端提供DHCP服务，也支持第三方DHCP服务。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★23、支持预占位功能，为故障终端预留机器名、IP地址等信息，不会由于单点的故障，而影响整体的计算机名和IP排序管理。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24、为保证用户个性化需求，提供数据盘划分及管理功能，由服务端统一分配数据盘空间，管理员可对批量、单独对终端的数据盘进行数据清除。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★25、为直观显示服务器当前资源状态，首页展现包括不限于CPU、内存、硬盘使用率；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26、为方便用户管理，提供日志查看与导出功能。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★27、服务端预置一键恢复增强版，支持在镜像上传后进行全盘备份，支持系统出问题时快速恢复。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三、智能云教室管理客户端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1、终端出厂预装维护系统和麒麟OS镜像备份，支持用户选择需要恢复的操作系统；选择恢复麒麟系统后即可进行镜像制作。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终端开机后会自动发现服务端IP地址并部署所有的镜像到本地），部署完成后，服务器意外出现宕机、断网等情况时，终端可脱离服务器使用，避免引起的教学事故，且每个系统保持离线前的还原或者不还原的还原策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★3、支持终端离线运行次数无限制。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4、样机增量更新不影响终端的正常使用，终端重启后自动获取增量镜像快照，无需停课更新维护。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★5、软件支持对每个系统单独进行安全设置设置，只有输入正确的密码才能启动指定的系统）。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★6、多个系统时，支持显示和隐藏某个系统、默认进入系统以及等待时长等，满足教学的特殊需求。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★7、使用多个系统时，支持显示和隐藏某个系统、默认进入系统以及等待时长等，满足教学的特殊需求）。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★8、为确保云教室系统的稳定兼容性以及维护管理的便捷性，要求服务器、终端、软件均为国内品牌且为同一品牌；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9、终端支持WIFI无线部署使用，终端可通过无线网卡获取服务器镜像部署使用。</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1841" w:hRule="atLeast"/>
        </w:trPr>
        <w:tc>
          <w:tcPr>
            <w:tcW w:w="692" w:type="dxa"/>
            <w:gridSpan w:val="2"/>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云教室教学管理软件</w:t>
            </w:r>
          </w:p>
        </w:tc>
        <w:tc>
          <w:tcPr>
            <w:tcW w:w="6600" w:type="dxa"/>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1、全面适配国产操作系统（kylin、UOS、Loongnix）支持飞腾、海思麒麟、锟鹏、龙芯3A4000，3A5000、兆芯、海光、瑞芯微等架构硬件终端。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2、具备班级管理功能，老师可以建立班级模型并保存，方便以后直接调用。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3、具备桌面监视功能，教师端可远程监视学生端屏幕，并可查看桌面缩小图。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4、支持远程命令，方便老师同意执行某些应用操作，如开、关机、重启等。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5、具备黑屏肃静功能，教师端可统一将学生端画面锁定。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★6、具备文件共享功能，可以进行文件资料共享，每个学员都可以共享文件，视频点播，方便学员选取需要的课件；可支持上传、下载、 音视频等功能）。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7、广播教学：可以将教师机的屏幕广播给学生机,老师麦克风声音也可以同步被广播到学生机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8、学生演示：教师可以选择某个学生，将其计算机屏幕广播给其他学生机做演示；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9、学生举手：学生可以通过计算机点击举手；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10、消息互动：学生可以通过发送远程消息，请求教师帮助。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11、抢答竞赛：教师可以在教学过程中发起抢答竞赛及时检验课堂教学成果。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★12、截屏测验：不需老师事先按模板制作试卷，直接截取教师机电脑屏幕内容做为考题分发到学生端，以考核学生的学习成果。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★13、弹幕互动：提供教师开关弹幕功能，开启状态下，弹幕内容可在教学大屏上滚动显示）。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★14、抽答：随机抽选一名学生进行答题，并根据其表现进行评分奖惩。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15、网络影院：支持几乎所有常见的媒体音视频格式，包括MPG、,MPEG,、M2V、MPV、MP3、VCD、VOB、MOV、AVI、RM、RMVB、ASF、WMV、MP4，播放流畅同步、高效；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16、课件点播：对教学音视频资源进行管理，学生可以实现音视频资源的点播收看，方便自主学习，可添加多种格式文件包括音视频文件。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17、文件分发：教师可以将文件分发给学生计算机。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18、作业提交：学生把做好的作业直接提交到教师机，方便教师批改作业要收取的麻烦。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19、不需通过其它硬件设备，教师端对网络摄像机进行设置预置位、可左右上下转动和变焦控制，同时也可以点击跟踪摄像机方向转动，方便快捷地调度摄像机。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支持无线投屏功能，不接受如投屏器需人工切换网络的投屏方式，教师端可以直接将老师手机摄像头投屏到学生端，通过阿、老师授权，也可以将学员手机，平板等终端设备屏幕无线投屏到教师机屏幕，方便老师和学员移动对比教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21、软件可以直接调用USB高拍仪镜头，自动免对焦，无需人为调焦，画面可以无级旋转或按90度旋转，能进行动态实物展示，具有视频展示、图像缩放、旋转画面共享到学生机屏幕。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22、系统支持多种加密方式（不少于三种）。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★23、为适应不同的网络状况，至少需要两种传输模式可供用户可自行选择。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★24、禁用U盘：教师可以开启禁用U盘功能，禁止学生的计算机使用U盘。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网页限制：上网限制模式设置有三种模式，分别是开放模式、黑名单模式和禁用模式，开放模式是允许学生访问网络，查阅相关学习资料；黑名单模式可对一个或多个网址禁止访问，允许访问不在黑名单的网址；禁用模式不允许学生访问网络。</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90" w:hRule="atLeast"/>
        </w:trPr>
        <w:tc>
          <w:tcPr>
            <w:tcW w:w="692" w:type="dxa"/>
            <w:gridSpan w:val="2"/>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教师机</w:t>
            </w:r>
          </w:p>
        </w:tc>
        <w:tc>
          <w:tcPr>
            <w:tcW w:w="6600" w:type="dxa"/>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★1、处理器：采用国产处理器，8核，主频2.7GHz。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2、内存：配置16GB DDR4 内存，配置≥2个内存插槽。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3、显卡：配置独立显卡，显存≥2G。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4、硬盘：≥512GB M.2接口NVME协议SSD，最高可支持1TB SSD，最大支持2块3.5英寸机械硬盘扩展。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5、光驱：配置Slim DVD RW光驱。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6、网络：1个RJ45 10/100/1000自适应以太网口。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7、接口：USB接口≥8个（其中前置USB3.0数量≥4个，后置USB3.0数量≥2个，USB2.0数量≥2个），音频接口：麦克风1个，耳机1个；后端3个Audio音频接口。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★8、机箱：免工具拆卸机箱、带顶置提手，便于维护。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★9、电源：电源功率≤180W；电源通过80PLUS认证，要求提供计算机生产厂家的规格说明文件。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10、键鼠：USB有线键盘鼠标，与主机同品牌。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数据安全：（1）支持基于BIOS级的一键备份和恢复的功能（非操作系统自带功能），提供软件著作权证书；（2）BIOS级USB屏蔽及智能USB数据保护：USB支持BIOS下全部接口一键开关，前后分组开关；针对存储设备支持全部USB接口一键切换禁止访问模式/只读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质控水平：（1）静音舒适性：考虑工作环境的静音舒适，要求设备的噪声声功率级≤3.03Bel，噪声声压级≤23.86dB，提供证书证明文件；（2）环境适应性：考虑使用环境差异，要求设备通过温度0~40℃/低气压61.6kPa（4000m）的环境适应性认证，提供证书证明文件；（3）电磁兼容性：考虑设备工作稳定：要求设备通过浪涌（冲击）抗扰度的适应性认证；（4）★MTBF≥300000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13、操作系统：支持国产银河麒麟、UOS等操作系统。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售后服务：整机提供3年免费上门原厂质保。要求提供所投产品原厂授权和售后服务承诺函。要求提供所投产品原厂400免费技术支持电话；原厂承诺在保修期内针对软件原因（如误删除、病毒、系统故障等）或硬件原因（如震荡、撞击、电路板或磁头损坏、机械故障等）导致数据丢失的情况，提供 1 次尝试性恢复故障硬盘上数据的服务，支持时效 7*9；如果服务未取得任何数据恢复效果，则本服务不计次；</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2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631" w:hRule="atLeast"/>
        </w:trPr>
        <w:tc>
          <w:tcPr>
            <w:tcW w:w="692" w:type="dxa"/>
            <w:gridSpan w:val="2"/>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学生机</w:t>
            </w:r>
          </w:p>
        </w:tc>
        <w:tc>
          <w:tcPr>
            <w:tcW w:w="6600" w:type="dxa"/>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★1、处理器：采用国产处理器，8核，主频2.7GHz。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2、内存：配置16GB DDR4 内存，配置≥2个内存插槽。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3、显卡：配置集成显卡。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4、硬盘：≥256GB M.2接口NVME协议SSD，最高可支持1TB SSD，最大支持2块3.5英寸机械硬盘扩展。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5、网络：1个RJ45 10/100/1000自适应以太网口。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6、接口：USB接口≥8个（其中前置USB3.0数量≥4个，后置USB3.0数量≥2个，USB2.0数量≥2个），音频接口：麦克风1个，耳机1个；后端3个Audio音频接口。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★7、机箱：免工具拆卸机箱、带顶置提手，便于维护。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★8、电源：电源功率≤180W；电源通过80PLUS认证，要求提供计算机生产厂家的规格说明文件。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9、键鼠：USB有线键盘鼠标，与主机同品牌。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数据安全：（1）支持基于BIOS级的一键备份和恢复的功能（非操作系统自带功能），提供软件著作权证书；（2）BIOS级USB屏蔽及智能USB数据保护：USB支持BIOS下全部接口一键开关，前后分组开关；针对存储设备支持全部USB接口一键切换禁止访问模式/只读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质控水平：（1）静音舒适性：考虑工作环境的静音舒适，要求设备的噪声声功率级≤3.03Bel，噪声声压级≤23.86dB，提供证书证明文件；（2）环境适应性：考虑使用环境差异，要求设备通过温度0~40℃/低气压61.6kPa（4000m）的环境适应性认证，提供证书证明文件；（3）电磁兼容性：考虑设备工作稳定：要求设备通过浪涌（冲击）抗扰度的适应性认证，提供证书证明文件；（4）★MTBF≥300000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12、操作系统：支持国产银河麒麟、UOS等操作系统。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售后服务：整机提供3年免费上门原厂质保。要求提供所投产品原厂售后服务承诺函。要求提供所投产品原厂400免费技术支持电话；原厂承诺在保修期内针对软件原因（如误删除、病毒、系统故障等）或硬件原因（如震荡、撞击、电路板或磁头损坏、机械故障等）导致数据丢失的情况，提供 1 次尝试性恢复故障硬盘上数据的服务，支持时效 7*9；如果服务未取得任何数据恢复效果，则本服务不计次；</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25" w:type="dxa"/>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90" w:hRule="atLeast"/>
        </w:trPr>
        <w:tc>
          <w:tcPr>
            <w:tcW w:w="692" w:type="dxa"/>
            <w:gridSpan w:val="2"/>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显示器</w:t>
            </w:r>
          </w:p>
        </w:tc>
        <w:tc>
          <w:tcPr>
            <w:tcW w:w="6600" w:type="dxa"/>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显示器屏幕≥23.8英寸，分辨率≥1920*1080，屏幕亮度≥250nit，支持VGA≥1，HDMI≥1，对比度达到3000:1，屏幕刷新率达到75Hz，响应时间≤7ms，可视角度178/178；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为保证屏幕色彩显示真实度，显示器屏sRGB色域≥ 95%；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为保证教师、学生的用眼舒适，显示屏幕提供低蓝光模式，此模式下蓝光比例≤20%。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为保护教师、学生视力健康，具备低蓝光功能；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为保证兼容性，显示器与教学主机保持同一品牌。</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5" w:type="dxa"/>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636" w:hRule="atLeast"/>
        </w:trPr>
        <w:tc>
          <w:tcPr>
            <w:tcW w:w="692" w:type="dxa"/>
            <w:gridSpan w:val="2"/>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6</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国产化教学管理软件 </w:t>
            </w:r>
          </w:p>
        </w:tc>
        <w:tc>
          <w:tcPr>
            <w:tcW w:w="6600" w:type="dxa"/>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.技术要求</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纯软件产品，安装部署快捷，升级简易方便，支持主窗口功能按钮、浮动工具条、右键菜单、快捷键多项操作方式。</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软件支持智能云盒授权使用（提供功能截图，并加盖原厂商公章）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全面支持国产CPU及操作系统，CPU包括龙芯、飞腾、华为（包含鲲鹏、麒麟、盘古）、海光、兆芯等，操作系统包括KylinOS、统信UOS、龙芯LOONGNIX、中科方德、麒麟信安等国产操作系统。</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 功能要求</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  课堂教学</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支持屏幕广播：将教师机屏幕和教师讲话实时广播给单一、部分或全体学生，可选择全屏或窗口方式。窗口模式下或教师机与学生机分辨率不同情况下，学生机可以以不同的窗口方式接收广播。</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支持屏幕广播速度增强：屏幕广播时支持多种画面质量的调节，根据网络的不同选择最好的效果进行教学。</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支持屏幕笔：教师教学使用的辅助工具，突出显示项目、添加注释，添加批注等等。</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支持学生演示：教师可选定一台学生机作为示范，由此学生代替教师进行示范教学。</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共享白板功能：教师可共享白板、桌面或图片，选定的学生能够在同一块画布下同时操作编辑、绘画，支持学生独立完成，支持教师监看所有学生的画布，支持选择学生将他的画面演示给其他学生。（提供功能截图，并加盖原厂公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支持讨论：教师可以创建多个小组进行讨论活动，并可任意选择分组加入讨论活动。同组师生支持多种方式进行交流，包括文字，表情，图片等。</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支持文件分发：允许教师将教师机不同盘符中的目录或文件一起发送至生机的某目录下。目录不存在自动新建此目录；盘符不存在或路径非法不允许分发；文件已存在选择自动覆盖或保留原始文件。</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作业提交：学生把做好的作业直接提交到教师机，方便教师批改作业要收取的麻烦。学生提交作业时支持教师审批，通过后才可提交；教师可以选择接收和拒绝学生提交的文件。钻石版支持限制学生提交文件的数目和大小。</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  教学评测</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★支持试卷编辑：可插入图片，教师可编辑题型，试题类型支持单选、多选、判断、简答，设置试卷名称、考试时间和分值。（提供功能截图，并加盖原厂公章）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★支持调查功能：教师启动快速的单题考试或随堂调查，限定考试时间，学生答题后立即给出结果，结果显示学生答案柱状图分析和答题时间，可作为抢答依据。（提供功能截图，并加盖原厂公章）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支持抢答竞赛功能：教师可以出任意题目请学生作答，学生抢答时只需按下按钮即可，作答正确“星星”奖励，吸引学生注意力，主动参与活动。（提供功能截图，并加盖原厂公章）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  课堂管理</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支持监看控制：教师机可以监视单一、部分、全体学生机的屏幕，教师机每屏可监视多个学生屏幕。可以控制教师机监控的同屏幕各窗口间、屏幕与屏幕间的切换速度。</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支持远程命令：可以进行远程打开网页、关机、重启等操作，进阶版支持远程关闭所有学生正在执行的应用程序。</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支持黑屏肃静：教师可以对单一、部分、全体学生执行黑屏肃静来禁止其进行任何操作，达到专心听课目的，教师可自定义黑屏的内容与图片。支持对学生端鼠标、键盘的一键锁定与解锁。</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★支持断网锁屏功能，当学生端离线时，可以锁定学生屏幕；支持网页限制功能，提供黑白名单，限制客户端的网页访问； 支持U盘限制：支持对U盘等存储设备访问权限的设定，支持全部开放、只读、禁止执行、完全阻止四级权限设置。（提供功能截图，并加盖原厂公章）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支持签到：提供学生名单管理工具，为软件和考试模块提供实名验证。提供点名功能，支持保留学生多次登录记录、考勤统计、签到信息的导出与对比。</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支持班级模型：有单独的管理界面，实现对班级模型的统一管理，并能够导入、导出，调用不同网络教室中的班级模型。</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支持图标监看：班级模型中可以显示学生机桌面的缩图。缩图显示大小也可自由设定。</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支持学生端属性查看：教师可以获取学生端计算机的名称、登录名和其它常用信息。</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支持系统日志：显示和自动保存系统运行过程中的关键事件，包括学生登录登出，资源不足，提交文件等。</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支持远程消息：教师与学生能够使用远程消息进行交流，并可以允许和阻止学生发送文字消息。</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点位</w:t>
            </w:r>
          </w:p>
        </w:tc>
        <w:tc>
          <w:tcPr>
            <w:tcW w:w="725" w:type="dxa"/>
            <w:tcBorders>
              <w:tl2br w:val="nil"/>
              <w:tr2bl w:val="nil"/>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636" w:hRule="atLeast"/>
        </w:trPr>
        <w:tc>
          <w:tcPr>
            <w:tcW w:w="692" w:type="dxa"/>
            <w:gridSpan w:val="2"/>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机房运维管理软件</w:t>
            </w:r>
          </w:p>
        </w:tc>
        <w:tc>
          <w:tcPr>
            <w:tcW w:w="6600" w:type="dxa"/>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基础要求：安装部署方便，免拆机插卡、免重新构建分区，一键安装，兼容国产操作系统，包括UOS操作系统、麒麟操作系统等。支持X86、MIPS、ARM、Loongson架构。支持国产CPU，包括兆芯、海光、龙芯、飞腾、鲲鹏等。支持国产操作系统的立即还原和备份还原，支持WiFi环境安装使用。</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支持还原模式快速切换，支持还原、不还原、保存还原点三种模式随意切换，及时生效；还原模式包括：每次启动还原、每隔时间段/每周/每月定点还原；不还原模式包括：每次启动不还原，临时保留保护分区新增数据。保存还原点模式包括：每次启动保存还原、每隔时间段/每周/每月定点保存还原点。以上操作均支持在系统内及底层操作。（提供功能截图加盖原厂公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2、支持网络克隆，可同时对1000台以上客户端进行同传，批量修改计算机电脑名和IP地址，支持IPV4，千兆网下对拷速度可达10GB/Min。</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3、支持智能化对拷，支持差异对拷，自动识别增量对拷数据，支持PXE、硬盘、U盘、光驱等多种启动方式网络对拷，裸机也可直接参与对拷，支持异常断电断网或临时中断计划等特殊情况下断点续传。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4、支持多点还原技术，支持不小于30个还原点，并支持在系统内及底层操作。还原点之间相互独立，互不影响，也可任意切换，预设剩余空间报警值，自动报警。</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5、支持备份型还原，可把操作系统、教学应用还原点数据备份至移动硬盘，遇有硬盘损坏，亦可以快速恢复硬盘数据</w:t>
            </w:r>
            <w:bookmarkStart w:id="473" w:name="_GoBack"/>
            <w:bookmarkEnd w:id="473"/>
            <w:r>
              <w:rPr>
                <w:rFonts w:hint="eastAsia" w:ascii="宋体" w:hAnsi="宋体" w:eastAsia="宋体" w:cs="宋体"/>
                <w:i w:val="0"/>
                <w:iCs w:val="0"/>
                <w:color w:val="000000"/>
                <w:kern w:val="0"/>
                <w:sz w:val="20"/>
                <w:szCs w:val="20"/>
                <w:u w:val="none"/>
                <w:lang w:val="en-US" w:eastAsia="zh-CN" w:bidi="ar"/>
              </w:rPr>
              <w:t>。</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根据教学实际需求，针对不同的课程需要支持设置不同的还原点，对应不同的系统软件环境，实现一机多用。支持一键批量快速切换到指定还原点、一键批量删除还原点、锁定还原点；普教版支持一键快速批量保存还原点到每台学生端本地，无需重新同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7、支持远程卸载，可以远程批量或单一卸载终端的还原程序；支持还原到指定还原点或保存当前状态卸载。支持批量注册被控端程序。</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8、支持远程对客户端进行开关机、重启。支持远程命令功能，主控端可设置批量执行命令。</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9、可制作U盘启动盘、光盘启动盘，用来启动被控端电脑，进入增量对拷程序，以执行增量对拷、本地备份、本地恢复及硬盘对拷等工作；无需针对不同电脑型号制作多个启动盘。</w:t>
            </w:r>
          </w:p>
          <w:p>
            <w:pPr>
              <w:keepNext w:val="0"/>
              <w:keepLines w:val="0"/>
              <w:widowControl/>
              <w:suppressLineNumbers w:val="0"/>
              <w:jc w:val="left"/>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10、支持自定义开机画面，可定制学校LOGO、宣传图为开机画面。支持自定义是否显示开机画面，自定义开机画面，开机画面显示时间；是否显示还原点列表等。</w:t>
            </w:r>
          </w:p>
        </w:tc>
        <w:tc>
          <w:tcPr>
            <w:tcW w:w="649" w:type="dxa"/>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点位</w:t>
            </w:r>
          </w:p>
        </w:tc>
        <w:tc>
          <w:tcPr>
            <w:tcW w:w="725" w:type="dxa"/>
            <w:tcBorders>
              <w:tl2br w:val="nil"/>
              <w:tr2bl w:val="nil"/>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636" w:hRule="atLeast"/>
        </w:trPr>
        <w:tc>
          <w:tcPr>
            <w:tcW w:w="692" w:type="dxa"/>
            <w:gridSpan w:val="2"/>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8</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耳机</w:t>
            </w:r>
          </w:p>
        </w:tc>
        <w:tc>
          <w:tcPr>
            <w:tcW w:w="66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品牌标识，可调节头戴式耳机、带话筒，柔软透气耳垫；</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5" w:type="dxa"/>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286" w:hRule="atLeast"/>
        </w:trPr>
        <w:tc>
          <w:tcPr>
            <w:tcW w:w="692" w:type="dxa"/>
            <w:gridSpan w:val="2"/>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9</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48口接入交换机</w:t>
            </w:r>
          </w:p>
        </w:tc>
        <w:tc>
          <w:tcPr>
            <w:tcW w:w="6600" w:type="dxa"/>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★1.满足自主可控要求，采用国产自研核心芯片；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2.交换容量：672Gbps/6.72Tbps，包转发率：166Mpps，以官网或彩页最小值为准；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3.实配48个10/100/1000BASE-T以太网端口,4个千兆光口，2个千兆单模光模块；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4.交流供电；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★5.支持MAC表项32K，支持IPv4 路由表4K，支持IPv6 路由表1K，支持ARP表项2K，支持ACL规则2K；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6.支持复位按钮，可恢复出厂配置并复位设备，提供证明材料；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7.支持SNMP v1/v2/v3、Telnet、RMON、SSHv2，支持通过命令行、Web、中文图形化配置软件等方式进行配置和管理；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★8.提供三年原厂质保服务；</w:t>
            </w:r>
          </w:p>
        </w:tc>
        <w:tc>
          <w:tcPr>
            <w:tcW w:w="64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2636" w:hRule="atLeast"/>
        </w:trPr>
        <w:tc>
          <w:tcPr>
            <w:tcW w:w="692" w:type="dxa"/>
            <w:gridSpan w:val="2"/>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0</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24口接入交换机</w:t>
            </w:r>
          </w:p>
        </w:tc>
        <w:tc>
          <w:tcPr>
            <w:tcW w:w="6600" w:type="dxa"/>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1.交换容量≥336Gbps，包转发率≥108Mbps；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2.固定接口:≥24个千兆自适应电口，≥4个千兆SFP光口，支持复位按钮和请配置按钮，如忘记密码可以通过按钮恢复出厂设置；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3.支持VLAN 4K，MAC地址≥16K，ARP≥2K；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路由协议 支持IPv4/IPv6静态路由、支持RIP/RIPng，OSPFv1/v2，OSPFv3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支持STP/RSTP/MSTP /RRPP协议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支持基于第二层、第三层和第四层的ACL；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7.支持堆叠技术，支持≥9台设备组成一个整体；</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72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1006" w:hRule="atLeast"/>
        </w:trPr>
        <w:tc>
          <w:tcPr>
            <w:tcW w:w="692" w:type="dxa"/>
            <w:gridSpan w:val="2"/>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1</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双人电脑桌</w:t>
            </w:r>
          </w:p>
        </w:tc>
        <w:tc>
          <w:tcPr>
            <w:tcW w:w="6600" w:type="dxa"/>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1.台面采用厚度25mm的三聚氰胺板，其他部分为厚度16mm的三聚氰胺板；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2.键盘轨道采用优质三节式轨道。                                                                            3.桌面位置预留穿线孔，并在于此相对应的机箱顶板打穿线孔，侧板打穿线孔。</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25" w:type="dxa"/>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681" w:hRule="atLeast"/>
        </w:trPr>
        <w:tc>
          <w:tcPr>
            <w:tcW w:w="692" w:type="dxa"/>
            <w:gridSpan w:val="2"/>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2</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学生凳子</w:t>
            </w:r>
          </w:p>
        </w:tc>
        <w:tc>
          <w:tcPr>
            <w:tcW w:w="6600" w:type="dxa"/>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三聚氰胺板面板钢制小方凳</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725" w:type="dxa"/>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2310" w:hRule="atLeast"/>
        </w:trPr>
        <w:tc>
          <w:tcPr>
            <w:tcW w:w="692" w:type="dxa"/>
            <w:gridSpan w:val="2"/>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3</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讲台</w:t>
            </w:r>
          </w:p>
        </w:tc>
        <w:tc>
          <w:tcPr>
            <w:tcW w:w="66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1.尺寸：1500*600*1012mm±10mm；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2.材质：抗倍特板/钢板；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艺：桌面尺寸：1450*600*12mm，采用抗倍特一体成型。耐80度以上高温。防水：浸水24小时后的膨胀指数不多于0.1mm，面板四周采CNC修边，四周倒角，圆润光滑无任何毛边。柜体尺寸:500*520*920mm,板厚0.8mm,柜体采用三维立体激光微缝切割，柜体一体成型，箱体精密度和牢固度强，经高温粉体烤漆，长时间使用也不会产生表面漆剥落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4.功能：（1）可倾斜方便操作。</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2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1044" w:hRule="atLeast"/>
        </w:trPr>
        <w:tc>
          <w:tcPr>
            <w:tcW w:w="692" w:type="dxa"/>
            <w:gridSpan w:val="2"/>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4</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办公椅</w:t>
            </w:r>
          </w:p>
        </w:tc>
        <w:tc>
          <w:tcPr>
            <w:tcW w:w="66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1.尺寸：W680xD580xH980-1070mm；2.材质：网布/PP；3.★工艺：采用60密度座成型泡棉，弹力网布，透气性良好，结实耐用； PP固定77扶手，结实耐用，美观大方，同步底盘（3：1），气压升降，行程100mm气压棒，350mm脚座、60MM黑色PA轮，经过BIFMA测试</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2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636" w:hRule="atLeast"/>
        </w:trPr>
        <w:tc>
          <w:tcPr>
            <w:tcW w:w="692" w:type="dxa"/>
            <w:gridSpan w:val="2"/>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5</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网线</w:t>
            </w:r>
          </w:p>
        </w:tc>
        <w:tc>
          <w:tcPr>
            <w:tcW w:w="6600" w:type="dxa"/>
            <w:tcBorders>
              <w:tl2br w:val="nil"/>
              <w:tr2bl w:val="nil"/>
            </w:tcBorders>
            <w:noWrap w:val="0"/>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六类网线</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w:t>
            </w:r>
          </w:p>
        </w:tc>
        <w:tc>
          <w:tcPr>
            <w:tcW w:w="725" w:type="dxa"/>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636" w:hRule="atLeast"/>
        </w:trPr>
        <w:tc>
          <w:tcPr>
            <w:tcW w:w="692" w:type="dxa"/>
            <w:gridSpan w:val="2"/>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6</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电源线</w:t>
            </w:r>
          </w:p>
        </w:tc>
        <w:tc>
          <w:tcPr>
            <w:tcW w:w="6600" w:type="dxa"/>
            <w:tcBorders>
              <w:tl2br w:val="nil"/>
              <w:tr2bl w:val="nil"/>
            </w:tcBorders>
            <w:noWrap w:val="0"/>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RVV2*2.5</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c>
          <w:tcPr>
            <w:tcW w:w="725"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636" w:hRule="atLeast"/>
        </w:trPr>
        <w:tc>
          <w:tcPr>
            <w:tcW w:w="692" w:type="dxa"/>
            <w:gridSpan w:val="2"/>
            <w:tcBorders>
              <w:top w:val="single" w:color="auto" w:sz="4" w:space="0"/>
              <w:bottom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7</w:t>
            </w:r>
          </w:p>
        </w:tc>
        <w:tc>
          <w:tcPr>
            <w:tcW w:w="1062" w:type="dxa"/>
            <w:tcBorders>
              <w:top w:val="single" w:color="auto" w:sz="4" w:space="0"/>
              <w:bottom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水晶头</w:t>
            </w:r>
          </w:p>
        </w:tc>
        <w:tc>
          <w:tcPr>
            <w:tcW w:w="6600" w:type="dxa"/>
            <w:tcBorders>
              <w:tl2br w:val="nil"/>
              <w:tr2bl w:val="nil"/>
            </w:tcBorders>
            <w:noWrap w:val="0"/>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六类水晶头</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72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636" w:hRule="atLeast"/>
        </w:trPr>
        <w:tc>
          <w:tcPr>
            <w:tcW w:w="692" w:type="dxa"/>
            <w:gridSpan w:val="2"/>
            <w:tcBorders>
              <w:top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18</w:t>
            </w:r>
          </w:p>
        </w:tc>
        <w:tc>
          <w:tcPr>
            <w:tcW w:w="1062" w:type="dxa"/>
            <w:tcBorders>
              <w:top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插线板</w:t>
            </w:r>
          </w:p>
        </w:tc>
        <w:tc>
          <w:tcPr>
            <w:tcW w:w="6600" w:type="dxa"/>
            <w:tcBorders>
              <w:tl2br w:val="nil"/>
              <w:tr2bl w:val="nil"/>
            </w:tcBorders>
            <w:noWrap w:val="0"/>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8位3孔插线板</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725"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636" w:hRule="atLeast"/>
        </w:trPr>
        <w:tc>
          <w:tcPr>
            <w:tcW w:w="692" w:type="dxa"/>
            <w:gridSpan w:val="2"/>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19</w:t>
            </w:r>
          </w:p>
        </w:tc>
        <w:tc>
          <w:tcPr>
            <w:tcW w:w="106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主电缆</w:t>
            </w:r>
          </w:p>
        </w:tc>
        <w:tc>
          <w:tcPr>
            <w:tcW w:w="6600" w:type="dxa"/>
            <w:tcBorders>
              <w:tl2br w:val="nil"/>
              <w:tr2bl w:val="nil"/>
            </w:tcBorders>
            <w:noWrap w:val="0"/>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3*10平方电缆</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c>
          <w:tcPr>
            <w:tcW w:w="725"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1262" w:hRule="atLeast"/>
        </w:trPr>
        <w:tc>
          <w:tcPr>
            <w:tcW w:w="692" w:type="dxa"/>
            <w:gridSpan w:val="2"/>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w:t>
            </w:r>
            <w:r>
              <w:rPr>
                <w:rFonts w:hint="eastAsia" w:ascii="宋体" w:hAnsi="宋体" w:cs="宋体"/>
                <w:i w:val="0"/>
                <w:iCs w:val="0"/>
                <w:color w:val="000000"/>
                <w:sz w:val="20"/>
                <w:szCs w:val="20"/>
                <w:u w:val="none"/>
                <w:lang w:val="en-US" w:eastAsia="zh-CN"/>
              </w:rPr>
              <w:t>0</w:t>
            </w:r>
          </w:p>
        </w:tc>
        <w:tc>
          <w:tcPr>
            <w:tcW w:w="106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稳压电源</w:t>
            </w:r>
          </w:p>
        </w:tc>
        <w:tc>
          <w:tcPr>
            <w:tcW w:w="66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系统配置三相30KVW稳压保护电源，功能有欠压报警，滤波、稳压指示、过压保护、超载延时报警。国家电力系统送检测合格品牌：输入电压160-250v（超低压130-250V），输出电压：220v+/-3%（可带有110V输出）  效率：&gt;90%。入户电缆及系统连接电缆集成商自选国标电缆，达到系统负载为宜。</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2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1576" w:hRule="atLeast"/>
        </w:trPr>
        <w:tc>
          <w:tcPr>
            <w:tcW w:w="692" w:type="dxa"/>
            <w:gridSpan w:val="2"/>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w:t>
            </w:r>
          </w:p>
        </w:tc>
        <w:tc>
          <w:tcPr>
            <w:tcW w:w="106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w:t>
            </w:r>
          </w:p>
        </w:tc>
        <w:tc>
          <w:tcPr>
            <w:tcW w:w="66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电箱</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700*500*200;触摸屏盒子250*300*200;PLCCPU124-2Q 14DI/10DO：1个，通迅线+电源线4芯屏蔽线;开关电源2.5A 24V：1块；塑壳160A/2P：1个；断路器16A/2P：1个；熔断器10A/1P：1个；中间继电器DC24V8脚40A：8个；中间继电器DC24V 8脚40A：1个；—键启动按钮22MM：1个；—键停止按钮22MM：1个；零线排：1个；地线排：1个；编程调试：1套；</w:t>
            </w:r>
          </w:p>
        </w:tc>
        <w:tc>
          <w:tcPr>
            <w:tcW w:w="64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949" w:hRule="atLeast"/>
        </w:trPr>
        <w:tc>
          <w:tcPr>
            <w:tcW w:w="692" w:type="dxa"/>
            <w:gridSpan w:val="2"/>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2</w:t>
            </w:r>
          </w:p>
        </w:tc>
        <w:tc>
          <w:tcPr>
            <w:tcW w:w="106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服务器机柜</w:t>
            </w:r>
          </w:p>
        </w:tc>
        <w:tc>
          <w:tcPr>
            <w:tcW w:w="66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42U机柜600*600*2200，配置配电模块一套</w:t>
            </w:r>
          </w:p>
        </w:tc>
        <w:tc>
          <w:tcPr>
            <w:tcW w:w="64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2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681" w:hRule="atLeast"/>
        </w:trPr>
        <w:tc>
          <w:tcPr>
            <w:tcW w:w="692" w:type="dxa"/>
            <w:gridSpan w:val="2"/>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3</w:t>
            </w:r>
          </w:p>
        </w:tc>
        <w:tc>
          <w:tcPr>
            <w:tcW w:w="106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地面桥架</w:t>
            </w:r>
          </w:p>
        </w:tc>
        <w:tc>
          <w:tcPr>
            <w:tcW w:w="66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金属走线槽100*100</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2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2212" w:hRule="atLeast"/>
        </w:trPr>
        <w:tc>
          <w:tcPr>
            <w:tcW w:w="692" w:type="dxa"/>
            <w:gridSpan w:val="2"/>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4</w:t>
            </w:r>
          </w:p>
        </w:tc>
        <w:tc>
          <w:tcPr>
            <w:tcW w:w="106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施工布线</w:t>
            </w:r>
          </w:p>
        </w:tc>
        <w:tc>
          <w:tcPr>
            <w:tcW w:w="66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安装要求：网线：量出配线箱到各点位端的长度，各点位出口处线的长度为50cm，机柜内 线的长度为50cm。确定标签：将各类配线按一定长度剪断后在线的两端分别贴上标签，并注明名称－房间－机号，学生终端到机房汇总线槽用25mmpvc穿线管，在柜中按走线槽和理线槽安装。每500mm用自锁式尼龙扎线带整理固定。学生机键盘鼠标线远离键盘托架滑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学生机供电线与网线分开按要求走线。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设备安装、调试、测试、培训</w:t>
            </w:r>
          </w:p>
        </w:tc>
        <w:tc>
          <w:tcPr>
            <w:tcW w:w="649"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725"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153</w:t>
            </w:r>
          </w:p>
        </w:tc>
      </w:tr>
    </w:tbl>
    <w:p>
      <w:pPr>
        <w:ind w:firstLine="720" w:firstLineChars="200"/>
        <w:rPr>
          <w:rFonts w:hint="eastAsia" w:ascii="黑体" w:hAnsi="黑体" w:eastAsia="黑体" w:cs="黑体"/>
          <w:sz w:val="36"/>
          <w:szCs w:val="36"/>
          <w:lang w:val="en-US" w:eastAsia="zh-CN"/>
        </w:rPr>
      </w:pPr>
    </w:p>
    <w:p>
      <w:pPr>
        <w:ind w:firstLine="720" w:firstLineChars="200"/>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标项二</w:t>
      </w:r>
    </w:p>
    <w:p>
      <w:pPr>
        <w:ind w:firstLine="720" w:firstLineChars="200"/>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标项名称：伊宁市第一中学、第八小学和第三十一小学教学设备采购项目（二标段学生教师及宿舍办公家具）</w:t>
      </w:r>
    </w:p>
    <w:p>
      <w:pPr>
        <w:rPr>
          <w:rFonts w:hint="eastAsia" w:ascii="宋体" w:hAnsi="宋体" w:eastAsia="宋体" w:cs="宋体"/>
          <w:szCs w:val="22"/>
          <w:lang w:val="en-US" w:eastAsia="zh-CN"/>
        </w:rPr>
      </w:pPr>
      <w:r>
        <w:rPr>
          <w:rFonts w:hint="eastAsia" w:ascii="宋体" w:hAnsi="宋体" w:cs="宋体"/>
          <w:lang w:val="en-US" w:eastAsia="zh-CN"/>
        </w:rPr>
        <w:t>样品要求</w:t>
      </w:r>
      <w:r>
        <w:rPr>
          <w:rFonts w:hint="eastAsia" w:ascii="宋体" w:hAnsi="宋体" w:eastAsia="宋体" w:cs="宋体"/>
          <w:szCs w:val="22"/>
          <w:lang w:val="en-US" w:eastAsia="zh-CN"/>
        </w:rPr>
        <w:t>：</w:t>
      </w:r>
    </w:p>
    <w:p>
      <w:pPr>
        <w:rPr>
          <w:rFonts w:hint="eastAsia" w:ascii="宋体" w:hAnsi="宋体" w:eastAsia="宋体" w:cs="宋体"/>
          <w:lang w:eastAsia="zh-CN"/>
        </w:rPr>
      </w:pPr>
      <w:r>
        <w:rPr>
          <w:rFonts w:hint="eastAsia" w:ascii="宋体" w:hAnsi="宋体" w:cs="宋体"/>
          <w:lang w:val="en-US" w:eastAsia="zh-CN"/>
        </w:rPr>
        <w:t>1.</w:t>
      </w:r>
      <w:r>
        <w:rPr>
          <w:rFonts w:hint="eastAsia" w:ascii="宋体" w:hAnsi="宋体" w:eastAsia="宋体" w:cs="宋体"/>
        </w:rPr>
        <w:t>投标样品</w:t>
      </w:r>
      <w:r>
        <w:rPr>
          <w:rFonts w:hint="eastAsia" w:ascii="宋体" w:hAnsi="宋体" w:eastAsia="宋体" w:cs="宋体"/>
          <w:lang w:val="en-US" w:eastAsia="zh-CN"/>
        </w:rPr>
        <w:t>应</w:t>
      </w:r>
      <w:r>
        <w:rPr>
          <w:rFonts w:hint="eastAsia" w:ascii="宋体" w:hAnsi="宋体" w:eastAsia="宋体" w:cs="宋体"/>
        </w:rPr>
        <w:t>完全按采购人提供的</w:t>
      </w:r>
      <w:r>
        <w:rPr>
          <w:rFonts w:hint="eastAsia" w:ascii="宋体" w:hAnsi="宋体" w:eastAsia="宋体" w:cs="宋体"/>
          <w:lang w:val="en-US" w:eastAsia="zh-CN"/>
        </w:rPr>
        <w:t>参数（</w:t>
      </w:r>
      <w:r>
        <w:rPr>
          <w:rFonts w:hint="eastAsia" w:ascii="宋体" w:hAnsi="宋体" w:eastAsia="宋体" w:cs="宋体"/>
        </w:rPr>
        <w:t>优于或等于</w:t>
      </w:r>
      <w:r>
        <w:rPr>
          <w:rFonts w:hint="eastAsia" w:ascii="宋体" w:hAnsi="宋体" w:eastAsia="宋体" w:cs="宋体"/>
          <w:lang w:eastAsia="zh-CN"/>
        </w:rPr>
        <w:t>）</w:t>
      </w:r>
      <w:r>
        <w:rPr>
          <w:rFonts w:hint="eastAsia" w:ascii="宋体" w:hAnsi="宋体" w:eastAsia="宋体" w:cs="宋体"/>
        </w:rPr>
        <w:t>制作</w:t>
      </w:r>
      <w:r>
        <w:rPr>
          <w:rFonts w:hint="eastAsia" w:ascii="宋体" w:hAnsi="宋体" w:eastAsia="宋体" w:cs="宋体"/>
          <w:lang w:eastAsia="zh-CN"/>
        </w:rPr>
        <w:t>；</w:t>
      </w:r>
    </w:p>
    <w:p>
      <w:pPr>
        <w:rPr>
          <w:rFonts w:hint="eastAsia" w:ascii="宋体" w:hAnsi="宋体" w:cs="宋体"/>
          <w:lang w:val="en-US" w:eastAsia="zh-CN"/>
        </w:rPr>
      </w:pPr>
      <w:r>
        <w:rPr>
          <w:rFonts w:hint="eastAsia" w:ascii="宋体" w:hAnsi="宋体" w:cs="宋体"/>
          <w:lang w:val="en-US" w:eastAsia="zh-CN"/>
        </w:rPr>
        <w:t>2.投标前，投标人应按招标文件规定准备投标样品。投标人需按合同包（标段）将该合同包的所有样品递交；投标样品或外包装标记信息以白色A4纸打印张贴在样品表面，标记相关信息为:投标人名称、标项名称，并加盖公章。除此之外不得有任何标记信息，否则视为明示或暗视。</w:t>
      </w:r>
    </w:p>
    <w:p>
      <w:pPr>
        <w:rPr>
          <w:rFonts w:hint="eastAsia" w:ascii="宋体" w:hAnsi="宋体" w:cs="宋体"/>
          <w:lang w:val="en-US" w:eastAsia="zh-CN"/>
        </w:rPr>
      </w:pPr>
      <w:r>
        <w:rPr>
          <w:rFonts w:hint="eastAsia" w:ascii="宋体" w:hAnsi="宋体" w:cs="宋体"/>
          <w:lang w:val="en-US" w:eastAsia="zh-CN"/>
        </w:rPr>
        <w:t>3.中标的样品由采购人保管并封存，作为货物验收依据之一。未中标的投标人在中标结果公告后5个工作日内一次性领回全部样品，逾期未领的，视为投标人放弃投标样品所有权，由采购人自行处理，在此期间出现的丢失或损坏，伊宁市公共资源交易中心、采购人概不负任何责任。</w:t>
      </w:r>
    </w:p>
    <w:p>
      <w:pPr>
        <w:rPr>
          <w:rFonts w:hint="default" w:ascii="宋体" w:hAnsi="宋体" w:cs="宋体"/>
          <w:lang w:val="en-US" w:eastAsia="zh-CN"/>
        </w:rPr>
      </w:pPr>
      <w:r>
        <w:rPr>
          <w:rFonts w:hint="eastAsia" w:ascii="宋体" w:hAnsi="宋体" w:cs="宋体"/>
          <w:lang w:val="en-US" w:eastAsia="zh-CN"/>
        </w:rPr>
        <w:t>4、投标时，样品应在投标截止时间前送达开标地点并安装完成展示。逾期送达或者未按照要求密封的样品，采购人、伊宁市公共资源交易中心应当拒收。（样品摆放地点联系电话18009997303）</w:t>
      </w:r>
    </w:p>
    <w:p>
      <w:r>
        <w:rPr>
          <w:rFonts w:hint="eastAsia" w:ascii="宋体" w:hAnsi="宋体" w:cs="宋体"/>
          <w:lang w:val="en-US" w:eastAsia="zh-CN"/>
        </w:rPr>
        <w:t>5、投标人未提供样品或提供样品不全按照评标办法处理。</w:t>
      </w:r>
      <w:r>
        <w:rPr>
          <w:rFonts w:hint="eastAsia" w:ascii="宋体" w:hAnsi="宋体" w:eastAsia="宋体" w:cs="宋体"/>
        </w:rPr>
        <w:t>交货时所提供产品必须优于或等于投标时所提供的样品，否则采购人有权拒绝签收</w:t>
      </w:r>
      <w:r>
        <w:rPr>
          <w:rFonts w:hint="eastAsia" w:ascii="宋体" w:hAnsi="宋体" w:eastAsia="宋体" w:cs="宋体"/>
          <w:lang w:eastAsia="zh-CN"/>
        </w:rPr>
        <w:t>。</w:t>
      </w:r>
    </w:p>
    <w:p>
      <w:pPr>
        <w:pStyle w:val="2"/>
        <w:rPr>
          <w:rFonts w:hint="default"/>
          <w:lang w:val="en-US" w:eastAsia="zh-CN"/>
        </w:rPr>
      </w:pPr>
    </w:p>
    <w:tbl>
      <w:tblPr>
        <w:tblStyle w:val="21"/>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5"/>
        <w:gridCol w:w="923"/>
        <w:gridCol w:w="725"/>
        <w:gridCol w:w="5721"/>
        <w:gridCol w:w="738"/>
        <w:gridCol w:w="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 w:hRule="atLeast"/>
        </w:trPr>
        <w:tc>
          <w:tcPr>
            <w:tcW w:w="72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923"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区域</w:t>
            </w:r>
          </w:p>
        </w:tc>
        <w:tc>
          <w:tcPr>
            <w:tcW w:w="72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设备名称</w:t>
            </w:r>
          </w:p>
        </w:tc>
        <w:tc>
          <w:tcPr>
            <w:tcW w:w="5721"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参数</w:t>
            </w:r>
          </w:p>
        </w:tc>
        <w:tc>
          <w:tcPr>
            <w:tcW w:w="73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73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atLeast"/>
        </w:trPr>
        <w:tc>
          <w:tcPr>
            <w:tcW w:w="72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3"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教师办公室</w:t>
            </w:r>
          </w:p>
        </w:tc>
        <w:tc>
          <w:tcPr>
            <w:tcW w:w="72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双人办公桌</w:t>
            </w:r>
          </w:p>
        </w:tc>
        <w:tc>
          <w:tcPr>
            <w:tcW w:w="572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脚：立腿采用≥43*70铝合金钻石型腿，管壁壁厚≥1.2mm，横梁采用≥40*50梯形铝合金横梁，管壁壁厚≥1.2mm。横梁与立脚用压铸铝合金配件通过螺丝链，立脚做分色工艺，质感高档，稳定型好。1、板材：需采用优质环保三聚氰胺板，环保等级达到E1级，耐磨、耐脏、耐高温， 质量需符合GB 18580-2017和GB/T15102-2017标准，静曲强度、内结合强度、表面胶合强度、含水率、握螺钉力、表面耐划痕、表面耐磨、表面耐香烟灼烧等指标需符合检测标准，表面耐污染腐蚀需达到五级，板材密度≥0.63g/cm³，板材握螺钉力（板面≥1600N、板边≥1000N），甲醛释放量≤0.080 mg/m³；2、热熔胶：采用优质环保热熔胶，双人桌质量需符合GB 18583-2008《室内装饰装修材料胶粘剂中有害物质限量》，总挥发性有机物≤5g/kg；3、 五金配件：需采用优质五金配件，导轨、门铰、锁具、拉手、三合一等五金配件，100小时乙酸盐雾试验，耐蚀等级需达到10级，质量需符合QB/T3827-1999（2009）《轻工产品金属镀层和化学处理层的耐腐蚀试验方法 乙酸烟雾试验(ASS)法》和QB/T3832-1999(2009)《轻工业金属镀层腐蚀试验结果的评价》标准；4、封边带：采用优质同色铝合金封边条，厚度≥2.0mm，表面光滑，封边严密、平整，质量需符合QB/T 4463-2013《家具用封边条技术要求》标准，邻苯二甲酸酯(DBP、BBP、DEHP、DNOP、DINP和DIDP )≤0.001%，不含甲醛</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需与办公室其他家具为同一品牌，风格统一</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需提供检测报告及样品。</w:t>
            </w:r>
          </w:p>
        </w:tc>
        <w:tc>
          <w:tcPr>
            <w:tcW w:w="73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38"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atLeast"/>
        </w:trPr>
        <w:tc>
          <w:tcPr>
            <w:tcW w:w="72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23" w:type="dxa"/>
            <w:vMerge w:val="continue"/>
            <w:tcBorders>
              <w:tl2br w:val="nil"/>
              <w:tr2bl w:val="nil"/>
            </w:tcBorders>
            <w:noWrap w:val="0"/>
            <w:vAlign w:val="center"/>
          </w:tcPr>
          <w:p>
            <w:pPr>
              <w:jc w:val="center"/>
              <w:rPr>
                <w:rFonts w:hint="eastAsia" w:ascii="宋体" w:hAnsi="宋体" w:eastAsia="宋体" w:cs="宋体"/>
                <w:i w:val="0"/>
                <w:iCs w:val="0"/>
                <w:color w:val="000000"/>
                <w:sz w:val="20"/>
                <w:szCs w:val="20"/>
                <w:u w:val="none"/>
              </w:rPr>
            </w:pPr>
          </w:p>
        </w:tc>
        <w:tc>
          <w:tcPr>
            <w:tcW w:w="72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办公椅</w:t>
            </w:r>
          </w:p>
        </w:tc>
        <w:tc>
          <w:tcPr>
            <w:tcW w:w="572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1.可升降头枕，头枕含棉；2.灰色全新料PP加纤背框，透气网布；3.灰色PP固定腰靠；4.灰色PP连体固定扶手；5.45高密度海绵坐垫，透气网布；6.高硬度桉树板材，10层压制12mm定型座板；7. 2.5mm原位锁定蝴蝶底盘，可倾仰；8.三级威亚斯气杆，100mm行程，下沉50mm；9.320mm灰色塔型脚，静压1100KG；10.60mm灰色大轮+PU静音脚轮，过BIFMA测试；11.背框：尼龙背框配固定腰靠；高回弹网布；12.坐垫：55号高密度海绵坐垫；13.扶手：尼龙连体扶手；14.椅架：弓形架通过酸洗表面黑色喷</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，需与办公室其他家具为同一品牌，风格统一</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需提供检测报告及样品。</w:t>
            </w:r>
          </w:p>
        </w:tc>
        <w:tc>
          <w:tcPr>
            <w:tcW w:w="73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38"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72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23"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教室课桌椅</w:t>
            </w:r>
          </w:p>
        </w:tc>
        <w:tc>
          <w:tcPr>
            <w:tcW w:w="72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学生课桌</w:t>
            </w:r>
          </w:p>
        </w:tc>
        <w:tc>
          <w:tcPr>
            <w:tcW w:w="572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桌子尺寸：610*410*600-790mm±10mm(注:桌面距地面手摇调节高度：600mm-790mm，桌面高度可通过手摇工具无极升降调节，立柱激光打标升降尺寸。桌面距地面高度可调节,可自由调节，无极升降，立柱激光打标升降尺寸)。2、桌面：材质采用符合国家标准的全新环保ABS耐冲击一级新料一体射出成型，耐冲击，耐抗压，耐磨。尺寸长610mm*410mm*30mm±2mm,桌面板上无杯槽，正前方设有笔槽，笔槽尺寸468mm*45mm*10mm±2mm。桌面靠胸部位置内弧设计，设有长度为400mm， 深度为27mm的凹型长条，防止挤压胸腔，更舒适有益健康，方便书写流畅。桌面永久牢固，流线美观，面板颜色可选，桌面四周边沿平滑，四角倒角设计。本产品具有良好的抗吸湿性、抗酸碱腐蚀性、抗氧化性。整体外观美观大方，人性化设计，手感、舒适度更好。面板底部设有強化承重之设计，可以嵌入30*15mm的方管.3、书斗规格：书包斗整体的尺寸为：550mm*385mm*105mm±2mm,内净空尺寸：470mm*350mm*100mm±2mm,材质为全新环保一级工程塑料PP料，一次注塑而成；书斗三壁为多孔镂空设计，圆孔直径为5mm，以防夹手指，起到通风透气作用；桌斗左右两侧均设有不少于165个孔径为5mm的透气圆孔，后侧板设有9*32排共288个孔径为5mm的透气圆孔；桌斗底部设有27条波浪式弧形条纹，防止物品滑动产生噪音，底部四角落均设有“∞”字型开孔以便排水；桌斗前方开口倾斜设计，并设有一长410mm宽40mm的弧形三段式笔槽用以放置文具。本产品设计新颖，结实耐用，整体边缘平整圆滑，抽屉外围不得有毛边，都得倒圆角光滑不刮手。符合塑料件中有害物质限量标准和通过防霉抗菌检测。4、★金属桌架：采用优质冷轧高频焊管，贴地管和立柱呈75度焊接，地脚管采用30mm*60mm*1.5mm±2mm椭圆管，立柱采用33mm*66mm*1.2mm±2mm椭圆眼镜管，升降管采用26mm*59mm*1.2mm±2mm椭圆眼镜管，桌脚连档采用26*59*1.2mm±2mm椭圆管，升降管侧面采用激光打印高度尺寸，尺寸精度5mm。桌子自由调节高度为580mm-780mm，桌面静负载300KG重物桌子整体不变形。桌托采用294*32.5*49mm厚1.5mm钢板成型，三角支架支撑桌面，调节支座采用84*44*28.5mm厚2.0mm钢板成型连接升降管。金属书包钩用螺丝固定于三角支架前端，并且电镀光亮整洁，尺寸68mm*28mm*20*2mm。书包钩可活动，可随桌面的翻转而活动并处于垂直位置。三角支架内侧带隐藏式调节塑料扳手，并且连接桌面三角支架内部的卡销，通过轻按的方式实现桌面桌斗可整体翻转呈39°倾斜，便于前排学生躺平时不用升起课桌，午睡时操作方便实用。5、课桌升降结构：高度调节采用手摇升降结构，钢制耐用复合材料组合设计，组合成升降器由中间传动軸连接左右桌腿可以同时升降，采用手摇千斤顶承载式上下安全升降结构原理，由下往上顶可以保证结构高强度和坚固性耐用，使用顺畅。手摇柄调节桌面高度可从桌高600mm至790mm，升降幅度范围为190mm。6、生产工艺：钢管焊接均采用二氧化碳保护焊接工艺，焊接表面波纹均匀，焊接处无夹渣.气孔，焊瘤，焊丝咬边和飞溅，无脱焊，虚焊和焊空的现象。各钢件表面采用除油、脱脂、水洗、除锈、中和、磷化、烘干处理，全自动静电喷塑，高温固化，表面光亮平整，无颗粒渣点，颜色均匀。7、脚套：尺寸100*65*40mm,采用PP塑料一体注塑成型脚套；并用1支螺丝锁付，桌子后端脚垫左右配1个水平调节螺丝。功能：脚套底部有防滑防刮设计，增大摩擦力，减小因脚套摩擦带来的噪音。8、课桌结构功能特点：桌斗桌面可呈一定角度翻转，待学生午休时，学生仅需轻按调节翻转器按纽，桌面桌斗即可完成一定角度翻转，翻转后与椅子靠背呈同角度倾斜，为学生午休时腾出更多的空间，无需移动，解决了老旧教室过小，满足了人人可躺着午休，整个操作过程简单明了，无论低年段还是高年段都能达到一学即会的效果，大大提高了午休的效率和便捷性。需提供检测报告及样品展示。</w:t>
            </w:r>
          </w:p>
        </w:tc>
        <w:tc>
          <w:tcPr>
            <w:tcW w:w="73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38"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72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23" w:type="dxa"/>
            <w:vMerge w:val="continue"/>
            <w:tcBorders>
              <w:tl2br w:val="nil"/>
              <w:tr2bl w:val="nil"/>
            </w:tcBorders>
            <w:noWrap w:val="0"/>
            <w:vAlign w:val="center"/>
          </w:tcPr>
          <w:p>
            <w:pPr>
              <w:jc w:val="center"/>
              <w:rPr>
                <w:rFonts w:hint="eastAsia" w:ascii="宋体" w:hAnsi="宋体" w:eastAsia="宋体" w:cs="宋体"/>
                <w:i w:val="0"/>
                <w:iCs w:val="0"/>
                <w:color w:val="000000"/>
                <w:sz w:val="20"/>
                <w:szCs w:val="20"/>
                <w:u w:val="none"/>
              </w:rPr>
            </w:pPr>
          </w:p>
        </w:tc>
        <w:tc>
          <w:tcPr>
            <w:tcW w:w="72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学生课椅</w:t>
            </w:r>
          </w:p>
        </w:tc>
        <w:tc>
          <w:tcPr>
            <w:tcW w:w="572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靠背材质：采用符合国家标准的PP耐冲击一级新料一体射出成型，耐冲击，耐抗压，耐磨；尺寸：440*430*155mm,★功能：靠背上端设有一个的头枕，（头枕尺寸为300*161*23mm±2mm；采用符合国家标准的PP耐冲击一级新料一体射出成型。头枕采用2根钢片连接,两侧用螺丝拧紧固定。钢片的长度为221mm，宽度15mm，厚度4mm。钢片需电镀，表面明亮并光滑不割手。头枕可活动翻转折叠，椅子在学习状态下头枕位于靠背底部作为腰托，使学生学习时坐姿更为舒适；在午睡状态下可拉出头枕翻转至靠背最顶端处使学生午睡时能托住头部颈部更为舒适）。靠背壁厚不小于4mm,靠背与头枕有透气散热孔，靠背条形透气散热孔32个，解决学生午休时长时间背部发热弊端，躺靠舒适，造型美观，符合国际安全标准，保护学生脖颈，腰部。避免由于不良睡姿而引起的骨位不正；靠背设计有完整的曲线弧度，靠背左右两侧包覆性设计，很服帖地包覆支撑着正在成长中学童的背部脊椎，使其免于侧弯。2.坐垫材质：采用符合国家标准的PP耐冲击一级新料一体射出成型，耐冲击，耐抗压，耐磨；尺寸：430*420*80mm，坐垫整体呈内凹形，前端适当凸起后端内凹且带有66根条形散热孔，解决学生长时间学习与午休发热弊端；整体形状让学生正常上课时更为舒适不僵硬。3.腿托板：材质：采用符合国家标准的PP耐冲击一级新料一体射出成型，耐冲击，耐抗压，耐磨；尺寸：310*205*50mm,功能：腿托板壁厚不小于5mm且可翻转，午睡躺平的时候可拉伸出来通过翻转即可托起腿部不滑落，学习端坐的时候可收缩放置，收放自如且带有24条出气孔使得整体椅子配套使得产品更为美观。腿拖下方设置钢制托架尺寸为15*30*1.5mm可增强腿托板的强度。4.★金属椅架;采用Q195优质冷轧高频焊管，贴地管和立柱呈75度焊接，地脚管采用30mm*60m*1.5mm±2mm椭圆管，立柱采用33mm*66mm*1.2mm±2mm椭圆眼镜管，升降管采用26mm*59mm*1.2mm±2mm椭圆眼镜管，椅脚连档采用20*40*1.2mm±2mm椭圆管，升降管侧面激光打印高度尺寸。靠背管采用直径25mm圆管焊接弯管而成，坐垫托架采用25mm*50mm。5.书包篮材质：采用符合国家标准的PP耐冲击一级新料一体射出成型，耐冲击，耐抗压，耐磨；尺寸：372*297*100mm。6.脚套：尺寸100*65*40mm,采用PP塑料一体注塑成型脚套；并用1支螺丝锁付，椅子后端脚垫左右配1个水平调节螺丝。功能：脚套底部有防滑防刮设计，增大摩擦力，减小因脚套摩擦带来的噪音。7.课椅结构功能：高度调节采用手摇升降结构，钢制耐用复合材料组合设计，组合成升降器由中间传动軸连接左右桌腿可以同时升降，采用手摇千斤顶承载式上下安全升降结构原理，由下往上顶可以保证结构高强度和坚固性耐用，使用顺畅。椅面调节高度为360mm-460mm，升降幅度范围为100mm,如要躺下午休时，往上按动右侧座板下开关即可，靠背可在90°-165°范围内任意调节，无极变速，操作简洁方便。需提供检测报告及样品展示。</w:t>
            </w:r>
          </w:p>
        </w:tc>
        <w:tc>
          <w:tcPr>
            <w:tcW w:w="73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38"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72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学生宿舍</w:t>
            </w:r>
          </w:p>
        </w:tc>
        <w:tc>
          <w:tcPr>
            <w:tcW w:w="72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学生宿舍床（8人间）</w:t>
            </w:r>
          </w:p>
        </w:tc>
        <w:tc>
          <w:tcPr>
            <w:tcW w:w="5721" w:type="dxa"/>
            <w:tcBorders>
              <w:tl2br w:val="nil"/>
              <w:tr2bl w:val="nil"/>
            </w:tcBorders>
            <w:noWrap w:val="0"/>
            <w:vAlign w:val="center"/>
          </w:tcPr>
          <w:p>
            <w:pPr>
              <w:keepNext w:val="0"/>
              <w:keepLines w:val="0"/>
              <w:widowControl/>
              <w:suppressLineNumbers w:val="0"/>
              <w:jc w:val="left"/>
              <w:textAlignment w:val="center"/>
              <w:rPr>
                <w:rFonts w:hint="eastAsia"/>
                <w:lang w:val="en-US" w:eastAsia="zh-CN"/>
              </w:rPr>
            </w:pPr>
            <w:r>
              <w:rPr>
                <w:rFonts w:hint="eastAsia"/>
                <w:lang w:val="en-US" w:eastAsia="zh-CN"/>
              </w:rPr>
              <w:t>四人连体公寓床（5900*900*2100mm)：</w:t>
            </w:r>
            <w:r>
              <w:rPr>
                <w:rFonts w:hint="eastAsia"/>
                <w:lang w:val="en-US" w:eastAsia="zh-CN"/>
              </w:rPr>
              <w:br w:type="textWrapping"/>
            </w:r>
            <w:r>
              <w:rPr>
                <w:rFonts w:hint="eastAsia"/>
                <w:lang w:val="en-US" w:eastAsia="zh-CN"/>
              </w:rPr>
              <w:t>1.结构：右部为上下床体，左、中部上床位下有书架及写字桌等组成，柜子全部为明锁结构，合页为2.5mm厚镀锌合页；</w:t>
            </w:r>
            <w:r>
              <w:rPr>
                <w:rFonts w:hint="eastAsia"/>
                <w:lang w:val="en-US" w:eastAsia="zh-CN"/>
              </w:rPr>
              <w:br w:type="textWrapping"/>
            </w:r>
            <w:r>
              <w:rPr>
                <w:rFonts w:hint="eastAsia"/>
                <w:lang w:val="en-US" w:eastAsia="zh-CN"/>
              </w:rPr>
              <w:t>2.★床立柱：采用50×50×1.5mm厚高频焊接闭口型材管，更结实耐用，立柱上下端采用高强度聚氨酯材料胶套，边床头上下护栏横撑为矩形国标管材 25×40×1.2mm，中间床头设有进床铺档，设计美观，人性化，整体安装方便，稳固结实。</w:t>
            </w:r>
            <w:r>
              <w:rPr>
                <w:rFonts w:hint="eastAsia"/>
                <w:lang w:val="en-US" w:eastAsia="zh-CN"/>
              </w:rPr>
              <w:br w:type="textWrapping"/>
            </w:r>
            <w:r>
              <w:rPr>
                <w:rFonts w:hint="eastAsia"/>
                <w:lang w:val="en-US" w:eastAsia="zh-CN"/>
              </w:rPr>
              <w:t>3.★连接方式;卡式挂件与床帮连接，挂件采用厚度 2.0mm 优质钢板经冲压一次成型，成型后外形规格为≧ 215mm×50m×25mm。挂件为三孔挂件，整体连接无螺丝连接，挂件表面有两个“H”型整体加强筋</w:t>
            </w:r>
            <w:r>
              <w:rPr>
                <w:rFonts w:hint="eastAsia"/>
                <w:lang w:val="en-US" w:eastAsia="zh-CN"/>
              </w:rPr>
              <w:br w:type="textWrapping"/>
            </w:r>
            <w:r>
              <w:rPr>
                <w:rFonts w:hint="eastAsia"/>
                <w:lang w:val="en-US" w:eastAsia="zh-CN"/>
              </w:rPr>
              <w:t>4.★床帮：采用30×78×1.2mm厚滚压开口型材管，管材采用优质带钢，管壁表面拉伸2条5mm深加强凹槽，折六道弯，表面经优质环保氧聚酯塑粉静电喷塑处理，防止学生意外碰撞受伤。</w:t>
            </w:r>
            <w:r>
              <w:rPr>
                <w:rFonts w:hint="eastAsia"/>
                <w:lang w:val="en-US" w:eastAsia="zh-CN"/>
              </w:rPr>
              <w:br w:type="textWrapping"/>
            </w:r>
            <w:r>
              <w:rPr>
                <w:rFonts w:hint="eastAsia"/>
                <w:lang w:val="en-US" w:eastAsia="zh-CN"/>
              </w:rPr>
              <w:t>5.★前床帮护栏：护栏采用25*25*1.2mm 的方管，护栏竖支撑采用20*20mm的方管，分左、中、右三部分组成，封板采用0.6mm冲压而成，中部设计有使用方的 lOGO，左右部分设有学生信息牌，标签牌（可放40*60mm卡片），护栏高度、缺口依据GB24430.1-2009 家用双层床安全第 1 部分要求、QB/T 2741-2013 学生公寓多功能家具要求的主要尺寸要求护栏高度 300mm；安全护栏长：不低于1800mm制作。</w:t>
            </w:r>
            <w:r>
              <w:rPr>
                <w:rFonts w:hint="eastAsia"/>
                <w:lang w:val="en-US" w:eastAsia="zh-CN"/>
              </w:rPr>
              <w:br w:type="textWrapping"/>
            </w:r>
            <w:r>
              <w:rPr>
                <w:rFonts w:hint="eastAsia"/>
                <w:lang w:val="en-US" w:eastAsia="zh-CN"/>
              </w:rPr>
              <w:t>6.★中梯、侧梯：宽度净空270mm，采用25*25*1.5mm方管，踏步1.2厚冷轧钢板压制而成，压有防滑纹，分为五步。</w:t>
            </w:r>
            <w:r>
              <w:rPr>
                <w:rFonts w:hint="eastAsia"/>
                <w:lang w:val="en-US" w:eastAsia="zh-CN"/>
              </w:rPr>
              <w:br w:type="textWrapping"/>
            </w:r>
            <w:r>
              <w:rPr>
                <w:rFonts w:hint="eastAsia"/>
                <w:lang w:val="en-US" w:eastAsia="zh-CN"/>
              </w:rPr>
              <w:t>7.★床板横撑：采用25*25*1.2mm 镀锌钢管，不少于5根分别卡焊于前后床帮之上。</w:t>
            </w:r>
            <w:r>
              <w:rPr>
                <w:rFonts w:hint="eastAsia"/>
                <w:lang w:val="en-US" w:eastAsia="zh-CN"/>
              </w:rPr>
              <w:br w:type="textWrapping"/>
            </w:r>
            <w:r>
              <w:rPr>
                <w:rFonts w:hint="eastAsia"/>
                <w:lang w:val="en-US" w:eastAsia="zh-CN"/>
              </w:rPr>
              <w:t>8.★床板：采用16mm厚多层板，四周固定床架上，坚固耐用，设消音处理，避免任何噪音。</w:t>
            </w:r>
            <w:r>
              <w:rPr>
                <w:rFonts w:hint="eastAsia"/>
                <w:lang w:val="en-US" w:eastAsia="zh-CN"/>
              </w:rPr>
              <w:br w:type="textWrapping"/>
            </w:r>
            <w:r>
              <w:rPr>
                <w:rFonts w:hint="eastAsia"/>
                <w:lang w:val="en-US" w:eastAsia="zh-CN"/>
              </w:rPr>
              <w:t>9.★书架：设有书架柜，规格1200*220*980mm，采用0.8mm优质钢板制作成型分为三层，设计有柜体和开放式书架组成，比例协调，实用性强，满足于四人使用。</w:t>
            </w:r>
            <w:r>
              <w:rPr>
                <w:rFonts w:hint="eastAsia"/>
                <w:lang w:val="en-US" w:eastAsia="zh-CN"/>
              </w:rPr>
              <w:br w:type="textWrapping"/>
            </w:r>
            <w:r>
              <w:rPr>
                <w:rFonts w:hint="eastAsia"/>
                <w:lang w:val="en-US" w:eastAsia="zh-CN"/>
              </w:rPr>
              <w:t>10.★写字桌：规格1200*550*760mm,桌面采用厚度为25mm的E1级优质实木颗粒板制作，桌架钢制，带两个抽屉，抽屉采用0.6mm冷轧钢板制作，静音钢制五铢式导轨，永久性使用，无金属噪声，桌子带鞋架采用20*20*1.0mm优质矩形管制作而成,桌腿采用40×40×1.5mm优质矩形管制作而成。</w:t>
            </w:r>
            <w:r>
              <w:rPr>
                <w:rFonts w:hint="eastAsia"/>
                <w:lang w:val="en-US" w:eastAsia="zh-CN"/>
              </w:rPr>
              <w:br w:type="textWrapping"/>
            </w:r>
            <w:r>
              <w:rPr>
                <w:rFonts w:hint="eastAsia"/>
                <w:lang w:val="en-US" w:eastAsia="zh-CN"/>
              </w:rPr>
              <w:t>11.★床底柜子：规格1600*400*400mm，采用0.6mm优质钢板制作，供四人使用，并设有内凹拉手，柜门有吸门设置及透气孔。</w:t>
            </w:r>
            <w:r>
              <w:rPr>
                <w:rFonts w:hint="eastAsia"/>
                <w:lang w:val="en-US" w:eastAsia="zh-CN"/>
              </w:rPr>
              <w:br w:type="textWrapping"/>
            </w:r>
            <w:r>
              <w:rPr>
                <w:rFonts w:hint="eastAsia"/>
                <w:lang w:val="en-US" w:eastAsia="zh-CN"/>
              </w:rPr>
              <w:t xml:space="preserve">12、★床下储物柜：1700*700*550mm ,采用0.8mm优质钢板制作，分为上下两节对开门供两人使用，并设有内凹拉手，柜门有吸门设置及透气孔。 </w:t>
            </w:r>
            <w:r>
              <w:rPr>
                <w:rFonts w:hint="eastAsia"/>
                <w:lang w:val="en-US" w:eastAsia="zh-CN"/>
              </w:rPr>
              <w:br w:type="textWrapping"/>
            </w:r>
            <w:r>
              <w:rPr>
                <w:rFonts w:hint="eastAsia"/>
                <w:lang w:val="en-US" w:eastAsia="zh-CN"/>
              </w:rPr>
              <w:t>13、★ 棕垫：规格1900*900*30 mm ，采用优质椰棕制作。</w:t>
            </w:r>
            <w:r>
              <w:rPr>
                <w:rFonts w:hint="eastAsia"/>
                <w:lang w:val="en-US" w:eastAsia="zh-CN"/>
              </w:rPr>
              <w:br w:type="textWrapping"/>
            </w:r>
            <w:r>
              <w:rPr>
                <w:rFonts w:hint="eastAsia"/>
                <w:lang w:val="en-US" w:eastAsia="zh-CN"/>
              </w:rPr>
              <w:t>14、★ 钢制件外表面处理工艺：全部采用除油、除锈、磷化、清洗、静电喷涂；外观焊接与连接部位牢固、可靠，产品外露部件均无尖锐棱角。</w:t>
            </w:r>
            <w:r>
              <w:rPr>
                <w:rFonts w:hint="eastAsia"/>
                <w:lang w:val="en-US" w:eastAsia="zh-CN"/>
              </w:rPr>
              <w:br w:type="textWrapping"/>
            </w:r>
            <w:r>
              <w:rPr>
                <w:rFonts w:hint="eastAsia"/>
                <w:lang w:val="en-US" w:eastAsia="zh-CN"/>
              </w:rPr>
              <w:t xml:space="preserve">椅子8个：                                                                                       </w:t>
            </w:r>
            <w:r>
              <w:rPr>
                <w:rFonts w:hint="eastAsia"/>
                <w:lang w:val="en-US" w:eastAsia="zh-CN"/>
              </w:rPr>
              <w:br w:type="textWrapping"/>
            </w:r>
            <w:r>
              <w:rPr>
                <w:rFonts w:hint="eastAsia"/>
                <w:lang w:val="en-US" w:eastAsia="zh-CN"/>
              </w:rPr>
              <w:t xml:space="preserve">1、★地脚管采用直径20*40*1.5mm优质椭圆管经数控折弯机折成U字形，连接前后横撑管为直径15*30*1.5mm椭圆管，靠背管为15mm*30mm*1.5mm椭圆形钢管经数控折弯机整体折弯成型，与地脚管焊接为一体打磨成型，座背板材质为PE原包颗粒经数控中空吹塑机一次性吹塑成型，                </w:t>
            </w:r>
            <w:r>
              <w:rPr>
                <w:rFonts w:hint="eastAsia"/>
                <w:lang w:val="en-US" w:eastAsia="zh-CN"/>
              </w:rPr>
              <w:br w:type="textWrapping"/>
            </w:r>
            <w:r>
              <w:rPr>
                <w:rFonts w:hint="eastAsia"/>
                <w:lang w:val="en-US" w:eastAsia="zh-CN"/>
              </w:rPr>
              <w:t>2、★成型后椅面尺寸为宽度455mm*深度410mm，靠背板尺寸为宽度450mm*高度290mm，各焊接点均采用二氧化碳保护焊，焊接牢固、平整、无疵点、无气孔，经磨平后做除油、除锈、酸洗、磷化、静电喷涂处理，利用喷涂流水线一次加工完成，涂层均匀、丰满，厚度达到50um，不返锈、不脱皮、不褪色，附着力强。</w:t>
            </w:r>
            <w:r>
              <w:rPr>
                <w:rFonts w:hint="eastAsia"/>
                <w:lang w:val="en-US" w:eastAsia="zh-CN"/>
              </w:rPr>
              <w:br w:type="textWrapping"/>
            </w:r>
            <w:r>
              <w:rPr>
                <w:rFonts w:hint="eastAsia"/>
                <w:lang w:val="en-US" w:eastAsia="zh-CN"/>
              </w:rPr>
              <w:t>脸盆架2个：</w:t>
            </w:r>
            <w:r>
              <w:rPr>
                <w:rFonts w:hint="eastAsia"/>
                <w:lang w:val="en-US" w:eastAsia="zh-CN"/>
              </w:rPr>
              <w:br w:type="textWrapping"/>
            </w:r>
            <w:r>
              <w:rPr>
                <w:rFonts w:hint="eastAsia"/>
                <w:lang w:val="en-US" w:eastAsia="zh-CN"/>
              </w:rPr>
              <w:t>1、★规格1000mm*480mm*480mm,柱子采用25*25*1.2mm方形钢管制作，架管采用20*20*1.0mm方形钢管制作,形成等腰三角形，可放直径400mm的洗脸盆，分为四层供四个学生使用。</w:t>
            </w:r>
            <w:r>
              <w:rPr>
                <w:rFonts w:hint="eastAsia"/>
                <w:lang w:val="en-US" w:eastAsia="zh-CN"/>
              </w:rPr>
              <w:br w:type="textWrapping"/>
            </w:r>
            <w:r>
              <w:rPr>
                <w:rFonts w:hint="eastAsia"/>
                <w:lang w:val="en-US" w:eastAsia="zh-CN"/>
              </w:rPr>
              <w:t>棕垫：4个.</w:t>
            </w:r>
          </w:p>
          <w:p>
            <w:pPr>
              <w:pStyle w:val="2"/>
              <w:ind w:left="0" w:leftChars="0" w:firstLine="0" w:firstLineChars="0"/>
              <w:rPr>
                <w:rFonts w:hint="default"/>
                <w:lang w:val="en-US"/>
              </w:rPr>
            </w:pPr>
            <w:r>
              <w:rPr>
                <w:rFonts w:hint="eastAsia" w:ascii="宋体" w:hAnsi="宋体" w:eastAsia="宋体" w:cs="宋体"/>
                <w:i w:val="0"/>
                <w:iCs w:val="0"/>
                <w:color w:val="000000"/>
                <w:kern w:val="0"/>
                <w:sz w:val="21"/>
                <w:szCs w:val="21"/>
                <w:u w:val="none"/>
                <w:lang w:val="en-US" w:eastAsia="zh-CN" w:bidi="ar"/>
              </w:rPr>
              <w:t>需提供样品展示。</w:t>
            </w:r>
          </w:p>
        </w:tc>
        <w:tc>
          <w:tcPr>
            <w:tcW w:w="73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3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725"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6</w:t>
            </w:r>
          </w:p>
        </w:tc>
        <w:tc>
          <w:tcPr>
            <w:tcW w:w="92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5"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讲台</w:t>
            </w:r>
          </w:p>
        </w:tc>
        <w:tc>
          <w:tcPr>
            <w:tcW w:w="572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1.尺寸：1500*600*1012mm±10mm；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2.材质：抗倍特板/钢板；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工艺：桌面尺寸：1450*600*12mm，采用抗倍特一体成型。耐80度以上高温。防水：浸水24小时后的膨胀指数不多于0.1mm，面板四周采CNC修边，四周倒角，圆润光滑无任何毛边。柜体尺寸:500*520*920mm,板厚0.8mm,柜体采用三维立体激光微缝切割，柜体一体成型，箱体精密度和牢固度强，经高温粉体烤漆，长时间使用也不会产生表面漆剥落现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4.功能：（1）可倾斜方便操作。</w:t>
            </w:r>
          </w:p>
        </w:tc>
        <w:tc>
          <w:tcPr>
            <w:tcW w:w="738"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张</w:t>
            </w:r>
          </w:p>
        </w:tc>
        <w:tc>
          <w:tcPr>
            <w:tcW w:w="738"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58</w:t>
            </w:r>
          </w:p>
        </w:tc>
      </w:tr>
    </w:tbl>
    <w:p>
      <w:pPr>
        <w:pStyle w:val="4"/>
        <w:ind w:left="0" w:leftChars="0"/>
        <w:jc w:val="both"/>
      </w:pPr>
    </w:p>
    <w:p>
      <w:pPr>
        <w:pStyle w:val="27"/>
        <w:keepNext w:val="0"/>
        <w:keepLines w:val="0"/>
        <w:pageBreakBefore w:val="0"/>
        <w:kinsoku/>
        <w:wordWrap/>
        <w:overflowPunct/>
        <w:topLinePunct w:val="0"/>
        <w:bidi w:val="0"/>
        <w:snapToGrid/>
        <w:spacing w:line="440" w:lineRule="exact"/>
        <w:jc w:val="center"/>
        <w:textAlignment w:val="auto"/>
        <w:outlineLvl w:val="1"/>
        <w:rPr>
          <w:rFonts w:ascii="仿宋_GB2312" w:hAnsi="宋体" w:eastAsia="仿宋_GB2312"/>
          <w:b/>
          <w:color w:val="auto"/>
          <w:kern w:val="2"/>
          <w:sz w:val="32"/>
          <w:szCs w:val="32"/>
        </w:rPr>
      </w:pPr>
      <w:bookmarkStart w:id="156" w:name="_Toc9447"/>
      <w:r>
        <w:rPr>
          <w:rFonts w:hint="eastAsia" w:ascii="仿宋_GB2312" w:hAnsi="宋体" w:eastAsia="仿宋_GB2312"/>
          <w:b/>
          <w:color w:val="auto"/>
          <w:kern w:val="2"/>
          <w:sz w:val="32"/>
          <w:szCs w:val="32"/>
        </w:rPr>
        <w:t>第二章 付款方式及</w:t>
      </w:r>
      <w:bookmarkEnd w:id="140"/>
      <w:bookmarkEnd w:id="141"/>
      <w:bookmarkEnd w:id="142"/>
      <w:bookmarkEnd w:id="143"/>
      <w:bookmarkEnd w:id="144"/>
      <w:bookmarkEnd w:id="145"/>
      <w:bookmarkEnd w:id="146"/>
      <w:bookmarkEnd w:id="147"/>
      <w:bookmarkEnd w:id="148"/>
      <w:bookmarkEnd w:id="149"/>
      <w:bookmarkEnd w:id="150"/>
      <w:bookmarkEnd w:id="151"/>
      <w:r>
        <w:rPr>
          <w:rFonts w:hint="eastAsia" w:ascii="仿宋_GB2312" w:hAnsi="宋体" w:eastAsia="仿宋_GB2312"/>
          <w:b/>
          <w:color w:val="auto"/>
          <w:kern w:val="2"/>
          <w:sz w:val="32"/>
          <w:szCs w:val="32"/>
        </w:rPr>
        <w:t>程序</w:t>
      </w:r>
      <w:bookmarkEnd w:id="152"/>
      <w:bookmarkEnd w:id="153"/>
      <w:bookmarkEnd w:id="154"/>
      <w:bookmarkEnd w:id="155"/>
      <w:bookmarkEnd w:id="156"/>
    </w:p>
    <w:p>
      <w:pPr>
        <w:keepNext w:val="0"/>
        <w:keepLines w:val="0"/>
        <w:pageBreakBefore w:val="0"/>
        <w:kinsoku/>
        <w:wordWrap/>
        <w:overflowPunct/>
        <w:topLinePunct w:val="0"/>
        <w:bidi w:val="0"/>
        <w:snapToGrid/>
        <w:spacing w:line="440" w:lineRule="exact"/>
        <w:ind w:firstLine="477" w:firstLineChars="198"/>
        <w:textAlignment w:val="auto"/>
        <w:rPr>
          <w:rFonts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val="en-US" w:eastAsia="zh-CN"/>
        </w:rPr>
        <w:t>8</w:t>
      </w:r>
      <w:r>
        <w:rPr>
          <w:rFonts w:hint="eastAsia" w:ascii="宋体" w:hAnsi="宋体" w:cs="宋体"/>
          <w:b/>
          <w:sz w:val="24"/>
          <w:szCs w:val="24"/>
        </w:rPr>
        <w:t>、付款方式</w:t>
      </w:r>
    </w:p>
    <w:p>
      <w:pPr>
        <w:keepNext w:val="0"/>
        <w:keepLines w:val="0"/>
        <w:pageBreakBefore w:val="0"/>
        <w:kinsoku/>
        <w:wordWrap/>
        <w:overflowPunct/>
        <w:topLinePunct w:val="0"/>
        <w:bidi w:val="0"/>
        <w:snapToGrid/>
        <w:spacing w:line="440" w:lineRule="exact"/>
        <w:ind w:left="480"/>
        <w:textAlignment w:val="auto"/>
        <w:rPr>
          <w:rFonts w:ascii="仿宋" w:hAnsi="仿宋" w:eastAsia="仿宋"/>
          <w:sz w:val="24"/>
          <w:szCs w:val="24"/>
        </w:rPr>
      </w:pPr>
      <w:r>
        <w:rPr>
          <w:rFonts w:hint="eastAsia" w:ascii="仿宋" w:hAnsi="仿宋" w:eastAsia="仿宋" w:cs="仿宋"/>
          <w:b w:val="0"/>
          <w:bCs w:val="0"/>
          <w:sz w:val="24"/>
          <w:szCs w:val="24"/>
          <w:highlight w:val="none"/>
          <w:lang w:val="en-US" w:eastAsia="zh-CN"/>
        </w:rPr>
        <w:t>采购人与中标供应方双方按签订合同条款支付。</w:t>
      </w:r>
    </w:p>
    <w:p>
      <w:pPr>
        <w:pStyle w:val="20"/>
        <w:keepNext w:val="0"/>
        <w:keepLines w:val="0"/>
        <w:pageBreakBefore w:val="0"/>
        <w:kinsoku/>
        <w:wordWrap/>
        <w:overflowPunct/>
        <w:topLinePunct w:val="0"/>
        <w:bidi w:val="0"/>
        <w:snapToGrid/>
        <w:spacing w:after="0" w:line="440" w:lineRule="exact"/>
        <w:ind w:left="0" w:leftChars="0" w:firstLine="482"/>
        <w:textAlignment w:val="auto"/>
        <w:rPr>
          <w:rFonts w:ascii="宋体" w:hAnsi="宋体" w:cs="宋体"/>
          <w:b/>
          <w:sz w:val="24"/>
        </w:rPr>
      </w:pPr>
      <w:r>
        <w:rPr>
          <w:rFonts w:hint="eastAsia" w:ascii="宋体" w:hAnsi="宋体" w:cs="宋体"/>
          <w:b/>
          <w:sz w:val="24"/>
        </w:rPr>
        <w:t>2</w:t>
      </w:r>
      <w:r>
        <w:rPr>
          <w:rFonts w:hint="eastAsia" w:ascii="宋体" w:hAnsi="宋体" w:cs="宋体"/>
          <w:b/>
          <w:sz w:val="24"/>
          <w:lang w:val="en-US" w:eastAsia="zh-CN"/>
        </w:rPr>
        <w:t>9</w:t>
      </w:r>
      <w:r>
        <w:rPr>
          <w:rFonts w:hint="eastAsia" w:ascii="宋体" w:hAnsi="宋体" w:cs="宋体"/>
          <w:b/>
          <w:sz w:val="24"/>
        </w:rPr>
        <w:t>、付款程序</w:t>
      </w:r>
    </w:p>
    <w:p>
      <w:pPr>
        <w:pStyle w:val="20"/>
        <w:keepNext w:val="0"/>
        <w:keepLines w:val="0"/>
        <w:pageBreakBefore w:val="0"/>
        <w:kinsoku/>
        <w:wordWrap/>
        <w:overflowPunct/>
        <w:topLinePunct w:val="0"/>
        <w:bidi w:val="0"/>
        <w:snapToGrid/>
        <w:spacing w:after="0" w:line="440" w:lineRule="exact"/>
        <w:ind w:left="0" w:leftChars="0" w:firstLine="480"/>
        <w:textAlignment w:val="auto"/>
        <w:rPr>
          <w:rFonts w:ascii="仿宋" w:hAnsi="仿宋" w:eastAsia="仿宋"/>
          <w:sz w:val="24"/>
          <w:szCs w:val="24"/>
        </w:rPr>
      </w:pPr>
      <w:r>
        <w:rPr>
          <w:rFonts w:hint="eastAsia" w:ascii="仿宋" w:hAnsi="仿宋" w:eastAsia="仿宋"/>
          <w:sz w:val="24"/>
          <w:szCs w:val="24"/>
        </w:rPr>
        <w:t>所有货款均以人民币支付，由采购人办理具体付款手续。</w:t>
      </w:r>
      <w:bookmarkStart w:id="157" w:name="_Toc16211"/>
      <w:bookmarkStart w:id="158" w:name="_Toc31350"/>
      <w:bookmarkStart w:id="159" w:name="_Toc6201_WPSOffice_Level2"/>
      <w:bookmarkStart w:id="160" w:name="_Toc32522"/>
      <w:bookmarkStart w:id="161" w:name="_Toc20952"/>
      <w:bookmarkStart w:id="162" w:name="_Toc6445"/>
      <w:bookmarkStart w:id="163" w:name="_Toc20755"/>
      <w:bookmarkStart w:id="164" w:name="_Toc13489"/>
      <w:bookmarkStart w:id="165" w:name="_Toc16332"/>
      <w:bookmarkStart w:id="166" w:name="_Toc12952"/>
      <w:bookmarkStart w:id="167" w:name="_Toc171"/>
      <w:bookmarkStart w:id="168" w:name="_Toc11928"/>
      <w:bookmarkStart w:id="169" w:name="_Toc2249"/>
      <w:bookmarkStart w:id="170" w:name="_Toc28648"/>
      <w:bookmarkStart w:id="171" w:name="_Toc22094"/>
      <w:bookmarkStart w:id="172" w:name="_Toc29652"/>
    </w:p>
    <w:p>
      <w:pPr>
        <w:keepNext w:val="0"/>
        <w:keepLines w:val="0"/>
        <w:pageBreakBefore w:val="0"/>
        <w:kinsoku/>
        <w:wordWrap/>
        <w:overflowPunct/>
        <w:topLinePunct w:val="0"/>
        <w:bidi w:val="0"/>
        <w:snapToGrid/>
        <w:spacing w:line="440" w:lineRule="exact"/>
        <w:jc w:val="center"/>
        <w:textAlignment w:val="auto"/>
        <w:outlineLvl w:val="1"/>
        <w:rPr>
          <w:rFonts w:hint="eastAsia" w:ascii="仿宋_GB2312" w:hAnsi="宋体" w:eastAsia="仿宋_GB2312"/>
          <w:b/>
          <w:sz w:val="32"/>
          <w:szCs w:val="32"/>
        </w:rPr>
      </w:pPr>
    </w:p>
    <w:p>
      <w:pPr>
        <w:keepNext w:val="0"/>
        <w:keepLines w:val="0"/>
        <w:pageBreakBefore w:val="0"/>
        <w:kinsoku/>
        <w:wordWrap/>
        <w:overflowPunct/>
        <w:topLinePunct w:val="0"/>
        <w:bidi w:val="0"/>
        <w:snapToGrid/>
        <w:spacing w:line="440" w:lineRule="exact"/>
        <w:jc w:val="center"/>
        <w:textAlignment w:val="auto"/>
        <w:outlineLvl w:val="1"/>
        <w:rPr>
          <w:rFonts w:ascii="仿宋_GB2312" w:hAnsi="宋体" w:eastAsia="仿宋_GB2312"/>
          <w:b/>
          <w:sz w:val="24"/>
        </w:rPr>
      </w:pPr>
      <w:bookmarkStart w:id="173" w:name="_Toc16509"/>
      <w:r>
        <w:rPr>
          <w:rFonts w:hint="eastAsia" w:ascii="仿宋_GB2312" w:hAnsi="宋体" w:eastAsia="仿宋_GB2312"/>
          <w:b/>
          <w:sz w:val="32"/>
          <w:szCs w:val="32"/>
        </w:rPr>
        <w:t>第三章 售后服务要求</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keepNext w:val="0"/>
        <w:keepLines w:val="0"/>
        <w:pageBreakBefore w:val="0"/>
        <w:kinsoku/>
        <w:wordWrap/>
        <w:overflowPunct/>
        <w:topLinePunct w:val="0"/>
        <w:bidi w:val="0"/>
        <w:snapToGrid/>
        <w:spacing w:line="440" w:lineRule="exact"/>
        <w:ind w:left="1" w:firstLine="480" w:firstLineChars="200"/>
        <w:textAlignment w:val="auto"/>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0</w:t>
      </w:r>
      <w:r>
        <w:rPr>
          <w:rFonts w:hint="eastAsia" w:ascii="宋体" w:hAnsi="宋体" w:cs="宋体"/>
          <w:sz w:val="24"/>
          <w:szCs w:val="24"/>
        </w:rPr>
        <w:t>、</w:t>
      </w:r>
      <w:r>
        <w:rPr>
          <w:rFonts w:hint="eastAsia" w:ascii="宋体" w:hAnsi="宋体" w:cs="宋体"/>
          <w:b/>
          <w:sz w:val="24"/>
          <w:szCs w:val="24"/>
        </w:rPr>
        <w:t>售后服务要求</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ascii="仿宋" w:hAnsi="仿宋" w:eastAsia="仿宋"/>
          <w:sz w:val="24"/>
          <w:szCs w:val="24"/>
        </w:rPr>
      </w:pPr>
      <w:bookmarkStart w:id="174" w:name="_Toc9490"/>
      <w:bookmarkStart w:id="175" w:name="_Toc10227"/>
      <w:bookmarkStart w:id="176" w:name="_Toc16091"/>
      <w:bookmarkStart w:id="177" w:name="_Toc13491"/>
      <w:bookmarkStart w:id="178" w:name="_Toc11674"/>
      <w:bookmarkStart w:id="179" w:name="_Toc1558"/>
      <w:bookmarkStart w:id="180" w:name="_Toc25389"/>
      <w:bookmarkStart w:id="181" w:name="_Toc1436"/>
      <w:bookmarkStart w:id="182" w:name="_Toc16263"/>
      <w:bookmarkStart w:id="183" w:name="_Toc6085_WPSOffice_Level1"/>
      <w:bookmarkStart w:id="184" w:name="_Toc7126"/>
      <w:bookmarkStart w:id="185" w:name="_Toc17002"/>
      <w:bookmarkStart w:id="186" w:name="_Toc32653"/>
      <w:bookmarkStart w:id="187" w:name="_Toc21772"/>
      <w:bookmarkStart w:id="188" w:name="_Toc21972"/>
      <w:bookmarkStart w:id="189" w:name="_Toc14435"/>
      <w:r>
        <w:rPr>
          <w:rFonts w:hint="eastAsia" w:ascii="仿宋" w:hAnsi="仿宋" w:eastAsia="仿宋"/>
          <w:sz w:val="24"/>
          <w:szCs w:val="24"/>
        </w:rPr>
        <w:t>2</w:t>
      </w:r>
      <w:r>
        <w:rPr>
          <w:rFonts w:hint="eastAsia" w:ascii="仿宋" w:hAnsi="仿宋" w:eastAsia="仿宋"/>
          <w:sz w:val="24"/>
          <w:szCs w:val="24"/>
          <w:lang w:val="en-US" w:eastAsia="zh-CN"/>
        </w:rPr>
        <w:t>0</w:t>
      </w:r>
      <w:r>
        <w:rPr>
          <w:rFonts w:hint="eastAsia" w:ascii="仿宋" w:hAnsi="仿宋" w:eastAsia="仿宋"/>
          <w:sz w:val="24"/>
          <w:szCs w:val="24"/>
        </w:rPr>
        <w:t>.1 在交付使用后，供应商应对质保期及其以后的服务做出承诺，并具有切实可行的服务措施；</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ascii="仿宋" w:hAnsi="仿宋" w:eastAsia="仿宋"/>
          <w:sz w:val="24"/>
          <w:szCs w:val="24"/>
        </w:rPr>
      </w:pPr>
      <w:r>
        <w:rPr>
          <w:rFonts w:hint="eastAsia" w:ascii="仿宋" w:hAnsi="仿宋" w:eastAsia="仿宋"/>
          <w:sz w:val="24"/>
          <w:szCs w:val="24"/>
        </w:rPr>
        <w:t>2</w:t>
      </w:r>
      <w:r>
        <w:rPr>
          <w:rFonts w:hint="eastAsia" w:ascii="仿宋" w:hAnsi="仿宋" w:eastAsia="仿宋"/>
          <w:sz w:val="24"/>
          <w:szCs w:val="24"/>
          <w:lang w:val="en-US" w:eastAsia="zh-CN"/>
        </w:rPr>
        <w:t>0</w:t>
      </w:r>
      <w:r>
        <w:rPr>
          <w:rFonts w:hint="eastAsia" w:ascii="仿宋" w:hAnsi="仿宋" w:eastAsia="仿宋"/>
          <w:sz w:val="24"/>
          <w:szCs w:val="24"/>
        </w:rPr>
        <w:t>.2 不能及时兑现服务承诺内容而影响采购方使用时，供应商应给予补偿的承诺，在投标文件中均应明确说明；</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ascii="仿宋" w:hAnsi="仿宋" w:eastAsia="仿宋"/>
          <w:sz w:val="24"/>
          <w:szCs w:val="24"/>
          <w:highlight w:val="none"/>
        </w:rPr>
      </w:pPr>
      <w:r>
        <w:rPr>
          <w:rFonts w:hint="eastAsia" w:ascii="仿宋" w:hAnsi="仿宋" w:eastAsia="仿宋"/>
          <w:sz w:val="24"/>
          <w:szCs w:val="24"/>
          <w:highlight w:val="none"/>
        </w:rPr>
        <w:t>2</w:t>
      </w:r>
      <w:r>
        <w:rPr>
          <w:rFonts w:hint="eastAsia" w:ascii="仿宋" w:hAnsi="仿宋" w:eastAsia="仿宋"/>
          <w:sz w:val="24"/>
          <w:szCs w:val="24"/>
          <w:highlight w:val="none"/>
          <w:lang w:val="en-US" w:eastAsia="zh-CN"/>
        </w:rPr>
        <w:t>0</w:t>
      </w:r>
      <w:r>
        <w:rPr>
          <w:rFonts w:hint="eastAsia" w:ascii="仿宋" w:hAnsi="仿宋" w:eastAsia="仿宋"/>
          <w:sz w:val="24"/>
          <w:szCs w:val="24"/>
          <w:highlight w:val="none"/>
        </w:rPr>
        <w:t>.3 供应商在疆内应有常设或指派的法定售后服务</w:t>
      </w:r>
      <w:r>
        <w:rPr>
          <w:rFonts w:hint="eastAsia" w:ascii="仿宋" w:hAnsi="仿宋" w:eastAsia="仿宋"/>
          <w:sz w:val="24"/>
          <w:szCs w:val="24"/>
          <w:highlight w:val="none"/>
          <w:lang w:eastAsia="zh-CN"/>
        </w:rPr>
        <w:t>人员</w:t>
      </w:r>
      <w:r>
        <w:rPr>
          <w:rFonts w:hint="eastAsia" w:ascii="仿宋" w:hAnsi="仿宋" w:eastAsia="仿宋"/>
          <w:sz w:val="24"/>
          <w:szCs w:val="24"/>
          <w:highlight w:val="none"/>
        </w:rPr>
        <w:t>，售后服务人员应是生产厂商派出的具有一定专业技术和服务水平的人员。</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ascii="仿宋" w:hAnsi="仿宋" w:eastAsia="仿宋"/>
          <w:sz w:val="24"/>
          <w:szCs w:val="24"/>
        </w:rPr>
      </w:pPr>
      <w:r>
        <w:rPr>
          <w:rFonts w:hint="eastAsia" w:ascii="仿宋" w:hAnsi="仿宋" w:eastAsia="仿宋"/>
          <w:sz w:val="24"/>
          <w:szCs w:val="24"/>
        </w:rPr>
        <w:t>2</w:t>
      </w:r>
      <w:r>
        <w:rPr>
          <w:rFonts w:hint="eastAsia" w:ascii="仿宋" w:hAnsi="仿宋" w:eastAsia="仿宋"/>
          <w:sz w:val="24"/>
          <w:szCs w:val="24"/>
          <w:lang w:val="en-US" w:eastAsia="zh-CN"/>
        </w:rPr>
        <w:t>0</w:t>
      </w:r>
      <w:r>
        <w:rPr>
          <w:rFonts w:hint="eastAsia" w:ascii="仿宋" w:hAnsi="仿宋" w:eastAsia="仿宋"/>
          <w:sz w:val="24"/>
          <w:szCs w:val="24"/>
        </w:rPr>
        <w:t>.4 供应商接到用户服务要求，应立即响应（包括节假日）；对现场服务要求应于4小时内到达现场实施服务。</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sz w:val="24"/>
          <w:szCs w:val="24"/>
          <w:highlight w:val="none"/>
        </w:rPr>
        <w:t>2</w:t>
      </w:r>
      <w:r>
        <w:rPr>
          <w:rFonts w:hint="eastAsia" w:ascii="仿宋" w:hAnsi="仿宋" w:eastAsia="仿宋"/>
          <w:sz w:val="24"/>
          <w:szCs w:val="24"/>
          <w:highlight w:val="none"/>
          <w:lang w:val="en-US" w:eastAsia="zh-CN"/>
        </w:rPr>
        <w:t>0</w:t>
      </w:r>
      <w:r>
        <w:rPr>
          <w:rFonts w:hint="eastAsia" w:ascii="仿宋" w:hAnsi="仿宋" w:eastAsia="仿宋"/>
          <w:sz w:val="24"/>
          <w:szCs w:val="24"/>
          <w:highlight w:val="none"/>
        </w:rPr>
        <w:t xml:space="preserve">.5 </w:t>
      </w:r>
      <w:r>
        <w:rPr>
          <w:rFonts w:hint="eastAsia" w:ascii="仿宋" w:hAnsi="仿宋" w:eastAsia="仿宋"/>
          <w:sz w:val="24"/>
          <w:szCs w:val="24"/>
          <w:highlight w:val="none"/>
          <w:lang w:eastAsia="zh-CN"/>
        </w:rPr>
        <w:t>提供三年质保，</w:t>
      </w:r>
      <w:r>
        <w:rPr>
          <w:rFonts w:hint="eastAsia" w:ascii="仿宋" w:hAnsi="仿宋" w:eastAsia="仿宋" w:cs="仿宋"/>
          <w:sz w:val="24"/>
          <w:szCs w:val="24"/>
          <w:highlight w:val="none"/>
          <w:lang w:val="en-US" w:eastAsia="zh-CN"/>
        </w:rPr>
        <w:t>三年免费售后维护。</w:t>
      </w:r>
    </w:p>
    <w:p>
      <w:pPr>
        <w:keepNext w:val="0"/>
        <w:keepLines w:val="0"/>
        <w:pageBreakBefore w:val="0"/>
        <w:kinsoku/>
        <w:wordWrap/>
        <w:overflowPunct/>
        <w:topLinePunct w:val="0"/>
        <w:bidi w:val="0"/>
        <w:snapToGrid/>
        <w:spacing w:line="440" w:lineRule="exact"/>
        <w:ind w:left="1" w:firstLine="480" w:firstLineChars="200"/>
        <w:textAlignment w:val="auto"/>
        <w:rPr>
          <w:rFonts w:ascii="仿宋" w:hAnsi="仿宋" w:eastAsia="仿宋"/>
          <w:sz w:val="24"/>
          <w:szCs w:val="24"/>
        </w:rPr>
      </w:pPr>
    </w:p>
    <w:p>
      <w:pPr>
        <w:pStyle w:val="7"/>
        <w:keepNext w:val="0"/>
        <w:keepLines w:val="0"/>
        <w:pageBreakBefore w:val="0"/>
        <w:kinsoku/>
        <w:wordWrap/>
        <w:overflowPunct/>
        <w:topLinePunct w:val="0"/>
        <w:bidi w:val="0"/>
        <w:snapToGrid/>
        <w:spacing w:line="440" w:lineRule="exact"/>
        <w:textAlignment w:val="auto"/>
      </w:pPr>
    </w:p>
    <w:p>
      <w:pPr>
        <w:keepNext w:val="0"/>
        <w:keepLines w:val="0"/>
        <w:pageBreakBefore w:val="0"/>
        <w:kinsoku/>
        <w:wordWrap/>
        <w:overflowPunct/>
        <w:topLinePunct w:val="0"/>
        <w:bidi w:val="0"/>
        <w:snapToGrid/>
        <w:spacing w:line="440" w:lineRule="exact"/>
        <w:jc w:val="center"/>
        <w:textAlignment w:val="auto"/>
        <w:outlineLvl w:val="0"/>
        <w:rPr>
          <w:rFonts w:ascii="宋体" w:hAnsi="宋体"/>
          <w:b/>
          <w:sz w:val="36"/>
          <w:szCs w:val="36"/>
        </w:rPr>
      </w:pPr>
      <w:bookmarkStart w:id="190" w:name="_Toc2713"/>
      <w:r>
        <w:rPr>
          <w:rFonts w:hint="eastAsia" w:ascii="宋体" w:hAnsi="宋体"/>
          <w:b/>
          <w:sz w:val="36"/>
          <w:szCs w:val="36"/>
        </w:rPr>
        <w:t>第四部分  招标组织程序</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keepNext w:val="0"/>
        <w:keepLines w:val="0"/>
        <w:pageBreakBefore w:val="0"/>
        <w:kinsoku/>
        <w:wordWrap/>
        <w:overflowPunct/>
        <w:topLinePunct w:val="0"/>
        <w:bidi w:val="0"/>
        <w:snapToGrid/>
        <w:spacing w:line="440" w:lineRule="exact"/>
        <w:jc w:val="center"/>
        <w:textAlignment w:val="auto"/>
        <w:outlineLvl w:val="1"/>
        <w:rPr>
          <w:rFonts w:ascii="仿宋_GB2312" w:hAnsi="Arial" w:eastAsia="仿宋_GB2312"/>
          <w:b/>
          <w:sz w:val="32"/>
          <w:szCs w:val="32"/>
        </w:rPr>
      </w:pPr>
      <w:bookmarkStart w:id="191" w:name="_Toc2693"/>
      <w:bookmarkStart w:id="192" w:name="_Toc21856"/>
      <w:bookmarkStart w:id="193" w:name="_Toc11673"/>
      <w:bookmarkStart w:id="194" w:name="_Toc3860"/>
      <w:bookmarkStart w:id="195" w:name="_Toc32428"/>
      <w:bookmarkStart w:id="196" w:name="_Toc13642"/>
      <w:bookmarkStart w:id="197" w:name="_Toc12824_WPSOffice_Level2"/>
      <w:bookmarkStart w:id="198" w:name="_Toc22932"/>
      <w:bookmarkStart w:id="199" w:name="_Toc24547"/>
      <w:bookmarkStart w:id="200" w:name="_Toc5601"/>
      <w:bookmarkStart w:id="201" w:name="_Toc5857"/>
      <w:bookmarkStart w:id="202" w:name="_Toc16431"/>
      <w:bookmarkStart w:id="203" w:name="_Toc24345"/>
      <w:bookmarkStart w:id="204" w:name="_Toc12060"/>
      <w:bookmarkStart w:id="205" w:name="_Toc9296"/>
      <w:bookmarkStart w:id="206" w:name="_Toc14569"/>
      <w:bookmarkStart w:id="207" w:name="_Toc5067"/>
      <w:r>
        <w:rPr>
          <w:rFonts w:hint="eastAsia" w:ascii="仿宋_GB2312" w:hAnsi="Arial" w:eastAsia="仿宋_GB2312"/>
          <w:b/>
          <w:sz w:val="32"/>
          <w:szCs w:val="32"/>
        </w:rPr>
        <w:t>第一章 评标委员会</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keepNext w:val="0"/>
        <w:keepLines w:val="0"/>
        <w:pageBreakBefore w:val="0"/>
        <w:kinsoku/>
        <w:wordWrap/>
        <w:overflowPunct/>
        <w:topLinePunct w:val="0"/>
        <w:bidi w:val="0"/>
        <w:snapToGrid/>
        <w:spacing w:line="440" w:lineRule="exact"/>
        <w:ind w:firstLine="474" w:firstLineChars="200"/>
        <w:textAlignment w:val="auto"/>
        <w:rPr>
          <w:rFonts w:ascii="宋体" w:hAnsi="宋体" w:cs="宋体"/>
          <w:b/>
          <w:bCs/>
          <w:spacing w:val="-2"/>
          <w:sz w:val="24"/>
          <w:szCs w:val="24"/>
        </w:rPr>
      </w:pPr>
      <w:r>
        <w:rPr>
          <w:rFonts w:hint="eastAsia" w:ascii="宋体" w:hAnsi="宋体" w:cs="宋体"/>
          <w:b/>
          <w:bCs/>
          <w:spacing w:val="-2"/>
          <w:sz w:val="24"/>
          <w:szCs w:val="24"/>
        </w:rPr>
        <w:t>2</w:t>
      </w:r>
      <w:r>
        <w:rPr>
          <w:rFonts w:hint="eastAsia" w:ascii="宋体" w:hAnsi="宋体" w:cs="宋体"/>
          <w:b/>
          <w:bCs/>
          <w:spacing w:val="-2"/>
          <w:sz w:val="24"/>
          <w:szCs w:val="24"/>
          <w:lang w:val="en-US" w:eastAsia="zh-CN"/>
        </w:rPr>
        <w:t>1</w:t>
      </w:r>
      <w:r>
        <w:rPr>
          <w:rFonts w:hint="eastAsia" w:ascii="宋体" w:hAnsi="宋体" w:cs="宋体"/>
          <w:b/>
          <w:bCs/>
          <w:spacing w:val="-2"/>
          <w:sz w:val="24"/>
          <w:szCs w:val="24"/>
        </w:rPr>
        <w:t>、评标委员会</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200"/>
        <w:textAlignment w:val="auto"/>
        <w:rPr>
          <w:rFonts w:ascii="仿宋" w:hAnsi="仿宋" w:eastAsia="仿宋" w:cs="仿宋"/>
          <w:spacing w:val="-2"/>
          <w:sz w:val="24"/>
        </w:rPr>
      </w:pPr>
      <w:r>
        <w:rPr>
          <w:rFonts w:hint="eastAsia" w:ascii="仿宋" w:hAnsi="仿宋" w:eastAsia="仿宋" w:cs="仿宋"/>
          <w:spacing w:val="-2"/>
          <w:sz w:val="24"/>
        </w:rPr>
        <w:t>2</w:t>
      </w:r>
      <w:r>
        <w:rPr>
          <w:rFonts w:hint="eastAsia" w:ascii="仿宋" w:hAnsi="仿宋" w:eastAsia="仿宋" w:cs="仿宋"/>
          <w:spacing w:val="-2"/>
          <w:sz w:val="24"/>
          <w:lang w:val="en-US" w:eastAsia="zh-CN"/>
        </w:rPr>
        <w:t>1</w:t>
      </w:r>
      <w:r>
        <w:rPr>
          <w:rFonts w:hint="eastAsia" w:ascii="仿宋" w:hAnsi="仿宋" w:eastAsia="仿宋" w:cs="仿宋"/>
          <w:spacing w:val="-2"/>
          <w:sz w:val="24"/>
        </w:rPr>
        <w:t>.1 集采机构根据《政府采购法》等法律法规的规定，通过新疆政采云平台专家库抽取评审专家依法组建本次招标的评标委员会</w:t>
      </w:r>
      <w:r>
        <w:rPr>
          <w:rFonts w:hint="eastAsia" w:ascii="仿宋" w:hAnsi="仿宋" w:eastAsia="仿宋" w:cs="仿宋"/>
          <w:sz w:val="28"/>
          <w:szCs w:val="28"/>
        </w:rPr>
        <w:t>，</w:t>
      </w:r>
      <w:r>
        <w:rPr>
          <w:rFonts w:hint="eastAsia" w:ascii="仿宋" w:hAnsi="仿宋" w:eastAsia="仿宋" w:cs="仿宋"/>
          <w:spacing w:val="-2"/>
          <w:sz w:val="24"/>
        </w:rPr>
        <w:t>负责本次招标的评标活动。评标委员会负责向采购人、集采机构推荐中标候选人。</w:t>
      </w:r>
    </w:p>
    <w:p>
      <w:pPr>
        <w:keepNext w:val="0"/>
        <w:keepLines w:val="0"/>
        <w:pageBreakBefore w:val="0"/>
        <w:kinsoku/>
        <w:wordWrap/>
        <w:overflowPunct/>
        <w:topLinePunct w:val="0"/>
        <w:autoSpaceDE/>
        <w:autoSpaceDN/>
        <w:bidi w:val="0"/>
        <w:adjustRightInd/>
        <w:snapToGrid/>
        <w:spacing w:line="440" w:lineRule="exact"/>
        <w:ind w:firstLine="472" w:firstLineChars="200"/>
        <w:textAlignment w:val="auto"/>
        <w:rPr>
          <w:rFonts w:ascii="仿宋" w:hAnsi="仿宋" w:eastAsia="仿宋" w:cs="仿宋"/>
          <w:spacing w:val="-2"/>
          <w:sz w:val="24"/>
        </w:rPr>
      </w:pPr>
      <w:r>
        <w:rPr>
          <w:rFonts w:hint="eastAsia" w:ascii="仿宋" w:hAnsi="仿宋" w:eastAsia="仿宋" w:cs="仿宋"/>
          <w:spacing w:val="-2"/>
          <w:sz w:val="24"/>
        </w:rPr>
        <w:t>2</w:t>
      </w:r>
      <w:r>
        <w:rPr>
          <w:rFonts w:hint="eastAsia" w:ascii="仿宋" w:hAnsi="仿宋" w:eastAsia="仿宋" w:cs="仿宋"/>
          <w:spacing w:val="-2"/>
          <w:sz w:val="24"/>
          <w:lang w:val="en-US" w:eastAsia="zh-CN"/>
        </w:rPr>
        <w:t>1</w:t>
      </w:r>
      <w:r>
        <w:rPr>
          <w:rFonts w:hint="eastAsia" w:ascii="仿宋" w:hAnsi="仿宋" w:eastAsia="仿宋" w:cs="仿宋"/>
          <w:spacing w:val="-2"/>
          <w:sz w:val="24"/>
        </w:rPr>
        <w:t>.2 评标委员会人选于开标前确定，成员名单在中标结果确定前保密。</w:t>
      </w:r>
    </w:p>
    <w:p>
      <w:pPr>
        <w:keepNext w:val="0"/>
        <w:keepLines w:val="0"/>
        <w:pageBreakBefore w:val="0"/>
        <w:kinsoku/>
        <w:wordWrap/>
        <w:overflowPunct/>
        <w:topLinePunct w:val="0"/>
        <w:autoSpaceDE/>
        <w:autoSpaceDN/>
        <w:bidi w:val="0"/>
        <w:adjustRightInd/>
        <w:snapToGrid/>
        <w:spacing w:line="440" w:lineRule="exact"/>
        <w:ind w:firstLine="472" w:firstLineChars="200"/>
        <w:textAlignment w:val="auto"/>
        <w:rPr>
          <w:rFonts w:ascii="仿宋" w:hAnsi="仿宋" w:eastAsia="仿宋" w:cs="仿宋"/>
          <w:spacing w:val="-2"/>
          <w:sz w:val="24"/>
        </w:rPr>
      </w:pPr>
      <w:r>
        <w:rPr>
          <w:rFonts w:hint="eastAsia" w:ascii="仿宋" w:hAnsi="仿宋" w:eastAsia="仿宋" w:cs="仿宋"/>
          <w:spacing w:val="-2"/>
          <w:sz w:val="24"/>
        </w:rPr>
        <w:t>2</w:t>
      </w:r>
      <w:r>
        <w:rPr>
          <w:rFonts w:hint="eastAsia" w:ascii="仿宋" w:hAnsi="仿宋" w:eastAsia="仿宋" w:cs="仿宋"/>
          <w:spacing w:val="-2"/>
          <w:sz w:val="24"/>
          <w:lang w:val="en-US" w:eastAsia="zh-CN"/>
        </w:rPr>
        <w:t>1</w:t>
      </w:r>
      <w:r>
        <w:rPr>
          <w:rFonts w:hint="eastAsia" w:ascii="仿宋" w:hAnsi="仿宋" w:eastAsia="仿宋" w:cs="仿宋"/>
          <w:spacing w:val="-2"/>
          <w:sz w:val="24"/>
        </w:rPr>
        <w:t>.3评标委员会由</w:t>
      </w:r>
      <w:r>
        <w:rPr>
          <w:rFonts w:hint="eastAsia" w:ascii="仿宋" w:hAnsi="仿宋" w:eastAsia="仿宋" w:cs="仿宋"/>
          <w:spacing w:val="-2"/>
          <w:sz w:val="24"/>
          <w:lang w:eastAsia="zh-CN"/>
        </w:rPr>
        <w:t>采购人代表和评审专家</w:t>
      </w:r>
      <w:r>
        <w:rPr>
          <w:rFonts w:hint="eastAsia" w:ascii="仿宋" w:hAnsi="仿宋" w:eastAsia="仿宋" w:cs="仿宋"/>
          <w:spacing w:val="-2"/>
          <w:sz w:val="24"/>
        </w:rPr>
        <w:t>组成，成员为5人以上的单数，其中评审专家成员人数不少于成员总数的三分之二。</w:t>
      </w:r>
    </w:p>
    <w:p>
      <w:pPr>
        <w:pStyle w:val="1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72" w:firstLineChars="200"/>
        <w:jc w:val="both"/>
        <w:textAlignment w:val="auto"/>
        <w:rPr>
          <w:rFonts w:ascii="仿宋" w:hAnsi="仿宋" w:eastAsia="仿宋" w:cs="仿宋"/>
          <w:color w:val="auto"/>
          <w:spacing w:val="-2"/>
          <w:kern w:val="2"/>
          <w:szCs w:val="20"/>
        </w:rPr>
      </w:pPr>
      <w:r>
        <w:rPr>
          <w:rFonts w:hint="eastAsia" w:ascii="仿宋" w:hAnsi="仿宋" w:eastAsia="仿宋" w:cs="仿宋"/>
          <w:color w:val="auto"/>
          <w:spacing w:val="-2"/>
          <w:kern w:val="2"/>
          <w:szCs w:val="20"/>
        </w:rPr>
        <w:t>2</w:t>
      </w:r>
      <w:r>
        <w:rPr>
          <w:rFonts w:hint="eastAsia" w:ascii="仿宋" w:hAnsi="仿宋" w:eastAsia="仿宋" w:cs="仿宋"/>
          <w:color w:val="auto"/>
          <w:spacing w:val="-2"/>
          <w:kern w:val="2"/>
          <w:szCs w:val="20"/>
          <w:lang w:val="en-US" w:eastAsia="zh-CN"/>
        </w:rPr>
        <w:t>1</w:t>
      </w:r>
      <w:r>
        <w:rPr>
          <w:rFonts w:hint="eastAsia" w:ascii="仿宋" w:hAnsi="仿宋" w:eastAsia="仿宋" w:cs="仿宋"/>
          <w:color w:val="auto"/>
          <w:spacing w:val="-2"/>
          <w:kern w:val="2"/>
          <w:szCs w:val="20"/>
        </w:rPr>
        <w:t>.4对技术复杂、专业性强的采购项目，通过随机方式难以确定合适评审专家的，经主管预算单位同意，采购人可以自行选定相应专业领域的评审专家。</w:t>
      </w:r>
    </w:p>
    <w:p>
      <w:pPr>
        <w:keepNext w:val="0"/>
        <w:keepLines w:val="0"/>
        <w:pageBreakBefore w:val="0"/>
        <w:kinsoku/>
        <w:wordWrap/>
        <w:overflowPunct/>
        <w:topLinePunct w:val="0"/>
        <w:autoSpaceDE/>
        <w:autoSpaceDN/>
        <w:bidi w:val="0"/>
        <w:adjustRightInd/>
        <w:snapToGrid/>
        <w:spacing w:line="440" w:lineRule="exact"/>
        <w:ind w:firstLine="472" w:firstLineChars="200"/>
        <w:textAlignment w:val="auto"/>
        <w:rPr>
          <w:rFonts w:ascii="仿宋" w:hAnsi="仿宋" w:eastAsia="仿宋" w:cs="仿宋"/>
          <w:spacing w:val="-2"/>
          <w:sz w:val="24"/>
        </w:rPr>
      </w:pPr>
      <w:r>
        <w:rPr>
          <w:rFonts w:hint="eastAsia" w:ascii="仿宋" w:hAnsi="仿宋" w:eastAsia="仿宋" w:cs="仿宋"/>
          <w:spacing w:val="-2"/>
          <w:sz w:val="24"/>
        </w:rPr>
        <w:t>2</w:t>
      </w:r>
      <w:r>
        <w:rPr>
          <w:rFonts w:hint="eastAsia" w:ascii="仿宋" w:hAnsi="仿宋" w:eastAsia="仿宋" w:cs="仿宋"/>
          <w:spacing w:val="-2"/>
          <w:sz w:val="24"/>
          <w:lang w:val="en-US" w:eastAsia="zh-CN"/>
        </w:rPr>
        <w:t>1</w:t>
      </w:r>
      <w:r>
        <w:rPr>
          <w:rFonts w:hint="eastAsia" w:ascii="仿宋" w:hAnsi="仿宋" w:eastAsia="仿宋" w:cs="仿宋"/>
          <w:spacing w:val="-2"/>
          <w:sz w:val="24"/>
        </w:rPr>
        <w:t>.5有下列情形之一的，不得担任评标委员会成员：</w:t>
      </w:r>
    </w:p>
    <w:p>
      <w:pPr>
        <w:keepNext w:val="0"/>
        <w:keepLines w:val="0"/>
        <w:pageBreakBefore w:val="0"/>
        <w:kinsoku/>
        <w:wordWrap/>
        <w:overflowPunct/>
        <w:topLinePunct w:val="0"/>
        <w:autoSpaceDE/>
        <w:autoSpaceDN/>
        <w:bidi w:val="0"/>
        <w:adjustRightInd/>
        <w:snapToGrid/>
        <w:spacing w:line="440" w:lineRule="exact"/>
        <w:ind w:firstLine="472" w:firstLineChars="200"/>
        <w:textAlignment w:val="auto"/>
        <w:rPr>
          <w:rFonts w:ascii="仿宋" w:hAnsi="仿宋" w:eastAsia="仿宋" w:cs="仿宋"/>
          <w:spacing w:val="-2"/>
          <w:sz w:val="24"/>
        </w:rPr>
      </w:pPr>
      <w:r>
        <w:rPr>
          <w:rFonts w:hint="eastAsia" w:ascii="仿宋" w:hAnsi="仿宋" w:eastAsia="仿宋" w:cs="仿宋"/>
          <w:spacing w:val="-2"/>
          <w:sz w:val="24"/>
        </w:rPr>
        <w:t>（1）与投标人或者投标主要负责人有近亲关系的；</w:t>
      </w:r>
    </w:p>
    <w:p>
      <w:pPr>
        <w:keepNext w:val="0"/>
        <w:keepLines w:val="0"/>
        <w:pageBreakBefore w:val="0"/>
        <w:kinsoku/>
        <w:wordWrap/>
        <w:overflowPunct/>
        <w:topLinePunct w:val="0"/>
        <w:bidi w:val="0"/>
        <w:snapToGrid/>
        <w:spacing w:line="440" w:lineRule="exact"/>
        <w:ind w:firstLine="472" w:firstLineChars="200"/>
        <w:textAlignment w:val="auto"/>
        <w:rPr>
          <w:rFonts w:ascii="仿宋" w:hAnsi="仿宋" w:eastAsia="仿宋" w:cs="仿宋"/>
          <w:spacing w:val="-2"/>
          <w:sz w:val="24"/>
        </w:rPr>
      </w:pPr>
      <w:r>
        <w:rPr>
          <w:rFonts w:hint="eastAsia" w:ascii="仿宋" w:hAnsi="仿宋" w:eastAsia="仿宋" w:cs="仿宋"/>
          <w:spacing w:val="-2"/>
          <w:sz w:val="24"/>
        </w:rPr>
        <w:t>（2）与项目主管部门或者行政监督部门的人员有近亲关系的；</w:t>
      </w:r>
    </w:p>
    <w:p>
      <w:pPr>
        <w:keepNext w:val="0"/>
        <w:keepLines w:val="0"/>
        <w:pageBreakBefore w:val="0"/>
        <w:kinsoku/>
        <w:wordWrap/>
        <w:overflowPunct/>
        <w:topLinePunct w:val="0"/>
        <w:bidi w:val="0"/>
        <w:snapToGrid/>
        <w:spacing w:line="440" w:lineRule="exact"/>
        <w:ind w:firstLine="472" w:firstLineChars="200"/>
        <w:textAlignment w:val="auto"/>
        <w:rPr>
          <w:rFonts w:ascii="仿宋" w:hAnsi="仿宋" w:eastAsia="仿宋" w:cs="仿宋"/>
          <w:spacing w:val="-2"/>
          <w:sz w:val="24"/>
        </w:rPr>
      </w:pPr>
      <w:r>
        <w:rPr>
          <w:rFonts w:hint="eastAsia" w:ascii="仿宋" w:hAnsi="仿宋" w:eastAsia="仿宋" w:cs="仿宋"/>
          <w:spacing w:val="-2"/>
          <w:sz w:val="24"/>
        </w:rPr>
        <w:t>（3）与投标人有经济利益关系，可能影响对投标公正评审的；</w:t>
      </w:r>
    </w:p>
    <w:p>
      <w:pPr>
        <w:keepNext w:val="0"/>
        <w:keepLines w:val="0"/>
        <w:pageBreakBefore w:val="0"/>
        <w:kinsoku/>
        <w:wordWrap/>
        <w:overflowPunct/>
        <w:topLinePunct w:val="0"/>
        <w:bidi w:val="0"/>
        <w:snapToGrid/>
        <w:spacing w:line="440" w:lineRule="exact"/>
        <w:ind w:firstLine="472" w:firstLineChars="200"/>
        <w:textAlignment w:val="auto"/>
        <w:rPr>
          <w:rFonts w:ascii="仿宋" w:hAnsi="仿宋" w:eastAsia="仿宋" w:cs="仿宋"/>
          <w:spacing w:val="-2"/>
          <w:sz w:val="24"/>
        </w:rPr>
      </w:pPr>
      <w:r>
        <w:rPr>
          <w:rFonts w:hint="eastAsia" w:ascii="仿宋" w:hAnsi="仿宋" w:eastAsia="仿宋" w:cs="仿宋"/>
          <w:spacing w:val="-2"/>
          <w:sz w:val="24"/>
        </w:rPr>
        <w:t>（4）曾因在招标、评标以及其他与招标投标有关活动中从事违法行为而受过行政处罚或刑事处罚的。</w:t>
      </w:r>
    </w:p>
    <w:p>
      <w:pPr>
        <w:keepNext w:val="0"/>
        <w:keepLines w:val="0"/>
        <w:pageBreakBefore w:val="0"/>
        <w:kinsoku/>
        <w:wordWrap/>
        <w:overflowPunct/>
        <w:topLinePunct w:val="0"/>
        <w:bidi w:val="0"/>
        <w:snapToGrid/>
        <w:spacing w:line="440" w:lineRule="exact"/>
        <w:ind w:firstLine="472" w:firstLineChars="200"/>
        <w:textAlignment w:val="auto"/>
        <w:rPr>
          <w:rFonts w:ascii="仿宋" w:hAnsi="仿宋" w:eastAsia="仿宋" w:cs="仿宋"/>
          <w:spacing w:val="-2"/>
          <w:sz w:val="24"/>
        </w:rPr>
      </w:pPr>
      <w:r>
        <w:rPr>
          <w:rFonts w:hint="eastAsia" w:ascii="仿宋" w:hAnsi="仿宋" w:eastAsia="仿宋" w:cs="仿宋"/>
          <w:spacing w:val="-2"/>
          <w:sz w:val="24"/>
        </w:rPr>
        <w:t>招标委员会成员有前款规定情形之一的，应当主动提出回避。</w:t>
      </w:r>
    </w:p>
    <w:p>
      <w:pPr>
        <w:keepNext w:val="0"/>
        <w:keepLines w:val="0"/>
        <w:pageBreakBefore w:val="0"/>
        <w:kinsoku/>
        <w:wordWrap/>
        <w:overflowPunct/>
        <w:topLinePunct w:val="0"/>
        <w:bidi w:val="0"/>
        <w:snapToGrid/>
        <w:spacing w:line="440" w:lineRule="exact"/>
        <w:ind w:firstLine="472" w:firstLineChars="200"/>
        <w:textAlignment w:val="auto"/>
        <w:rPr>
          <w:rFonts w:ascii="仿宋" w:hAnsi="仿宋" w:eastAsia="仿宋" w:cs="仿宋"/>
          <w:spacing w:val="-2"/>
          <w:sz w:val="24"/>
        </w:rPr>
      </w:pPr>
      <w:r>
        <w:rPr>
          <w:rFonts w:hint="eastAsia" w:ascii="仿宋" w:hAnsi="仿宋" w:eastAsia="仿宋" w:cs="仿宋"/>
          <w:spacing w:val="-2"/>
          <w:sz w:val="24"/>
        </w:rPr>
        <w:t>2</w:t>
      </w:r>
      <w:r>
        <w:rPr>
          <w:rFonts w:hint="eastAsia" w:ascii="仿宋" w:hAnsi="仿宋" w:eastAsia="仿宋" w:cs="仿宋"/>
          <w:spacing w:val="-2"/>
          <w:sz w:val="24"/>
          <w:lang w:val="en-US" w:eastAsia="zh-CN"/>
        </w:rPr>
        <w:t>1.</w:t>
      </w:r>
      <w:r>
        <w:rPr>
          <w:rFonts w:hint="eastAsia" w:ascii="仿宋" w:hAnsi="仿宋" w:eastAsia="仿宋" w:cs="仿宋"/>
          <w:spacing w:val="-2"/>
          <w:sz w:val="24"/>
        </w:rPr>
        <w:t>6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keepNext w:val="0"/>
        <w:keepLines w:val="0"/>
        <w:pageBreakBefore w:val="0"/>
        <w:kinsoku/>
        <w:wordWrap/>
        <w:overflowPunct/>
        <w:topLinePunct w:val="0"/>
        <w:bidi w:val="0"/>
        <w:snapToGrid/>
        <w:spacing w:line="440" w:lineRule="exact"/>
        <w:ind w:firstLine="472" w:firstLineChars="200"/>
        <w:textAlignment w:val="auto"/>
        <w:rPr>
          <w:rFonts w:ascii="仿宋" w:hAnsi="仿宋" w:eastAsia="仿宋" w:cs="仿宋"/>
          <w:spacing w:val="-2"/>
          <w:sz w:val="24"/>
        </w:rPr>
      </w:pPr>
      <w:r>
        <w:rPr>
          <w:rFonts w:hint="eastAsia" w:ascii="仿宋" w:hAnsi="仿宋" w:eastAsia="仿宋" w:cs="仿宋"/>
          <w:spacing w:val="-2"/>
          <w:sz w:val="24"/>
        </w:rPr>
        <w:t>2</w:t>
      </w:r>
      <w:r>
        <w:rPr>
          <w:rFonts w:hint="eastAsia" w:ascii="仿宋" w:hAnsi="仿宋" w:eastAsia="仿宋" w:cs="仿宋"/>
          <w:spacing w:val="-2"/>
          <w:sz w:val="24"/>
          <w:lang w:val="en-US" w:eastAsia="zh-CN"/>
        </w:rPr>
        <w:t>1</w:t>
      </w:r>
      <w:r>
        <w:rPr>
          <w:rFonts w:hint="eastAsia" w:ascii="仿宋" w:hAnsi="仿宋" w:eastAsia="仿宋" w:cs="仿宋"/>
          <w:spacing w:val="-2"/>
          <w:sz w:val="24"/>
        </w:rPr>
        <w:t>.7 评标委员会成员和与本次评标活动有关的工作人员（是指评标委员会成员以外的、因参与评标监督工作或者事务性工作而知悉有关评标情况的所有人员），不得透露对投标文件的评审和比较、中标候选人的推荐情况以及与评标有关的其他情况。</w:t>
      </w:r>
    </w:p>
    <w:p>
      <w:pPr>
        <w:keepNext w:val="0"/>
        <w:keepLines w:val="0"/>
        <w:pageBreakBefore w:val="0"/>
        <w:kinsoku/>
        <w:wordWrap/>
        <w:overflowPunct/>
        <w:topLinePunct w:val="0"/>
        <w:bidi w:val="0"/>
        <w:snapToGrid/>
        <w:spacing w:line="440" w:lineRule="exact"/>
        <w:ind w:firstLine="472" w:firstLineChars="200"/>
        <w:textAlignment w:val="auto"/>
        <w:rPr>
          <w:rFonts w:ascii="仿宋" w:hAnsi="仿宋" w:eastAsia="仿宋" w:cs="仿宋"/>
          <w:spacing w:val="-2"/>
          <w:sz w:val="24"/>
        </w:rPr>
      </w:pPr>
      <w:r>
        <w:rPr>
          <w:rFonts w:hint="eastAsia" w:ascii="仿宋" w:hAnsi="仿宋" w:eastAsia="仿宋" w:cs="仿宋"/>
          <w:spacing w:val="-2"/>
          <w:sz w:val="24"/>
        </w:rPr>
        <w:t>2</w:t>
      </w:r>
      <w:r>
        <w:rPr>
          <w:rFonts w:hint="eastAsia" w:ascii="仿宋" w:hAnsi="仿宋" w:eastAsia="仿宋" w:cs="仿宋"/>
          <w:spacing w:val="-2"/>
          <w:sz w:val="24"/>
          <w:lang w:val="en-US" w:eastAsia="zh-CN"/>
        </w:rPr>
        <w:t>1</w:t>
      </w:r>
      <w:r>
        <w:rPr>
          <w:rFonts w:hint="eastAsia" w:ascii="仿宋" w:hAnsi="仿宋" w:eastAsia="仿宋" w:cs="仿宋"/>
          <w:spacing w:val="-2"/>
          <w:sz w:val="24"/>
        </w:rPr>
        <w:t>.8 如果出现有效投标投标人不足三家时，由于项目紧急，经财政部门（政府采购监督管理部门）批准，改为非招标采购方式进行采购时，依法组建的评标委员则变更为评审小组，负责项目的评审活动。</w:t>
      </w:r>
    </w:p>
    <w:p>
      <w:pPr>
        <w:pStyle w:val="14"/>
        <w:keepNext w:val="0"/>
        <w:keepLines w:val="0"/>
        <w:pageBreakBefore w:val="0"/>
        <w:kinsoku/>
        <w:wordWrap/>
        <w:overflowPunct/>
        <w:topLinePunct w:val="0"/>
        <w:bidi w:val="0"/>
        <w:snapToGrid/>
        <w:spacing w:line="440" w:lineRule="exact"/>
        <w:textAlignment w:val="auto"/>
      </w:pPr>
    </w:p>
    <w:p>
      <w:pPr>
        <w:keepNext w:val="0"/>
        <w:keepLines w:val="0"/>
        <w:pageBreakBefore w:val="0"/>
        <w:kinsoku/>
        <w:wordWrap/>
        <w:overflowPunct/>
        <w:topLinePunct w:val="0"/>
        <w:bidi w:val="0"/>
        <w:snapToGrid/>
        <w:spacing w:line="440" w:lineRule="exact"/>
        <w:jc w:val="center"/>
        <w:textAlignment w:val="auto"/>
        <w:outlineLvl w:val="1"/>
        <w:rPr>
          <w:rFonts w:ascii="仿宋_GB2312" w:hAnsi="宋体" w:eastAsia="仿宋_GB2312"/>
          <w:b/>
          <w:sz w:val="36"/>
          <w:szCs w:val="36"/>
        </w:rPr>
      </w:pPr>
      <w:bookmarkStart w:id="208" w:name="_Toc5310"/>
      <w:bookmarkStart w:id="209" w:name="_Toc27601"/>
      <w:bookmarkStart w:id="210" w:name="_Toc31133"/>
      <w:bookmarkStart w:id="211" w:name="_Toc3158"/>
      <w:bookmarkStart w:id="212" w:name="_Toc11010"/>
      <w:bookmarkStart w:id="213" w:name="_Toc30123"/>
      <w:bookmarkStart w:id="214" w:name="_Toc5221"/>
      <w:bookmarkStart w:id="215" w:name="_Toc18663"/>
      <w:bookmarkStart w:id="216" w:name="_Toc14029"/>
      <w:bookmarkStart w:id="217" w:name="_Toc29911"/>
      <w:bookmarkStart w:id="218" w:name="_Toc26278"/>
      <w:bookmarkStart w:id="219" w:name="_Toc30581"/>
      <w:bookmarkStart w:id="220" w:name="_Toc21414_WPSOffice_Level2"/>
      <w:bookmarkStart w:id="221" w:name="_Toc17276"/>
      <w:bookmarkStart w:id="222" w:name="_Toc20987"/>
      <w:bookmarkStart w:id="223" w:name="_Toc5971"/>
      <w:bookmarkStart w:id="224" w:name="_Toc15017"/>
      <w:r>
        <w:rPr>
          <w:rFonts w:hint="eastAsia" w:ascii="仿宋_GB2312" w:hAnsi="宋体" w:eastAsia="仿宋_GB2312"/>
          <w:b/>
          <w:sz w:val="36"/>
          <w:szCs w:val="36"/>
        </w:rPr>
        <w:t>第二章</w:t>
      </w:r>
      <w:bookmarkEnd w:id="208"/>
      <w:bookmarkEnd w:id="209"/>
      <w:bookmarkEnd w:id="210"/>
      <w:bookmarkEnd w:id="211"/>
      <w:bookmarkEnd w:id="212"/>
      <w:bookmarkEnd w:id="213"/>
      <w:bookmarkEnd w:id="214"/>
      <w:bookmarkEnd w:id="215"/>
      <w:bookmarkEnd w:id="216"/>
      <w:bookmarkEnd w:id="217"/>
      <w:bookmarkEnd w:id="218"/>
      <w:bookmarkEnd w:id="219"/>
      <w:bookmarkStart w:id="225" w:name="_Toc23163"/>
      <w:bookmarkStart w:id="226" w:name="_Toc9579"/>
      <w:bookmarkStart w:id="227" w:name="_Toc18928"/>
      <w:bookmarkStart w:id="228" w:name="_Toc5921"/>
      <w:bookmarkStart w:id="229" w:name="_Toc7041"/>
      <w:bookmarkStart w:id="230" w:name="_Toc4041"/>
      <w:bookmarkStart w:id="231" w:name="_Toc31036"/>
      <w:bookmarkStart w:id="232" w:name="_Toc5996"/>
      <w:bookmarkStart w:id="233" w:name="_Toc11172"/>
      <w:bookmarkStart w:id="234" w:name="_Toc29733"/>
      <w:bookmarkStart w:id="235" w:name="_Toc30083"/>
      <w:bookmarkStart w:id="236" w:name="_Toc20347"/>
      <w:r>
        <w:rPr>
          <w:rFonts w:hint="eastAsia" w:ascii="仿宋_GB2312" w:hAnsi="宋体" w:eastAsia="仿宋_GB2312"/>
          <w:b/>
          <w:sz w:val="36"/>
          <w:szCs w:val="36"/>
        </w:rPr>
        <w:t xml:space="preserve"> 开评标和</w:t>
      </w:r>
      <w:bookmarkEnd w:id="220"/>
      <w:bookmarkEnd w:id="221"/>
      <w:bookmarkEnd w:id="222"/>
      <w:bookmarkEnd w:id="223"/>
      <w:bookmarkEnd w:id="225"/>
      <w:bookmarkEnd w:id="226"/>
      <w:bookmarkEnd w:id="227"/>
      <w:bookmarkEnd w:id="228"/>
      <w:bookmarkEnd w:id="229"/>
      <w:bookmarkEnd w:id="230"/>
      <w:bookmarkEnd w:id="231"/>
      <w:bookmarkEnd w:id="232"/>
      <w:bookmarkEnd w:id="233"/>
      <w:bookmarkEnd w:id="234"/>
      <w:bookmarkEnd w:id="235"/>
      <w:bookmarkEnd w:id="236"/>
      <w:r>
        <w:rPr>
          <w:rFonts w:hint="eastAsia" w:ascii="仿宋_GB2312" w:hAnsi="宋体" w:eastAsia="仿宋_GB2312"/>
          <w:b/>
          <w:sz w:val="36"/>
          <w:szCs w:val="36"/>
        </w:rPr>
        <w:t>定标</w:t>
      </w:r>
      <w:bookmarkEnd w:id="224"/>
    </w:p>
    <w:p>
      <w:pPr>
        <w:keepNext w:val="0"/>
        <w:keepLines w:val="0"/>
        <w:pageBreakBefore w:val="0"/>
        <w:kinsoku/>
        <w:wordWrap/>
        <w:overflowPunct/>
        <w:topLinePunct w:val="0"/>
        <w:bidi w:val="0"/>
        <w:snapToGrid/>
        <w:spacing w:line="440" w:lineRule="exact"/>
        <w:ind w:firstLine="482" w:firstLineChars="200"/>
        <w:textAlignment w:val="auto"/>
        <w:rPr>
          <w:rFonts w:ascii="Arial" w:hAnsi="Arial"/>
          <w:b/>
          <w:sz w:val="24"/>
        </w:rPr>
      </w:pPr>
      <w:r>
        <w:rPr>
          <w:rFonts w:hint="eastAsia" w:ascii="Arial" w:hAnsi="Arial"/>
          <w:b/>
          <w:sz w:val="24"/>
        </w:rPr>
        <w:t>2</w:t>
      </w:r>
      <w:r>
        <w:rPr>
          <w:rFonts w:hint="eastAsia" w:ascii="Arial" w:hAnsi="Arial"/>
          <w:b/>
          <w:sz w:val="24"/>
          <w:lang w:val="en-US" w:eastAsia="zh-CN"/>
        </w:rPr>
        <w:t>2</w:t>
      </w:r>
      <w:r>
        <w:rPr>
          <w:rFonts w:hint="eastAsia" w:ascii="Arial" w:hAnsi="Arial"/>
          <w:b/>
          <w:sz w:val="24"/>
        </w:rPr>
        <w:t>、开标</w:t>
      </w:r>
    </w:p>
    <w:p>
      <w:pPr>
        <w:keepNext w:val="0"/>
        <w:keepLines w:val="0"/>
        <w:pageBreakBefore w:val="0"/>
        <w:kinsoku/>
        <w:wordWrap/>
        <w:overflowPunct/>
        <w:topLinePunct w:val="0"/>
        <w:bidi w:val="0"/>
        <w:snapToGrid/>
        <w:spacing w:line="440" w:lineRule="exact"/>
        <w:ind w:firstLine="482" w:firstLineChars="200"/>
        <w:textAlignment w:val="auto"/>
        <w:rPr>
          <w:rFonts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lang w:val="en-US" w:eastAsia="zh-CN"/>
        </w:rPr>
        <w:t>2</w:t>
      </w:r>
      <w:r>
        <w:rPr>
          <w:rFonts w:hint="eastAsia" w:ascii="仿宋" w:hAnsi="仿宋" w:eastAsia="仿宋" w:cs="仿宋"/>
          <w:b/>
          <w:sz w:val="24"/>
        </w:rPr>
        <w:t>.1　组织开标</w:t>
      </w:r>
    </w:p>
    <w:p>
      <w:pPr>
        <w:keepNext w:val="0"/>
        <w:keepLines w:val="0"/>
        <w:pageBreakBefore w:val="0"/>
        <w:kinsoku/>
        <w:wordWrap/>
        <w:overflowPunct/>
        <w:topLinePunct w:val="0"/>
        <w:bidi w:val="0"/>
        <w:snapToGrid/>
        <w:spacing w:line="440" w:lineRule="exact"/>
        <w:ind w:firstLine="480" w:firstLineChars="200"/>
        <w:textAlignment w:val="auto"/>
        <w:rPr>
          <w:rFonts w:ascii="仿宋" w:hAnsi="仿宋" w:eastAsia="仿宋" w:cs="仿宋"/>
          <w:b/>
          <w:sz w:val="24"/>
        </w:rPr>
      </w:pPr>
      <w:r>
        <w:rPr>
          <w:rFonts w:hint="eastAsia" w:ascii="仿宋" w:hAnsi="仿宋" w:eastAsia="仿宋" w:cs="仿宋"/>
          <w:bCs/>
          <w:sz w:val="24"/>
        </w:rPr>
        <w:t>（1）</w:t>
      </w:r>
      <w:r>
        <w:rPr>
          <w:rFonts w:hint="eastAsia" w:ascii="仿宋" w:hAnsi="仿宋" w:eastAsia="仿宋" w:cs="仿宋"/>
          <w:b/>
          <w:sz w:val="24"/>
        </w:rPr>
        <w:t>本项目采用不见面开标方式进行，投标人不需要到达开标现场。集采机构按照招标文件规定的时间、地点在“新疆政府采购云平台”不见面开标大厅主持开标。</w:t>
      </w:r>
    </w:p>
    <w:p>
      <w:pPr>
        <w:keepNext w:val="0"/>
        <w:keepLines w:val="0"/>
        <w:pageBreakBefore w:val="0"/>
        <w:kinsoku/>
        <w:wordWrap/>
        <w:overflowPunct/>
        <w:topLinePunct w:val="0"/>
        <w:bidi w:val="0"/>
        <w:snapToGrid/>
        <w:spacing w:line="440" w:lineRule="exact"/>
        <w:ind w:firstLine="480" w:firstLineChars="200"/>
        <w:textAlignment w:val="auto"/>
        <w:rPr>
          <w:rFonts w:ascii="仿宋" w:hAnsi="仿宋" w:eastAsia="仿宋" w:cs="仿宋"/>
          <w:bCs/>
          <w:sz w:val="24"/>
        </w:rPr>
      </w:pPr>
      <w:r>
        <w:rPr>
          <w:rFonts w:hint="eastAsia" w:ascii="仿宋" w:hAnsi="仿宋" w:eastAsia="仿宋" w:cs="仿宋"/>
          <w:bCs/>
          <w:sz w:val="24"/>
        </w:rPr>
        <w:t>（2）开标前，集中采购机构将会同监督人员进行验标（检查网上</w:t>
      </w:r>
      <w:r>
        <w:rPr>
          <w:rFonts w:hint="eastAsia" w:ascii="仿宋" w:hAnsi="仿宋" w:eastAsia="仿宋" w:cs="仿宋"/>
          <w:bCs/>
          <w:sz w:val="24"/>
          <w:u w:val="single"/>
        </w:rPr>
        <w:t>采购</w:t>
      </w:r>
      <w:r>
        <w:rPr>
          <w:rFonts w:hint="eastAsia" w:ascii="仿宋" w:hAnsi="仿宋" w:eastAsia="仿宋" w:cs="仿宋"/>
          <w:bCs/>
          <w:sz w:val="24"/>
        </w:rPr>
        <w:t>系统正常与否，检查有无未加密的电子投标文件），确认无误后开标。开标时，各投标人应对本单位的加密的电子投标文件远程电子解密，集中采购机构、采购单位监督人员监督下解密所有投标文件。</w:t>
      </w:r>
    </w:p>
    <w:p>
      <w:pPr>
        <w:keepNext w:val="0"/>
        <w:keepLines w:val="0"/>
        <w:pageBreakBefore w:val="0"/>
        <w:kinsoku/>
        <w:wordWrap/>
        <w:overflowPunct/>
        <w:topLinePunct w:val="0"/>
        <w:bidi w:val="0"/>
        <w:snapToGrid/>
        <w:spacing w:line="440" w:lineRule="exact"/>
        <w:ind w:firstLine="480" w:firstLineChars="200"/>
        <w:textAlignment w:val="auto"/>
        <w:rPr>
          <w:rFonts w:ascii="仿宋" w:hAnsi="仿宋" w:eastAsia="仿宋" w:cs="仿宋"/>
          <w:bCs/>
          <w:sz w:val="24"/>
        </w:rPr>
      </w:pPr>
      <w:r>
        <w:rPr>
          <w:rFonts w:hint="eastAsia" w:ascii="仿宋" w:hAnsi="仿宋" w:eastAsia="仿宋" w:cs="仿宋"/>
          <w:bCs/>
          <w:sz w:val="24"/>
        </w:rPr>
        <w:t>（3）开标时，集中采购机构将通过网上开标系统公布投标人名称、投标价格，以及集中采购机构认为合适的其它详细内容。投标人若有报价和优惠未被唱出，应在开标时及时声明或提请注意，否则集中采购机构对此不承担任何责任。</w:t>
      </w:r>
    </w:p>
    <w:p>
      <w:pPr>
        <w:keepNext w:val="0"/>
        <w:keepLines w:val="0"/>
        <w:pageBreakBefore w:val="0"/>
        <w:kinsoku/>
        <w:wordWrap/>
        <w:overflowPunct/>
        <w:topLinePunct w:val="0"/>
        <w:bidi w:val="0"/>
        <w:snapToGrid/>
        <w:spacing w:line="440" w:lineRule="exact"/>
        <w:ind w:firstLine="482" w:firstLineChars="200"/>
        <w:textAlignment w:val="auto"/>
        <w:rPr>
          <w:rFonts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lang w:val="en-US" w:eastAsia="zh-CN"/>
        </w:rPr>
        <w:t>2</w:t>
      </w:r>
      <w:r>
        <w:rPr>
          <w:rFonts w:hint="eastAsia" w:ascii="仿宋" w:hAnsi="仿宋" w:eastAsia="仿宋" w:cs="仿宋"/>
          <w:b/>
          <w:sz w:val="24"/>
        </w:rPr>
        <w:t>.2 资质审查</w:t>
      </w:r>
    </w:p>
    <w:p>
      <w:pPr>
        <w:keepNext w:val="0"/>
        <w:keepLines w:val="0"/>
        <w:pageBreakBefore w:val="0"/>
        <w:kinsoku/>
        <w:wordWrap/>
        <w:overflowPunct/>
        <w:topLinePunct w:val="0"/>
        <w:bidi w:val="0"/>
        <w:snapToGrid/>
        <w:spacing w:line="440" w:lineRule="exact"/>
        <w:ind w:firstLine="480" w:firstLineChars="200"/>
        <w:textAlignment w:val="auto"/>
        <w:rPr>
          <w:rFonts w:ascii="仿宋" w:hAnsi="仿宋" w:eastAsia="仿宋" w:cs="仿宋"/>
          <w:bCs/>
          <w:sz w:val="24"/>
        </w:rPr>
      </w:pPr>
      <w:r>
        <w:rPr>
          <w:rFonts w:hint="eastAsia" w:ascii="仿宋" w:hAnsi="仿宋" w:eastAsia="仿宋" w:cs="仿宋"/>
          <w:bCs/>
          <w:sz w:val="24"/>
        </w:rPr>
        <w:t>（1）投标人投标资格审查由采购人在监督人的现场监督下逐一审查其资格是否符合招标文件规定要求。</w:t>
      </w:r>
      <w:r>
        <w:rPr>
          <w:rFonts w:hint="eastAsia" w:ascii="仿宋" w:hAnsi="仿宋" w:eastAsia="仿宋"/>
          <w:sz w:val="24"/>
          <w:szCs w:val="24"/>
        </w:rPr>
        <w:t>资格符合招标文件规定的投标人方可予以评标</w:t>
      </w:r>
      <w:r>
        <w:rPr>
          <w:rFonts w:hint="eastAsia" w:ascii="仿宋" w:hAnsi="仿宋" w:eastAsia="仿宋" w:cs="仿宋"/>
          <w:bCs/>
          <w:sz w:val="24"/>
        </w:rPr>
        <w:t>。</w:t>
      </w:r>
    </w:p>
    <w:p>
      <w:pPr>
        <w:keepNext w:val="0"/>
        <w:keepLines w:val="0"/>
        <w:pageBreakBefore w:val="0"/>
        <w:kinsoku/>
        <w:wordWrap/>
        <w:overflowPunct/>
        <w:topLinePunct w:val="0"/>
        <w:bidi w:val="0"/>
        <w:snapToGrid/>
        <w:spacing w:line="440" w:lineRule="exact"/>
        <w:ind w:firstLine="480" w:firstLineChars="200"/>
        <w:textAlignment w:val="auto"/>
        <w:rPr>
          <w:rFonts w:ascii="仿宋" w:hAnsi="仿宋" w:eastAsia="仿宋" w:cs="仿宋"/>
          <w:bCs/>
          <w:sz w:val="24"/>
        </w:rPr>
      </w:pPr>
      <w:r>
        <w:rPr>
          <w:rFonts w:hint="eastAsia" w:ascii="仿宋" w:hAnsi="仿宋" w:eastAsia="仿宋" w:cs="仿宋"/>
          <w:bCs/>
          <w:sz w:val="24"/>
        </w:rPr>
        <w:t>（2）投标资格审查内容：详见本招标文件第一章“投标资质要求”条款。</w:t>
      </w:r>
    </w:p>
    <w:p>
      <w:pPr>
        <w:keepNext w:val="0"/>
        <w:keepLines w:val="0"/>
        <w:pageBreakBefore w:val="0"/>
        <w:kinsoku/>
        <w:wordWrap/>
        <w:overflowPunct/>
        <w:topLinePunct w:val="0"/>
        <w:bidi w:val="0"/>
        <w:snapToGrid/>
        <w:spacing w:line="440" w:lineRule="exact"/>
        <w:ind w:firstLine="482" w:firstLineChars="200"/>
        <w:textAlignment w:val="auto"/>
        <w:rPr>
          <w:rFonts w:ascii="宋体" w:hAnsi="宋体" w:cs="宋体"/>
          <w:b/>
          <w:sz w:val="24"/>
        </w:rPr>
      </w:pPr>
      <w:r>
        <w:rPr>
          <w:rFonts w:hint="eastAsia" w:ascii="宋体" w:hAnsi="宋体" w:cs="宋体"/>
          <w:b/>
          <w:sz w:val="24"/>
        </w:rPr>
        <w:t>2</w:t>
      </w:r>
      <w:r>
        <w:rPr>
          <w:rFonts w:hint="eastAsia" w:ascii="宋体" w:hAnsi="宋体" w:cs="宋体"/>
          <w:b/>
          <w:sz w:val="24"/>
          <w:lang w:val="en-US" w:eastAsia="zh-CN"/>
        </w:rPr>
        <w:t>3</w:t>
      </w:r>
      <w:r>
        <w:rPr>
          <w:rFonts w:hint="eastAsia" w:ascii="宋体" w:hAnsi="宋体" w:cs="宋体"/>
          <w:b/>
          <w:sz w:val="24"/>
        </w:rPr>
        <w:t>、评标</w:t>
      </w:r>
    </w:p>
    <w:p>
      <w:pPr>
        <w:keepNext w:val="0"/>
        <w:keepLines w:val="0"/>
        <w:pageBreakBefore w:val="0"/>
        <w:kinsoku/>
        <w:wordWrap/>
        <w:overflowPunct/>
        <w:topLinePunct w:val="0"/>
        <w:bidi w:val="0"/>
        <w:snapToGrid/>
        <w:spacing w:line="440" w:lineRule="exact"/>
        <w:ind w:firstLine="474" w:firstLineChars="200"/>
        <w:textAlignment w:val="auto"/>
        <w:rPr>
          <w:rFonts w:ascii="仿宋" w:hAnsi="仿宋" w:eastAsia="仿宋" w:cs="仿宋"/>
          <w:b/>
          <w:spacing w:val="-2"/>
          <w:sz w:val="24"/>
          <w:szCs w:val="24"/>
        </w:rPr>
      </w:pPr>
      <w:r>
        <w:rPr>
          <w:rFonts w:hint="eastAsia" w:ascii="仿宋" w:hAnsi="仿宋" w:eastAsia="仿宋" w:cs="仿宋"/>
          <w:b/>
          <w:spacing w:val="-2"/>
          <w:sz w:val="24"/>
          <w:szCs w:val="24"/>
        </w:rPr>
        <w:t>2</w:t>
      </w:r>
      <w:r>
        <w:rPr>
          <w:rFonts w:hint="eastAsia" w:ascii="仿宋" w:hAnsi="仿宋" w:eastAsia="仿宋" w:cs="仿宋"/>
          <w:b/>
          <w:spacing w:val="-2"/>
          <w:sz w:val="24"/>
          <w:szCs w:val="24"/>
          <w:lang w:val="en-US" w:eastAsia="zh-CN"/>
        </w:rPr>
        <w:t>3</w:t>
      </w:r>
      <w:r>
        <w:rPr>
          <w:rFonts w:hint="eastAsia" w:ascii="仿宋" w:hAnsi="仿宋" w:eastAsia="仿宋" w:cs="仿宋"/>
          <w:b/>
          <w:spacing w:val="-2"/>
          <w:sz w:val="24"/>
          <w:szCs w:val="24"/>
        </w:rPr>
        <w:t>.1 评标依据</w:t>
      </w:r>
    </w:p>
    <w:p>
      <w:pPr>
        <w:keepNext w:val="0"/>
        <w:keepLines w:val="0"/>
        <w:pageBreakBefore w:val="0"/>
        <w:kinsoku/>
        <w:wordWrap/>
        <w:overflowPunct/>
        <w:topLinePunct w:val="0"/>
        <w:bidi w:val="0"/>
        <w:snapToGrid/>
        <w:spacing w:line="440" w:lineRule="exact"/>
        <w:ind w:firstLine="480" w:firstLineChars="200"/>
        <w:textAlignment w:val="auto"/>
        <w:rPr>
          <w:rFonts w:ascii="仿宋" w:hAnsi="仿宋" w:eastAsia="仿宋" w:cs="仿宋"/>
          <w:bCs/>
          <w:sz w:val="24"/>
        </w:rPr>
      </w:pPr>
      <w:r>
        <w:rPr>
          <w:rFonts w:hint="eastAsia" w:ascii="仿宋" w:hAnsi="仿宋" w:eastAsia="仿宋" w:cs="仿宋"/>
          <w:bCs/>
          <w:sz w:val="24"/>
        </w:rPr>
        <w:t>（1）评标的依据只能是集采机构的招标文件、投标人递交的投标文件，以及相关有效的补充、修改文件。</w:t>
      </w:r>
    </w:p>
    <w:p>
      <w:pPr>
        <w:keepNext w:val="0"/>
        <w:keepLines w:val="0"/>
        <w:pageBreakBefore w:val="0"/>
        <w:kinsoku/>
        <w:wordWrap/>
        <w:overflowPunct/>
        <w:topLinePunct w:val="0"/>
        <w:bidi w:val="0"/>
        <w:snapToGrid/>
        <w:spacing w:line="440" w:lineRule="exact"/>
        <w:ind w:firstLine="480" w:firstLineChars="200"/>
        <w:textAlignment w:val="auto"/>
        <w:rPr>
          <w:rFonts w:ascii="仿宋" w:hAnsi="仿宋" w:eastAsia="仿宋" w:cs="仿宋"/>
          <w:bCs/>
          <w:sz w:val="24"/>
        </w:rPr>
      </w:pPr>
      <w:r>
        <w:rPr>
          <w:rFonts w:hint="eastAsia" w:ascii="仿宋" w:hAnsi="仿宋" w:eastAsia="仿宋" w:cs="仿宋"/>
          <w:bCs/>
          <w:sz w:val="24"/>
        </w:rPr>
        <w:t>（2）评标应当根据招标文件规定的评标标准和方法，对投标文件进行系统地评审和比较,招标文件中没有规定的标准和方法不得作为评标的依据。</w:t>
      </w:r>
    </w:p>
    <w:p>
      <w:pPr>
        <w:keepNext w:val="0"/>
        <w:keepLines w:val="0"/>
        <w:pageBreakBefore w:val="0"/>
        <w:kinsoku/>
        <w:wordWrap/>
        <w:overflowPunct/>
        <w:topLinePunct w:val="0"/>
        <w:bidi w:val="0"/>
        <w:snapToGrid/>
        <w:spacing w:line="440" w:lineRule="exact"/>
        <w:ind w:firstLine="482" w:firstLineChars="200"/>
        <w:textAlignment w:val="auto"/>
        <w:rPr>
          <w:rFonts w:ascii="仿宋" w:hAnsi="仿宋" w:eastAsia="仿宋" w:cs="仿宋"/>
          <w:b/>
          <w:bCs/>
          <w:sz w:val="24"/>
        </w:rPr>
      </w:pPr>
      <w:r>
        <w:rPr>
          <w:rFonts w:hint="eastAsia" w:ascii="仿宋" w:hAnsi="仿宋" w:eastAsia="仿宋" w:cs="仿宋"/>
          <w:b/>
          <w:bCs/>
          <w:sz w:val="24"/>
        </w:rPr>
        <w:t>2</w:t>
      </w:r>
      <w:r>
        <w:rPr>
          <w:rFonts w:hint="eastAsia" w:ascii="仿宋" w:hAnsi="仿宋" w:eastAsia="仿宋" w:cs="仿宋"/>
          <w:b/>
          <w:bCs/>
          <w:sz w:val="24"/>
          <w:lang w:val="en-US" w:eastAsia="zh-CN"/>
        </w:rPr>
        <w:t>3</w:t>
      </w:r>
      <w:r>
        <w:rPr>
          <w:rFonts w:hint="eastAsia" w:ascii="仿宋" w:hAnsi="仿宋" w:eastAsia="仿宋" w:cs="仿宋"/>
          <w:b/>
          <w:bCs/>
          <w:sz w:val="24"/>
        </w:rPr>
        <w:t>.2　评标方法</w:t>
      </w:r>
    </w:p>
    <w:p>
      <w:pPr>
        <w:keepNext w:val="0"/>
        <w:keepLines w:val="0"/>
        <w:pageBreakBefore w:val="0"/>
        <w:kinsoku/>
        <w:wordWrap/>
        <w:overflowPunct/>
        <w:topLinePunct w:val="0"/>
        <w:bidi w:val="0"/>
        <w:snapToGrid/>
        <w:spacing w:line="440" w:lineRule="exact"/>
        <w:ind w:firstLine="426" w:firstLineChars="177"/>
        <w:textAlignment w:val="auto"/>
        <w:rPr>
          <w:rFonts w:ascii="仿宋" w:hAnsi="仿宋" w:eastAsia="仿宋"/>
          <w:b/>
          <w:sz w:val="24"/>
          <w:szCs w:val="24"/>
        </w:rPr>
      </w:pPr>
      <w:r>
        <w:rPr>
          <w:rFonts w:hint="eastAsia" w:ascii="仿宋" w:hAnsi="仿宋" w:eastAsia="仿宋"/>
          <w:b/>
          <w:sz w:val="24"/>
          <w:szCs w:val="24"/>
        </w:rPr>
        <w:t>2</w:t>
      </w:r>
      <w:r>
        <w:rPr>
          <w:rFonts w:hint="eastAsia" w:ascii="仿宋" w:hAnsi="仿宋" w:eastAsia="仿宋"/>
          <w:b/>
          <w:sz w:val="24"/>
          <w:szCs w:val="24"/>
          <w:lang w:val="en-US" w:eastAsia="zh-CN"/>
        </w:rPr>
        <w:t>3</w:t>
      </w:r>
      <w:r>
        <w:rPr>
          <w:rFonts w:hint="eastAsia" w:ascii="仿宋" w:hAnsi="仿宋" w:eastAsia="仿宋"/>
          <w:b/>
          <w:sz w:val="24"/>
          <w:szCs w:val="24"/>
        </w:rPr>
        <w:t>.2.1本次评标采用综合评分法</w:t>
      </w:r>
    </w:p>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sz w:val="24"/>
          <w:szCs w:val="24"/>
          <w:highlight w:val="red"/>
        </w:rPr>
      </w:pPr>
      <w:r>
        <w:rPr>
          <w:rFonts w:hint="eastAsia" w:ascii="仿宋" w:hAnsi="仿宋" w:eastAsia="仿宋"/>
          <w:sz w:val="24"/>
          <w:szCs w:val="24"/>
        </w:rPr>
        <w:t>综合评分法:是指投标文件满足招标文件全部实质性要求，且按照评审因素的量化指标评审得分最高的投标人为中标候选人的评标方法。</w:t>
      </w:r>
      <w:bookmarkStart w:id="237" w:name="_Toc13052"/>
      <w:r>
        <w:rPr>
          <w:rFonts w:hint="eastAsia" w:ascii="仿宋" w:hAnsi="仿宋" w:eastAsia="仿宋"/>
          <w:sz w:val="24"/>
          <w:szCs w:val="24"/>
        </w:rPr>
        <w:t>具体评审方式按以下表格顺序进行评审（对所有投标人按资格性审查、符合性审查，审查的顺序进行审查，通过的合格投标人进行商务评审、技术评审、经济评审）。</w:t>
      </w:r>
    </w:p>
    <w:p>
      <w:pPr>
        <w:keepNext w:val="0"/>
        <w:keepLines w:val="0"/>
        <w:pageBreakBefore w:val="0"/>
        <w:kinsoku/>
        <w:wordWrap/>
        <w:overflowPunct/>
        <w:topLinePunct w:val="0"/>
        <w:bidi w:val="0"/>
        <w:snapToGrid/>
        <w:spacing w:line="440" w:lineRule="exact"/>
        <w:ind w:firstLine="480"/>
        <w:jc w:val="center"/>
        <w:textAlignment w:val="auto"/>
        <w:rPr>
          <w:rFonts w:hint="eastAsia" w:ascii="仿宋" w:hAnsi="仿宋" w:eastAsia="仿宋" w:cs="Times New Roman"/>
          <w:sz w:val="24"/>
          <w:szCs w:val="24"/>
        </w:rPr>
      </w:pPr>
      <w:r>
        <w:rPr>
          <w:rFonts w:hint="eastAsia" w:ascii="仿宋" w:hAnsi="仿宋" w:eastAsia="仿宋" w:cs="Times New Roman"/>
          <w:sz w:val="24"/>
          <w:szCs w:val="24"/>
        </w:rPr>
        <w:t>资格审查表</w:t>
      </w:r>
    </w:p>
    <w:tbl>
      <w:tblPr>
        <w:tblStyle w:val="21"/>
        <w:tblpPr w:leftFromText="180" w:rightFromText="180" w:vertAnchor="text" w:horzAnchor="page" w:tblpXSpec="center" w:tblpY="283"/>
        <w:tblOverlap w:val="never"/>
        <w:tblW w:w="9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6004"/>
        <w:gridCol w:w="142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 w:hRule="atLeast"/>
        </w:trPr>
        <w:tc>
          <w:tcPr>
            <w:tcW w:w="672" w:type="dxa"/>
            <w:shd w:val="clear" w:color="auto" w:fill="F1F1F1"/>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序号</w:t>
            </w:r>
          </w:p>
        </w:tc>
        <w:tc>
          <w:tcPr>
            <w:tcW w:w="6004" w:type="dxa"/>
            <w:shd w:val="clear" w:color="auto" w:fill="F1F1F1"/>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审查项目</w:t>
            </w:r>
          </w:p>
        </w:tc>
        <w:tc>
          <w:tcPr>
            <w:tcW w:w="1424" w:type="dxa"/>
            <w:shd w:val="clear" w:color="auto" w:fill="F1F1F1"/>
            <w:noWrap w:val="0"/>
            <w:vAlign w:val="center"/>
          </w:tcPr>
          <w:p>
            <w:pPr>
              <w:keepNext w:val="0"/>
              <w:keepLines w:val="0"/>
              <w:pageBreakBefore w:val="0"/>
              <w:kinsoku/>
              <w:wordWrap/>
              <w:overflowPunct/>
              <w:topLinePunct w:val="0"/>
              <w:bidi w:val="0"/>
              <w:snapToGrid/>
              <w:spacing w:line="440" w:lineRule="exact"/>
              <w:textAlignment w:val="auto"/>
              <w:rPr>
                <w:rFonts w:hint="default"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审查标准</w:t>
            </w:r>
          </w:p>
        </w:tc>
        <w:tc>
          <w:tcPr>
            <w:tcW w:w="1419" w:type="dxa"/>
            <w:shd w:val="clear" w:color="auto" w:fill="F1F1F1"/>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 w:hRule="atLeast"/>
        </w:trPr>
        <w:tc>
          <w:tcPr>
            <w:tcW w:w="672"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1</w:t>
            </w:r>
          </w:p>
        </w:tc>
        <w:tc>
          <w:tcPr>
            <w:tcW w:w="6004" w:type="dxa"/>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法人代表授权书原件扫描件；</w:t>
            </w:r>
          </w:p>
        </w:tc>
        <w:tc>
          <w:tcPr>
            <w:tcW w:w="1424" w:type="dxa"/>
            <w:noWrap w:val="0"/>
            <w:vAlign w:val="center"/>
          </w:tcPr>
          <w:p>
            <w:pPr>
              <w:keepNext w:val="0"/>
              <w:keepLines w:val="0"/>
              <w:pageBreakBefore w:val="0"/>
              <w:kinsoku/>
              <w:wordWrap/>
              <w:overflowPunct/>
              <w:topLinePunct w:val="0"/>
              <w:bidi w:val="0"/>
              <w:snapToGrid/>
              <w:spacing w:line="440" w:lineRule="exact"/>
              <w:textAlignment w:val="auto"/>
              <w:rPr>
                <w:rFonts w:hint="default"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合法有效</w:t>
            </w:r>
          </w:p>
        </w:tc>
        <w:tc>
          <w:tcPr>
            <w:tcW w:w="1419" w:type="dxa"/>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672"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2</w:t>
            </w:r>
          </w:p>
        </w:tc>
        <w:tc>
          <w:tcPr>
            <w:tcW w:w="6004" w:type="dxa"/>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法人及被授权人《居民身份证》原件扫描件；</w:t>
            </w:r>
          </w:p>
        </w:tc>
        <w:tc>
          <w:tcPr>
            <w:tcW w:w="1424" w:type="dxa"/>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lang w:val="en-US" w:eastAsia="zh-CN"/>
              </w:rPr>
              <w:t>合法有效</w:t>
            </w:r>
          </w:p>
        </w:tc>
        <w:tc>
          <w:tcPr>
            <w:tcW w:w="1419" w:type="dxa"/>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672"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3</w:t>
            </w:r>
          </w:p>
        </w:tc>
        <w:tc>
          <w:tcPr>
            <w:tcW w:w="6004" w:type="dxa"/>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具有独立承担民事责任的能力【提供有效期内营业执照副本原件扫描件加盖供应商公章】；</w:t>
            </w:r>
          </w:p>
        </w:tc>
        <w:tc>
          <w:tcPr>
            <w:tcW w:w="1424" w:type="dxa"/>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lang w:val="en-US" w:eastAsia="zh-CN"/>
              </w:rPr>
              <w:t>合法有效</w:t>
            </w:r>
          </w:p>
        </w:tc>
        <w:tc>
          <w:tcPr>
            <w:tcW w:w="1419" w:type="dxa"/>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672"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Times New Roman"/>
                <w:sz w:val="24"/>
                <w:szCs w:val="24"/>
                <w:highlight w:val="none"/>
                <w:lang w:eastAsia="zh-CN"/>
              </w:rPr>
            </w:pPr>
            <w:r>
              <w:rPr>
                <w:rFonts w:hint="eastAsia" w:ascii="仿宋" w:hAnsi="仿宋" w:eastAsia="仿宋" w:cs="Times New Roman"/>
                <w:sz w:val="24"/>
                <w:szCs w:val="24"/>
                <w:highlight w:val="none"/>
                <w:lang w:val="en-US" w:eastAsia="zh-CN"/>
              </w:rPr>
              <w:t>4</w:t>
            </w:r>
          </w:p>
        </w:tc>
        <w:tc>
          <w:tcPr>
            <w:tcW w:w="6004" w:type="dxa"/>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具有良好的商业信誉和健全的财务会计制度【提供2024年任意一个月财务报表】；</w:t>
            </w:r>
          </w:p>
        </w:tc>
        <w:tc>
          <w:tcPr>
            <w:tcW w:w="1424" w:type="dxa"/>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lang w:val="en-US" w:eastAsia="zh-CN"/>
              </w:rPr>
              <w:t>合法有效</w:t>
            </w:r>
          </w:p>
        </w:tc>
        <w:tc>
          <w:tcPr>
            <w:tcW w:w="1419" w:type="dxa"/>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2"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Times New Roman"/>
                <w:sz w:val="24"/>
                <w:szCs w:val="24"/>
                <w:highlight w:val="none"/>
                <w:lang w:eastAsia="zh-CN"/>
              </w:rPr>
            </w:pPr>
            <w:r>
              <w:rPr>
                <w:rFonts w:hint="eastAsia" w:ascii="仿宋" w:hAnsi="仿宋" w:eastAsia="仿宋" w:cs="Times New Roman"/>
                <w:sz w:val="24"/>
                <w:szCs w:val="24"/>
                <w:highlight w:val="none"/>
                <w:lang w:val="en-US" w:eastAsia="zh-CN"/>
              </w:rPr>
              <w:t>5</w:t>
            </w:r>
          </w:p>
        </w:tc>
        <w:tc>
          <w:tcPr>
            <w:tcW w:w="6004" w:type="dxa"/>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具备履行合同所必需的设备和专业技术能力书面声明【提供原件扫描件（格式附后）】;</w:t>
            </w:r>
          </w:p>
        </w:tc>
        <w:tc>
          <w:tcPr>
            <w:tcW w:w="1424" w:type="dxa"/>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lang w:val="en-US" w:eastAsia="zh-CN"/>
              </w:rPr>
              <w:t>合法有效</w:t>
            </w:r>
          </w:p>
        </w:tc>
        <w:tc>
          <w:tcPr>
            <w:tcW w:w="1419" w:type="dxa"/>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2"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6</w:t>
            </w:r>
          </w:p>
        </w:tc>
        <w:tc>
          <w:tcPr>
            <w:tcW w:w="6004" w:type="dxa"/>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有依法缴纳税收和社会保障资金的良好纪录【提供为其员工缴纳社保资金证明和依法纳税证明原件扫描件加盖供应商公章】；</w:t>
            </w:r>
          </w:p>
        </w:tc>
        <w:tc>
          <w:tcPr>
            <w:tcW w:w="1424" w:type="dxa"/>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lang w:val="en-US" w:eastAsia="zh-CN"/>
              </w:rPr>
              <w:t>合法有效</w:t>
            </w:r>
          </w:p>
        </w:tc>
        <w:tc>
          <w:tcPr>
            <w:tcW w:w="1419" w:type="dxa"/>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2"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7</w:t>
            </w:r>
          </w:p>
        </w:tc>
        <w:tc>
          <w:tcPr>
            <w:tcW w:w="6004" w:type="dxa"/>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参加采购活动前三年内，在经营活动中没有重大违法记录【提供《无重大违法记录声明函》原件扫描件（格式附后）和“信用中国”网站（ http://www.creditchina.gov.cn/ ）无违法违规行为的查询纪录网页截图】</w:t>
            </w:r>
          </w:p>
        </w:tc>
        <w:tc>
          <w:tcPr>
            <w:tcW w:w="1424" w:type="dxa"/>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lang w:val="en-US" w:eastAsia="zh-CN"/>
              </w:rPr>
              <w:t>合法有效</w:t>
            </w:r>
          </w:p>
        </w:tc>
        <w:tc>
          <w:tcPr>
            <w:tcW w:w="1419" w:type="dxa"/>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trPr>
        <w:tc>
          <w:tcPr>
            <w:tcW w:w="6676" w:type="dxa"/>
            <w:gridSpan w:val="2"/>
            <w:noWrap w:val="0"/>
            <w:vAlign w:val="center"/>
          </w:tcPr>
          <w:p>
            <w:pPr>
              <w:keepNext w:val="0"/>
              <w:keepLines w:val="0"/>
              <w:pageBreakBefore w:val="0"/>
              <w:kinsoku/>
              <w:wordWrap/>
              <w:overflowPunct/>
              <w:topLinePunct w:val="0"/>
              <w:bidi w:val="0"/>
              <w:snapToGrid/>
              <w:spacing w:line="440" w:lineRule="exact"/>
              <w:ind w:firstLine="3422" w:firstLineChars="1426"/>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结论</w:t>
            </w:r>
          </w:p>
        </w:tc>
        <w:tc>
          <w:tcPr>
            <w:tcW w:w="1424" w:type="dxa"/>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p>
        </w:tc>
        <w:tc>
          <w:tcPr>
            <w:tcW w:w="1419" w:type="dxa"/>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8100" w:type="dxa"/>
            <w:gridSpan w:val="3"/>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r>
              <w:rPr>
                <w:rFonts w:hint="eastAsia" w:ascii="仿宋" w:hAnsi="仿宋" w:eastAsia="仿宋" w:cs="Times New Roman"/>
                <w:b/>
                <w:bCs/>
                <w:sz w:val="24"/>
                <w:szCs w:val="24"/>
                <w:highlight w:val="none"/>
                <w:lang w:eastAsia="zh-CN"/>
              </w:rPr>
              <w:t>备注：</w:t>
            </w:r>
            <w:r>
              <w:rPr>
                <w:rFonts w:hint="eastAsia" w:ascii="仿宋" w:hAnsi="仿宋" w:eastAsia="仿宋" w:cs="Times New Roman"/>
                <w:b/>
                <w:bCs/>
                <w:sz w:val="24"/>
                <w:szCs w:val="24"/>
                <w:highlight w:val="none"/>
              </w:rPr>
              <w:t>合格供应商不足三家的，不进行</w:t>
            </w:r>
            <w:r>
              <w:rPr>
                <w:rFonts w:hint="eastAsia" w:ascii="仿宋" w:hAnsi="仿宋" w:eastAsia="仿宋" w:cs="Times New Roman"/>
                <w:b/>
                <w:bCs/>
                <w:sz w:val="24"/>
                <w:szCs w:val="24"/>
                <w:highlight w:val="none"/>
                <w:lang w:eastAsia="zh-CN"/>
              </w:rPr>
              <w:t>下一阶段评审。</w:t>
            </w:r>
          </w:p>
        </w:tc>
        <w:tc>
          <w:tcPr>
            <w:tcW w:w="1419" w:type="dxa"/>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b/>
                <w:bCs/>
                <w:sz w:val="24"/>
                <w:szCs w:val="24"/>
                <w:highlight w:val="none"/>
                <w:lang w:eastAsia="zh-CN"/>
              </w:rPr>
            </w:pPr>
          </w:p>
        </w:tc>
      </w:tr>
    </w:tbl>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rPr>
      </w:pPr>
      <w:bookmarkStart w:id="238" w:name="_Hlk53931039"/>
    </w:p>
    <w:p>
      <w:pPr>
        <w:keepNext w:val="0"/>
        <w:keepLines w:val="0"/>
        <w:pageBreakBefore w:val="0"/>
        <w:kinsoku/>
        <w:wordWrap/>
        <w:overflowPunct/>
        <w:topLinePunct w:val="0"/>
        <w:bidi w:val="0"/>
        <w:snapToGrid/>
        <w:spacing w:line="440" w:lineRule="exact"/>
        <w:ind w:firstLine="480"/>
        <w:jc w:val="center"/>
        <w:textAlignment w:val="auto"/>
        <w:rPr>
          <w:rFonts w:hint="eastAsia" w:ascii="仿宋" w:hAnsi="仿宋" w:eastAsia="仿宋" w:cs="Times New Roman"/>
          <w:b/>
          <w:bCs/>
          <w:sz w:val="24"/>
          <w:szCs w:val="24"/>
        </w:rPr>
      </w:pPr>
      <w:r>
        <w:rPr>
          <w:rFonts w:hint="eastAsia" w:ascii="仿宋" w:hAnsi="仿宋" w:eastAsia="仿宋" w:cs="Times New Roman"/>
          <w:b/>
          <w:bCs/>
          <w:sz w:val="24"/>
          <w:szCs w:val="24"/>
        </w:rPr>
        <w:t>符合性审查表</w:t>
      </w:r>
      <w:bookmarkEnd w:id="238"/>
    </w:p>
    <w:tbl>
      <w:tblPr>
        <w:tblStyle w:val="21"/>
        <w:tblW w:w="95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7112"/>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 w:hRule="atLeast"/>
          <w:jc w:val="center"/>
        </w:trPr>
        <w:tc>
          <w:tcPr>
            <w:tcW w:w="721" w:type="dxa"/>
            <w:shd w:val="clear" w:color="auto" w:fill="F1F1F1"/>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bookmarkStart w:id="239" w:name="_Hlk53996341"/>
            <w:r>
              <w:rPr>
                <w:rFonts w:hint="eastAsia" w:ascii="仿宋" w:hAnsi="仿宋" w:eastAsia="仿宋" w:cs="Times New Roman"/>
                <w:sz w:val="24"/>
                <w:szCs w:val="24"/>
                <w:highlight w:val="none"/>
              </w:rPr>
              <w:t>序号</w:t>
            </w:r>
          </w:p>
        </w:tc>
        <w:tc>
          <w:tcPr>
            <w:tcW w:w="7112" w:type="dxa"/>
            <w:shd w:val="clear" w:color="auto" w:fill="F1F1F1"/>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评  审  内  容</w:t>
            </w:r>
          </w:p>
        </w:tc>
        <w:tc>
          <w:tcPr>
            <w:tcW w:w="1760" w:type="dxa"/>
            <w:shd w:val="clear" w:color="auto" w:fill="F1F1F1"/>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 w:hRule="atLeast"/>
          <w:jc w:val="center"/>
        </w:trPr>
        <w:tc>
          <w:tcPr>
            <w:tcW w:w="721"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1</w:t>
            </w:r>
          </w:p>
        </w:tc>
        <w:tc>
          <w:tcPr>
            <w:tcW w:w="7112" w:type="dxa"/>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是否按招标文件格式要求提供单位盖章及法定代表人或法定代表人授权的代理人签字或签章。</w:t>
            </w:r>
          </w:p>
        </w:tc>
        <w:tc>
          <w:tcPr>
            <w:tcW w:w="1760" w:type="dxa"/>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 w:hRule="atLeast"/>
          <w:jc w:val="center"/>
        </w:trPr>
        <w:tc>
          <w:tcPr>
            <w:tcW w:w="721"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2</w:t>
            </w:r>
          </w:p>
        </w:tc>
        <w:tc>
          <w:tcPr>
            <w:tcW w:w="7112" w:type="dxa"/>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rPr>
              <w:t>投标报价未超过招标文件中规定的招标控制价；</w:t>
            </w:r>
          </w:p>
        </w:tc>
        <w:tc>
          <w:tcPr>
            <w:tcW w:w="1760" w:type="dxa"/>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 w:hRule="atLeast"/>
          <w:jc w:val="center"/>
        </w:trPr>
        <w:tc>
          <w:tcPr>
            <w:tcW w:w="721"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3</w:t>
            </w:r>
          </w:p>
        </w:tc>
        <w:tc>
          <w:tcPr>
            <w:tcW w:w="7112" w:type="dxa"/>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投标文件载明的</w:t>
            </w:r>
            <w:r>
              <w:rPr>
                <w:rFonts w:hint="eastAsia" w:ascii="仿宋" w:hAnsi="仿宋" w:eastAsia="仿宋" w:cs="Times New Roman"/>
                <w:sz w:val="24"/>
                <w:szCs w:val="24"/>
                <w:highlight w:val="none"/>
                <w:lang w:eastAsia="zh-CN"/>
              </w:rPr>
              <w:t>合同履行期限</w:t>
            </w:r>
            <w:r>
              <w:rPr>
                <w:rFonts w:hint="eastAsia" w:ascii="仿宋" w:hAnsi="仿宋" w:eastAsia="仿宋" w:cs="Times New Roman"/>
                <w:sz w:val="24"/>
                <w:szCs w:val="24"/>
                <w:highlight w:val="none"/>
              </w:rPr>
              <w:t>未超出招标文件规定的期限。</w:t>
            </w:r>
          </w:p>
        </w:tc>
        <w:tc>
          <w:tcPr>
            <w:tcW w:w="1760" w:type="dxa"/>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 w:hRule="atLeast"/>
          <w:jc w:val="center"/>
        </w:trPr>
        <w:tc>
          <w:tcPr>
            <w:tcW w:w="721"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4</w:t>
            </w:r>
          </w:p>
        </w:tc>
        <w:tc>
          <w:tcPr>
            <w:tcW w:w="7112" w:type="dxa"/>
            <w:noWrap w:val="0"/>
            <w:vAlign w:val="top"/>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投标文件未附有招标人不能接受的附加条件的。</w:t>
            </w:r>
          </w:p>
        </w:tc>
        <w:tc>
          <w:tcPr>
            <w:tcW w:w="1760" w:type="dxa"/>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 w:hRule="atLeast"/>
          <w:jc w:val="center"/>
        </w:trPr>
        <w:tc>
          <w:tcPr>
            <w:tcW w:w="721"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default"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5</w:t>
            </w:r>
          </w:p>
        </w:tc>
        <w:tc>
          <w:tcPr>
            <w:tcW w:w="7112" w:type="dxa"/>
            <w:noWrap w:val="0"/>
            <w:vAlign w:val="top"/>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未与其他投标人相互串通报价，或者与招标人串通投标的。</w:t>
            </w:r>
          </w:p>
        </w:tc>
        <w:tc>
          <w:tcPr>
            <w:tcW w:w="1760" w:type="dxa"/>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 w:hRule="atLeast"/>
          <w:jc w:val="center"/>
        </w:trPr>
        <w:tc>
          <w:tcPr>
            <w:tcW w:w="721"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default"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6</w:t>
            </w:r>
          </w:p>
        </w:tc>
        <w:tc>
          <w:tcPr>
            <w:tcW w:w="7112" w:type="dxa"/>
            <w:noWrap w:val="0"/>
            <w:vAlign w:val="top"/>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1760" w:type="dxa"/>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 w:hRule="atLeast"/>
          <w:jc w:val="center"/>
        </w:trPr>
        <w:tc>
          <w:tcPr>
            <w:tcW w:w="721"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7</w:t>
            </w:r>
          </w:p>
          <w:p>
            <w:pPr>
              <w:keepNext w:val="0"/>
              <w:keepLines w:val="0"/>
              <w:pageBreakBefore w:val="0"/>
              <w:kinsoku/>
              <w:wordWrap/>
              <w:overflowPunct/>
              <w:topLinePunct w:val="0"/>
              <w:bidi w:val="0"/>
              <w:snapToGrid/>
              <w:spacing w:line="440" w:lineRule="exact"/>
              <w:jc w:val="center"/>
              <w:textAlignment w:val="auto"/>
              <w:rPr>
                <w:rFonts w:hint="default"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（标项一）</w:t>
            </w:r>
          </w:p>
        </w:tc>
        <w:tc>
          <w:tcPr>
            <w:tcW w:w="7112" w:type="dxa"/>
            <w:noWrap w:val="0"/>
            <w:vAlign w:val="top"/>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投标人的投标产品有强制性规定或要求的</w:t>
            </w:r>
          </w:p>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1）如涉及《节能产品政府采购品目清单》中政府强制采购的节能产品，则投标人所投产品须具有市场监管总局公布的《参与实施政府采购节能产品认证机构目录》中的认证机构出具的、处于有效期内的节能产品认证证书。</w:t>
            </w:r>
          </w:p>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2）如涉及中国国家强制性产品认证（CCC）产品的，投标人须提供所投产品中国国家强制性产品认证（CCC）证书，或可以通过互联网或者相关信息系统查询的，提供互联网中国国家强制性产品认证查询截图</w:t>
            </w:r>
          </w:p>
        </w:tc>
        <w:tc>
          <w:tcPr>
            <w:tcW w:w="1760" w:type="dxa"/>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 w:hRule="atLeast"/>
          <w:jc w:val="center"/>
        </w:trPr>
        <w:tc>
          <w:tcPr>
            <w:tcW w:w="721"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default"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8</w:t>
            </w:r>
          </w:p>
        </w:tc>
        <w:tc>
          <w:tcPr>
            <w:tcW w:w="7112" w:type="dxa"/>
            <w:noWrap w:val="0"/>
            <w:vAlign w:val="top"/>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法律、法规和招标文件规定的其他无效情形。</w:t>
            </w:r>
          </w:p>
        </w:tc>
        <w:tc>
          <w:tcPr>
            <w:tcW w:w="1760" w:type="dxa"/>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 w:hRule="atLeast"/>
          <w:jc w:val="center"/>
        </w:trPr>
        <w:tc>
          <w:tcPr>
            <w:tcW w:w="7833" w:type="dxa"/>
            <w:gridSpan w:val="2"/>
            <w:noWrap w:val="0"/>
            <w:vAlign w:val="center"/>
          </w:tcPr>
          <w:p>
            <w:pPr>
              <w:keepNext w:val="0"/>
              <w:keepLines w:val="0"/>
              <w:pageBreakBefore w:val="0"/>
              <w:kinsoku/>
              <w:wordWrap/>
              <w:overflowPunct/>
              <w:topLinePunct w:val="0"/>
              <w:bidi w:val="0"/>
              <w:snapToGrid/>
              <w:spacing w:line="440" w:lineRule="exact"/>
              <w:ind w:firstLine="3662" w:firstLineChars="1526"/>
              <w:textAlignment w:val="auto"/>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结论</w:t>
            </w:r>
          </w:p>
        </w:tc>
        <w:tc>
          <w:tcPr>
            <w:tcW w:w="1760" w:type="dxa"/>
            <w:noWrap w:val="0"/>
            <w:vAlign w:val="center"/>
          </w:tcPr>
          <w:p>
            <w:pPr>
              <w:keepNext w:val="0"/>
              <w:keepLines w:val="0"/>
              <w:pageBreakBefore w:val="0"/>
              <w:kinsoku/>
              <w:wordWrap/>
              <w:overflowPunct/>
              <w:topLinePunct w:val="0"/>
              <w:bidi w:val="0"/>
              <w:snapToGrid/>
              <w:spacing w:line="440" w:lineRule="exact"/>
              <w:ind w:firstLine="480"/>
              <w:textAlignment w:val="auto"/>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jc w:val="center"/>
        </w:trPr>
        <w:tc>
          <w:tcPr>
            <w:tcW w:w="9593" w:type="dxa"/>
            <w:gridSpan w:val="3"/>
            <w:noWrap w:val="0"/>
            <w:vAlign w:val="center"/>
          </w:tcPr>
          <w:p>
            <w:pPr>
              <w:keepNext w:val="0"/>
              <w:keepLines w:val="0"/>
              <w:pageBreakBefore w:val="0"/>
              <w:kinsoku/>
              <w:wordWrap/>
              <w:overflowPunct/>
              <w:topLinePunct w:val="0"/>
              <w:bidi w:val="0"/>
              <w:snapToGrid/>
              <w:spacing w:line="440" w:lineRule="exact"/>
              <w:textAlignment w:val="auto"/>
              <w:rPr>
                <w:rFonts w:hint="eastAsia" w:ascii="仿宋" w:hAnsi="仿宋" w:eastAsia="仿宋" w:cs="Times New Roman"/>
                <w:sz w:val="24"/>
                <w:szCs w:val="24"/>
                <w:highlight w:val="none"/>
              </w:rPr>
            </w:pPr>
            <w:r>
              <w:rPr>
                <w:rFonts w:hint="eastAsia" w:ascii="仿宋" w:hAnsi="仿宋" w:eastAsia="仿宋" w:cs="Times New Roman"/>
                <w:b/>
                <w:bCs/>
                <w:sz w:val="24"/>
                <w:szCs w:val="24"/>
                <w:highlight w:val="none"/>
              </w:rPr>
              <w:t>备注：合格供应商不足三家的，不进行下一阶段评审。</w:t>
            </w:r>
          </w:p>
        </w:tc>
      </w:tr>
      <w:bookmarkEnd w:id="239"/>
    </w:tbl>
    <w:p>
      <w:pPr>
        <w:pStyle w:val="2"/>
        <w:ind w:left="0" w:leftChars="0" w:firstLine="0" w:firstLineChars="0"/>
        <w:rPr>
          <w:rFonts w:hint="eastAsia" w:ascii="仿宋" w:hAnsi="仿宋" w:eastAsia="仿宋"/>
          <w:sz w:val="24"/>
          <w:szCs w:val="24"/>
        </w:rPr>
      </w:pPr>
    </w:p>
    <w:bookmarkEnd w:id="237"/>
    <w:p>
      <w:pPr>
        <w:keepNext w:val="0"/>
        <w:keepLines w:val="0"/>
        <w:pageBreakBefore w:val="0"/>
        <w:kinsoku/>
        <w:wordWrap/>
        <w:overflowPunct/>
        <w:topLinePunct w:val="0"/>
        <w:bidi w:val="0"/>
        <w:snapToGrid/>
        <w:spacing w:line="440" w:lineRule="exact"/>
        <w:ind w:firstLine="426" w:firstLineChars="177"/>
        <w:textAlignment w:val="auto"/>
        <w:rPr>
          <w:rFonts w:ascii="仿宋" w:hAnsi="仿宋" w:eastAsia="仿宋"/>
          <w:b/>
          <w:sz w:val="24"/>
          <w:szCs w:val="24"/>
          <w:highlight w:val="none"/>
        </w:rPr>
      </w:pPr>
      <w:r>
        <w:rPr>
          <w:rFonts w:hint="eastAsia" w:ascii="仿宋" w:hAnsi="仿宋" w:eastAsia="仿宋"/>
          <w:b/>
          <w:sz w:val="24"/>
          <w:szCs w:val="24"/>
        </w:rPr>
        <w:t>2</w:t>
      </w:r>
      <w:r>
        <w:rPr>
          <w:rFonts w:hint="eastAsia" w:ascii="仿宋" w:hAnsi="仿宋" w:eastAsia="仿宋"/>
          <w:b/>
          <w:sz w:val="24"/>
          <w:szCs w:val="24"/>
          <w:lang w:val="en-US" w:eastAsia="zh-CN"/>
        </w:rPr>
        <w:t>3</w:t>
      </w:r>
      <w:r>
        <w:rPr>
          <w:rFonts w:hint="eastAsia" w:ascii="仿宋" w:hAnsi="仿宋" w:eastAsia="仿宋"/>
          <w:b/>
          <w:sz w:val="24"/>
          <w:szCs w:val="24"/>
        </w:rPr>
        <w:t>.2.2评</w:t>
      </w:r>
      <w:r>
        <w:rPr>
          <w:rFonts w:hint="eastAsia" w:ascii="仿宋" w:hAnsi="仿宋" w:eastAsia="仿宋"/>
          <w:b/>
          <w:sz w:val="24"/>
          <w:szCs w:val="24"/>
          <w:highlight w:val="none"/>
        </w:rPr>
        <w:t>分因素</w:t>
      </w:r>
    </w:p>
    <w:p>
      <w:pPr>
        <w:keepNext w:val="0"/>
        <w:keepLines w:val="0"/>
        <w:pageBreakBefore w:val="0"/>
        <w:kinsoku/>
        <w:wordWrap/>
        <w:overflowPunct/>
        <w:topLinePunct w:val="0"/>
        <w:bidi w:val="0"/>
        <w:snapToGrid/>
        <w:spacing w:line="440" w:lineRule="exact"/>
        <w:ind w:firstLine="480"/>
        <w:textAlignment w:val="auto"/>
        <w:rPr>
          <w:rFonts w:ascii="仿宋" w:hAnsi="仿宋" w:eastAsia="仿宋"/>
          <w:sz w:val="24"/>
          <w:szCs w:val="24"/>
        </w:rPr>
      </w:pPr>
      <w:r>
        <w:rPr>
          <w:rFonts w:hint="eastAsia" w:ascii="仿宋" w:hAnsi="仿宋" w:eastAsia="仿宋"/>
          <w:sz w:val="24"/>
          <w:szCs w:val="24"/>
          <w:highlight w:val="none"/>
        </w:rPr>
        <w:t>评分的主要因素分为价格因素、技术因素和商务因素。评分因</w:t>
      </w:r>
      <w:r>
        <w:rPr>
          <w:rFonts w:hint="eastAsia" w:ascii="仿宋" w:hAnsi="仿宋" w:eastAsia="仿宋"/>
          <w:sz w:val="24"/>
          <w:szCs w:val="24"/>
        </w:rPr>
        <w:t>素详见评分表。评标分值保留至两位小数。评标时，评标专家依照评分表对每个有效供应商的投标文件进行独立评审、打分。</w:t>
      </w:r>
    </w:p>
    <w:p>
      <w:pPr>
        <w:keepNext w:val="0"/>
        <w:keepLines w:val="0"/>
        <w:pageBreakBefore w:val="0"/>
        <w:kinsoku/>
        <w:wordWrap/>
        <w:overflowPunct/>
        <w:topLinePunct w:val="0"/>
        <w:bidi w:val="0"/>
        <w:snapToGrid/>
        <w:spacing w:line="440" w:lineRule="exact"/>
        <w:ind w:firstLine="480"/>
        <w:textAlignment w:val="auto"/>
        <w:rPr>
          <w:rFonts w:ascii="仿宋" w:hAnsi="仿宋" w:eastAsia="仿宋"/>
          <w:b/>
          <w:sz w:val="24"/>
          <w:szCs w:val="24"/>
        </w:rPr>
      </w:pPr>
      <w:r>
        <w:rPr>
          <w:rFonts w:hint="eastAsia" w:ascii="仿宋" w:hAnsi="仿宋" w:eastAsia="仿宋"/>
          <w:b/>
          <w:sz w:val="24"/>
          <w:szCs w:val="24"/>
        </w:rPr>
        <w:t>2</w:t>
      </w:r>
      <w:r>
        <w:rPr>
          <w:rFonts w:hint="eastAsia" w:ascii="仿宋" w:hAnsi="仿宋" w:eastAsia="仿宋"/>
          <w:b/>
          <w:sz w:val="24"/>
          <w:szCs w:val="24"/>
          <w:lang w:val="en-US" w:eastAsia="zh-CN"/>
        </w:rPr>
        <w:t>3</w:t>
      </w:r>
      <w:r>
        <w:rPr>
          <w:rFonts w:hint="eastAsia" w:ascii="仿宋" w:hAnsi="仿宋" w:eastAsia="仿宋"/>
          <w:b/>
          <w:sz w:val="24"/>
          <w:szCs w:val="24"/>
        </w:rPr>
        <w:t>.2.3评分标准</w:t>
      </w:r>
    </w:p>
    <w:p>
      <w:pPr>
        <w:pStyle w:val="7"/>
        <w:keepNext w:val="0"/>
        <w:keepLines w:val="0"/>
        <w:pageBreakBefore w:val="0"/>
        <w:numPr>
          <w:ilvl w:val="0"/>
          <w:numId w:val="1"/>
        </w:numPr>
        <w:kinsoku/>
        <w:wordWrap/>
        <w:overflowPunct/>
        <w:topLinePunct w:val="0"/>
        <w:bidi w:val="0"/>
        <w:snapToGrid/>
        <w:spacing w:after="0" w:line="440" w:lineRule="exact"/>
        <w:ind w:left="-60" w:leftChars="0" w:firstLine="480" w:firstLineChars="0"/>
        <w:textAlignment w:val="auto"/>
        <w:rPr>
          <w:rFonts w:ascii="仿宋" w:hAnsi="仿宋" w:eastAsia="仿宋"/>
          <w:sz w:val="24"/>
          <w:szCs w:val="24"/>
        </w:rPr>
      </w:pPr>
      <w:r>
        <w:rPr>
          <w:rFonts w:hint="eastAsia" w:ascii="仿宋" w:hAnsi="仿宋" w:eastAsia="仿宋"/>
          <w:sz w:val="24"/>
          <w:szCs w:val="24"/>
        </w:rPr>
        <w:t>评标委员会根据招标文件，在对投标人投标文件综合评审的基础上进行评估打分。打分采取百分制，</w:t>
      </w:r>
      <w:r>
        <w:rPr>
          <w:rFonts w:hint="eastAsia" w:ascii="仿宋" w:hAnsi="仿宋" w:eastAsia="仿宋"/>
          <w:b/>
          <w:sz w:val="24"/>
          <w:szCs w:val="24"/>
        </w:rPr>
        <w:t>其中技术、商务部分为</w:t>
      </w:r>
      <w:r>
        <w:rPr>
          <w:rFonts w:ascii="仿宋" w:hAnsi="仿宋" w:eastAsia="仿宋"/>
          <w:b/>
          <w:sz w:val="24"/>
          <w:szCs w:val="24"/>
        </w:rPr>
        <w:t>70</w:t>
      </w:r>
      <w:r>
        <w:rPr>
          <w:rFonts w:hint="eastAsia" w:ascii="仿宋" w:hAnsi="仿宋" w:eastAsia="仿宋"/>
          <w:b/>
          <w:sz w:val="24"/>
          <w:szCs w:val="24"/>
        </w:rPr>
        <w:t>分，报价分</w:t>
      </w:r>
      <w:r>
        <w:rPr>
          <w:rFonts w:ascii="仿宋" w:hAnsi="仿宋" w:eastAsia="仿宋"/>
          <w:b/>
          <w:sz w:val="24"/>
          <w:szCs w:val="24"/>
        </w:rPr>
        <w:t>30</w:t>
      </w:r>
      <w:r>
        <w:rPr>
          <w:rFonts w:hint="eastAsia" w:ascii="仿宋" w:hAnsi="仿宋" w:eastAsia="仿宋"/>
          <w:b/>
          <w:sz w:val="24"/>
          <w:szCs w:val="24"/>
        </w:rPr>
        <w:t>分</w:t>
      </w:r>
      <w:r>
        <w:rPr>
          <w:rFonts w:hint="eastAsia" w:ascii="仿宋" w:hAnsi="仿宋" w:eastAsia="仿宋"/>
          <w:sz w:val="24"/>
          <w:szCs w:val="24"/>
        </w:rPr>
        <w:t>。</w:t>
      </w:r>
    </w:p>
    <w:p>
      <w:pPr>
        <w:pStyle w:val="7"/>
        <w:keepNext w:val="0"/>
        <w:keepLines w:val="0"/>
        <w:pageBreakBefore w:val="0"/>
        <w:numPr>
          <w:ilvl w:val="0"/>
          <w:numId w:val="1"/>
        </w:numPr>
        <w:kinsoku/>
        <w:wordWrap/>
        <w:overflowPunct/>
        <w:topLinePunct w:val="0"/>
        <w:bidi w:val="0"/>
        <w:snapToGrid/>
        <w:spacing w:after="0" w:line="440" w:lineRule="exact"/>
        <w:ind w:left="-60" w:leftChars="0" w:firstLine="480" w:firstLineChars="0"/>
        <w:textAlignment w:val="auto"/>
        <w:rPr>
          <w:rFonts w:ascii="仿宋" w:hAnsi="仿宋" w:eastAsia="仿宋"/>
          <w:sz w:val="24"/>
          <w:szCs w:val="24"/>
        </w:rPr>
      </w:pPr>
      <w:r>
        <w:rPr>
          <w:rFonts w:hint="eastAsia" w:ascii="仿宋" w:hAnsi="仿宋" w:eastAsia="仿宋"/>
          <w:sz w:val="24"/>
          <w:szCs w:val="24"/>
        </w:rPr>
        <w:t>同品牌处理办法：</w:t>
      </w:r>
    </w:p>
    <w:p>
      <w:pPr>
        <w:pStyle w:val="7"/>
        <w:keepNext w:val="0"/>
        <w:keepLines w:val="0"/>
        <w:pageBreakBefore w:val="0"/>
        <w:numPr>
          <w:ilvl w:val="0"/>
          <w:numId w:val="1"/>
        </w:numPr>
        <w:kinsoku/>
        <w:wordWrap/>
        <w:overflowPunct/>
        <w:topLinePunct w:val="0"/>
        <w:bidi w:val="0"/>
        <w:snapToGrid/>
        <w:spacing w:after="0" w:line="440" w:lineRule="exact"/>
        <w:ind w:left="-60" w:leftChars="0" w:firstLine="480" w:firstLineChars="0"/>
        <w:textAlignment w:val="auto"/>
        <w:rPr>
          <w:rFonts w:hint="eastAsia" w:ascii="仿宋" w:hAnsi="仿宋" w:eastAsia="仿宋"/>
          <w:sz w:val="24"/>
          <w:szCs w:val="24"/>
        </w:rPr>
      </w:pPr>
      <w:r>
        <w:rPr>
          <w:rFonts w:hint="eastAsia" w:ascii="仿宋" w:hAnsi="仿宋" w:eastAsia="仿宋"/>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7"/>
        <w:keepNext w:val="0"/>
        <w:keepLines w:val="0"/>
        <w:pageBreakBefore w:val="0"/>
        <w:numPr>
          <w:ilvl w:val="0"/>
          <w:numId w:val="1"/>
        </w:numPr>
        <w:kinsoku/>
        <w:wordWrap/>
        <w:overflowPunct/>
        <w:topLinePunct w:val="0"/>
        <w:bidi w:val="0"/>
        <w:snapToGrid/>
        <w:spacing w:after="0" w:line="440" w:lineRule="exact"/>
        <w:ind w:left="-60" w:leftChars="0" w:firstLine="480" w:firstLineChars="0"/>
        <w:textAlignment w:val="auto"/>
        <w:rPr>
          <w:rFonts w:ascii="仿宋" w:hAnsi="仿宋" w:eastAsia="仿宋"/>
          <w:sz w:val="24"/>
          <w:szCs w:val="24"/>
        </w:rPr>
      </w:pPr>
      <w:r>
        <w:rPr>
          <w:rFonts w:hint="eastAsia" w:ascii="仿宋" w:hAnsi="仿宋" w:eastAsia="仿宋"/>
          <w:sz w:val="24"/>
          <w:szCs w:val="24"/>
        </w:rPr>
        <w:t>中标候选人并列式时的处理方式：</w:t>
      </w:r>
    </w:p>
    <w:p>
      <w:pPr>
        <w:pStyle w:val="7"/>
        <w:keepNext w:val="0"/>
        <w:keepLines w:val="0"/>
        <w:pageBreakBefore w:val="0"/>
        <w:kinsoku/>
        <w:wordWrap/>
        <w:overflowPunct/>
        <w:topLinePunct w:val="0"/>
        <w:bidi w:val="0"/>
        <w:snapToGrid/>
        <w:spacing w:after="0" w:line="44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综合评标法，则：评审得分相同的，按投标报价排列，报价最低的投标人获得中标人推荐资格；得分与投标报价均相同的，按技术指标优劣排列，技术得分最高的投标人获得中标人推荐资格。</w:t>
      </w:r>
    </w:p>
    <w:p>
      <w:pPr>
        <w:keepNext w:val="0"/>
        <w:keepLines w:val="0"/>
        <w:pageBreakBefore w:val="0"/>
        <w:kinsoku/>
        <w:wordWrap/>
        <w:overflowPunct/>
        <w:topLinePunct w:val="0"/>
        <w:bidi w:val="0"/>
        <w:snapToGrid/>
        <w:spacing w:line="440" w:lineRule="exact"/>
        <w:textAlignment w:val="auto"/>
      </w:pPr>
    </w:p>
    <w:p>
      <w:pPr>
        <w:keepNext w:val="0"/>
        <w:keepLines w:val="0"/>
        <w:pageBreakBefore w:val="0"/>
        <w:kinsoku/>
        <w:wordWrap/>
        <w:overflowPunct/>
        <w:topLinePunct w:val="0"/>
        <w:bidi w:val="0"/>
        <w:snapToGrid/>
        <w:spacing w:line="440" w:lineRule="exact"/>
        <w:textAlignment w:val="auto"/>
        <w:rPr>
          <w:rFonts w:hint="eastAsia" w:ascii="仿宋" w:hAnsi="仿宋" w:eastAsia="仿宋"/>
          <w:b/>
          <w:sz w:val="24"/>
          <w:szCs w:val="24"/>
          <w:highlight w:val="none"/>
        </w:rPr>
      </w:pPr>
      <w:r>
        <w:rPr>
          <w:rFonts w:hint="eastAsia" w:ascii="仿宋" w:hAnsi="仿宋" w:eastAsia="仿宋"/>
          <w:b/>
          <w:sz w:val="24"/>
          <w:szCs w:val="24"/>
          <w:highlight w:val="none"/>
        </w:rPr>
        <w:t>评分项目、分值及评分办法如下：</w:t>
      </w:r>
    </w:p>
    <w:p>
      <w:pPr>
        <w:pStyle w:val="2"/>
        <w:rPr>
          <w:rFonts w:hint="eastAsia" w:ascii="仿宋" w:hAnsi="仿宋" w:eastAsia="仿宋"/>
          <w:b/>
          <w:sz w:val="24"/>
          <w:szCs w:val="24"/>
          <w:highlight w:val="none"/>
        </w:rPr>
      </w:pPr>
    </w:p>
    <w:p>
      <w:pPr>
        <w:pStyle w:val="2"/>
        <w:rPr>
          <w:rFonts w:ascii="仿宋" w:hAnsi="仿宋" w:eastAsia="仿宋" w:cs="仿宋"/>
          <w:b/>
          <w:spacing w:val="-2"/>
          <w:sz w:val="24"/>
          <w:szCs w:val="24"/>
        </w:rPr>
      </w:pPr>
    </w:p>
    <w:p>
      <w:pPr>
        <w:ind w:firstLine="720" w:firstLineChars="200"/>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标项一</w:t>
      </w:r>
    </w:p>
    <w:p>
      <w:pPr>
        <w:ind w:firstLine="720" w:firstLineChars="200"/>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标项名称：伊宁市第一中学、第八小学和第三十一小学教学设备采购项目（一标段办公电脑、计算机教室及办公设备）</w:t>
      </w:r>
    </w:p>
    <w:p>
      <w:pPr>
        <w:pStyle w:val="7"/>
        <w:rPr>
          <w:rFonts w:hint="eastAsia" w:ascii="黑体" w:hAnsi="黑体" w:eastAsia="黑体" w:cs="黑体"/>
          <w:sz w:val="36"/>
          <w:szCs w:val="36"/>
        </w:rPr>
      </w:pPr>
    </w:p>
    <w:tbl>
      <w:tblPr>
        <w:tblStyle w:val="21"/>
        <w:tblW w:w="9368" w:type="dxa"/>
        <w:jc w:val="center"/>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16"/>
        <w:gridCol w:w="943"/>
        <w:gridCol w:w="951"/>
        <w:gridCol w:w="6022"/>
        <w:gridCol w:w="11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5" w:hRule="atLeast"/>
          <w:jc w:val="center"/>
        </w:trPr>
        <w:tc>
          <w:tcPr>
            <w:tcW w:w="1259" w:type="dxa"/>
            <w:gridSpan w:val="2"/>
            <w:tcBorders>
              <w:tl2br w:val="nil"/>
              <w:tr2bl w:val="nil"/>
            </w:tcBorders>
            <w:shd w:val="clear" w:color="auto" w:fill="FFFFFF"/>
            <w:vAlign w:val="center"/>
          </w:tcPr>
          <w:p>
            <w:pPr>
              <w:ind w:left="-1852" w:leftChars="-882" w:firstLine="2454" w:firstLineChars="1358"/>
              <w:jc w:val="center"/>
              <w:rPr>
                <w:rFonts w:ascii="Dialog" w:hAnsi="Dialog"/>
                <w:sz w:val="18"/>
                <w:szCs w:val="18"/>
              </w:rPr>
            </w:pPr>
            <w:r>
              <w:rPr>
                <w:rFonts w:ascii="Dialog" w:hAnsi="Dialog"/>
                <w:b/>
                <w:sz w:val="18"/>
                <w:szCs w:val="18"/>
              </w:rPr>
              <w:t>条款号</w:t>
            </w:r>
          </w:p>
        </w:tc>
        <w:tc>
          <w:tcPr>
            <w:tcW w:w="951" w:type="dxa"/>
            <w:tcBorders>
              <w:tl2br w:val="nil"/>
              <w:tr2bl w:val="nil"/>
            </w:tcBorders>
            <w:shd w:val="clear" w:color="auto" w:fill="FFFFFF"/>
            <w:vAlign w:val="center"/>
          </w:tcPr>
          <w:p>
            <w:pPr>
              <w:jc w:val="center"/>
              <w:rPr>
                <w:rFonts w:ascii="Dialog" w:hAnsi="Dialog"/>
                <w:sz w:val="18"/>
                <w:szCs w:val="18"/>
              </w:rPr>
            </w:pPr>
            <w:r>
              <w:rPr>
                <w:rFonts w:ascii="Dialog" w:hAnsi="Dialog"/>
                <w:b/>
                <w:sz w:val="18"/>
                <w:szCs w:val="18"/>
              </w:rPr>
              <w:t>评分因素</w:t>
            </w:r>
          </w:p>
        </w:tc>
        <w:tc>
          <w:tcPr>
            <w:tcW w:w="6022" w:type="dxa"/>
            <w:tcBorders>
              <w:tl2br w:val="nil"/>
              <w:tr2bl w:val="nil"/>
            </w:tcBorders>
            <w:shd w:val="clear" w:color="auto" w:fill="FFFFFF"/>
            <w:vAlign w:val="center"/>
          </w:tcPr>
          <w:p>
            <w:pPr>
              <w:jc w:val="center"/>
              <w:rPr>
                <w:rFonts w:ascii="Dialog" w:hAnsi="Dialog"/>
                <w:sz w:val="18"/>
                <w:szCs w:val="18"/>
              </w:rPr>
            </w:pPr>
            <w:r>
              <w:rPr>
                <w:rFonts w:ascii="Dialog" w:hAnsi="Dialog"/>
                <w:b/>
                <w:sz w:val="18"/>
                <w:szCs w:val="18"/>
              </w:rPr>
              <w:t>详细评审分项要素</w:t>
            </w:r>
          </w:p>
        </w:tc>
        <w:tc>
          <w:tcPr>
            <w:tcW w:w="1136" w:type="dxa"/>
            <w:tcBorders>
              <w:tl2br w:val="nil"/>
              <w:tr2bl w:val="nil"/>
            </w:tcBorders>
            <w:shd w:val="clear" w:color="auto" w:fill="FFFFFF"/>
            <w:vAlign w:val="center"/>
          </w:tcPr>
          <w:p>
            <w:pPr>
              <w:jc w:val="center"/>
              <w:rPr>
                <w:rFonts w:ascii="Dialog" w:hAnsi="Dialog"/>
                <w:sz w:val="18"/>
                <w:szCs w:val="18"/>
              </w:rPr>
            </w:pPr>
            <w:r>
              <w:rPr>
                <w:rFonts w:ascii="Dialog" w:hAnsi="Dialog"/>
                <w:b/>
                <w:sz w:val="18"/>
                <w:szCs w:val="18"/>
              </w:rPr>
              <w:t>分值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704" w:hRule="atLeast"/>
          <w:jc w:val="center"/>
        </w:trPr>
        <w:tc>
          <w:tcPr>
            <w:tcW w:w="316" w:type="dxa"/>
            <w:tcBorders>
              <w:tl2br w:val="nil"/>
              <w:tr2bl w:val="nil"/>
            </w:tcBorders>
            <w:shd w:val="clear" w:color="auto" w:fill="FFFFFF"/>
            <w:vAlign w:val="center"/>
          </w:tcPr>
          <w:p>
            <w:pPr>
              <w:jc w:val="center"/>
              <w:rPr>
                <w:rFonts w:ascii="Dialog" w:hAnsi="Dialog"/>
                <w:sz w:val="18"/>
                <w:szCs w:val="18"/>
              </w:rPr>
            </w:pPr>
            <w:r>
              <w:rPr>
                <w:rFonts w:hint="eastAsia" w:ascii="Dialog" w:hAnsi="Dialog"/>
                <w:sz w:val="18"/>
                <w:szCs w:val="18"/>
              </w:rPr>
              <w:t>1</w:t>
            </w:r>
          </w:p>
        </w:tc>
        <w:tc>
          <w:tcPr>
            <w:tcW w:w="943" w:type="dxa"/>
            <w:tcBorders>
              <w:tl2br w:val="nil"/>
              <w:tr2bl w:val="nil"/>
            </w:tcBorders>
            <w:shd w:val="clear" w:color="auto" w:fill="FFFFFF"/>
            <w:vAlign w:val="center"/>
          </w:tcPr>
          <w:p>
            <w:pPr>
              <w:jc w:val="center"/>
              <w:rPr>
                <w:rFonts w:ascii="Dialog" w:hAnsi="Dialog"/>
                <w:sz w:val="18"/>
                <w:szCs w:val="18"/>
              </w:rPr>
            </w:pPr>
            <w:r>
              <w:rPr>
                <w:rFonts w:hint="eastAsia" w:ascii="Dialog" w:hAnsi="Dialog"/>
                <w:sz w:val="18"/>
                <w:szCs w:val="18"/>
              </w:rPr>
              <w:t>价格</w:t>
            </w:r>
            <w:r>
              <w:rPr>
                <w:rFonts w:ascii="Dialog" w:hAnsi="Dialog"/>
                <w:sz w:val="18"/>
                <w:szCs w:val="18"/>
              </w:rPr>
              <w:t>评分标准 （30分）</w:t>
            </w:r>
          </w:p>
        </w:tc>
        <w:tc>
          <w:tcPr>
            <w:tcW w:w="951" w:type="dxa"/>
            <w:tcBorders>
              <w:tl2br w:val="nil"/>
              <w:tr2bl w:val="nil"/>
            </w:tcBorders>
            <w:shd w:val="clear" w:color="auto" w:fill="FFFFFF"/>
            <w:vAlign w:val="center"/>
          </w:tcPr>
          <w:p>
            <w:pPr>
              <w:jc w:val="center"/>
              <w:rPr>
                <w:rFonts w:ascii="Dialog" w:hAnsi="Dialog"/>
                <w:sz w:val="18"/>
                <w:szCs w:val="18"/>
              </w:rPr>
            </w:pPr>
            <w:r>
              <w:rPr>
                <w:rFonts w:hint="eastAsia" w:ascii="Dialog" w:hAnsi="Dialog"/>
                <w:sz w:val="18"/>
                <w:szCs w:val="18"/>
              </w:rPr>
              <w:t>投标报价</w:t>
            </w:r>
          </w:p>
        </w:tc>
        <w:tc>
          <w:tcPr>
            <w:tcW w:w="6022" w:type="dxa"/>
            <w:tcBorders>
              <w:tl2br w:val="nil"/>
              <w:tr2bl w:val="nil"/>
            </w:tcBorders>
            <w:shd w:val="clear" w:color="auto" w:fill="FFFFFF"/>
            <w:vAlign w:val="center"/>
          </w:tcPr>
          <w:p>
            <w:pPr>
              <w:jc w:val="left"/>
              <w:rPr>
                <w:rFonts w:ascii="Dialog" w:hAnsi="Dialog"/>
                <w:sz w:val="18"/>
                <w:szCs w:val="18"/>
              </w:rPr>
            </w:pPr>
            <w:r>
              <w:rPr>
                <w:rFonts w:hint="eastAsia" w:ascii="Dialog" w:hAnsi="Dialog"/>
                <w:sz w:val="18"/>
                <w:szCs w:val="18"/>
              </w:rPr>
              <w:t>在价格评分时满足招标文件要求且投标价格最低的投标文件为评标基准价，其价格分为满分。其他投标人的价格分统一按照下列公式计算：投标报价得分</w:t>
            </w:r>
            <w:r>
              <w:rPr>
                <w:rFonts w:ascii="Dialog" w:hAnsi="Dialog"/>
                <w:sz w:val="18"/>
                <w:szCs w:val="18"/>
              </w:rPr>
              <w:t>=（评标基准价/投标报价）×30% ×100。</w:t>
            </w:r>
          </w:p>
          <w:p>
            <w:pPr>
              <w:jc w:val="left"/>
              <w:rPr>
                <w:rFonts w:ascii="Dialog" w:hAnsi="Dialog"/>
                <w:sz w:val="18"/>
                <w:szCs w:val="18"/>
              </w:rPr>
            </w:pPr>
            <w:r>
              <w:rPr>
                <w:rFonts w:hint="eastAsia" w:ascii="Dialog" w:hAnsi="Dialog"/>
                <w:sz w:val="18"/>
                <w:szCs w:val="18"/>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1136" w:type="dxa"/>
            <w:tcBorders>
              <w:tl2br w:val="nil"/>
              <w:tr2bl w:val="nil"/>
            </w:tcBorders>
            <w:shd w:val="clear" w:color="auto" w:fill="FFFFFF"/>
            <w:vAlign w:val="center"/>
          </w:tcPr>
          <w:p>
            <w:pPr>
              <w:jc w:val="center"/>
              <w:rPr>
                <w:rFonts w:ascii="Dialog" w:hAnsi="Dialog"/>
                <w:sz w:val="18"/>
                <w:szCs w:val="18"/>
              </w:rPr>
            </w:pPr>
            <w:r>
              <w:rPr>
                <w:rFonts w:hint="eastAsia" w:ascii="Dialog" w:hAnsi="Dialog"/>
                <w:sz w:val="18"/>
                <w:szCs w:val="18"/>
              </w:rPr>
              <w:t>3</w:t>
            </w:r>
            <w:r>
              <w:rPr>
                <w:rFonts w:ascii="Dialog" w:hAnsi="Dialog"/>
                <w:sz w:val="18"/>
                <w:szCs w:val="18"/>
              </w:rPr>
              <w:t>0</w:t>
            </w:r>
            <w:r>
              <w:rPr>
                <w:rFonts w:hint="eastAsia" w:ascii="Dialog" w:hAnsi="Dialog"/>
                <w:sz w:val="18"/>
                <w:szCs w:val="18"/>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14" w:hRule="atLeast"/>
          <w:jc w:val="center"/>
        </w:trPr>
        <w:tc>
          <w:tcPr>
            <w:tcW w:w="316" w:type="dxa"/>
            <w:vMerge w:val="restart"/>
            <w:tcBorders>
              <w:tl2br w:val="nil"/>
              <w:tr2bl w:val="nil"/>
            </w:tcBorders>
            <w:shd w:val="clear" w:color="auto" w:fill="FFFFFF"/>
            <w:vAlign w:val="center"/>
          </w:tcPr>
          <w:p>
            <w:pPr>
              <w:jc w:val="center"/>
              <w:rPr>
                <w:rFonts w:ascii="Dialog" w:hAnsi="Dialog"/>
                <w:sz w:val="18"/>
                <w:szCs w:val="18"/>
              </w:rPr>
            </w:pPr>
            <w:r>
              <w:rPr>
                <w:rFonts w:ascii="Dialog" w:hAnsi="Dialog"/>
                <w:sz w:val="18"/>
                <w:szCs w:val="18"/>
              </w:rPr>
              <w:t>2</w:t>
            </w:r>
          </w:p>
        </w:tc>
        <w:tc>
          <w:tcPr>
            <w:tcW w:w="943" w:type="dxa"/>
            <w:vMerge w:val="restart"/>
            <w:tcBorders>
              <w:tl2br w:val="nil"/>
              <w:tr2bl w:val="nil"/>
            </w:tcBorders>
            <w:shd w:val="clear" w:color="auto" w:fill="FFFFFF"/>
            <w:vAlign w:val="center"/>
          </w:tcPr>
          <w:p>
            <w:pPr>
              <w:jc w:val="center"/>
              <w:rPr>
                <w:rFonts w:ascii="Dialog" w:hAnsi="Dialog"/>
                <w:sz w:val="18"/>
                <w:szCs w:val="18"/>
              </w:rPr>
            </w:pPr>
            <w:r>
              <w:rPr>
                <w:rFonts w:ascii="Dialog" w:hAnsi="Dialog"/>
                <w:sz w:val="18"/>
                <w:szCs w:val="18"/>
              </w:rPr>
              <w:t>商务评分标准 （3</w:t>
            </w:r>
            <w:r>
              <w:rPr>
                <w:rFonts w:hint="eastAsia" w:ascii="Dialog" w:hAnsi="Dialog"/>
                <w:sz w:val="18"/>
                <w:szCs w:val="18"/>
                <w:lang w:val="en-US" w:eastAsia="zh-CN"/>
              </w:rPr>
              <w:t>3</w:t>
            </w:r>
            <w:r>
              <w:rPr>
                <w:rFonts w:ascii="Dialog" w:hAnsi="Dialog"/>
                <w:sz w:val="18"/>
                <w:szCs w:val="18"/>
              </w:rPr>
              <w:t>分）</w:t>
            </w:r>
          </w:p>
        </w:tc>
        <w:tc>
          <w:tcPr>
            <w:tcW w:w="951" w:type="dxa"/>
            <w:tcBorders>
              <w:tl2br w:val="nil"/>
              <w:tr2bl w:val="nil"/>
            </w:tcBorders>
            <w:shd w:val="clear" w:color="auto" w:fill="FFFFFF"/>
            <w:vAlign w:val="center"/>
          </w:tcPr>
          <w:p>
            <w:pPr>
              <w:jc w:val="center"/>
              <w:rPr>
                <w:rFonts w:ascii="Dialog" w:hAnsi="Dialog"/>
                <w:sz w:val="18"/>
                <w:szCs w:val="18"/>
              </w:rPr>
            </w:pPr>
            <w:r>
              <w:rPr>
                <w:rFonts w:hint="eastAsia" w:ascii="Dialog" w:hAnsi="Dialog"/>
                <w:sz w:val="18"/>
                <w:szCs w:val="18"/>
              </w:rPr>
              <w:t>同类业绩</w:t>
            </w:r>
          </w:p>
        </w:tc>
        <w:tc>
          <w:tcPr>
            <w:tcW w:w="6022" w:type="dxa"/>
            <w:tcBorders>
              <w:tl2br w:val="nil"/>
              <w:tr2bl w:val="nil"/>
            </w:tcBorders>
            <w:shd w:val="clear" w:color="auto" w:fill="FFFFFF"/>
            <w:vAlign w:val="center"/>
          </w:tcPr>
          <w:p>
            <w:pPr>
              <w:jc w:val="left"/>
              <w:rPr>
                <w:rFonts w:ascii="Dialog" w:hAnsi="Dialog"/>
                <w:sz w:val="18"/>
                <w:szCs w:val="18"/>
              </w:rPr>
            </w:pPr>
            <w:r>
              <w:rPr>
                <w:rFonts w:ascii="Dialog" w:hAnsi="Dialog"/>
                <w:sz w:val="18"/>
                <w:szCs w:val="18"/>
              </w:rPr>
              <w:t>对投标人的履约能力和同类项目经验进行评审，要求投标人提供202</w:t>
            </w:r>
            <w:r>
              <w:rPr>
                <w:rFonts w:hint="eastAsia" w:ascii="Dialog" w:hAnsi="Dialog"/>
                <w:sz w:val="18"/>
                <w:szCs w:val="18"/>
                <w:lang w:val="en-US" w:eastAsia="zh-CN"/>
              </w:rPr>
              <w:t>1</w:t>
            </w:r>
            <w:r>
              <w:rPr>
                <w:rFonts w:ascii="Dialog" w:hAnsi="Dialog"/>
                <w:sz w:val="18"/>
                <w:szCs w:val="18"/>
              </w:rPr>
              <w:t>年至今</w:t>
            </w:r>
            <w:r>
              <w:rPr>
                <w:rFonts w:hint="eastAsia" w:ascii="Dialog" w:hAnsi="Dialog"/>
                <w:sz w:val="18"/>
                <w:szCs w:val="18"/>
              </w:rPr>
              <w:t>类似项目业绩证明文件</w:t>
            </w:r>
            <w:r>
              <w:rPr>
                <w:rFonts w:ascii="Dialog" w:hAnsi="Dialog"/>
                <w:sz w:val="18"/>
                <w:szCs w:val="18"/>
              </w:rPr>
              <w:t>，</w:t>
            </w:r>
            <w:r>
              <w:rPr>
                <w:rFonts w:hint="eastAsia" w:ascii="Dialog" w:hAnsi="Dialog"/>
                <w:sz w:val="18"/>
                <w:szCs w:val="18"/>
              </w:rPr>
              <w:t>供中标（成交）通知书或合同原件彩色扫描件，每提供1个得</w:t>
            </w:r>
            <w:r>
              <w:rPr>
                <w:rFonts w:hint="eastAsia" w:ascii="Dialog" w:hAnsi="Dialog"/>
                <w:sz w:val="18"/>
                <w:szCs w:val="18"/>
                <w:lang w:val="en-US" w:eastAsia="zh-CN"/>
              </w:rPr>
              <w:t>1.5</w:t>
            </w:r>
            <w:r>
              <w:rPr>
                <w:rFonts w:hint="eastAsia" w:ascii="Dialog" w:hAnsi="Dialog"/>
                <w:sz w:val="18"/>
                <w:szCs w:val="18"/>
              </w:rPr>
              <w:t>分，本项</w:t>
            </w:r>
            <w:r>
              <w:rPr>
                <w:rFonts w:ascii="Dialog" w:hAnsi="Dialog"/>
                <w:sz w:val="18"/>
                <w:szCs w:val="18"/>
              </w:rPr>
              <w:t>最高得</w:t>
            </w:r>
            <w:r>
              <w:rPr>
                <w:rFonts w:hint="eastAsia" w:ascii="Dialog" w:hAnsi="Dialog"/>
                <w:sz w:val="18"/>
                <w:szCs w:val="18"/>
                <w:lang w:val="en-US" w:eastAsia="zh-CN"/>
              </w:rPr>
              <w:t>6</w:t>
            </w:r>
            <w:r>
              <w:rPr>
                <w:rFonts w:ascii="Dialog" w:hAnsi="Dialog"/>
                <w:sz w:val="18"/>
                <w:szCs w:val="18"/>
              </w:rPr>
              <w:t>分</w:t>
            </w:r>
            <w:r>
              <w:rPr>
                <w:rFonts w:hint="eastAsia" w:ascii="Dialog" w:hAnsi="Dialog"/>
                <w:sz w:val="18"/>
                <w:szCs w:val="18"/>
              </w:rPr>
              <w:t>。</w:t>
            </w:r>
          </w:p>
        </w:tc>
        <w:tc>
          <w:tcPr>
            <w:tcW w:w="1136" w:type="dxa"/>
            <w:tcBorders>
              <w:tl2br w:val="nil"/>
              <w:tr2bl w:val="nil"/>
            </w:tcBorders>
            <w:shd w:val="clear" w:color="auto" w:fill="FFFFFF"/>
            <w:vAlign w:val="center"/>
          </w:tcPr>
          <w:p>
            <w:pPr>
              <w:jc w:val="center"/>
              <w:rPr>
                <w:rFonts w:ascii="Dialog" w:hAnsi="Dialog"/>
                <w:sz w:val="18"/>
                <w:szCs w:val="18"/>
              </w:rPr>
            </w:pPr>
            <w:r>
              <w:rPr>
                <w:rFonts w:hint="eastAsia" w:ascii="Dialog" w:hAnsi="Dialog"/>
                <w:sz w:val="18"/>
                <w:szCs w:val="18"/>
                <w:lang w:val="en-US" w:eastAsia="zh-CN"/>
              </w:rPr>
              <w:t>6</w:t>
            </w:r>
            <w:r>
              <w:rPr>
                <w:rFonts w:hint="eastAsia" w:ascii="Dialog" w:hAnsi="Dialog"/>
                <w:sz w:val="18"/>
                <w:szCs w:val="18"/>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5" w:hRule="atLeast"/>
          <w:jc w:val="center"/>
        </w:trPr>
        <w:tc>
          <w:tcPr>
            <w:tcW w:w="316" w:type="dxa"/>
            <w:vMerge w:val="continue"/>
            <w:tcBorders>
              <w:tl2br w:val="nil"/>
              <w:tr2bl w:val="nil"/>
            </w:tcBorders>
            <w:shd w:val="clear" w:color="auto" w:fill="FFFFFF"/>
            <w:vAlign w:val="center"/>
          </w:tcPr>
          <w:p>
            <w:pPr>
              <w:jc w:val="center"/>
              <w:rPr>
                <w:rFonts w:ascii="Dialog" w:hAnsi="Dialog"/>
                <w:sz w:val="18"/>
                <w:szCs w:val="18"/>
              </w:rPr>
            </w:pPr>
          </w:p>
        </w:tc>
        <w:tc>
          <w:tcPr>
            <w:tcW w:w="943" w:type="dxa"/>
            <w:vMerge w:val="continue"/>
            <w:tcBorders>
              <w:tl2br w:val="nil"/>
              <w:tr2bl w:val="nil"/>
            </w:tcBorders>
            <w:shd w:val="clear" w:color="auto" w:fill="FFFFFF"/>
            <w:vAlign w:val="center"/>
          </w:tcPr>
          <w:p>
            <w:pPr>
              <w:jc w:val="center"/>
              <w:rPr>
                <w:rFonts w:ascii="Dialog" w:hAnsi="Dialog"/>
                <w:sz w:val="18"/>
                <w:szCs w:val="18"/>
              </w:rPr>
            </w:pPr>
          </w:p>
        </w:tc>
        <w:tc>
          <w:tcPr>
            <w:tcW w:w="951" w:type="dxa"/>
            <w:tcBorders>
              <w:tl2br w:val="nil"/>
              <w:tr2bl w:val="nil"/>
            </w:tcBorders>
            <w:shd w:val="clear" w:color="auto" w:fill="FFFFFF"/>
            <w:vAlign w:val="center"/>
          </w:tcPr>
          <w:p>
            <w:pPr>
              <w:jc w:val="center"/>
              <w:rPr>
                <w:rFonts w:ascii="Dialog" w:hAnsi="Dialog"/>
                <w:sz w:val="18"/>
                <w:szCs w:val="18"/>
              </w:rPr>
            </w:pPr>
            <w:r>
              <w:rPr>
                <w:rFonts w:hint="eastAsia" w:ascii="Dialog" w:hAnsi="Dialog"/>
                <w:sz w:val="18"/>
                <w:szCs w:val="18"/>
              </w:rPr>
              <w:t>综合实力</w:t>
            </w:r>
          </w:p>
        </w:tc>
        <w:tc>
          <w:tcPr>
            <w:tcW w:w="6022" w:type="dxa"/>
            <w:tcBorders>
              <w:tl2br w:val="nil"/>
              <w:tr2bl w:val="nil"/>
            </w:tcBorders>
            <w:shd w:val="clear" w:color="auto" w:fill="FFFFFF"/>
            <w:vAlign w:val="center"/>
          </w:tcPr>
          <w:p>
            <w:pPr>
              <w:numPr>
                <w:ilvl w:val="0"/>
                <w:numId w:val="0"/>
              </w:numPr>
              <w:jc w:val="left"/>
              <w:rPr>
                <w:rFonts w:ascii="Dialog" w:hAnsi="Dialog"/>
                <w:sz w:val="18"/>
                <w:szCs w:val="18"/>
              </w:rPr>
            </w:pPr>
            <w:r>
              <w:rPr>
                <w:rFonts w:hint="eastAsia" w:ascii="Dialog" w:hAnsi="Dialog"/>
                <w:sz w:val="18"/>
                <w:szCs w:val="18"/>
                <w:lang w:val="en-US" w:eastAsia="zh-CN"/>
              </w:rPr>
              <w:t>1、</w:t>
            </w:r>
            <w:r>
              <w:rPr>
                <w:rFonts w:ascii="Dialog" w:hAnsi="Dialog"/>
                <w:sz w:val="18"/>
                <w:szCs w:val="18"/>
              </w:rPr>
              <w:t>产品厂商</w:t>
            </w:r>
            <w:r>
              <w:rPr>
                <w:rFonts w:hint="eastAsia" w:ascii="Dialog" w:hAnsi="Dialog"/>
                <w:sz w:val="18"/>
                <w:szCs w:val="18"/>
              </w:rPr>
              <w:t>通过信息化和工业化融合管理体系评定证书（</w:t>
            </w:r>
            <w:r>
              <w:rPr>
                <w:rFonts w:ascii="Dialog" w:hAnsi="Dialog"/>
                <w:sz w:val="18"/>
                <w:szCs w:val="18"/>
              </w:rPr>
              <w:t>AAA级得</w:t>
            </w:r>
            <w:r>
              <w:rPr>
                <w:rFonts w:hint="eastAsia" w:ascii="Dialog" w:hAnsi="Dialog"/>
                <w:sz w:val="18"/>
                <w:szCs w:val="18"/>
                <w:lang w:val="en-US" w:eastAsia="zh-CN"/>
              </w:rPr>
              <w:t>4</w:t>
            </w:r>
            <w:r>
              <w:rPr>
                <w:rFonts w:ascii="Dialog" w:hAnsi="Dialog"/>
                <w:sz w:val="18"/>
                <w:szCs w:val="18"/>
              </w:rPr>
              <w:t>分，AA级得2分，A级得1分）；</w:t>
            </w:r>
          </w:p>
          <w:p>
            <w:pPr>
              <w:numPr>
                <w:ilvl w:val="0"/>
                <w:numId w:val="0"/>
              </w:numPr>
              <w:spacing w:line="360" w:lineRule="auto"/>
              <w:jc w:val="left"/>
              <w:rPr>
                <w:rFonts w:hint="eastAsia" w:ascii="宋体" w:hAnsi="宋体" w:cs="Times New Roman"/>
                <w:sz w:val="18"/>
                <w:szCs w:val="18"/>
                <w:lang w:val="en-US" w:eastAsia="zh-CN"/>
              </w:rPr>
            </w:pPr>
            <w:r>
              <w:rPr>
                <w:rFonts w:hint="eastAsia"/>
                <w:lang w:val="en-US" w:eastAsia="zh-CN"/>
              </w:rPr>
              <w:t>2、</w:t>
            </w:r>
            <w:r>
              <w:rPr>
                <w:rFonts w:hint="eastAsia" w:ascii="宋体" w:hAnsi="宋体" w:cs="Times New Roman"/>
                <w:sz w:val="18"/>
                <w:szCs w:val="18"/>
                <w:lang w:val="en-US" w:eastAsia="zh-CN"/>
              </w:rPr>
              <w:t>能提供国产操作系统技术认证证书得2分，最高4分，不能提供的不得分；</w:t>
            </w:r>
          </w:p>
          <w:p>
            <w:pPr>
              <w:pStyle w:val="7"/>
              <w:numPr>
                <w:ilvl w:val="0"/>
                <w:numId w:val="0"/>
              </w:numPr>
              <w:rPr>
                <w:rFonts w:hint="eastAsia" w:ascii="宋体" w:hAnsi="宋体" w:eastAsia="宋体" w:cs="Times New Roman"/>
                <w:kern w:val="2"/>
                <w:sz w:val="18"/>
                <w:szCs w:val="18"/>
                <w:lang w:val="en-US" w:eastAsia="zh-CN" w:bidi="ar-SA"/>
              </w:rPr>
            </w:pPr>
          </w:p>
          <w:p>
            <w:pPr>
              <w:pStyle w:val="2"/>
              <w:numPr>
                <w:ilvl w:val="0"/>
                <w:numId w:val="0"/>
              </w:numPr>
              <w:rPr>
                <w:rFonts w:hint="eastAsia" w:eastAsia="宋体"/>
                <w:lang w:val="en-US" w:eastAsia="zh-CN"/>
              </w:rPr>
            </w:pPr>
          </w:p>
          <w:p>
            <w:pPr>
              <w:pStyle w:val="7"/>
            </w:pPr>
          </w:p>
          <w:p>
            <w:pPr>
              <w:jc w:val="left"/>
              <w:rPr>
                <w:rFonts w:ascii="Dialog" w:hAnsi="Dialog"/>
                <w:sz w:val="18"/>
                <w:szCs w:val="18"/>
              </w:rPr>
            </w:pPr>
            <w:r>
              <w:rPr>
                <w:rFonts w:hint="eastAsia" w:ascii="Dialog" w:hAnsi="Dialog"/>
                <w:b/>
                <w:bCs/>
                <w:sz w:val="18"/>
                <w:szCs w:val="18"/>
              </w:rPr>
              <w:t>注：须在有效期内，提供复印件加盖公章，原件备查。不提供不得分</w:t>
            </w:r>
          </w:p>
        </w:tc>
        <w:tc>
          <w:tcPr>
            <w:tcW w:w="1136" w:type="dxa"/>
            <w:tcBorders>
              <w:tl2br w:val="nil"/>
              <w:tr2bl w:val="nil"/>
            </w:tcBorders>
            <w:shd w:val="clear" w:color="auto" w:fill="FFFFFF"/>
            <w:vAlign w:val="center"/>
          </w:tcPr>
          <w:p>
            <w:pPr>
              <w:jc w:val="center"/>
              <w:rPr>
                <w:rFonts w:ascii="Dialog" w:hAnsi="Dialog"/>
                <w:sz w:val="18"/>
                <w:szCs w:val="18"/>
              </w:rPr>
            </w:pPr>
            <w:r>
              <w:rPr>
                <w:rFonts w:hint="eastAsia" w:ascii="Dialog" w:hAnsi="Dialog"/>
                <w:sz w:val="18"/>
                <w:szCs w:val="18"/>
                <w:lang w:val="en-US" w:eastAsia="zh-CN"/>
              </w:rPr>
              <w:t>8</w:t>
            </w:r>
            <w:r>
              <w:rPr>
                <w:rFonts w:hint="eastAsia" w:ascii="Dialog" w:hAnsi="Dialog"/>
                <w:sz w:val="18"/>
                <w:szCs w:val="18"/>
              </w:rPr>
              <w:t>分</w:t>
            </w:r>
          </w:p>
          <w:p>
            <w:pPr>
              <w:jc w:val="center"/>
              <w:rPr>
                <w:rFonts w:ascii="Dialog" w:hAnsi="Dialog"/>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jc w:val="center"/>
        </w:trPr>
        <w:tc>
          <w:tcPr>
            <w:tcW w:w="316" w:type="dxa"/>
            <w:vMerge w:val="continue"/>
            <w:tcBorders>
              <w:tl2br w:val="nil"/>
              <w:tr2bl w:val="nil"/>
            </w:tcBorders>
            <w:shd w:val="clear" w:color="auto" w:fill="FFFFFF"/>
            <w:vAlign w:val="center"/>
          </w:tcPr>
          <w:p>
            <w:pPr>
              <w:rPr>
                <w:rFonts w:ascii="Dialog" w:hAnsi="Dialog"/>
                <w:sz w:val="18"/>
                <w:szCs w:val="18"/>
              </w:rPr>
            </w:pPr>
          </w:p>
        </w:tc>
        <w:tc>
          <w:tcPr>
            <w:tcW w:w="943" w:type="dxa"/>
            <w:vMerge w:val="continue"/>
            <w:tcBorders>
              <w:tl2br w:val="nil"/>
              <w:tr2bl w:val="nil"/>
            </w:tcBorders>
            <w:shd w:val="clear" w:color="auto" w:fill="FFFFFF"/>
            <w:vAlign w:val="center"/>
          </w:tcPr>
          <w:p>
            <w:pPr>
              <w:rPr>
                <w:rFonts w:ascii="Dialog" w:hAnsi="Dialog"/>
                <w:sz w:val="18"/>
                <w:szCs w:val="18"/>
              </w:rPr>
            </w:pPr>
          </w:p>
        </w:tc>
        <w:tc>
          <w:tcPr>
            <w:tcW w:w="951" w:type="dxa"/>
            <w:tcBorders>
              <w:tl2br w:val="nil"/>
              <w:tr2bl w:val="nil"/>
            </w:tcBorders>
            <w:shd w:val="clear" w:color="auto" w:fill="FFFFFF"/>
            <w:vAlign w:val="center"/>
          </w:tcPr>
          <w:p>
            <w:pPr>
              <w:jc w:val="center"/>
              <w:rPr>
                <w:rFonts w:ascii="Dialog" w:hAnsi="Dialog"/>
                <w:sz w:val="18"/>
                <w:szCs w:val="18"/>
              </w:rPr>
            </w:pPr>
            <w:r>
              <w:rPr>
                <w:rFonts w:hint="eastAsia" w:ascii="Dialog" w:hAnsi="Dialog"/>
                <w:sz w:val="18"/>
                <w:szCs w:val="18"/>
              </w:rPr>
              <w:t>实施方案</w:t>
            </w:r>
          </w:p>
        </w:tc>
        <w:tc>
          <w:tcPr>
            <w:tcW w:w="6022" w:type="dxa"/>
            <w:tcBorders>
              <w:tl2br w:val="nil"/>
              <w:tr2bl w:val="nil"/>
            </w:tcBorders>
            <w:shd w:val="clear" w:color="auto" w:fill="FFFFFF"/>
            <w:vAlign w:val="center"/>
          </w:tcPr>
          <w:p>
            <w:pPr>
              <w:jc w:val="left"/>
              <w:rPr>
                <w:rFonts w:ascii="Dialog" w:hAnsi="Dialog"/>
                <w:sz w:val="18"/>
                <w:szCs w:val="18"/>
              </w:rPr>
            </w:pPr>
            <w:r>
              <w:rPr>
                <w:rFonts w:hint="eastAsia" w:ascii="Dialog" w:hAnsi="Dialog"/>
                <w:sz w:val="18"/>
                <w:szCs w:val="18"/>
              </w:rPr>
              <w:t>根据投标人提供</w:t>
            </w:r>
            <w:r>
              <w:rPr>
                <w:rFonts w:hint="eastAsia" w:ascii="Dialog" w:hAnsi="Dialog"/>
                <w:sz w:val="18"/>
                <w:szCs w:val="18"/>
                <w:lang w:val="en-US" w:eastAsia="zh-CN"/>
              </w:rPr>
              <w:t>产品的选型 、</w:t>
            </w:r>
            <w:r>
              <w:rPr>
                <w:rFonts w:hint="eastAsia" w:ascii="Dialog" w:hAnsi="Dialog"/>
                <w:sz w:val="18"/>
                <w:szCs w:val="18"/>
              </w:rPr>
              <w:t>完整、合理、详细的实施方案，进行评审。</w:t>
            </w:r>
          </w:p>
          <w:p>
            <w:pPr>
              <w:jc w:val="left"/>
              <w:rPr>
                <w:rFonts w:ascii="Dialog" w:hAnsi="Dialog"/>
                <w:sz w:val="18"/>
                <w:szCs w:val="18"/>
              </w:rPr>
            </w:pPr>
            <w:r>
              <w:rPr>
                <w:rFonts w:hint="eastAsia" w:ascii="Dialog" w:hAnsi="Dialog"/>
                <w:sz w:val="18"/>
                <w:szCs w:val="18"/>
              </w:rPr>
              <w:t>（1）</w:t>
            </w:r>
            <w:r>
              <w:rPr>
                <w:rFonts w:hint="eastAsia" w:ascii="Dialog" w:hAnsi="Dialog"/>
                <w:sz w:val="18"/>
                <w:szCs w:val="18"/>
                <w:lang w:val="en-US" w:eastAsia="zh-CN"/>
              </w:rPr>
              <w:t>对产品选型、</w:t>
            </w:r>
            <w:r>
              <w:rPr>
                <w:rFonts w:hint="eastAsia" w:ascii="Dialog" w:hAnsi="Dialog"/>
                <w:sz w:val="18"/>
                <w:szCs w:val="18"/>
              </w:rPr>
              <w:t>方案详细全面、合理、规范，可操作性强得</w:t>
            </w:r>
            <w:r>
              <w:rPr>
                <w:rFonts w:hint="eastAsia" w:ascii="Dialog" w:hAnsi="Dialog"/>
                <w:sz w:val="18"/>
                <w:szCs w:val="18"/>
                <w:lang w:val="en-US" w:eastAsia="zh-CN"/>
              </w:rPr>
              <w:t>8</w:t>
            </w:r>
            <w:r>
              <w:rPr>
                <w:rFonts w:hint="eastAsia" w:ascii="Dialog" w:hAnsi="Dialog"/>
                <w:sz w:val="18"/>
                <w:szCs w:val="18"/>
              </w:rPr>
              <w:t>分；</w:t>
            </w:r>
          </w:p>
          <w:p>
            <w:pPr>
              <w:jc w:val="left"/>
              <w:rPr>
                <w:rFonts w:ascii="Dialog" w:hAnsi="Dialog"/>
                <w:sz w:val="18"/>
                <w:szCs w:val="18"/>
              </w:rPr>
            </w:pPr>
            <w:r>
              <w:rPr>
                <w:rFonts w:hint="eastAsia" w:ascii="Dialog" w:hAnsi="Dialog"/>
                <w:sz w:val="18"/>
                <w:szCs w:val="18"/>
              </w:rPr>
              <w:t>（2）</w:t>
            </w:r>
            <w:r>
              <w:rPr>
                <w:rFonts w:hint="eastAsia" w:ascii="Dialog" w:hAnsi="Dialog"/>
                <w:sz w:val="18"/>
                <w:szCs w:val="18"/>
                <w:lang w:val="en-US" w:eastAsia="zh-CN"/>
              </w:rPr>
              <w:t>对产品选型、</w:t>
            </w:r>
            <w:r>
              <w:rPr>
                <w:rFonts w:hint="eastAsia" w:ascii="Dialog" w:hAnsi="Dialog"/>
                <w:sz w:val="18"/>
                <w:szCs w:val="18"/>
              </w:rPr>
              <w:t>方案基本合理，可操作性一般得</w:t>
            </w:r>
            <w:r>
              <w:rPr>
                <w:rFonts w:hint="eastAsia" w:ascii="Dialog" w:hAnsi="Dialog"/>
                <w:sz w:val="18"/>
                <w:szCs w:val="18"/>
                <w:lang w:val="en-US" w:eastAsia="zh-CN"/>
              </w:rPr>
              <w:t>5</w:t>
            </w:r>
            <w:r>
              <w:rPr>
                <w:rFonts w:hint="eastAsia" w:ascii="Dialog" w:hAnsi="Dialog"/>
                <w:sz w:val="18"/>
                <w:szCs w:val="18"/>
              </w:rPr>
              <w:t>分；</w:t>
            </w:r>
          </w:p>
          <w:p>
            <w:pPr>
              <w:jc w:val="left"/>
              <w:rPr>
                <w:rFonts w:ascii="Dialog" w:hAnsi="Dialog"/>
                <w:sz w:val="18"/>
                <w:szCs w:val="18"/>
              </w:rPr>
            </w:pPr>
            <w:r>
              <w:rPr>
                <w:rFonts w:hint="eastAsia" w:ascii="Dialog" w:hAnsi="Dialog"/>
                <w:sz w:val="18"/>
                <w:szCs w:val="18"/>
              </w:rPr>
              <w:t>（</w:t>
            </w:r>
            <w:r>
              <w:rPr>
                <w:rFonts w:ascii="Dialog" w:hAnsi="Dialog"/>
                <w:sz w:val="18"/>
                <w:szCs w:val="18"/>
              </w:rPr>
              <w:t>3</w:t>
            </w:r>
            <w:r>
              <w:rPr>
                <w:rFonts w:hint="eastAsia" w:ascii="Dialog" w:hAnsi="Dialog"/>
                <w:sz w:val="18"/>
                <w:szCs w:val="18"/>
              </w:rPr>
              <w:t>）</w:t>
            </w:r>
            <w:r>
              <w:rPr>
                <w:rFonts w:hint="eastAsia" w:ascii="Dialog" w:hAnsi="Dialog"/>
                <w:sz w:val="18"/>
                <w:szCs w:val="18"/>
                <w:lang w:val="en-US" w:eastAsia="zh-CN"/>
              </w:rPr>
              <w:t>对产品选型、</w:t>
            </w:r>
            <w:r>
              <w:rPr>
                <w:rFonts w:hint="eastAsia" w:ascii="Dialog" w:hAnsi="Dialog"/>
                <w:sz w:val="18"/>
                <w:szCs w:val="18"/>
              </w:rPr>
              <w:t>方案简略，可操作性差得</w:t>
            </w:r>
            <w:r>
              <w:rPr>
                <w:rFonts w:hint="eastAsia" w:ascii="Dialog" w:hAnsi="Dialog"/>
                <w:sz w:val="18"/>
                <w:szCs w:val="18"/>
                <w:lang w:val="en-US" w:eastAsia="zh-CN"/>
              </w:rPr>
              <w:t>3</w:t>
            </w:r>
            <w:r>
              <w:rPr>
                <w:rFonts w:hint="eastAsia" w:ascii="Dialog" w:hAnsi="Dialog"/>
                <w:sz w:val="18"/>
                <w:szCs w:val="18"/>
              </w:rPr>
              <w:t>分；</w:t>
            </w:r>
          </w:p>
          <w:p>
            <w:pPr>
              <w:jc w:val="left"/>
              <w:rPr>
                <w:rFonts w:ascii="宋体" w:hAnsi="宋体" w:cs="Times New Roman"/>
                <w:sz w:val="18"/>
                <w:szCs w:val="18"/>
              </w:rPr>
            </w:pPr>
            <w:r>
              <w:rPr>
                <w:rFonts w:hint="eastAsia" w:ascii="Dialog" w:hAnsi="Dialog"/>
                <w:sz w:val="18"/>
                <w:szCs w:val="18"/>
              </w:rPr>
              <w:t>（4）未提供相关内容不得分。</w:t>
            </w:r>
          </w:p>
        </w:tc>
        <w:tc>
          <w:tcPr>
            <w:tcW w:w="1136" w:type="dxa"/>
            <w:tcBorders>
              <w:tl2br w:val="nil"/>
              <w:tr2bl w:val="nil"/>
            </w:tcBorders>
            <w:shd w:val="clear" w:color="auto" w:fill="FFFFFF"/>
            <w:vAlign w:val="center"/>
          </w:tcPr>
          <w:p>
            <w:pPr>
              <w:jc w:val="center"/>
              <w:rPr>
                <w:rFonts w:ascii="Dialog" w:hAnsi="Dialog"/>
                <w:sz w:val="18"/>
                <w:szCs w:val="18"/>
              </w:rPr>
            </w:pPr>
            <w:r>
              <w:rPr>
                <w:rFonts w:hint="eastAsia" w:ascii="Dialog" w:hAnsi="Dialog"/>
                <w:sz w:val="18"/>
                <w:szCs w:val="18"/>
                <w:lang w:val="en-US" w:eastAsia="zh-CN"/>
              </w:rPr>
              <w:t>8</w:t>
            </w:r>
            <w:r>
              <w:rPr>
                <w:rFonts w:hint="eastAsia" w:ascii="Dialog" w:hAnsi="Dialog"/>
                <w:sz w:val="18"/>
                <w:szCs w:val="18"/>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69" w:hRule="atLeast"/>
          <w:jc w:val="center"/>
        </w:trPr>
        <w:tc>
          <w:tcPr>
            <w:tcW w:w="316" w:type="dxa"/>
            <w:vMerge w:val="continue"/>
            <w:tcBorders>
              <w:tl2br w:val="nil"/>
              <w:tr2bl w:val="nil"/>
            </w:tcBorders>
            <w:shd w:val="clear" w:color="auto" w:fill="FFFFFF"/>
            <w:vAlign w:val="center"/>
          </w:tcPr>
          <w:p>
            <w:pPr>
              <w:rPr>
                <w:rFonts w:ascii="Dialog" w:hAnsi="Dialog"/>
                <w:sz w:val="18"/>
                <w:szCs w:val="18"/>
              </w:rPr>
            </w:pPr>
          </w:p>
        </w:tc>
        <w:tc>
          <w:tcPr>
            <w:tcW w:w="943" w:type="dxa"/>
            <w:vMerge w:val="continue"/>
            <w:tcBorders>
              <w:tl2br w:val="nil"/>
              <w:tr2bl w:val="nil"/>
            </w:tcBorders>
            <w:shd w:val="clear" w:color="auto" w:fill="FFFFFF"/>
            <w:vAlign w:val="center"/>
          </w:tcPr>
          <w:p>
            <w:pPr>
              <w:rPr>
                <w:rFonts w:ascii="Dialog" w:hAnsi="Dialog"/>
                <w:sz w:val="18"/>
                <w:szCs w:val="18"/>
              </w:rPr>
            </w:pPr>
          </w:p>
        </w:tc>
        <w:tc>
          <w:tcPr>
            <w:tcW w:w="951" w:type="dxa"/>
            <w:vMerge w:val="restart"/>
            <w:tcBorders>
              <w:tl2br w:val="nil"/>
              <w:tr2bl w:val="nil"/>
            </w:tcBorders>
            <w:shd w:val="clear" w:color="auto" w:fill="FFFFFF"/>
            <w:vAlign w:val="center"/>
          </w:tcPr>
          <w:p>
            <w:pPr>
              <w:jc w:val="center"/>
              <w:rPr>
                <w:rFonts w:ascii="Dialog" w:hAnsi="Dialog"/>
                <w:sz w:val="18"/>
                <w:szCs w:val="18"/>
              </w:rPr>
            </w:pPr>
            <w:r>
              <w:rPr>
                <w:rFonts w:hint="eastAsia" w:ascii="Dialog" w:hAnsi="Dialog"/>
                <w:sz w:val="18"/>
                <w:szCs w:val="18"/>
              </w:rPr>
              <w:t>售后服务方案</w:t>
            </w:r>
          </w:p>
        </w:tc>
        <w:tc>
          <w:tcPr>
            <w:tcW w:w="6022" w:type="dxa"/>
            <w:tcBorders>
              <w:tl2br w:val="nil"/>
              <w:tr2bl w:val="nil"/>
            </w:tcBorders>
            <w:shd w:val="clear" w:color="auto" w:fill="FFFFFF"/>
            <w:vAlign w:val="center"/>
          </w:tcPr>
          <w:p>
            <w:pPr>
              <w:spacing w:line="360" w:lineRule="auto"/>
              <w:jc w:val="left"/>
              <w:rPr>
                <w:rFonts w:hint="eastAsia" w:ascii="宋体" w:hAnsi="宋体" w:cs="Times New Roman"/>
                <w:sz w:val="18"/>
                <w:szCs w:val="18"/>
              </w:rPr>
            </w:pPr>
            <w:r>
              <w:rPr>
                <w:rFonts w:hint="eastAsia" w:ascii="宋体" w:hAnsi="宋体" w:cs="Times New Roman"/>
                <w:sz w:val="18"/>
                <w:szCs w:val="18"/>
              </w:rPr>
              <w:t>根据投标人提供的售后服务方案，包括服务范围、保障措施、故障处理、服务时效性等内容进行评审：</w:t>
            </w:r>
          </w:p>
          <w:p>
            <w:pPr>
              <w:spacing w:line="360" w:lineRule="auto"/>
              <w:jc w:val="left"/>
              <w:rPr>
                <w:rFonts w:ascii="宋体" w:hAnsi="宋体" w:cs="Times New Roman"/>
                <w:sz w:val="18"/>
                <w:szCs w:val="18"/>
              </w:rPr>
            </w:pPr>
            <w:r>
              <w:rPr>
                <w:rFonts w:hint="eastAsia" w:ascii="宋体" w:hAnsi="宋体" w:cs="Times New Roman"/>
                <w:sz w:val="18"/>
                <w:szCs w:val="18"/>
              </w:rPr>
              <w:t>（</w:t>
            </w:r>
            <w:r>
              <w:rPr>
                <w:rFonts w:hint="eastAsia" w:ascii="宋体" w:hAnsi="宋体" w:cs="Times New Roman"/>
                <w:sz w:val="18"/>
                <w:szCs w:val="18"/>
                <w:lang w:val="en-US" w:eastAsia="zh-CN"/>
              </w:rPr>
              <w:t>1</w:t>
            </w:r>
            <w:r>
              <w:rPr>
                <w:rFonts w:hint="eastAsia" w:ascii="宋体" w:hAnsi="宋体" w:cs="Times New Roman"/>
                <w:sz w:val="18"/>
                <w:szCs w:val="18"/>
              </w:rPr>
              <w:t>）方案详细具体，</w:t>
            </w:r>
            <w:r>
              <w:rPr>
                <w:rFonts w:hint="eastAsia" w:ascii="宋体" w:hAnsi="宋体" w:cs="宋体"/>
                <w:kern w:val="0"/>
                <w:sz w:val="18"/>
                <w:szCs w:val="18"/>
              </w:rPr>
              <w:t>具有很强的针对性和合理性，得</w:t>
            </w:r>
            <w:r>
              <w:rPr>
                <w:rFonts w:hint="eastAsia" w:ascii="宋体" w:hAnsi="宋体" w:cs="Times New Roman"/>
                <w:sz w:val="18"/>
                <w:szCs w:val="18"/>
                <w:lang w:val="en-US" w:eastAsia="zh-CN"/>
              </w:rPr>
              <w:t>6</w:t>
            </w:r>
            <w:r>
              <w:rPr>
                <w:rFonts w:hint="eastAsia" w:ascii="宋体" w:hAnsi="宋体" w:cs="Times New Roman"/>
                <w:sz w:val="18"/>
                <w:szCs w:val="18"/>
              </w:rPr>
              <w:t>分；</w:t>
            </w:r>
          </w:p>
          <w:p>
            <w:pPr>
              <w:spacing w:line="360" w:lineRule="auto"/>
              <w:jc w:val="left"/>
              <w:rPr>
                <w:rFonts w:ascii="宋体" w:hAnsi="宋体" w:cs="Times New Roman"/>
                <w:sz w:val="18"/>
                <w:szCs w:val="18"/>
              </w:rPr>
            </w:pPr>
            <w:r>
              <w:rPr>
                <w:rFonts w:hint="eastAsia" w:ascii="宋体" w:hAnsi="宋体" w:cs="Times New Roman"/>
                <w:sz w:val="18"/>
                <w:szCs w:val="18"/>
              </w:rPr>
              <w:t>（</w:t>
            </w:r>
            <w:r>
              <w:rPr>
                <w:rFonts w:hint="eastAsia" w:ascii="宋体" w:hAnsi="宋体" w:cs="Times New Roman"/>
                <w:sz w:val="18"/>
                <w:szCs w:val="18"/>
                <w:lang w:val="en-US" w:eastAsia="zh-CN"/>
              </w:rPr>
              <w:t>2</w:t>
            </w:r>
            <w:r>
              <w:rPr>
                <w:rFonts w:hint="eastAsia" w:ascii="宋体" w:hAnsi="宋体" w:cs="Times New Roman"/>
                <w:sz w:val="18"/>
                <w:szCs w:val="18"/>
              </w:rPr>
              <w:t>）方案较详细具体，具有一定的针对性和合理性，得</w:t>
            </w:r>
            <w:r>
              <w:rPr>
                <w:rFonts w:hint="eastAsia" w:ascii="宋体" w:hAnsi="宋体" w:cs="Times New Roman"/>
                <w:sz w:val="18"/>
                <w:szCs w:val="18"/>
                <w:lang w:val="en-US" w:eastAsia="zh-CN"/>
              </w:rPr>
              <w:t>4</w:t>
            </w:r>
            <w:r>
              <w:rPr>
                <w:rFonts w:hint="eastAsia" w:ascii="宋体" w:hAnsi="宋体" w:cs="Times New Roman"/>
                <w:sz w:val="18"/>
                <w:szCs w:val="18"/>
              </w:rPr>
              <w:t>分；</w:t>
            </w:r>
          </w:p>
          <w:p>
            <w:pPr>
              <w:spacing w:line="360" w:lineRule="auto"/>
              <w:jc w:val="left"/>
              <w:rPr>
                <w:rFonts w:ascii="宋体" w:hAnsi="宋体" w:cs="Times New Roman"/>
                <w:sz w:val="18"/>
                <w:szCs w:val="18"/>
              </w:rPr>
            </w:pPr>
            <w:r>
              <w:rPr>
                <w:rFonts w:hint="eastAsia" w:ascii="宋体" w:hAnsi="宋体" w:cs="Times New Roman"/>
                <w:sz w:val="18"/>
                <w:szCs w:val="18"/>
              </w:rPr>
              <w:t>（</w:t>
            </w:r>
            <w:r>
              <w:rPr>
                <w:rFonts w:hint="eastAsia" w:ascii="宋体" w:hAnsi="宋体" w:cs="Times New Roman"/>
                <w:sz w:val="18"/>
                <w:szCs w:val="18"/>
                <w:lang w:val="en-US" w:eastAsia="zh-CN"/>
              </w:rPr>
              <w:t>3</w:t>
            </w:r>
            <w:r>
              <w:rPr>
                <w:rFonts w:hint="eastAsia" w:ascii="宋体" w:hAnsi="宋体" w:cs="Times New Roman"/>
                <w:sz w:val="18"/>
                <w:szCs w:val="18"/>
              </w:rPr>
              <w:t>）方案不够详细具体，针对性和合理性不强，得</w:t>
            </w:r>
            <w:r>
              <w:rPr>
                <w:rFonts w:hint="eastAsia" w:ascii="宋体" w:hAnsi="宋体" w:cs="Times New Roman"/>
                <w:sz w:val="18"/>
                <w:szCs w:val="18"/>
                <w:lang w:val="en-US" w:eastAsia="zh-CN"/>
              </w:rPr>
              <w:t>2</w:t>
            </w:r>
            <w:r>
              <w:rPr>
                <w:rFonts w:hint="eastAsia" w:ascii="宋体" w:hAnsi="宋体" w:cs="Times New Roman"/>
                <w:sz w:val="18"/>
                <w:szCs w:val="18"/>
              </w:rPr>
              <w:t>分；</w:t>
            </w:r>
          </w:p>
          <w:p>
            <w:pPr>
              <w:jc w:val="left"/>
              <w:rPr>
                <w:rFonts w:hint="eastAsia" w:ascii="宋体" w:hAnsi="宋体" w:cs="Times New Roman"/>
                <w:sz w:val="18"/>
                <w:szCs w:val="18"/>
                <w:lang w:val="en-US" w:eastAsia="zh-CN"/>
              </w:rPr>
            </w:pPr>
            <w:r>
              <w:rPr>
                <w:rFonts w:hint="eastAsia" w:ascii="宋体" w:hAnsi="宋体" w:cs="Times New Roman"/>
                <w:sz w:val="18"/>
                <w:szCs w:val="18"/>
              </w:rPr>
              <w:t>（</w:t>
            </w:r>
            <w:r>
              <w:rPr>
                <w:rFonts w:hint="eastAsia" w:ascii="宋体" w:hAnsi="宋体" w:cs="Times New Roman"/>
                <w:sz w:val="18"/>
                <w:szCs w:val="18"/>
                <w:lang w:val="en-US" w:eastAsia="zh-CN"/>
              </w:rPr>
              <w:t>4</w:t>
            </w:r>
            <w:r>
              <w:rPr>
                <w:rFonts w:hint="eastAsia" w:ascii="宋体" w:hAnsi="宋体" w:cs="Times New Roman"/>
                <w:sz w:val="18"/>
                <w:szCs w:val="18"/>
              </w:rPr>
              <w:t>）不提供不得分。</w:t>
            </w:r>
          </w:p>
        </w:tc>
        <w:tc>
          <w:tcPr>
            <w:tcW w:w="1136" w:type="dxa"/>
            <w:tcBorders>
              <w:tl2br w:val="nil"/>
              <w:tr2bl w:val="nil"/>
            </w:tcBorders>
            <w:shd w:val="clear" w:color="auto" w:fill="FFFFFF"/>
            <w:vAlign w:val="center"/>
          </w:tcPr>
          <w:p>
            <w:pPr>
              <w:jc w:val="center"/>
              <w:rPr>
                <w:rFonts w:hint="default" w:ascii="Dialog" w:hAnsi="Dialog" w:eastAsia="宋体"/>
                <w:sz w:val="18"/>
                <w:szCs w:val="18"/>
                <w:lang w:val="en-US" w:eastAsia="zh-CN"/>
              </w:rPr>
            </w:pPr>
            <w:r>
              <w:rPr>
                <w:rFonts w:hint="eastAsia" w:ascii="Dialog" w:hAnsi="Dialog"/>
                <w:sz w:val="18"/>
                <w:szCs w:val="18"/>
                <w:lang w:val="en-US" w:eastAsia="zh-CN"/>
              </w:rPr>
              <w:t>6分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0" w:hRule="atLeast"/>
          <w:jc w:val="center"/>
        </w:trPr>
        <w:tc>
          <w:tcPr>
            <w:tcW w:w="316" w:type="dxa"/>
            <w:vMerge w:val="continue"/>
            <w:tcBorders>
              <w:tl2br w:val="nil"/>
              <w:tr2bl w:val="nil"/>
            </w:tcBorders>
            <w:shd w:val="clear" w:color="auto" w:fill="FFFFFF"/>
            <w:vAlign w:val="center"/>
          </w:tcPr>
          <w:p>
            <w:pPr>
              <w:rPr>
                <w:rFonts w:ascii="Dialog" w:hAnsi="Dialog"/>
                <w:sz w:val="18"/>
                <w:szCs w:val="18"/>
              </w:rPr>
            </w:pPr>
          </w:p>
        </w:tc>
        <w:tc>
          <w:tcPr>
            <w:tcW w:w="943" w:type="dxa"/>
            <w:vMerge w:val="continue"/>
            <w:tcBorders>
              <w:tl2br w:val="nil"/>
              <w:tr2bl w:val="nil"/>
            </w:tcBorders>
            <w:shd w:val="clear" w:color="auto" w:fill="FFFFFF"/>
            <w:vAlign w:val="center"/>
          </w:tcPr>
          <w:p>
            <w:pPr>
              <w:rPr>
                <w:rFonts w:ascii="Dialog" w:hAnsi="Dialog"/>
                <w:sz w:val="18"/>
                <w:szCs w:val="18"/>
              </w:rPr>
            </w:pPr>
          </w:p>
        </w:tc>
        <w:tc>
          <w:tcPr>
            <w:tcW w:w="951" w:type="dxa"/>
            <w:vMerge w:val="continue"/>
            <w:tcBorders>
              <w:tl2br w:val="nil"/>
              <w:tr2bl w:val="nil"/>
            </w:tcBorders>
            <w:shd w:val="clear" w:color="auto" w:fill="FFFFFF"/>
            <w:vAlign w:val="center"/>
          </w:tcPr>
          <w:p>
            <w:pPr>
              <w:jc w:val="center"/>
              <w:rPr>
                <w:rFonts w:ascii="Dialog" w:hAnsi="Dialog"/>
                <w:sz w:val="18"/>
                <w:szCs w:val="18"/>
              </w:rPr>
            </w:pPr>
          </w:p>
        </w:tc>
        <w:tc>
          <w:tcPr>
            <w:tcW w:w="6022" w:type="dxa"/>
            <w:tcBorders>
              <w:tl2br w:val="nil"/>
              <w:tr2bl w:val="nil"/>
            </w:tcBorders>
            <w:shd w:val="clear" w:color="auto" w:fill="FFFFFF"/>
            <w:vAlign w:val="center"/>
          </w:tcPr>
          <w:p>
            <w:pPr>
              <w:numPr>
                <w:ilvl w:val="0"/>
                <w:numId w:val="2"/>
              </w:numPr>
              <w:spacing w:line="320" w:lineRule="exact"/>
              <w:rPr>
                <w:rFonts w:hint="eastAsia" w:ascii="宋体" w:hAnsi="宋体" w:cs="Times New Roman"/>
                <w:sz w:val="18"/>
                <w:szCs w:val="18"/>
                <w:lang w:val="en-US" w:eastAsia="zh-CN"/>
              </w:rPr>
            </w:pPr>
            <w:r>
              <w:rPr>
                <w:rFonts w:hint="eastAsia" w:ascii="宋体" w:hAnsi="宋体" w:cs="Times New Roman"/>
                <w:sz w:val="18"/>
                <w:szCs w:val="18"/>
                <w:lang w:val="en-US" w:eastAsia="zh-CN"/>
              </w:rPr>
              <w:t>零配件供应：提供齐全的原厂标准易损件、消耗材料价格清单并承诺具体折扣率和免维修费的，得2分，缺项或承诺内容不全的不得分；</w:t>
            </w:r>
          </w:p>
          <w:p>
            <w:pPr>
              <w:numPr>
                <w:ilvl w:val="0"/>
                <w:numId w:val="2"/>
              </w:numPr>
              <w:spacing w:line="320" w:lineRule="exact"/>
              <w:rPr>
                <w:rFonts w:hint="eastAsia" w:ascii="宋体" w:hAnsi="宋体" w:cs="Times New Roman"/>
                <w:sz w:val="18"/>
                <w:szCs w:val="18"/>
                <w:lang w:val="en-US" w:eastAsia="zh-CN"/>
              </w:rPr>
            </w:pPr>
            <w:r>
              <w:rPr>
                <w:rFonts w:hint="eastAsia" w:ascii="宋体" w:hAnsi="宋体" w:cs="Times New Roman"/>
                <w:sz w:val="18"/>
                <w:szCs w:val="18"/>
                <w:lang w:val="en-US" w:eastAsia="zh-CN"/>
              </w:rPr>
              <w:t>承诺质保期满后执行质保期内材料价格清单并免维修费的，得1分；否则不得分；</w:t>
            </w:r>
          </w:p>
          <w:p>
            <w:pPr>
              <w:numPr>
                <w:ilvl w:val="0"/>
                <w:numId w:val="2"/>
              </w:numPr>
              <w:spacing w:line="320" w:lineRule="exact"/>
              <w:rPr>
                <w:rFonts w:hint="eastAsia" w:ascii="宋体" w:hAnsi="宋体" w:cs="Times New Roman"/>
                <w:sz w:val="18"/>
                <w:szCs w:val="18"/>
                <w:lang w:val="en-US" w:eastAsia="zh-CN"/>
              </w:rPr>
            </w:pPr>
            <w:r>
              <w:rPr>
                <w:rFonts w:hint="eastAsia" w:ascii="宋体" w:hAnsi="宋体" w:cs="Times New Roman"/>
                <w:sz w:val="18"/>
                <w:szCs w:val="18"/>
                <w:lang w:val="en-US" w:eastAsia="zh-CN"/>
              </w:rPr>
              <w:t>承诺能够提供本地化售后服务的，得2分；需提供服务团队相关证明资料；</w:t>
            </w:r>
          </w:p>
          <w:p>
            <w:pPr>
              <w:numPr>
                <w:ilvl w:val="0"/>
                <w:numId w:val="0"/>
              </w:numPr>
              <w:spacing w:line="320" w:lineRule="exact"/>
              <w:rPr>
                <w:rFonts w:hint="eastAsia" w:ascii="宋体" w:hAnsi="宋体" w:cs="Times New Roman"/>
                <w:b/>
                <w:bCs/>
                <w:sz w:val="18"/>
                <w:szCs w:val="18"/>
                <w:lang w:val="en-US" w:eastAsia="zh-CN"/>
              </w:rPr>
            </w:pPr>
            <w:r>
              <w:rPr>
                <w:rFonts w:hint="eastAsia" w:ascii="宋体" w:hAnsi="宋体" w:cs="Times New Roman"/>
                <w:b/>
                <w:bCs/>
                <w:sz w:val="18"/>
                <w:szCs w:val="18"/>
                <w:lang w:val="en-US" w:eastAsia="zh-CN"/>
              </w:rPr>
              <w:t>注：以上内容完整且完全满足项目要求得分，内容缺项、缺陷不得分(缺陷是指：存在不适用项目实际情况的情形、凭空编造、内容前后不一致、前后逻辑错误、涉及的规范及标准错误、地点区域错误、内容遗漏、不符合采购需求等)</w:t>
            </w:r>
          </w:p>
          <w:p>
            <w:pPr>
              <w:jc w:val="left"/>
              <w:rPr>
                <w:rFonts w:ascii="Dialog" w:hAnsi="Dialog"/>
                <w:sz w:val="18"/>
                <w:szCs w:val="18"/>
              </w:rPr>
            </w:pPr>
          </w:p>
        </w:tc>
        <w:tc>
          <w:tcPr>
            <w:tcW w:w="1136" w:type="dxa"/>
            <w:tcBorders>
              <w:tl2br w:val="nil"/>
              <w:tr2bl w:val="nil"/>
            </w:tcBorders>
            <w:shd w:val="clear" w:color="auto" w:fill="FFFFFF"/>
            <w:vAlign w:val="center"/>
          </w:tcPr>
          <w:p>
            <w:pPr>
              <w:jc w:val="center"/>
              <w:rPr>
                <w:rFonts w:hint="eastAsia" w:ascii="Dialog" w:hAnsi="Dialog" w:eastAsia="宋体"/>
                <w:sz w:val="18"/>
                <w:szCs w:val="18"/>
                <w:lang w:val="en-US" w:eastAsia="zh-CN"/>
              </w:rPr>
            </w:pPr>
            <w:r>
              <w:rPr>
                <w:rFonts w:ascii="Dialog" w:hAnsi="Dialog"/>
                <w:sz w:val="18"/>
                <w:szCs w:val="18"/>
              </w:rPr>
              <w:t>5</w:t>
            </w:r>
            <w:r>
              <w:rPr>
                <w:rFonts w:hint="eastAsia" w:ascii="Dialog" w:hAnsi="Dialog"/>
                <w:sz w:val="18"/>
                <w:szCs w:val="18"/>
                <w:lang w:val="en-US" w:eastAsia="zh-CN"/>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5" w:hRule="atLeast"/>
          <w:jc w:val="center"/>
        </w:trPr>
        <w:tc>
          <w:tcPr>
            <w:tcW w:w="316" w:type="dxa"/>
            <w:vMerge w:val="restart"/>
            <w:tcBorders>
              <w:tl2br w:val="nil"/>
              <w:tr2bl w:val="nil"/>
            </w:tcBorders>
            <w:shd w:val="clear" w:color="auto" w:fill="FFFFFF"/>
            <w:vAlign w:val="center"/>
          </w:tcPr>
          <w:p>
            <w:pPr>
              <w:jc w:val="center"/>
              <w:rPr>
                <w:rFonts w:ascii="Dialog" w:hAnsi="Dialog"/>
                <w:sz w:val="18"/>
                <w:szCs w:val="18"/>
              </w:rPr>
            </w:pPr>
            <w:r>
              <w:rPr>
                <w:rFonts w:ascii="Dialog" w:hAnsi="Dialog"/>
                <w:sz w:val="18"/>
                <w:szCs w:val="18"/>
              </w:rPr>
              <w:t>3</w:t>
            </w:r>
          </w:p>
        </w:tc>
        <w:tc>
          <w:tcPr>
            <w:tcW w:w="943" w:type="dxa"/>
            <w:vMerge w:val="restart"/>
            <w:tcBorders>
              <w:tl2br w:val="nil"/>
              <w:tr2bl w:val="nil"/>
            </w:tcBorders>
            <w:shd w:val="clear" w:color="auto" w:fill="FFFFFF"/>
            <w:vAlign w:val="center"/>
          </w:tcPr>
          <w:p>
            <w:pPr>
              <w:jc w:val="center"/>
              <w:rPr>
                <w:rFonts w:ascii="Dialog" w:hAnsi="Dialog"/>
                <w:sz w:val="18"/>
                <w:szCs w:val="18"/>
              </w:rPr>
            </w:pPr>
            <w:r>
              <w:rPr>
                <w:rFonts w:ascii="Dialog" w:hAnsi="Dialog"/>
                <w:sz w:val="18"/>
                <w:szCs w:val="18"/>
              </w:rPr>
              <w:t>技术评分标准 （3</w:t>
            </w:r>
            <w:r>
              <w:rPr>
                <w:rFonts w:hint="eastAsia" w:ascii="Dialog" w:hAnsi="Dialog"/>
                <w:sz w:val="18"/>
                <w:szCs w:val="18"/>
                <w:lang w:val="en-US" w:eastAsia="zh-CN"/>
              </w:rPr>
              <w:t>7</w:t>
            </w:r>
            <w:r>
              <w:rPr>
                <w:rFonts w:ascii="Dialog" w:hAnsi="Dialog"/>
                <w:sz w:val="18"/>
                <w:szCs w:val="18"/>
              </w:rPr>
              <w:t>分）</w:t>
            </w:r>
          </w:p>
        </w:tc>
        <w:tc>
          <w:tcPr>
            <w:tcW w:w="951" w:type="dxa"/>
            <w:tcBorders>
              <w:tl2br w:val="nil"/>
              <w:tr2bl w:val="nil"/>
            </w:tcBorders>
            <w:shd w:val="clear" w:color="auto" w:fill="FFFFFF"/>
            <w:vAlign w:val="center"/>
          </w:tcPr>
          <w:p>
            <w:pPr>
              <w:jc w:val="center"/>
              <w:rPr>
                <w:rFonts w:ascii="Dialog" w:hAnsi="Dialog"/>
                <w:sz w:val="18"/>
                <w:szCs w:val="18"/>
              </w:rPr>
            </w:pPr>
            <w:r>
              <w:rPr>
                <w:rFonts w:ascii="Dialog" w:hAnsi="Dialog"/>
                <w:sz w:val="18"/>
                <w:szCs w:val="18"/>
              </w:rPr>
              <w:t>技术响应</w:t>
            </w:r>
          </w:p>
        </w:tc>
        <w:tc>
          <w:tcPr>
            <w:tcW w:w="6022" w:type="dxa"/>
            <w:tcBorders>
              <w:tl2br w:val="nil"/>
              <w:tr2bl w:val="nil"/>
            </w:tcBorders>
            <w:shd w:val="clear" w:color="auto" w:fill="FFFFFF"/>
            <w:vAlign w:val="center"/>
          </w:tcPr>
          <w:p>
            <w:pPr>
              <w:jc w:val="left"/>
              <w:rPr>
                <w:rFonts w:ascii="Dialog" w:hAnsi="Dialog"/>
                <w:sz w:val="18"/>
                <w:szCs w:val="18"/>
              </w:rPr>
            </w:pPr>
            <w:r>
              <w:rPr>
                <w:rFonts w:ascii="Dialog" w:hAnsi="Dialog"/>
                <w:sz w:val="18"/>
                <w:szCs w:val="18"/>
              </w:rPr>
              <w:t>对投标人的技术参数响应情况进行评审：</w:t>
            </w:r>
          </w:p>
          <w:p>
            <w:pPr>
              <w:jc w:val="left"/>
              <w:rPr>
                <w:rFonts w:hint="eastAsia" w:ascii="Dialog" w:hAnsi="Dialog"/>
                <w:sz w:val="18"/>
                <w:szCs w:val="18"/>
              </w:rPr>
            </w:pPr>
            <w:r>
              <w:rPr>
                <w:rFonts w:hint="eastAsia" w:ascii="Dialog" w:hAnsi="Dialog"/>
                <w:sz w:val="18"/>
                <w:szCs w:val="18"/>
              </w:rPr>
              <w:t>加“★”参数为重要参数</w:t>
            </w:r>
          </w:p>
          <w:p>
            <w:pPr>
              <w:jc w:val="left"/>
              <w:rPr>
                <w:rFonts w:hint="eastAsia" w:ascii="Dialog" w:hAnsi="Dialog"/>
                <w:sz w:val="18"/>
                <w:szCs w:val="18"/>
              </w:rPr>
            </w:pPr>
            <w:r>
              <w:rPr>
                <w:rFonts w:hint="eastAsia" w:ascii="Dialog" w:hAnsi="Dialog"/>
                <w:sz w:val="18"/>
                <w:szCs w:val="18"/>
              </w:rPr>
              <w:t>加“★”参数满足要求且提供</w:t>
            </w:r>
            <w:r>
              <w:rPr>
                <w:rFonts w:hint="eastAsia" w:ascii="Dialog" w:hAnsi="Dialog"/>
                <w:sz w:val="18"/>
                <w:szCs w:val="18"/>
                <w:lang w:val="en-US" w:eastAsia="zh-CN"/>
              </w:rPr>
              <w:t>真实有效的</w:t>
            </w:r>
            <w:r>
              <w:rPr>
                <w:rFonts w:hint="eastAsia" w:ascii="Dialog" w:hAnsi="Dialog"/>
                <w:sz w:val="18"/>
                <w:szCs w:val="18"/>
              </w:rPr>
              <w:t>印证资料；</w:t>
            </w:r>
          </w:p>
          <w:p>
            <w:pPr>
              <w:jc w:val="left"/>
              <w:rPr>
                <w:rFonts w:hint="eastAsia" w:ascii="Dialog" w:hAnsi="Dialog"/>
                <w:sz w:val="18"/>
                <w:szCs w:val="18"/>
              </w:rPr>
            </w:pPr>
            <w:r>
              <w:rPr>
                <w:rFonts w:hint="eastAsia" w:ascii="Dialog" w:hAnsi="Dialog"/>
                <w:sz w:val="18"/>
                <w:szCs w:val="18"/>
              </w:rPr>
              <w:t>加“★”参数负偏差每项扣</w:t>
            </w:r>
            <w:r>
              <w:rPr>
                <w:rFonts w:hint="eastAsia" w:ascii="Dialog" w:hAnsi="Dialog"/>
                <w:sz w:val="18"/>
                <w:szCs w:val="18"/>
                <w:lang w:val="en-US" w:eastAsia="zh-CN"/>
              </w:rPr>
              <w:t>3</w:t>
            </w:r>
            <w:r>
              <w:rPr>
                <w:rFonts w:hint="eastAsia" w:ascii="Dialog" w:hAnsi="Dialog"/>
                <w:sz w:val="18"/>
                <w:szCs w:val="18"/>
              </w:rPr>
              <w:t>分，扣完为止；</w:t>
            </w:r>
          </w:p>
          <w:p>
            <w:pPr>
              <w:jc w:val="left"/>
              <w:rPr>
                <w:rFonts w:ascii="Dialog" w:hAnsi="Dialog"/>
                <w:sz w:val="18"/>
                <w:szCs w:val="18"/>
              </w:rPr>
            </w:pPr>
            <w:r>
              <w:rPr>
                <w:rFonts w:hint="eastAsia" w:ascii="Dialog" w:hAnsi="Dialog"/>
                <w:sz w:val="18"/>
                <w:szCs w:val="18"/>
              </w:rPr>
              <w:t>本项基础分为</w:t>
            </w:r>
            <w:r>
              <w:rPr>
                <w:rFonts w:ascii="Dialog" w:hAnsi="Dialog"/>
                <w:sz w:val="18"/>
                <w:szCs w:val="18"/>
              </w:rPr>
              <w:t xml:space="preserve"> </w:t>
            </w:r>
            <w:r>
              <w:rPr>
                <w:rFonts w:hint="eastAsia" w:ascii="Dialog" w:hAnsi="Dialog"/>
                <w:sz w:val="18"/>
                <w:szCs w:val="18"/>
                <w:lang w:val="en-US" w:eastAsia="zh-CN"/>
              </w:rPr>
              <w:t>30</w:t>
            </w:r>
            <w:r>
              <w:rPr>
                <w:rFonts w:ascii="Dialog" w:hAnsi="Dialog"/>
                <w:sz w:val="18"/>
                <w:szCs w:val="18"/>
              </w:rPr>
              <w:t xml:space="preserve"> 分，技术、服务、商务条款应答中，</w:t>
            </w:r>
            <w:r>
              <w:rPr>
                <w:rFonts w:hint="eastAsia" w:ascii="Dialog" w:hAnsi="Dialog"/>
                <w:sz w:val="18"/>
                <w:szCs w:val="18"/>
              </w:rPr>
              <w:t>每出现一条负偏离，扣</w:t>
            </w:r>
            <w:r>
              <w:rPr>
                <w:rFonts w:ascii="Dialog" w:hAnsi="Dialog"/>
                <w:sz w:val="18"/>
                <w:szCs w:val="18"/>
              </w:rPr>
              <w:t xml:space="preserve"> 2 分。</w:t>
            </w:r>
          </w:p>
          <w:p>
            <w:pPr>
              <w:jc w:val="left"/>
              <w:rPr>
                <w:rFonts w:ascii="Dialog" w:hAnsi="Dialog"/>
                <w:sz w:val="18"/>
                <w:szCs w:val="18"/>
              </w:rPr>
            </w:pPr>
            <w:r>
              <w:rPr>
                <w:rFonts w:ascii="Dialog" w:hAnsi="Dialog"/>
                <w:sz w:val="18"/>
                <w:szCs w:val="18"/>
              </w:rPr>
              <w:t>本项最高得</w:t>
            </w:r>
            <w:r>
              <w:rPr>
                <w:rFonts w:hint="eastAsia" w:ascii="Dialog" w:hAnsi="Dialog"/>
                <w:sz w:val="18"/>
                <w:szCs w:val="18"/>
                <w:lang w:val="en-US" w:eastAsia="zh-CN"/>
              </w:rPr>
              <w:t>30</w:t>
            </w:r>
            <w:r>
              <w:rPr>
                <w:rFonts w:ascii="Dialog" w:hAnsi="Dialog"/>
                <w:sz w:val="18"/>
                <w:szCs w:val="18"/>
              </w:rPr>
              <w:t>分，最</w:t>
            </w:r>
            <w:r>
              <w:rPr>
                <w:rFonts w:hint="eastAsia" w:ascii="Dialog" w:hAnsi="Dialog"/>
                <w:sz w:val="18"/>
                <w:szCs w:val="18"/>
              </w:rPr>
              <w:t>低得</w:t>
            </w:r>
            <w:r>
              <w:rPr>
                <w:rFonts w:ascii="Dialog" w:hAnsi="Dialog"/>
                <w:sz w:val="18"/>
                <w:szCs w:val="18"/>
              </w:rPr>
              <w:t xml:space="preserve"> 0 分。</w:t>
            </w:r>
          </w:p>
          <w:p>
            <w:pPr>
              <w:jc w:val="left"/>
              <w:rPr>
                <w:rFonts w:hint="eastAsia" w:ascii="Dialog" w:hAnsi="Dialog"/>
                <w:sz w:val="18"/>
                <w:szCs w:val="18"/>
              </w:rPr>
            </w:pPr>
            <w:r>
              <w:rPr>
                <w:rFonts w:hint="eastAsia" w:ascii="Dialog" w:hAnsi="Dialog"/>
                <w:sz w:val="18"/>
                <w:szCs w:val="18"/>
                <w:lang w:val="en-US" w:eastAsia="zh-CN"/>
              </w:rPr>
              <w:t>注：1</w:t>
            </w:r>
            <w:r>
              <w:rPr>
                <w:rFonts w:hint="eastAsia" w:ascii="Dialog" w:hAnsi="Dialog"/>
                <w:sz w:val="18"/>
                <w:szCs w:val="18"/>
              </w:rPr>
              <w:t>、正偏差的印证资料原件包括产品说明书或第三方出具的产品检测报告或官网产品宣传网页截图及链接等，印证资料须清晰可辨，否则不得分；</w:t>
            </w:r>
          </w:p>
          <w:p>
            <w:pPr>
              <w:jc w:val="left"/>
              <w:rPr>
                <w:rFonts w:ascii="Dialog" w:hAnsi="Dialog"/>
                <w:sz w:val="18"/>
                <w:szCs w:val="18"/>
              </w:rPr>
            </w:pPr>
            <w:r>
              <w:rPr>
                <w:rFonts w:hint="eastAsia" w:ascii="Dialog" w:hAnsi="Dialog"/>
                <w:sz w:val="18"/>
                <w:szCs w:val="18"/>
                <w:lang w:val="en-US" w:eastAsia="zh-CN"/>
              </w:rPr>
              <w:t>2</w:t>
            </w:r>
            <w:r>
              <w:rPr>
                <w:rFonts w:hint="eastAsia" w:ascii="Dialog" w:hAnsi="Dialog"/>
                <w:sz w:val="18"/>
                <w:szCs w:val="18"/>
              </w:rPr>
              <w:t>、投标人的参数编写必须严格尊照所投产品实际功能和印证资料，严禁投标人为取得加分随意更改投标参数，评标委员会保留通过网络核查产品参数的权利，经查实如有投标人虚报参数，该投标人的投标将被否决，并没收其投标保证金。</w:t>
            </w:r>
          </w:p>
        </w:tc>
        <w:tc>
          <w:tcPr>
            <w:tcW w:w="1136" w:type="dxa"/>
            <w:tcBorders>
              <w:tl2br w:val="nil"/>
              <w:tr2bl w:val="nil"/>
            </w:tcBorders>
            <w:shd w:val="clear" w:color="auto" w:fill="FFFFFF"/>
            <w:vAlign w:val="center"/>
          </w:tcPr>
          <w:p>
            <w:pPr>
              <w:jc w:val="center"/>
              <w:rPr>
                <w:rFonts w:ascii="Dialog" w:hAnsi="Dialog"/>
                <w:sz w:val="18"/>
                <w:szCs w:val="18"/>
              </w:rPr>
            </w:pPr>
            <w:r>
              <w:rPr>
                <w:rFonts w:hint="eastAsia" w:ascii="Dialog" w:hAnsi="Dialog"/>
                <w:sz w:val="18"/>
                <w:szCs w:val="18"/>
                <w:lang w:val="en-US" w:eastAsia="zh-CN"/>
              </w:rPr>
              <w:t>30</w:t>
            </w:r>
            <w:r>
              <w:rPr>
                <w:rFonts w:hint="eastAsia" w:ascii="Dialog" w:hAnsi="Dialog"/>
                <w:sz w:val="18"/>
                <w:szCs w:val="18"/>
              </w:rPr>
              <w:t xml:space="preserve">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atLeast"/>
          <w:jc w:val="center"/>
        </w:trPr>
        <w:tc>
          <w:tcPr>
            <w:tcW w:w="316" w:type="dxa"/>
            <w:vMerge w:val="continue"/>
            <w:tcBorders>
              <w:tl2br w:val="nil"/>
              <w:tr2bl w:val="nil"/>
            </w:tcBorders>
            <w:shd w:val="clear" w:color="auto" w:fill="FFFFFF"/>
            <w:vAlign w:val="center"/>
          </w:tcPr>
          <w:p>
            <w:pPr>
              <w:rPr>
                <w:rFonts w:ascii="Dialog" w:hAnsi="Dialog"/>
                <w:sz w:val="18"/>
                <w:szCs w:val="18"/>
              </w:rPr>
            </w:pPr>
          </w:p>
        </w:tc>
        <w:tc>
          <w:tcPr>
            <w:tcW w:w="943" w:type="dxa"/>
            <w:vMerge w:val="continue"/>
            <w:tcBorders>
              <w:tl2br w:val="nil"/>
              <w:tr2bl w:val="nil"/>
            </w:tcBorders>
            <w:shd w:val="clear" w:color="auto" w:fill="FFFFFF"/>
            <w:vAlign w:val="center"/>
          </w:tcPr>
          <w:p>
            <w:pPr>
              <w:rPr>
                <w:rFonts w:ascii="Dialog" w:hAnsi="Dialog"/>
                <w:sz w:val="18"/>
                <w:szCs w:val="18"/>
              </w:rPr>
            </w:pPr>
          </w:p>
        </w:tc>
        <w:tc>
          <w:tcPr>
            <w:tcW w:w="951" w:type="dxa"/>
            <w:tcBorders>
              <w:tl2br w:val="nil"/>
              <w:tr2bl w:val="nil"/>
            </w:tcBorders>
            <w:shd w:val="clear" w:color="auto" w:fill="FFFFFF"/>
            <w:vAlign w:val="center"/>
          </w:tcPr>
          <w:p>
            <w:pPr>
              <w:jc w:val="center"/>
              <w:rPr>
                <w:rFonts w:ascii="Dialog" w:hAnsi="Dialog"/>
                <w:sz w:val="18"/>
                <w:szCs w:val="18"/>
              </w:rPr>
            </w:pPr>
            <w:r>
              <w:rPr>
                <w:rFonts w:ascii="Dialog" w:hAnsi="Dialog"/>
                <w:sz w:val="18"/>
                <w:szCs w:val="18"/>
              </w:rPr>
              <w:t>产品质量</w:t>
            </w:r>
          </w:p>
        </w:tc>
        <w:tc>
          <w:tcPr>
            <w:tcW w:w="6022" w:type="dxa"/>
            <w:tcBorders>
              <w:tl2br w:val="nil"/>
              <w:tr2bl w:val="nil"/>
            </w:tcBorders>
            <w:shd w:val="clear" w:color="auto" w:fill="FFFFFF"/>
            <w:vAlign w:val="center"/>
          </w:tcPr>
          <w:p>
            <w:pPr>
              <w:jc w:val="left"/>
              <w:rPr>
                <w:rFonts w:ascii="Dialog" w:hAnsi="Dialog"/>
                <w:sz w:val="18"/>
                <w:szCs w:val="18"/>
              </w:rPr>
            </w:pPr>
            <w:r>
              <w:rPr>
                <w:rFonts w:ascii="Dialog" w:hAnsi="Dialog"/>
                <w:sz w:val="18"/>
                <w:szCs w:val="18"/>
              </w:rPr>
              <w:t>1.所投</w:t>
            </w:r>
            <w:r>
              <w:rPr>
                <w:rFonts w:hint="eastAsia" w:ascii="Dialog" w:hAnsi="Dialog"/>
                <w:sz w:val="18"/>
                <w:szCs w:val="18"/>
              </w:rPr>
              <w:t>核心</w:t>
            </w:r>
            <w:r>
              <w:rPr>
                <w:rFonts w:ascii="Dialog" w:hAnsi="Dialog"/>
                <w:sz w:val="18"/>
                <w:szCs w:val="18"/>
              </w:rPr>
              <w:t>产品</w:t>
            </w:r>
            <w:r>
              <w:rPr>
                <w:rFonts w:hint="eastAsia" w:ascii="Dialog" w:hAnsi="Dialog"/>
                <w:sz w:val="18"/>
                <w:szCs w:val="18"/>
                <w:lang w:eastAsia="zh-CN"/>
              </w:rPr>
              <w:t>（</w:t>
            </w:r>
            <w:r>
              <w:rPr>
                <w:rFonts w:hint="eastAsia" w:ascii="Dialog" w:hAnsi="Dialog"/>
                <w:sz w:val="18"/>
                <w:szCs w:val="18"/>
                <w:lang w:val="en-US" w:eastAsia="zh-CN"/>
              </w:rPr>
              <w:t>办公电脑和学生机）</w:t>
            </w:r>
            <w:r>
              <w:rPr>
                <w:rFonts w:hint="eastAsia" w:ascii="Dialog" w:hAnsi="Dialog"/>
                <w:sz w:val="18"/>
                <w:szCs w:val="18"/>
              </w:rPr>
              <w:t>具备M</w:t>
            </w:r>
            <w:r>
              <w:rPr>
                <w:rFonts w:ascii="Dialog" w:hAnsi="Dialog"/>
                <w:sz w:val="18"/>
                <w:szCs w:val="18"/>
              </w:rPr>
              <w:t>TBF</w:t>
            </w:r>
            <w:r>
              <w:rPr>
                <w:rFonts w:hint="eastAsia" w:ascii="等线" w:hAnsi="等线" w:eastAsia="等线" w:cs="宋体"/>
                <w:color w:val="000000"/>
                <w:kern w:val="0"/>
                <w:sz w:val="18"/>
                <w:szCs w:val="18"/>
              </w:rPr>
              <w:t>≥</w:t>
            </w:r>
            <w:r>
              <w:rPr>
                <w:rFonts w:ascii="Dialog" w:hAnsi="Dialog"/>
                <w:sz w:val="18"/>
                <w:szCs w:val="18"/>
              </w:rPr>
              <w:t>100</w:t>
            </w:r>
            <w:r>
              <w:rPr>
                <w:rFonts w:hint="eastAsia" w:ascii="Dialog" w:hAnsi="Dialog"/>
                <w:sz w:val="18"/>
                <w:szCs w:val="18"/>
              </w:rPr>
              <w:t>W</w:t>
            </w:r>
            <w:r>
              <w:rPr>
                <w:rFonts w:ascii="Dialog" w:hAnsi="Dialog"/>
                <w:sz w:val="18"/>
                <w:szCs w:val="18"/>
              </w:rPr>
              <w:t>认证证书，得</w:t>
            </w:r>
            <w:r>
              <w:rPr>
                <w:rFonts w:hint="eastAsia" w:ascii="Dialog" w:hAnsi="Dialog"/>
                <w:sz w:val="18"/>
                <w:szCs w:val="18"/>
                <w:lang w:val="en-US" w:eastAsia="zh-CN"/>
              </w:rPr>
              <w:t>3</w:t>
            </w:r>
            <w:r>
              <w:rPr>
                <w:rFonts w:ascii="Dialog" w:hAnsi="Dialog"/>
                <w:sz w:val="18"/>
                <w:szCs w:val="18"/>
              </w:rPr>
              <w:t>分</w:t>
            </w:r>
            <w:r>
              <w:rPr>
                <w:rFonts w:hint="eastAsia" w:ascii="Dialog" w:hAnsi="Dialog"/>
                <w:sz w:val="18"/>
                <w:szCs w:val="18"/>
              </w:rPr>
              <w:t>，具备M</w:t>
            </w:r>
            <w:r>
              <w:rPr>
                <w:rFonts w:ascii="Dialog" w:hAnsi="Dialog"/>
                <w:sz w:val="18"/>
                <w:szCs w:val="18"/>
              </w:rPr>
              <w:t>TBF</w:t>
            </w:r>
            <w:r>
              <w:rPr>
                <w:rFonts w:hint="eastAsia" w:ascii="等线" w:hAnsi="等线" w:eastAsia="等线" w:cs="宋体"/>
                <w:color w:val="000000"/>
                <w:kern w:val="0"/>
                <w:sz w:val="18"/>
                <w:szCs w:val="18"/>
              </w:rPr>
              <w:t>≥</w:t>
            </w:r>
            <w:r>
              <w:rPr>
                <w:rFonts w:ascii="Dialog" w:hAnsi="Dialog"/>
                <w:sz w:val="18"/>
                <w:szCs w:val="18"/>
              </w:rPr>
              <w:t>60</w:t>
            </w:r>
            <w:r>
              <w:rPr>
                <w:rFonts w:hint="eastAsia" w:ascii="Dialog" w:hAnsi="Dialog"/>
                <w:sz w:val="18"/>
                <w:szCs w:val="18"/>
              </w:rPr>
              <w:t>W</w:t>
            </w:r>
            <w:r>
              <w:rPr>
                <w:rFonts w:ascii="Dialog" w:hAnsi="Dialog"/>
                <w:sz w:val="18"/>
                <w:szCs w:val="18"/>
              </w:rPr>
              <w:t>认证证书</w:t>
            </w:r>
            <w:r>
              <w:rPr>
                <w:rFonts w:hint="eastAsia" w:ascii="Dialog" w:hAnsi="Dialog"/>
                <w:sz w:val="18"/>
                <w:szCs w:val="18"/>
              </w:rPr>
              <w:t>，得</w:t>
            </w:r>
            <w:r>
              <w:rPr>
                <w:rFonts w:hint="eastAsia" w:ascii="Dialog" w:hAnsi="Dialog"/>
                <w:sz w:val="18"/>
                <w:szCs w:val="18"/>
                <w:lang w:val="en-US" w:eastAsia="zh-CN"/>
              </w:rPr>
              <w:t>2</w:t>
            </w:r>
            <w:r>
              <w:rPr>
                <w:rFonts w:hint="eastAsia" w:ascii="Dialog" w:hAnsi="Dialog"/>
                <w:sz w:val="18"/>
                <w:szCs w:val="18"/>
              </w:rPr>
              <w:t>分，具备M</w:t>
            </w:r>
            <w:r>
              <w:rPr>
                <w:rFonts w:ascii="Dialog" w:hAnsi="Dialog"/>
                <w:sz w:val="18"/>
                <w:szCs w:val="18"/>
              </w:rPr>
              <w:t>TBF</w:t>
            </w:r>
            <w:r>
              <w:rPr>
                <w:rFonts w:hint="eastAsia" w:ascii="等线" w:hAnsi="等线" w:eastAsia="等线" w:cs="宋体"/>
                <w:color w:val="000000"/>
                <w:kern w:val="0"/>
                <w:sz w:val="18"/>
                <w:szCs w:val="18"/>
              </w:rPr>
              <w:t>≥</w:t>
            </w:r>
            <w:r>
              <w:rPr>
                <w:rFonts w:hint="eastAsia" w:ascii="Dialog" w:hAnsi="Dialog"/>
                <w:sz w:val="18"/>
                <w:szCs w:val="18"/>
              </w:rPr>
              <w:t>3</w:t>
            </w:r>
            <w:r>
              <w:rPr>
                <w:rFonts w:ascii="Dialog" w:hAnsi="Dialog"/>
                <w:sz w:val="18"/>
                <w:szCs w:val="18"/>
              </w:rPr>
              <w:t>0</w:t>
            </w:r>
            <w:r>
              <w:rPr>
                <w:rFonts w:hint="eastAsia" w:ascii="Dialog" w:hAnsi="Dialog"/>
                <w:sz w:val="18"/>
                <w:szCs w:val="18"/>
              </w:rPr>
              <w:t>W</w:t>
            </w:r>
            <w:r>
              <w:rPr>
                <w:rFonts w:ascii="Dialog" w:hAnsi="Dialog"/>
                <w:sz w:val="18"/>
                <w:szCs w:val="18"/>
              </w:rPr>
              <w:t>认证证书</w:t>
            </w:r>
            <w:r>
              <w:rPr>
                <w:rFonts w:hint="eastAsia" w:ascii="Dialog" w:hAnsi="Dialog"/>
                <w:sz w:val="18"/>
                <w:szCs w:val="18"/>
              </w:rPr>
              <w:t>，得</w:t>
            </w:r>
            <w:r>
              <w:rPr>
                <w:rFonts w:ascii="Dialog" w:hAnsi="Dialog"/>
                <w:sz w:val="18"/>
                <w:szCs w:val="18"/>
              </w:rPr>
              <w:t>1</w:t>
            </w:r>
            <w:r>
              <w:rPr>
                <w:rFonts w:hint="eastAsia" w:ascii="Dialog" w:hAnsi="Dialog"/>
                <w:sz w:val="18"/>
                <w:szCs w:val="18"/>
              </w:rPr>
              <w:t>分；</w:t>
            </w:r>
          </w:p>
          <w:p>
            <w:pPr>
              <w:jc w:val="left"/>
              <w:rPr>
                <w:rFonts w:hint="eastAsia" w:ascii="Dialog" w:hAnsi="Dialog" w:eastAsia="宋体"/>
                <w:sz w:val="18"/>
                <w:szCs w:val="18"/>
                <w:lang w:eastAsia="zh-CN"/>
              </w:rPr>
            </w:pPr>
            <w:r>
              <w:rPr>
                <w:rFonts w:hint="eastAsia" w:ascii="Dialog" w:hAnsi="Dialog"/>
                <w:sz w:val="18"/>
                <w:szCs w:val="18"/>
                <w:lang w:val="en-US" w:eastAsia="zh-CN"/>
              </w:rPr>
              <w:t>2</w:t>
            </w:r>
            <w:r>
              <w:rPr>
                <w:rFonts w:ascii="Dialog" w:hAnsi="Dialog"/>
                <w:sz w:val="18"/>
                <w:szCs w:val="18"/>
              </w:rPr>
              <w:t>.</w:t>
            </w:r>
            <w:r>
              <w:rPr>
                <w:rFonts w:hint="eastAsia" w:ascii="Dialog" w:hAnsi="Dialog"/>
                <w:sz w:val="18"/>
                <w:szCs w:val="18"/>
              </w:rPr>
              <w:t>数据安全：</w:t>
            </w:r>
            <w:r>
              <w:rPr>
                <w:rFonts w:ascii="Dialog" w:hAnsi="Dialog"/>
                <w:sz w:val="18"/>
                <w:szCs w:val="18"/>
              </w:rPr>
              <w:t>基于BIOS级的一键备份和恢复的功能（非操作系统自带功能）</w:t>
            </w:r>
            <w:r>
              <w:rPr>
                <w:rFonts w:hint="eastAsia" w:ascii="Dialog" w:hAnsi="Dialog"/>
                <w:sz w:val="18"/>
                <w:szCs w:val="18"/>
                <w:lang w:eastAsia="zh-CN"/>
              </w:rPr>
              <w:t>；</w:t>
            </w:r>
          </w:p>
          <w:p>
            <w:pPr>
              <w:jc w:val="left"/>
              <w:rPr>
                <w:rFonts w:ascii="Dialog" w:hAnsi="Dialog"/>
                <w:sz w:val="18"/>
                <w:szCs w:val="18"/>
              </w:rPr>
            </w:pPr>
            <w:r>
              <w:rPr>
                <w:rFonts w:hint="eastAsia" w:ascii="Dialog" w:hAnsi="Dialog"/>
                <w:sz w:val="18"/>
                <w:szCs w:val="18"/>
              </w:rPr>
              <w:t>所投核心产品支持以上功能，</w:t>
            </w:r>
            <w:r>
              <w:rPr>
                <w:rFonts w:ascii="Dialog" w:hAnsi="Dialog"/>
                <w:sz w:val="18"/>
                <w:szCs w:val="18"/>
              </w:rPr>
              <w:t>提供软件著作权证书，得</w:t>
            </w:r>
            <w:r>
              <w:rPr>
                <w:rFonts w:hint="eastAsia" w:ascii="Dialog" w:hAnsi="Dialog"/>
                <w:sz w:val="18"/>
                <w:szCs w:val="18"/>
                <w:lang w:val="en-US" w:eastAsia="zh-CN"/>
              </w:rPr>
              <w:t>3</w:t>
            </w:r>
            <w:r>
              <w:rPr>
                <w:rFonts w:ascii="Dialog" w:hAnsi="Dialog"/>
                <w:sz w:val="18"/>
                <w:szCs w:val="18"/>
              </w:rPr>
              <w:t>分；</w:t>
            </w:r>
            <w:r>
              <w:rPr>
                <w:rFonts w:hint="eastAsia" w:ascii="Dialog" w:hAnsi="Dialog"/>
                <w:sz w:val="18"/>
                <w:szCs w:val="18"/>
              </w:rPr>
              <w:t>所投核心产品支持以上功能，仅</w:t>
            </w:r>
            <w:r>
              <w:rPr>
                <w:rFonts w:ascii="Dialog" w:hAnsi="Dialog"/>
                <w:sz w:val="18"/>
                <w:szCs w:val="18"/>
              </w:rPr>
              <w:t>提供</w:t>
            </w:r>
            <w:r>
              <w:rPr>
                <w:rFonts w:hint="eastAsia" w:ascii="Dialog" w:hAnsi="Dialog"/>
                <w:sz w:val="18"/>
                <w:szCs w:val="18"/>
              </w:rPr>
              <w:t>功能截图，得</w:t>
            </w:r>
            <w:r>
              <w:rPr>
                <w:rFonts w:ascii="Dialog" w:hAnsi="Dialog"/>
                <w:sz w:val="18"/>
                <w:szCs w:val="18"/>
              </w:rPr>
              <w:t>1</w:t>
            </w:r>
            <w:r>
              <w:rPr>
                <w:rFonts w:hint="eastAsia" w:ascii="Dialog" w:hAnsi="Dialog"/>
                <w:sz w:val="18"/>
                <w:szCs w:val="18"/>
              </w:rPr>
              <w:t>分；不支持不得分。</w:t>
            </w:r>
          </w:p>
          <w:p>
            <w:pPr>
              <w:jc w:val="left"/>
              <w:rPr>
                <w:rFonts w:ascii="Dialog" w:hAnsi="Dialog"/>
                <w:sz w:val="18"/>
                <w:szCs w:val="18"/>
              </w:rPr>
            </w:pPr>
            <w:r>
              <w:rPr>
                <w:rFonts w:hint="eastAsia" w:ascii="Dialog" w:hAnsi="Dialog"/>
                <w:sz w:val="18"/>
                <w:szCs w:val="18"/>
                <w:lang w:val="en-US" w:eastAsia="zh-CN"/>
              </w:rPr>
              <w:t>3</w:t>
            </w:r>
            <w:r>
              <w:rPr>
                <w:rFonts w:ascii="Dialog" w:hAnsi="Dialog"/>
                <w:sz w:val="18"/>
                <w:szCs w:val="18"/>
              </w:rPr>
              <w:t>.</w:t>
            </w:r>
            <w:r>
              <w:rPr>
                <w:rFonts w:hint="eastAsia" w:ascii="Dialog" w:hAnsi="Dialog"/>
                <w:sz w:val="18"/>
                <w:szCs w:val="18"/>
              </w:rPr>
              <w:t>所投核心产品电源通过</w:t>
            </w:r>
            <w:r>
              <w:rPr>
                <w:rFonts w:ascii="Dialog" w:hAnsi="Dialog"/>
                <w:sz w:val="18"/>
                <w:szCs w:val="18"/>
              </w:rPr>
              <w:t>80PLUS认证，提供证明材料，得</w:t>
            </w:r>
            <w:r>
              <w:rPr>
                <w:rFonts w:hint="eastAsia" w:ascii="Dialog" w:hAnsi="Dialog"/>
                <w:sz w:val="18"/>
                <w:szCs w:val="18"/>
                <w:lang w:val="en-US" w:eastAsia="zh-CN"/>
              </w:rPr>
              <w:t>1</w:t>
            </w:r>
            <w:r>
              <w:rPr>
                <w:rFonts w:ascii="Dialog" w:hAnsi="Dialog"/>
                <w:sz w:val="18"/>
                <w:szCs w:val="18"/>
              </w:rPr>
              <w:t>分</w:t>
            </w:r>
            <w:r>
              <w:rPr>
                <w:rFonts w:hint="eastAsia" w:ascii="Dialog" w:hAnsi="Dialog"/>
                <w:sz w:val="18"/>
                <w:szCs w:val="18"/>
              </w:rPr>
              <w:t>；</w:t>
            </w:r>
          </w:p>
          <w:p>
            <w:pPr>
              <w:jc w:val="left"/>
              <w:rPr>
                <w:rFonts w:ascii="Dialog" w:hAnsi="Dialog"/>
                <w:sz w:val="18"/>
                <w:szCs w:val="18"/>
              </w:rPr>
            </w:pPr>
            <w:r>
              <w:rPr>
                <w:rFonts w:hint="eastAsia" w:ascii="Dialog" w:hAnsi="Dialog"/>
                <w:b/>
                <w:bCs/>
                <w:sz w:val="18"/>
                <w:szCs w:val="18"/>
              </w:rPr>
              <w:t>注：提供相关证明文件加盖品牌方公章。</w:t>
            </w:r>
          </w:p>
        </w:tc>
        <w:tc>
          <w:tcPr>
            <w:tcW w:w="1136" w:type="dxa"/>
            <w:tcBorders>
              <w:tl2br w:val="nil"/>
              <w:tr2bl w:val="nil"/>
            </w:tcBorders>
            <w:shd w:val="clear" w:color="auto" w:fill="FFFFFF"/>
            <w:vAlign w:val="center"/>
          </w:tcPr>
          <w:p>
            <w:pPr>
              <w:jc w:val="center"/>
              <w:rPr>
                <w:rFonts w:ascii="Dialog" w:hAnsi="Dialog"/>
                <w:sz w:val="18"/>
                <w:szCs w:val="18"/>
              </w:rPr>
            </w:pPr>
            <w:r>
              <w:rPr>
                <w:rFonts w:hint="eastAsia" w:ascii="Dialog" w:hAnsi="Dialog"/>
                <w:sz w:val="18"/>
                <w:szCs w:val="18"/>
                <w:lang w:val="en-US" w:eastAsia="zh-CN"/>
              </w:rPr>
              <w:t>7</w:t>
            </w:r>
            <w:r>
              <w:rPr>
                <w:rFonts w:hint="eastAsia" w:ascii="Dialog" w:hAnsi="Dialog"/>
                <w:sz w:val="18"/>
                <w:szCs w:val="18"/>
              </w:rPr>
              <w:t>分</w:t>
            </w:r>
          </w:p>
        </w:tc>
      </w:tr>
    </w:tbl>
    <w:p>
      <w:pPr>
        <w:pStyle w:val="2"/>
        <w:ind w:left="0" w:leftChars="0" w:firstLine="0" w:firstLineChars="0"/>
        <w:rPr>
          <w:rFonts w:ascii="仿宋" w:hAnsi="仿宋" w:eastAsia="仿宋" w:cs="仿宋"/>
          <w:b/>
          <w:spacing w:val="-2"/>
          <w:sz w:val="24"/>
          <w:szCs w:val="24"/>
        </w:rPr>
      </w:pPr>
    </w:p>
    <w:p>
      <w:pPr>
        <w:pStyle w:val="2"/>
        <w:rPr>
          <w:rFonts w:hint="eastAsia" w:ascii="仿宋" w:hAnsi="仿宋" w:eastAsia="仿宋"/>
          <w:b/>
          <w:sz w:val="24"/>
          <w:szCs w:val="24"/>
          <w:highlight w:val="none"/>
        </w:rPr>
      </w:pPr>
    </w:p>
    <w:p>
      <w:pP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标项二</w:t>
      </w:r>
    </w:p>
    <w:p>
      <w:pP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标项名称：伊宁市第一中学、第八小学和第三十一小学教学设备采购项目（二标段学生教师及宿舍办公家具）</w:t>
      </w:r>
    </w:p>
    <w:p>
      <w:pPr>
        <w:pStyle w:val="2"/>
        <w:rPr>
          <w:rFonts w:hint="eastAsia" w:ascii="仿宋" w:hAnsi="仿宋" w:eastAsia="仿宋"/>
          <w:b/>
          <w:sz w:val="24"/>
          <w:szCs w:val="24"/>
          <w:highlight w:val="none"/>
        </w:rPr>
      </w:pPr>
    </w:p>
    <w:tbl>
      <w:tblPr>
        <w:tblStyle w:val="21"/>
        <w:tblW w:w="9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063"/>
        <w:gridCol w:w="1119"/>
        <w:gridCol w:w="656"/>
        <w:gridCol w:w="6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99"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条款号</w:t>
            </w:r>
          </w:p>
        </w:tc>
        <w:tc>
          <w:tcPr>
            <w:tcW w:w="1063"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条款名称</w:t>
            </w:r>
          </w:p>
        </w:tc>
        <w:tc>
          <w:tcPr>
            <w:tcW w:w="1119"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评分因素</w:t>
            </w:r>
          </w:p>
        </w:tc>
        <w:tc>
          <w:tcPr>
            <w:tcW w:w="656"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分值</w:t>
            </w:r>
          </w:p>
        </w:tc>
        <w:tc>
          <w:tcPr>
            <w:tcW w:w="6082"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899" w:type="dxa"/>
            <w:vMerge w:val="restart"/>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063"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i w:val="0"/>
                <w:iCs w:val="0"/>
                <w:color w:val="auto"/>
                <w:kern w:val="0"/>
                <w:sz w:val="21"/>
                <w:szCs w:val="21"/>
                <w:highlight w:val="none"/>
                <w:u w:val="none"/>
                <w:lang w:val="en-US" w:eastAsia="zh-CN" w:bidi="ar"/>
              </w:rPr>
              <w:t>价格评分标准 （30分）</w:t>
            </w:r>
          </w:p>
        </w:tc>
        <w:tc>
          <w:tcPr>
            <w:tcW w:w="1119"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报价</w:t>
            </w:r>
          </w:p>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得分</w:t>
            </w:r>
          </w:p>
        </w:tc>
        <w:tc>
          <w:tcPr>
            <w:tcW w:w="656"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30</w:t>
            </w:r>
          </w:p>
        </w:tc>
        <w:tc>
          <w:tcPr>
            <w:tcW w:w="6082" w:type="dxa"/>
            <w:noWrap w:val="0"/>
            <w:vAlign w:val="center"/>
          </w:tcPr>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报价得分=(评标基准价/投标报价)×30%×100</w:t>
            </w: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备注：采用低价优先法计算，即满足招标文件要求且投标价格最低的投标报价为评标基准价，其价格为满分（保留小数点后两位）。</w:t>
            </w: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color w:val="auto"/>
                <w:highlight w:val="none"/>
              </w:rPr>
              <w:t>本项目将对小型和微型企业产品的价格给予</w:t>
            </w:r>
            <w:r>
              <w:rPr>
                <w:rFonts w:hint="eastAsia" w:ascii="宋体" w:hAnsi="宋体" w:eastAsia="宋体" w:cs="宋体"/>
                <w:b/>
                <w:color w:val="auto"/>
                <w:highlight w:val="none"/>
                <w:lang w:val="en-US" w:eastAsia="zh-CN"/>
              </w:rPr>
              <w:t>10</w:t>
            </w:r>
            <w:r>
              <w:rPr>
                <w:rFonts w:hint="eastAsia" w:ascii="宋体" w:hAnsi="宋体" w:eastAsia="宋体" w:cs="宋体"/>
                <w:b/>
                <w:color w:val="auto"/>
                <w:highlight w:val="none"/>
              </w:rPr>
              <w:t>%的扣除，用扣除后的价格参与评审打分</w:t>
            </w:r>
            <w:r>
              <w:rPr>
                <w:rFonts w:hint="eastAsia" w:ascii="宋体" w:hAnsi="宋体" w:eastAsia="宋体" w:cs="宋体"/>
                <w:b/>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99" w:type="dxa"/>
            <w:vMerge w:val="continue"/>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p>
        </w:tc>
        <w:tc>
          <w:tcPr>
            <w:tcW w:w="1063" w:type="dxa"/>
            <w:vMerge w:val="restart"/>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商务评分标准（</w:t>
            </w:r>
            <w:r>
              <w:rPr>
                <w:rFonts w:hint="eastAsia" w:ascii="宋体" w:hAnsi="宋体" w:cs="宋体"/>
                <w:i w:val="0"/>
                <w:iCs w:val="0"/>
                <w:color w:val="auto"/>
                <w:kern w:val="0"/>
                <w:sz w:val="21"/>
                <w:szCs w:val="21"/>
                <w:highlight w:val="none"/>
                <w:u w:val="none"/>
                <w:lang w:val="en-US" w:eastAsia="zh-CN" w:bidi="ar"/>
              </w:rPr>
              <w:t>15</w:t>
            </w:r>
            <w:r>
              <w:rPr>
                <w:rFonts w:hint="eastAsia" w:ascii="宋体" w:hAnsi="宋体" w:eastAsia="宋体" w:cs="宋体"/>
                <w:i w:val="0"/>
                <w:iCs w:val="0"/>
                <w:color w:val="auto"/>
                <w:kern w:val="0"/>
                <w:sz w:val="21"/>
                <w:szCs w:val="21"/>
                <w:highlight w:val="none"/>
                <w:u w:val="none"/>
                <w:lang w:val="en-US" w:eastAsia="zh-CN" w:bidi="ar"/>
              </w:rPr>
              <w:t>分）</w:t>
            </w:r>
          </w:p>
        </w:tc>
        <w:tc>
          <w:tcPr>
            <w:tcW w:w="1119"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业绩</w:t>
            </w:r>
          </w:p>
        </w:tc>
        <w:tc>
          <w:tcPr>
            <w:tcW w:w="656"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6082" w:type="dxa"/>
            <w:noWrap w:val="0"/>
            <w:vAlign w:val="center"/>
          </w:tcPr>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投标人须提供2020年1月至今的类似业绩，每提供一项得1分，最高3分。证明材料需提供中标通知书或合同复印件。缺少任意一项证明材料，此项业绩不得分。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99" w:type="dxa"/>
            <w:vMerge w:val="continue"/>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p>
        </w:tc>
        <w:tc>
          <w:tcPr>
            <w:tcW w:w="1063" w:type="dxa"/>
            <w:vMerge w:val="continue"/>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p>
        </w:tc>
        <w:tc>
          <w:tcPr>
            <w:tcW w:w="1119" w:type="dxa"/>
            <w:noWrap w:val="0"/>
            <w:vAlign w:val="top"/>
          </w:tcPr>
          <w:p>
            <w:pPr>
              <w:pStyle w:val="39"/>
              <w:spacing w:before="71"/>
              <w:ind w:left="301" w:right="77" w:hanging="220"/>
              <w:rPr>
                <w:rFonts w:hint="eastAsia" w:ascii="宋体" w:hAnsi="宋体" w:eastAsia="宋体" w:cs="宋体"/>
                <w:i w:val="0"/>
                <w:iCs w:val="0"/>
                <w:color w:val="auto"/>
                <w:kern w:val="0"/>
                <w:sz w:val="21"/>
                <w:szCs w:val="21"/>
                <w:highlight w:val="none"/>
                <w:u w:val="none"/>
                <w:lang w:val="en-US" w:eastAsia="zh-CN" w:bidi="ar"/>
              </w:rPr>
            </w:pPr>
          </w:p>
          <w:p>
            <w:pPr>
              <w:pStyle w:val="39"/>
              <w:spacing w:before="71"/>
              <w:ind w:left="301" w:right="77" w:hanging="220"/>
              <w:jc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人员</w:t>
            </w:r>
          </w:p>
          <w:p>
            <w:pPr>
              <w:pStyle w:val="39"/>
              <w:spacing w:before="71"/>
              <w:ind w:left="301" w:leftChars="0" w:right="77" w:rightChars="0" w:hanging="220" w:firstLineChars="0"/>
              <w:jc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配置</w:t>
            </w:r>
          </w:p>
        </w:tc>
        <w:tc>
          <w:tcPr>
            <w:tcW w:w="656" w:type="dxa"/>
            <w:noWrap w:val="0"/>
            <w:vAlign w:val="top"/>
          </w:tcPr>
          <w:p>
            <w:pPr>
              <w:pStyle w:val="39"/>
              <w:spacing w:before="71" w:line="220" w:lineRule="auto"/>
              <w:ind w:left="342"/>
              <w:rPr>
                <w:rFonts w:hint="eastAsia" w:ascii="宋体" w:hAnsi="宋体" w:eastAsia="宋体" w:cs="宋体"/>
                <w:i w:val="0"/>
                <w:iCs w:val="0"/>
                <w:color w:val="auto"/>
                <w:kern w:val="0"/>
                <w:sz w:val="21"/>
                <w:szCs w:val="21"/>
                <w:highlight w:val="none"/>
                <w:u w:val="none"/>
                <w:lang w:val="en-US" w:eastAsia="zh-CN" w:bidi="ar"/>
              </w:rPr>
            </w:pPr>
          </w:p>
          <w:p>
            <w:pPr>
              <w:pStyle w:val="39"/>
              <w:spacing w:before="71" w:line="220" w:lineRule="auto"/>
              <w:ind w:firstLine="210" w:firstLineChars="100"/>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6082" w:type="dxa"/>
            <w:noWrap w:val="0"/>
            <w:vAlign w:val="top"/>
          </w:tcPr>
          <w:p>
            <w:pPr>
              <w:pStyle w:val="39"/>
              <w:spacing w:before="59" w:line="225" w:lineRule="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供应商配备的相关人员专业性及对业务熟悉程度如何；对项目投入的人员配置是否合理，在数量和专业上是否能满足要求，服务质量是否满足标准，要求针对本项目投标人最少拟派 4人为项目组人员，每少一人扣0.5分，直至扣完为止。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99" w:type="dxa"/>
            <w:vMerge w:val="continue"/>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p>
        </w:tc>
        <w:tc>
          <w:tcPr>
            <w:tcW w:w="1063" w:type="dxa"/>
            <w:vMerge w:val="continue"/>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p>
        </w:tc>
        <w:tc>
          <w:tcPr>
            <w:tcW w:w="1119"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企业实力</w:t>
            </w:r>
          </w:p>
        </w:tc>
        <w:tc>
          <w:tcPr>
            <w:tcW w:w="656"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5</w:t>
            </w:r>
          </w:p>
        </w:tc>
        <w:tc>
          <w:tcPr>
            <w:tcW w:w="6082" w:type="dxa"/>
            <w:noWrap w:val="0"/>
            <w:vAlign w:val="center"/>
          </w:tcPr>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中国环境标志产品认证证书（厂商提供）</w:t>
            </w: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每有一项证书得1分，最高得</w:t>
            </w:r>
            <w:r>
              <w:rPr>
                <w:rFonts w:hint="eastAsia" w:ascii="宋体" w:hAnsi="宋体" w:cs="宋体"/>
                <w:i w:val="0"/>
                <w:iCs w:val="0"/>
                <w:color w:val="auto"/>
                <w:kern w:val="0"/>
                <w:sz w:val="21"/>
                <w:szCs w:val="21"/>
                <w:highlight w:val="none"/>
                <w:u w:val="none"/>
                <w:lang w:val="en-US" w:eastAsia="zh-CN" w:bidi="ar"/>
              </w:rPr>
              <w:t>5</w:t>
            </w:r>
            <w:r>
              <w:rPr>
                <w:rFonts w:hint="eastAsia" w:ascii="宋体" w:hAnsi="宋体" w:eastAsia="宋体" w:cs="宋体"/>
                <w:i w:val="0"/>
                <w:iCs w:val="0"/>
                <w:color w:val="auto"/>
                <w:kern w:val="0"/>
                <w:sz w:val="21"/>
                <w:szCs w:val="21"/>
                <w:highlight w:val="none"/>
                <w:u w:val="none"/>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99" w:type="dxa"/>
            <w:vMerge w:val="continue"/>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p>
        </w:tc>
        <w:tc>
          <w:tcPr>
            <w:tcW w:w="1063" w:type="dxa"/>
            <w:vMerge w:val="continue"/>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p>
        </w:tc>
        <w:tc>
          <w:tcPr>
            <w:tcW w:w="1119"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售后服务保障</w:t>
            </w:r>
          </w:p>
        </w:tc>
        <w:tc>
          <w:tcPr>
            <w:tcW w:w="656"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5</w:t>
            </w:r>
          </w:p>
        </w:tc>
        <w:tc>
          <w:tcPr>
            <w:tcW w:w="6082" w:type="dxa"/>
            <w:noWrap w:val="0"/>
            <w:vAlign w:val="center"/>
          </w:tcPr>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根据投标人售后服务承诺、售后服务响应和保障措施（主要包括整体售后服务方案、维修服务队伍；技术力量；配件储备情况以及其它优惠的售后服务措施）的合理性、完备性进行评价：</w:t>
            </w: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售后服务承诺内容完整详细、描述明确具体得</w:t>
            </w:r>
            <w:r>
              <w:rPr>
                <w:rFonts w:hint="eastAsia" w:ascii="宋体" w:hAnsi="宋体" w:cs="宋体"/>
                <w:i w:val="0"/>
                <w:iCs w:val="0"/>
                <w:color w:val="auto"/>
                <w:kern w:val="0"/>
                <w:sz w:val="21"/>
                <w:szCs w:val="21"/>
                <w:highlight w:val="none"/>
                <w:u w:val="none"/>
                <w:lang w:val="en-US" w:eastAsia="zh-CN" w:bidi="ar"/>
              </w:rPr>
              <w:t>3-5</w:t>
            </w:r>
            <w:r>
              <w:rPr>
                <w:rFonts w:hint="eastAsia" w:ascii="宋体" w:hAnsi="宋体" w:eastAsia="宋体" w:cs="宋体"/>
                <w:i w:val="0"/>
                <w:iCs w:val="0"/>
                <w:color w:val="auto"/>
                <w:kern w:val="0"/>
                <w:sz w:val="21"/>
                <w:szCs w:val="21"/>
                <w:highlight w:val="none"/>
                <w:u w:val="none"/>
                <w:lang w:val="en-US" w:eastAsia="zh-CN" w:bidi="ar"/>
              </w:rPr>
              <w:t>分；</w:t>
            </w: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售后服务承诺内容描述较简单得</w:t>
            </w:r>
            <w:r>
              <w:rPr>
                <w:rFonts w:hint="eastAsia" w:ascii="宋体" w:hAnsi="宋体" w:cs="宋体"/>
                <w:i w:val="0"/>
                <w:iCs w:val="0"/>
                <w:color w:val="auto"/>
                <w:kern w:val="0"/>
                <w:sz w:val="21"/>
                <w:szCs w:val="21"/>
                <w:highlight w:val="none"/>
                <w:u w:val="none"/>
                <w:lang w:val="en-US" w:eastAsia="zh-CN" w:bidi="ar"/>
              </w:rPr>
              <w:t>1-2</w:t>
            </w:r>
            <w:r>
              <w:rPr>
                <w:rFonts w:hint="eastAsia" w:ascii="宋体" w:hAnsi="宋体" w:eastAsia="宋体" w:cs="宋体"/>
                <w:i w:val="0"/>
                <w:iCs w:val="0"/>
                <w:color w:val="auto"/>
                <w:kern w:val="0"/>
                <w:sz w:val="21"/>
                <w:szCs w:val="21"/>
                <w:highlight w:val="none"/>
                <w:u w:val="none"/>
                <w:lang w:val="en-US" w:eastAsia="zh-CN" w:bidi="ar"/>
              </w:rPr>
              <w:t>分,</w:t>
            </w: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有缺漏或者售后服务承诺内容与本项目无关或者未提供售后服务承诺的不得分。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899"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条款号</w:t>
            </w:r>
          </w:p>
        </w:tc>
        <w:tc>
          <w:tcPr>
            <w:tcW w:w="1063"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条款名称</w:t>
            </w:r>
          </w:p>
        </w:tc>
        <w:tc>
          <w:tcPr>
            <w:tcW w:w="1119"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评分因素</w:t>
            </w:r>
          </w:p>
        </w:tc>
        <w:tc>
          <w:tcPr>
            <w:tcW w:w="656"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分值</w:t>
            </w:r>
          </w:p>
        </w:tc>
        <w:tc>
          <w:tcPr>
            <w:tcW w:w="6082"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899" w:type="dxa"/>
            <w:vMerge w:val="restart"/>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063" w:type="dxa"/>
            <w:vMerge w:val="restart"/>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技术评分标准（5</w:t>
            </w:r>
            <w:r>
              <w:rPr>
                <w:rFonts w:hint="eastAsia" w:ascii="宋体" w:hAnsi="宋体" w:cs="宋体"/>
                <w:i w:val="0"/>
                <w:iCs w:val="0"/>
                <w:color w:val="auto"/>
                <w:kern w:val="0"/>
                <w:sz w:val="21"/>
                <w:szCs w:val="21"/>
                <w:highlight w:val="none"/>
                <w:u w:val="none"/>
                <w:lang w:val="en-US" w:eastAsia="zh-CN" w:bidi="ar"/>
              </w:rPr>
              <w:t>5</w:t>
            </w:r>
            <w:r>
              <w:rPr>
                <w:rFonts w:hint="eastAsia" w:ascii="宋体" w:hAnsi="宋体" w:eastAsia="宋体" w:cs="宋体"/>
                <w:i w:val="0"/>
                <w:iCs w:val="0"/>
                <w:color w:val="auto"/>
                <w:kern w:val="0"/>
                <w:sz w:val="21"/>
                <w:szCs w:val="21"/>
                <w:highlight w:val="none"/>
                <w:u w:val="none"/>
                <w:lang w:val="en-US" w:eastAsia="zh-CN" w:bidi="ar"/>
              </w:rPr>
              <w:t>分）</w:t>
            </w:r>
          </w:p>
        </w:tc>
        <w:tc>
          <w:tcPr>
            <w:tcW w:w="1119"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产品技术参数</w:t>
            </w:r>
          </w:p>
        </w:tc>
        <w:tc>
          <w:tcPr>
            <w:tcW w:w="656"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25</w:t>
            </w:r>
          </w:p>
        </w:tc>
        <w:tc>
          <w:tcPr>
            <w:tcW w:w="6082" w:type="dxa"/>
            <w:noWrap w:val="0"/>
            <w:vAlign w:val="center"/>
          </w:tcPr>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所投产品性能指标完全满足采购文件指标、无偏离得 </w:t>
            </w:r>
            <w:r>
              <w:rPr>
                <w:rFonts w:hint="eastAsia" w:ascii="宋体" w:hAnsi="宋体" w:cs="宋体"/>
                <w:i w:val="0"/>
                <w:iCs w:val="0"/>
                <w:color w:val="auto"/>
                <w:kern w:val="0"/>
                <w:sz w:val="21"/>
                <w:szCs w:val="21"/>
                <w:highlight w:val="none"/>
                <w:u w:val="none"/>
                <w:lang w:val="en-US" w:eastAsia="zh-CN" w:bidi="ar"/>
              </w:rPr>
              <w:t>25</w:t>
            </w:r>
            <w:r>
              <w:rPr>
                <w:rFonts w:hint="eastAsia" w:ascii="宋体" w:hAnsi="宋体" w:eastAsia="宋体" w:cs="宋体"/>
                <w:i w:val="0"/>
                <w:iCs w:val="0"/>
                <w:color w:val="auto"/>
                <w:kern w:val="0"/>
                <w:sz w:val="21"/>
                <w:szCs w:val="21"/>
                <w:highlight w:val="none"/>
                <w:u w:val="none"/>
                <w:lang w:val="en-US" w:eastAsia="zh-CN" w:bidi="ar"/>
              </w:rPr>
              <w:t>分；所投产品性能指标低于采购文件要求，出现负偏离的，一项指标扣 2 分，产品技术参数带“★”的出现负偏离，一项扣 5 分，直至扣完为止。（需提供产品彩页或</w:t>
            </w:r>
            <w:r>
              <w:rPr>
                <w:rFonts w:hint="eastAsia" w:ascii="宋体" w:hAnsi="宋体" w:eastAsia="宋体" w:cs="宋体"/>
                <w:i w:val="0"/>
                <w:iCs w:val="0"/>
                <w:color w:val="auto"/>
                <w:kern w:val="0"/>
                <w:sz w:val="21"/>
                <w:szCs w:val="21"/>
                <w:highlight w:val="none"/>
                <w:u w:val="none"/>
                <w:lang w:val="zh-CN" w:eastAsia="zh-CN" w:bidi="ar"/>
              </w:rPr>
              <w:t>检测报告扫描件及全国认证认可信息公共服务平台查询截图并加盖</w:t>
            </w:r>
            <w:r>
              <w:rPr>
                <w:rFonts w:hint="eastAsia" w:ascii="宋体" w:hAnsi="宋体" w:eastAsia="宋体" w:cs="宋体"/>
                <w:i w:val="0"/>
                <w:iCs w:val="0"/>
                <w:color w:val="auto"/>
                <w:kern w:val="0"/>
                <w:sz w:val="21"/>
                <w:szCs w:val="21"/>
                <w:highlight w:val="none"/>
                <w:u w:val="none"/>
                <w:lang w:val="en-US" w:eastAsia="zh-CN" w:bidi="ar"/>
              </w:rPr>
              <w:t>厂家鲜章）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899" w:type="dxa"/>
            <w:vMerge w:val="continue"/>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p>
        </w:tc>
        <w:tc>
          <w:tcPr>
            <w:tcW w:w="1063" w:type="dxa"/>
            <w:vMerge w:val="continue"/>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p>
        </w:tc>
        <w:tc>
          <w:tcPr>
            <w:tcW w:w="1119" w:type="dxa"/>
            <w:noWrap w:val="0"/>
            <w:vAlign w:val="top"/>
          </w:tcPr>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zh-CN" w:eastAsia="zh-CN" w:bidi="ar"/>
              </w:rPr>
            </w:pP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zh-CN" w:eastAsia="zh-CN" w:bidi="ar"/>
              </w:rPr>
            </w:pP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zh-CN" w:eastAsia="zh-CN" w:bidi="ar"/>
              </w:rPr>
            </w:pPr>
            <w:r>
              <w:rPr>
                <w:rFonts w:hint="eastAsia" w:ascii="宋体" w:hAnsi="宋体" w:eastAsia="宋体" w:cs="宋体"/>
                <w:i w:val="0"/>
                <w:iCs w:val="0"/>
                <w:color w:val="auto"/>
                <w:kern w:val="0"/>
                <w:sz w:val="21"/>
                <w:szCs w:val="21"/>
                <w:highlight w:val="none"/>
                <w:u w:val="none"/>
                <w:lang w:val="zh-CN" w:eastAsia="zh-CN" w:bidi="ar"/>
              </w:rPr>
              <w:t>实施</w:t>
            </w: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zh-CN" w:eastAsia="zh-CN" w:bidi="ar"/>
              </w:rPr>
              <w:t>方案</w:t>
            </w:r>
          </w:p>
        </w:tc>
        <w:tc>
          <w:tcPr>
            <w:tcW w:w="656" w:type="dxa"/>
            <w:noWrap w:val="0"/>
            <w:vAlign w:val="top"/>
          </w:tcPr>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zh-CN" w:eastAsia="zh-CN" w:bidi="ar"/>
              </w:rPr>
            </w:pP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zh-CN" w:eastAsia="zh-CN" w:bidi="ar"/>
              </w:rPr>
            </w:pP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zh-CN" w:eastAsia="zh-CN" w:bidi="ar"/>
              </w:rPr>
            </w:pP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zh-CN" w:eastAsia="zh-CN" w:bidi="ar"/>
              </w:rPr>
              <w:t>5</w:t>
            </w:r>
          </w:p>
        </w:tc>
        <w:tc>
          <w:tcPr>
            <w:tcW w:w="6082" w:type="dxa"/>
            <w:noWrap w:val="0"/>
            <w:vAlign w:val="top"/>
          </w:tcPr>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zh-CN" w:eastAsia="zh-CN" w:bidi="ar"/>
              </w:rPr>
              <w:t>根据供应商针对本项目的实施方案(包括但不限于：①整体计划安排；②货源组织及包装运输方案；③人员配置及分工；④应急预案；⑤时间 进度安排)进行综合评审。内容齐全、描述详细、与本项目需求及实际 情况吻合得5分，任意一项内容缺失扣1分，每有一处内容存在不足  (存在不足是指逻辑不严谨、内容不完整、表述不清晰、实操性不强或 不符合项目实际情况)扣0.5分。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99" w:type="dxa"/>
            <w:vMerge w:val="continue"/>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p>
        </w:tc>
        <w:tc>
          <w:tcPr>
            <w:tcW w:w="1063" w:type="dxa"/>
            <w:vMerge w:val="continue"/>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p>
        </w:tc>
        <w:tc>
          <w:tcPr>
            <w:tcW w:w="1119"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lang w:val="zh-CN"/>
              </w:rPr>
              <w:t>项目交货时间节点</w:t>
            </w:r>
          </w:p>
        </w:tc>
        <w:tc>
          <w:tcPr>
            <w:tcW w:w="656" w:type="dxa"/>
            <w:noWrap w:val="0"/>
            <w:vAlign w:val="center"/>
          </w:tcPr>
          <w:p>
            <w:pPr>
              <w:keepNext w:val="0"/>
              <w:keepLines w:val="0"/>
              <w:pageBreakBefore w:val="0"/>
              <w:wordWrap/>
              <w:overflowPunct/>
              <w:topLinePunct w:val="0"/>
              <w:bidi w:val="0"/>
              <w:adjustRightInd w:val="0"/>
              <w:snapToGrid w:val="0"/>
              <w:spacing w:line="0" w:lineRule="atLeast"/>
              <w:jc w:val="center"/>
              <w:rPr>
                <w:rFonts w:hint="eastAsia" w:ascii="宋体" w:hAnsi="宋体" w:eastAsia="宋体" w:cs="宋体"/>
                <w:kern w:val="2"/>
                <w:sz w:val="21"/>
                <w:lang w:val="en-US" w:eastAsia="zh-CN" w:bidi="ar-SA"/>
              </w:rPr>
            </w:pPr>
            <w:r>
              <w:rPr>
                <w:rFonts w:hint="eastAsia" w:ascii="宋体" w:hAnsi="宋体" w:eastAsia="宋体" w:cs="宋体"/>
                <w:kern w:val="2"/>
                <w:sz w:val="21"/>
                <w:lang w:val="en-US" w:eastAsia="zh-CN" w:bidi="ar-SA"/>
              </w:rPr>
              <w:t>3</w:t>
            </w:r>
          </w:p>
        </w:tc>
        <w:tc>
          <w:tcPr>
            <w:tcW w:w="6082" w:type="dxa"/>
            <w:noWrap w:val="0"/>
            <w:vAlign w:val="top"/>
          </w:tcPr>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cs="宋体"/>
                <w:i w:val="0"/>
                <w:iCs w:val="0"/>
                <w:color w:val="auto"/>
                <w:kern w:val="0"/>
                <w:sz w:val="21"/>
                <w:szCs w:val="21"/>
                <w:highlight w:val="none"/>
                <w:u w:val="none"/>
                <w:lang w:val="zh-CN" w:eastAsia="zh-CN" w:bidi="ar"/>
              </w:rPr>
            </w:pPr>
            <w:r>
              <w:rPr>
                <w:rFonts w:hint="eastAsia" w:ascii="宋体" w:hAnsi="宋体" w:eastAsia="宋体" w:cs="宋体"/>
                <w:i w:val="0"/>
                <w:iCs w:val="0"/>
                <w:color w:val="auto"/>
                <w:kern w:val="0"/>
                <w:sz w:val="21"/>
                <w:szCs w:val="21"/>
                <w:highlight w:val="none"/>
                <w:u w:val="none"/>
                <w:lang w:val="zh-CN" w:eastAsia="zh-CN" w:bidi="ar"/>
              </w:rPr>
              <w:t>根据</w:t>
            </w:r>
            <w:r>
              <w:rPr>
                <w:rFonts w:hint="eastAsia" w:ascii="宋体" w:hAnsi="宋体" w:cs="宋体"/>
                <w:i w:val="0"/>
                <w:iCs w:val="0"/>
                <w:color w:val="auto"/>
                <w:kern w:val="0"/>
                <w:sz w:val="21"/>
                <w:szCs w:val="21"/>
                <w:highlight w:val="none"/>
                <w:u w:val="none"/>
                <w:lang w:val="zh-CN" w:eastAsia="zh-CN" w:bidi="ar"/>
              </w:rPr>
              <w:t>供应商针对本项目的交货时间节点（包括但不限于：</w:t>
            </w:r>
            <w:r>
              <w:rPr>
                <w:rFonts w:hint="eastAsia" w:ascii="宋体" w:hAnsi="宋体" w:eastAsia="宋体" w:cs="宋体"/>
                <w:i w:val="0"/>
                <w:iCs w:val="0"/>
                <w:color w:val="auto"/>
                <w:kern w:val="0"/>
                <w:sz w:val="21"/>
                <w:szCs w:val="21"/>
                <w:highlight w:val="none"/>
                <w:u w:val="none"/>
                <w:lang w:val="zh-CN" w:eastAsia="zh-CN" w:bidi="ar"/>
              </w:rPr>
              <w:t>①项目交货时间节点（生产工期计划表）</w:t>
            </w:r>
            <w:r>
              <w:rPr>
                <w:rFonts w:hint="eastAsia" w:ascii="宋体" w:hAnsi="宋体" w:cs="宋体"/>
                <w:i w:val="0"/>
                <w:iCs w:val="0"/>
                <w:color w:val="auto"/>
                <w:kern w:val="0"/>
                <w:sz w:val="21"/>
                <w:szCs w:val="21"/>
                <w:highlight w:val="none"/>
                <w:u w:val="none"/>
                <w:lang w:val="zh-CN" w:eastAsia="zh-CN" w:bidi="ar"/>
              </w:rPr>
              <w:t>；</w:t>
            </w:r>
            <w:r>
              <w:rPr>
                <w:rFonts w:hint="eastAsia" w:ascii="宋体" w:hAnsi="宋体" w:eastAsia="宋体" w:cs="宋体"/>
                <w:i w:val="0"/>
                <w:iCs w:val="0"/>
                <w:color w:val="auto"/>
                <w:kern w:val="0"/>
                <w:sz w:val="21"/>
                <w:szCs w:val="21"/>
                <w:highlight w:val="none"/>
                <w:u w:val="none"/>
                <w:lang w:val="zh-CN" w:eastAsia="zh-CN" w:bidi="ar"/>
              </w:rPr>
              <w:t>②自检验收方案（包括：项目验收计划、验收措施、验收工期）</w:t>
            </w:r>
            <w:r>
              <w:rPr>
                <w:rFonts w:hint="eastAsia" w:ascii="宋体" w:hAnsi="宋体" w:cs="宋体"/>
                <w:i w:val="0"/>
                <w:iCs w:val="0"/>
                <w:color w:val="auto"/>
                <w:kern w:val="0"/>
                <w:sz w:val="21"/>
                <w:szCs w:val="21"/>
                <w:highlight w:val="none"/>
                <w:u w:val="none"/>
                <w:lang w:val="zh-CN" w:eastAsia="zh-CN" w:bidi="ar"/>
              </w:rPr>
              <w:t>；</w:t>
            </w: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zh-CN" w:eastAsia="zh-CN" w:bidi="ar"/>
              </w:rPr>
              <w:t>提供具体、时间进度明确</w:t>
            </w:r>
            <w:r>
              <w:rPr>
                <w:rFonts w:hint="eastAsia" w:ascii="宋体" w:hAnsi="宋体" w:cs="宋体"/>
                <w:i w:val="0"/>
                <w:iCs w:val="0"/>
                <w:color w:val="auto"/>
                <w:kern w:val="0"/>
                <w:sz w:val="21"/>
                <w:szCs w:val="21"/>
                <w:highlight w:val="none"/>
                <w:u w:val="none"/>
                <w:lang w:val="en-US" w:eastAsia="zh-CN" w:bidi="ar"/>
              </w:rPr>
              <w:t>3</w:t>
            </w:r>
            <w:r>
              <w:rPr>
                <w:rFonts w:hint="eastAsia" w:ascii="宋体" w:hAnsi="宋体" w:eastAsia="宋体" w:cs="宋体"/>
                <w:i w:val="0"/>
                <w:iCs w:val="0"/>
                <w:color w:val="auto"/>
                <w:kern w:val="0"/>
                <w:sz w:val="21"/>
                <w:szCs w:val="21"/>
                <w:highlight w:val="none"/>
                <w:u w:val="none"/>
                <w:lang w:val="zh-CN" w:eastAsia="zh-CN" w:bidi="ar"/>
              </w:rPr>
              <w:t>分，任意一项内容缺失扣1</w:t>
            </w:r>
            <w:r>
              <w:rPr>
                <w:rFonts w:hint="eastAsia" w:ascii="宋体" w:hAnsi="宋体" w:cs="宋体"/>
                <w:i w:val="0"/>
                <w:iCs w:val="0"/>
                <w:color w:val="auto"/>
                <w:kern w:val="0"/>
                <w:sz w:val="21"/>
                <w:szCs w:val="21"/>
                <w:highlight w:val="none"/>
                <w:u w:val="none"/>
                <w:lang w:val="en-US" w:eastAsia="zh-CN" w:bidi="ar"/>
              </w:rPr>
              <w:t>.5</w:t>
            </w:r>
            <w:r>
              <w:rPr>
                <w:rFonts w:hint="eastAsia" w:ascii="宋体" w:hAnsi="宋体" w:eastAsia="宋体" w:cs="宋体"/>
                <w:i w:val="0"/>
                <w:iCs w:val="0"/>
                <w:color w:val="auto"/>
                <w:kern w:val="0"/>
                <w:sz w:val="21"/>
                <w:szCs w:val="21"/>
                <w:highlight w:val="none"/>
                <w:u w:val="none"/>
                <w:lang w:val="zh-CN" w:eastAsia="zh-CN" w:bidi="ar"/>
              </w:rPr>
              <w:t>分，每有一处内容存在不足  (存在不足是指逻辑不严谨、内容不完整、表述不清晰、实操性不强或 不符合项目实际情况)扣0.5分。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99" w:type="dxa"/>
            <w:vMerge w:val="continue"/>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p>
        </w:tc>
        <w:tc>
          <w:tcPr>
            <w:tcW w:w="1063" w:type="dxa"/>
            <w:vMerge w:val="continue"/>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p>
        </w:tc>
        <w:tc>
          <w:tcPr>
            <w:tcW w:w="1119"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snapToGrid w:val="0"/>
                <w:color w:val="000000"/>
                <w:spacing w:val="6"/>
                <w:kern w:val="0"/>
                <w:sz w:val="21"/>
                <w:szCs w:val="21"/>
                <w:lang w:val="en-US" w:eastAsia="en-US" w:bidi="ar-SA"/>
              </w:rPr>
              <w:t>安装调试方案</w:t>
            </w:r>
          </w:p>
        </w:tc>
        <w:tc>
          <w:tcPr>
            <w:tcW w:w="656" w:type="dxa"/>
            <w:noWrap w:val="0"/>
            <w:vAlign w:val="center"/>
          </w:tcPr>
          <w:p>
            <w:pPr>
              <w:pStyle w:val="39"/>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0" w:rightChars="0" w:firstLine="0" w:firstLineChars="0"/>
              <w:jc w:val="center"/>
              <w:textAlignment w:val="baseline"/>
              <w:rPr>
                <w:rFonts w:hint="eastAsia" w:ascii="宋体" w:hAnsi="宋体" w:eastAsia="宋体" w:cs="宋体"/>
                <w:snapToGrid w:val="0"/>
                <w:color w:val="000000"/>
                <w:spacing w:val="6"/>
                <w:kern w:val="0"/>
                <w:sz w:val="21"/>
                <w:szCs w:val="21"/>
                <w:lang w:val="en-US" w:eastAsia="zh-CN" w:bidi="ar-SA"/>
              </w:rPr>
            </w:pPr>
            <w:r>
              <w:rPr>
                <w:rFonts w:hint="eastAsia" w:ascii="宋体" w:hAnsi="宋体" w:eastAsia="宋体" w:cs="宋体"/>
                <w:snapToGrid w:val="0"/>
                <w:color w:val="000000"/>
                <w:spacing w:val="6"/>
                <w:kern w:val="0"/>
                <w:sz w:val="21"/>
                <w:szCs w:val="21"/>
                <w:lang w:val="en-US" w:eastAsia="zh-CN" w:bidi="ar-SA"/>
              </w:rPr>
              <w:t>2</w:t>
            </w:r>
          </w:p>
        </w:tc>
        <w:tc>
          <w:tcPr>
            <w:tcW w:w="6082" w:type="dxa"/>
            <w:noWrap w:val="0"/>
            <w:vAlign w:val="top"/>
          </w:tcPr>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zh-CN" w:eastAsia="zh-CN" w:bidi="ar"/>
              </w:rPr>
            </w:pPr>
            <w:r>
              <w:rPr>
                <w:rFonts w:hint="eastAsia" w:ascii="宋体" w:hAnsi="宋体" w:eastAsia="宋体" w:cs="宋体"/>
                <w:i w:val="0"/>
                <w:iCs w:val="0"/>
                <w:color w:val="auto"/>
                <w:kern w:val="0"/>
                <w:sz w:val="21"/>
                <w:szCs w:val="21"/>
                <w:highlight w:val="none"/>
                <w:u w:val="none"/>
                <w:lang w:val="en-US" w:eastAsia="zh-CN" w:bidi="ar"/>
              </w:rPr>
              <w:t>根据投标人所提供的安装调试方案进行综合评审；</w:t>
            </w: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安装调试方案贴合项目特点，方案成熟，有较强的技术支持，针对性强，得2分；安装调试方案较贴合项目，方案一般，技术支持力量略差，得1分；安装调试方案未贴合项目，方案较差，没有技术支持力量，不得分；未提供安装调试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99" w:type="dxa"/>
            <w:vMerge w:val="continue"/>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p>
        </w:tc>
        <w:tc>
          <w:tcPr>
            <w:tcW w:w="1063" w:type="dxa"/>
            <w:vMerge w:val="continue"/>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p>
        </w:tc>
        <w:tc>
          <w:tcPr>
            <w:tcW w:w="1119"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kern w:val="0"/>
                <w:sz w:val="21"/>
                <w:szCs w:val="21"/>
                <w:highlight w:val="none"/>
                <w:u w:val="none"/>
                <w:lang w:val="en-US" w:eastAsia="en-US" w:bidi="ar"/>
              </w:rPr>
            </w:pPr>
            <w:r>
              <w:rPr>
                <w:rFonts w:hint="eastAsia" w:ascii="宋体" w:hAnsi="宋体" w:eastAsia="宋体" w:cs="宋体"/>
                <w:i w:val="0"/>
                <w:iCs w:val="0"/>
                <w:color w:val="auto"/>
                <w:kern w:val="0"/>
                <w:sz w:val="21"/>
                <w:szCs w:val="21"/>
                <w:highlight w:val="none"/>
                <w:u w:val="none"/>
                <w:lang w:val="en-US" w:eastAsia="zh-CN" w:bidi="ar"/>
              </w:rPr>
              <w:t>企业的承诺、优惠性条件</w:t>
            </w:r>
          </w:p>
        </w:tc>
        <w:tc>
          <w:tcPr>
            <w:tcW w:w="656"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6082" w:type="dxa"/>
            <w:noWrap w:val="0"/>
            <w:vAlign w:val="center"/>
          </w:tcPr>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zh-CN" w:eastAsia="zh-CN" w:bidi="ar"/>
              </w:rPr>
              <w:t>根据</w:t>
            </w:r>
            <w:r>
              <w:rPr>
                <w:rFonts w:hint="eastAsia" w:ascii="宋体" w:hAnsi="宋体" w:cs="宋体"/>
                <w:i w:val="0"/>
                <w:iCs w:val="0"/>
                <w:color w:val="auto"/>
                <w:kern w:val="0"/>
                <w:sz w:val="21"/>
                <w:szCs w:val="21"/>
                <w:highlight w:val="none"/>
                <w:u w:val="none"/>
                <w:lang w:val="zh-CN" w:eastAsia="zh-CN" w:bidi="ar"/>
              </w:rPr>
              <w:t>供应商针对本项目的</w:t>
            </w:r>
            <w:r>
              <w:rPr>
                <w:rFonts w:hint="eastAsia" w:ascii="宋体" w:hAnsi="宋体" w:eastAsia="宋体" w:cs="宋体"/>
                <w:i w:val="0"/>
                <w:iCs w:val="0"/>
                <w:color w:val="auto"/>
                <w:kern w:val="0"/>
                <w:sz w:val="21"/>
                <w:szCs w:val="21"/>
                <w:highlight w:val="none"/>
                <w:u w:val="none"/>
                <w:lang w:val="en-US" w:eastAsia="zh-CN" w:bidi="ar"/>
              </w:rPr>
              <w:t>承诺、优惠性条件</w:t>
            </w:r>
          </w:p>
          <w:p>
            <w:pPr>
              <w:keepNext w:val="0"/>
              <w:keepLines w:val="0"/>
              <w:pageBreakBefore w:val="0"/>
              <w:widowControl/>
              <w:suppressLineNumbers w:val="0"/>
              <w:wordWrap/>
              <w:overflowPunct/>
              <w:topLinePunct w:val="0"/>
              <w:bidi w:val="0"/>
              <w:spacing w:line="0" w:lineRule="atLeast"/>
              <w:jc w:val="left"/>
              <w:textAlignment w:val="center"/>
              <w:rPr>
                <w:rFonts w:hint="eastAsia"/>
                <w:lang w:val="en-US" w:eastAsia="zh-CN"/>
              </w:rPr>
            </w:pPr>
            <w:r>
              <w:rPr>
                <w:rFonts w:hint="eastAsia" w:ascii="宋体" w:hAnsi="宋体" w:eastAsia="宋体" w:cs="宋体"/>
                <w:i w:val="0"/>
                <w:iCs w:val="0"/>
                <w:color w:val="auto"/>
                <w:kern w:val="0"/>
                <w:sz w:val="21"/>
                <w:szCs w:val="21"/>
                <w:highlight w:val="none"/>
                <w:u w:val="none"/>
                <w:lang w:val="en-US" w:eastAsia="zh-CN" w:bidi="ar"/>
              </w:rPr>
              <w:t>有非常满意的承诺和优惠条件，现场服务到位。针对本项目提出合理建议或优惠条件适用于本项目实际情况的得3分，建议不合理或者优惠条件不适用的，每项扣除1分，扣完为止。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99" w:type="dxa"/>
            <w:vMerge w:val="continue"/>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p>
        </w:tc>
        <w:tc>
          <w:tcPr>
            <w:tcW w:w="1063" w:type="dxa"/>
            <w:vMerge w:val="continue"/>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p>
        </w:tc>
        <w:tc>
          <w:tcPr>
            <w:tcW w:w="1119"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lang w:val="zh-CN"/>
              </w:rPr>
              <w:t>质量控制措施</w:t>
            </w:r>
          </w:p>
        </w:tc>
        <w:tc>
          <w:tcPr>
            <w:tcW w:w="656" w:type="dxa"/>
            <w:noWrap w:val="0"/>
            <w:vAlign w:val="center"/>
          </w:tcPr>
          <w:p>
            <w:pPr>
              <w:keepNext w:val="0"/>
              <w:keepLines w:val="0"/>
              <w:pageBreakBefore w:val="0"/>
              <w:wordWrap/>
              <w:overflowPunct/>
              <w:topLinePunct w:val="0"/>
              <w:bidi w:val="0"/>
              <w:adjustRightInd w:val="0"/>
              <w:snapToGrid w:val="0"/>
              <w:spacing w:line="0" w:lineRule="atLeast"/>
              <w:jc w:val="center"/>
              <w:rPr>
                <w:rFonts w:hint="eastAsia" w:ascii="宋体" w:hAnsi="宋体" w:eastAsia="宋体" w:cs="宋体"/>
                <w:kern w:val="2"/>
                <w:sz w:val="21"/>
                <w:lang w:val="en-US" w:eastAsia="zh-CN" w:bidi="ar-SA"/>
              </w:rPr>
            </w:pPr>
            <w:r>
              <w:rPr>
                <w:rFonts w:hint="eastAsia" w:ascii="宋体" w:hAnsi="宋体" w:eastAsia="宋体" w:cs="宋体"/>
                <w:kern w:val="2"/>
                <w:sz w:val="21"/>
                <w:lang w:val="en-US" w:eastAsia="zh-CN" w:bidi="ar-SA"/>
              </w:rPr>
              <w:t>2</w:t>
            </w:r>
          </w:p>
        </w:tc>
        <w:tc>
          <w:tcPr>
            <w:tcW w:w="6082" w:type="dxa"/>
            <w:noWrap w:val="0"/>
            <w:vAlign w:val="top"/>
          </w:tcPr>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zh-CN" w:eastAsia="zh-CN" w:bidi="ar"/>
              </w:rPr>
              <w:t>根据投标人的生产过程质量控制措施（包含生产前、生产中、生产后）进行评价：生产过程控制措施详细、描述明确具体得2分；控制措施描述较简单，但描述内容完整、明确具体得1分；控制措施有缺漏或者控制措施与本项目无关或者未提供控制措施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99" w:type="dxa"/>
            <w:vMerge w:val="continue"/>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p>
        </w:tc>
        <w:tc>
          <w:tcPr>
            <w:tcW w:w="1063" w:type="dxa"/>
            <w:vMerge w:val="continue"/>
            <w:noWrap w:val="0"/>
            <w:vAlign w:val="center"/>
          </w:tcPr>
          <w:p>
            <w:pPr>
              <w:keepNext w:val="0"/>
              <w:keepLines w:val="0"/>
              <w:pageBreakBefore w:val="0"/>
              <w:wordWrap/>
              <w:overflowPunct/>
              <w:topLinePunct w:val="0"/>
              <w:bidi w:val="0"/>
              <w:spacing w:line="0" w:lineRule="atLeast"/>
              <w:jc w:val="center"/>
              <w:rPr>
                <w:rFonts w:hint="eastAsia" w:ascii="宋体" w:hAnsi="宋体" w:eastAsia="宋体" w:cs="宋体"/>
                <w:i w:val="0"/>
                <w:iCs w:val="0"/>
                <w:color w:val="auto"/>
                <w:sz w:val="21"/>
                <w:szCs w:val="21"/>
                <w:highlight w:val="none"/>
                <w:u w:val="none"/>
              </w:rPr>
            </w:pPr>
          </w:p>
        </w:tc>
        <w:tc>
          <w:tcPr>
            <w:tcW w:w="1119"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样品展示</w:t>
            </w:r>
          </w:p>
        </w:tc>
        <w:tc>
          <w:tcPr>
            <w:tcW w:w="656" w:type="dxa"/>
            <w:noWrap w:val="0"/>
            <w:vAlign w:val="center"/>
          </w:tcPr>
          <w:p>
            <w:pPr>
              <w:keepNext w:val="0"/>
              <w:keepLines w:val="0"/>
              <w:pageBreakBefore w:val="0"/>
              <w:widowControl/>
              <w:suppressLineNumbers w:val="0"/>
              <w:wordWrap/>
              <w:overflowPunct/>
              <w:topLinePunct w:val="0"/>
              <w:bidi w:val="0"/>
              <w:spacing w:line="0" w:lineRule="atLeas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15</w:t>
            </w:r>
          </w:p>
        </w:tc>
        <w:tc>
          <w:tcPr>
            <w:tcW w:w="6082" w:type="dxa"/>
            <w:noWrap w:val="0"/>
            <w:vAlign w:val="center"/>
          </w:tcPr>
          <w:p>
            <w:pPr>
              <w:keepNext w:val="0"/>
              <w:keepLines w:val="0"/>
              <w:pageBreakBefore w:val="0"/>
              <w:widowControl/>
              <w:suppressLineNumbers w:val="0"/>
              <w:wordWrap/>
              <w:overflowPunct/>
              <w:topLinePunct w:val="0"/>
              <w:bidi w:val="0"/>
              <w:spacing w:line="0" w:lineRule="atLeast"/>
              <w:jc w:val="left"/>
              <w:textAlignment w:val="center"/>
              <w:rPr>
                <w:rFonts w:hint="eastAsia"/>
                <w:lang w:val="en-US" w:eastAsia="zh-CN"/>
              </w:rPr>
            </w:pPr>
            <w:r>
              <w:rPr>
                <w:rFonts w:hint="eastAsia" w:ascii="宋体" w:hAnsi="宋体" w:eastAsia="宋体" w:cs="宋体"/>
                <w:i w:val="0"/>
                <w:iCs w:val="0"/>
                <w:color w:val="auto"/>
                <w:kern w:val="0"/>
                <w:sz w:val="21"/>
                <w:szCs w:val="21"/>
                <w:highlight w:val="none"/>
                <w:u w:val="none"/>
                <w:lang w:val="en-US" w:eastAsia="zh-CN" w:bidi="ar"/>
              </w:rPr>
              <w:t>根据招标参数要求提供产品样品</w:t>
            </w: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zh-CN" w:eastAsia="zh-CN" w:bidi="ar"/>
              </w:rPr>
              <w:t>投标人需按要求提供</w:t>
            </w:r>
            <w:r>
              <w:rPr>
                <w:rFonts w:hint="eastAsia" w:ascii="宋体" w:hAnsi="宋体" w:eastAsia="宋体" w:cs="宋体"/>
                <w:i w:val="0"/>
                <w:iCs w:val="0"/>
                <w:color w:val="auto"/>
                <w:kern w:val="0"/>
                <w:sz w:val="21"/>
                <w:szCs w:val="21"/>
                <w:highlight w:val="none"/>
                <w:u w:val="none"/>
                <w:lang w:val="en-US" w:eastAsia="zh-CN" w:bidi="ar"/>
              </w:rPr>
              <w:t>满足招标文件要求</w:t>
            </w:r>
            <w:r>
              <w:rPr>
                <w:rFonts w:hint="eastAsia" w:ascii="宋体" w:hAnsi="宋体" w:eastAsia="宋体" w:cs="宋体"/>
                <w:i w:val="0"/>
                <w:iCs w:val="0"/>
                <w:color w:val="auto"/>
                <w:kern w:val="0"/>
                <w:sz w:val="21"/>
                <w:szCs w:val="21"/>
                <w:highlight w:val="none"/>
                <w:u w:val="none"/>
                <w:lang w:val="zh-CN" w:eastAsia="zh-CN" w:bidi="ar"/>
              </w:rPr>
              <w:t>“课桌椅”样品整套</w:t>
            </w:r>
            <w:r>
              <w:rPr>
                <w:rFonts w:hint="eastAsia" w:ascii="宋体" w:hAnsi="宋体" w:eastAsia="宋体" w:cs="宋体"/>
                <w:i w:val="0"/>
                <w:iCs w:val="0"/>
                <w:color w:val="auto"/>
                <w:kern w:val="0"/>
                <w:sz w:val="21"/>
                <w:szCs w:val="21"/>
                <w:highlight w:val="none"/>
                <w:u w:val="none"/>
                <w:lang w:val="en-US" w:eastAsia="zh-CN" w:bidi="ar"/>
              </w:rPr>
              <w:t>，不提供不得分，满分5分。</w:t>
            </w: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zh-CN" w:eastAsia="zh-CN" w:bidi="ar"/>
              </w:rPr>
              <w:t>投标人需按要求提供</w:t>
            </w:r>
            <w:r>
              <w:rPr>
                <w:rFonts w:hint="eastAsia" w:ascii="宋体" w:hAnsi="宋体" w:eastAsia="宋体" w:cs="宋体"/>
                <w:i w:val="0"/>
                <w:iCs w:val="0"/>
                <w:color w:val="auto"/>
                <w:kern w:val="0"/>
                <w:sz w:val="21"/>
                <w:szCs w:val="21"/>
                <w:highlight w:val="none"/>
                <w:u w:val="none"/>
                <w:lang w:val="en-US" w:eastAsia="zh-CN" w:bidi="ar"/>
              </w:rPr>
              <w:t>满足招标文件要求</w:t>
            </w:r>
            <w:r>
              <w:rPr>
                <w:rFonts w:hint="eastAsia" w:ascii="宋体" w:hAnsi="宋体" w:eastAsia="宋体" w:cs="宋体"/>
                <w:i w:val="0"/>
                <w:iCs w:val="0"/>
                <w:color w:val="auto"/>
                <w:kern w:val="0"/>
                <w:sz w:val="21"/>
                <w:szCs w:val="21"/>
                <w:highlight w:val="none"/>
                <w:u w:val="none"/>
                <w:lang w:val="zh-CN" w:eastAsia="zh-CN" w:bidi="ar"/>
              </w:rPr>
              <w:t>“</w:t>
            </w:r>
            <w:r>
              <w:rPr>
                <w:rFonts w:hint="eastAsia" w:ascii="宋体" w:hAnsi="宋体" w:eastAsia="宋体" w:cs="宋体"/>
                <w:i w:val="0"/>
                <w:iCs w:val="0"/>
                <w:color w:val="auto"/>
                <w:kern w:val="0"/>
                <w:sz w:val="21"/>
                <w:szCs w:val="21"/>
                <w:highlight w:val="none"/>
                <w:u w:val="none"/>
                <w:lang w:val="en-US" w:eastAsia="zh-CN" w:bidi="ar"/>
              </w:rPr>
              <w:t>办公家具</w:t>
            </w:r>
            <w:r>
              <w:rPr>
                <w:rFonts w:hint="eastAsia" w:ascii="宋体" w:hAnsi="宋体" w:eastAsia="宋体" w:cs="宋体"/>
                <w:i w:val="0"/>
                <w:iCs w:val="0"/>
                <w:color w:val="auto"/>
                <w:kern w:val="0"/>
                <w:sz w:val="21"/>
                <w:szCs w:val="21"/>
                <w:highlight w:val="none"/>
                <w:u w:val="none"/>
                <w:lang w:val="zh-CN" w:eastAsia="zh-CN" w:bidi="ar"/>
              </w:rPr>
              <w:t>”样品整套</w:t>
            </w:r>
            <w:r>
              <w:rPr>
                <w:rFonts w:hint="eastAsia" w:ascii="宋体" w:hAnsi="宋体" w:eastAsia="宋体" w:cs="宋体"/>
                <w:i w:val="0"/>
                <w:iCs w:val="0"/>
                <w:color w:val="auto"/>
                <w:kern w:val="0"/>
                <w:sz w:val="21"/>
                <w:szCs w:val="21"/>
                <w:highlight w:val="none"/>
                <w:u w:val="none"/>
                <w:lang w:val="en-US" w:eastAsia="zh-CN" w:bidi="ar"/>
              </w:rPr>
              <w:t>，不提供不得分，满分5分。</w:t>
            </w: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zh-CN" w:eastAsia="zh-CN" w:bidi="ar"/>
              </w:rPr>
              <w:t>投标人需按要求提供</w:t>
            </w:r>
            <w:r>
              <w:rPr>
                <w:rFonts w:hint="eastAsia" w:ascii="宋体" w:hAnsi="宋体" w:eastAsia="宋体" w:cs="宋体"/>
                <w:i w:val="0"/>
                <w:iCs w:val="0"/>
                <w:color w:val="auto"/>
                <w:kern w:val="0"/>
                <w:sz w:val="21"/>
                <w:szCs w:val="21"/>
                <w:highlight w:val="none"/>
                <w:u w:val="none"/>
                <w:lang w:val="en-US" w:eastAsia="zh-CN" w:bidi="ar"/>
              </w:rPr>
              <w:t>满足招标文件要求</w:t>
            </w:r>
            <w:r>
              <w:rPr>
                <w:rFonts w:hint="eastAsia" w:ascii="宋体" w:hAnsi="宋体" w:eastAsia="宋体" w:cs="宋体"/>
                <w:i w:val="0"/>
                <w:iCs w:val="0"/>
                <w:color w:val="auto"/>
                <w:kern w:val="0"/>
                <w:sz w:val="21"/>
                <w:szCs w:val="21"/>
                <w:highlight w:val="none"/>
                <w:u w:val="none"/>
                <w:lang w:val="zh-CN" w:eastAsia="zh-CN" w:bidi="ar"/>
              </w:rPr>
              <w:t>“</w:t>
            </w:r>
            <w:r>
              <w:rPr>
                <w:rFonts w:hint="eastAsia" w:ascii="宋体" w:hAnsi="宋体" w:eastAsia="宋体" w:cs="宋体"/>
                <w:i w:val="0"/>
                <w:iCs w:val="0"/>
                <w:color w:val="auto"/>
                <w:kern w:val="0"/>
                <w:sz w:val="21"/>
                <w:szCs w:val="21"/>
                <w:highlight w:val="none"/>
                <w:u w:val="none"/>
                <w:lang w:val="en-US" w:eastAsia="zh-CN" w:bidi="ar"/>
              </w:rPr>
              <w:t>学生宿舍床</w:t>
            </w:r>
            <w:r>
              <w:rPr>
                <w:rFonts w:hint="eastAsia" w:ascii="宋体" w:hAnsi="宋体" w:eastAsia="宋体" w:cs="宋体"/>
                <w:i w:val="0"/>
                <w:iCs w:val="0"/>
                <w:color w:val="auto"/>
                <w:kern w:val="0"/>
                <w:sz w:val="21"/>
                <w:szCs w:val="21"/>
                <w:highlight w:val="none"/>
                <w:u w:val="none"/>
                <w:lang w:val="zh-CN" w:eastAsia="zh-CN" w:bidi="ar"/>
              </w:rPr>
              <w:t>”样品整套</w:t>
            </w:r>
            <w:r>
              <w:rPr>
                <w:rFonts w:hint="eastAsia" w:ascii="宋体" w:hAnsi="宋体" w:eastAsia="宋体" w:cs="宋体"/>
                <w:i w:val="0"/>
                <w:iCs w:val="0"/>
                <w:color w:val="auto"/>
                <w:kern w:val="0"/>
                <w:sz w:val="21"/>
                <w:szCs w:val="21"/>
                <w:highlight w:val="none"/>
                <w:u w:val="none"/>
                <w:lang w:val="en-US" w:eastAsia="zh-CN" w:bidi="ar"/>
              </w:rPr>
              <w:t>，不提供不得分，满分5分。</w:t>
            </w: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zh-CN" w:eastAsia="zh-CN" w:bidi="ar"/>
              </w:rPr>
            </w:pPr>
            <w:r>
              <w:rPr>
                <w:rFonts w:hint="eastAsia" w:ascii="宋体" w:hAnsi="宋体" w:eastAsia="宋体" w:cs="宋体"/>
                <w:i w:val="0"/>
                <w:iCs w:val="0"/>
                <w:color w:val="auto"/>
                <w:kern w:val="0"/>
                <w:sz w:val="21"/>
                <w:szCs w:val="21"/>
                <w:highlight w:val="none"/>
                <w:u w:val="none"/>
                <w:lang w:val="zh-CN" w:eastAsia="zh-CN" w:bidi="ar"/>
              </w:rPr>
              <w:t>评标委员会根据样品对招标文件技术参数，</w:t>
            </w:r>
            <w:r>
              <w:rPr>
                <w:rFonts w:hint="eastAsia" w:ascii="宋体" w:hAnsi="宋体" w:eastAsia="宋体" w:cs="宋体"/>
                <w:i w:val="0"/>
                <w:iCs w:val="0"/>
                <w:color w:val="auto"/>
                <w:kern w:val="0"/>
                <w:sz w:val="21"/>
                <w:szCs w:val="21"/>
                <w:highlight w:val="none"/>
                <w:u w:val="none"/>
                <w:lang w:val="en-US" w:eastAsia="zh-CN" w:bidi="ar"/>
              </w:rPr>
              <w:t>对</w:t>
            </w:r>
            <w:r>
              <w:rPr>
                <w:rFonts w:hint="eastAsia" w:ascii="宋体" w:hAnsi="宋体" w:eastAsia="宋体" w:cs="宋体"/>
                <w:i w:val="0"/>
                <w:iCs w:val="0"/>
                <w:color w:val="auto"/>
                <w:kern w:val="0"/>
                <w:sz w:val="21"/>
                <w:szCs w:val="21"/>
                <w:highlight w:val="none"/>
                <w:u w:val="none"/>
                <w:lang w:val="zh-CN" w:eastAsia="zh-CN" w:bidi="ar"/>
              </w:rPr>
              <w:t>投标人提供的小样整体外观、焊接工艺、喷涂工艺、金属件、木质件、塑料件、注塑件小样的稳定、样式、工艺、硬度、厚度、材质及结构设计、外观、做工等方面进行综合评定，</w:t>
            </w:r>
            <w:r>
              <w:rPr>
                <w:rFonts w:hint="eastAsia" w:ascii="宋体" w:hAnsi="宋体" w:cs="宋体"/>
                <w:i w:val="0"/>
                <w:iCs w:val="0"/>
                <w:color w:val="auto"/>
                <w:kern w:val="0"/>
                <w:sz w:val="21"/>
                <w:szCs w:val="21"/>
                <w:highlight w:val="none"/>
                <w:u w:val="none"/>
                <w:lang w:val="en-US" w:eastAsia="zh-CN" w:bidi="ar"/>
              </w:rPr>
              <w:t>必要时需拆解、切割、破坏等方式对样品进行检验，</w:t>
            </w:r>
            <w:r>
              <w:rPr>
                <w:rFonts w:hint="eastAsia" w:ascii="宋体" w:hAnsi="宋体" w:eastAsia="宋体" w:cs="宋体"/>
                <w:i w:val="0"/>
                <w:iCs w:val="0"/>
                <w:color w:val="auto"/>
                <w:kern w:val="0"/>
                <w:sz w:val="21"/>
                <w:szCs w:val="21"/>
                <w:highlight w:val="none"/>
                <w:u w:val="none"/>
                <w:lang w:val="zh-CN" w:eastAsia="zh-CN" w:bidi="ar"/>
              </w:rPr>
              <w:t>并按照技术要求打分。</w:t>
            </w: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zh-CN" w:eastAsia="zh-CN" w:bidi="ar"/>
              </w:rPr>
            </w:pPr>
            <w:r>
              <w:rPr>
                <w:rFonts w:hint="eastAsia" w:ascii="宋体" w:hAnsi="宋体" w:eastAsia="宋体" w:cs="宋体"/>
                <w:i w:val="0"/>
                <w:iCs w:val="0"/>
                <w:color w:val="auto"/>
                <w:kern w:val="0"/>
                <w:sz w:val="21"/>
                <w:szCs w:val="21"/>
                <w:highlight w:val="none"/>
                <w:u w:val="none"/>
                <w:lang w:val="zh-CN" w:eastAsia="zh-CN" w:bidi="ar"/>
              </w:rPr>
              <w:t>投标人提供小样严重不符合招标文件参数描述的或小样数量缺失严重的，本项不得分。</w:t>
            </w: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zh-CN" w:eastAsia="zh-CN" w:bidi="ar"/>
              </w:rPr>
            </w:pPr>
            <w:r>
              <w:rPr>
                <w:rFonts w:hint="eastAsia" w:ascii="宋体" w:hAnsi="宋体" w:eastAsia="宋体" w:cs="宋体"/>
                <w:i w:val="0"/>
                <w:iCs w:val="0"/>
                <w:color w:val="auto"/>
                <w:kern w:val="0"/>
                <w:sz w:val="21"/>
                <w:szCs w:val="21"/>
                <w:highlight w:val="none"/>
                <w:u w:val="none"/>
                <w:lang w:val="zh-CN" w:eastAsia="zh-CN" w:bidi="ar"/>
              </w:rPr>
              <w:t>1）小样外观：小样整体美观，结构稳定，外形样式符合要求，课桌椅的扎实牢固度、安全性、设计合理性、人体工学设计、油漆色泽、色彩搭配合理，等无瑕疵得3分；外观有可允许的少量瑕疵的得1分，提供的小样外观明显不符合招标要求的不得分。</w:t>
            </w: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zh-CN" w:eastAsia="zh-CN" w:bidi="ar"/>
              </w:rPr>
            </w:pPr>
            <w:r>
              <w:rPr>
                <w:rFonts w:hint="eastAsia" w:ascii="宋体" w:hAnsi="宋体" w:eastAsia="宋体" w:cs="宋体"/>
                <w:i w:val="0"/>
                <w:iCs w:val="0"/>
                <w:color w:val="auto"/>
                <w:kern w:val="0"/>
                <w:sz w:val="21"/>
                <w:szCs w:val="21"/>
                <w:highlight w:val="none"/>
                <w:u w:val="none"/>
                <w:lang w:val="zh-CN" w:eastAsia="zh-CN" w:bidi="ar"/>
              </w:rPr>
              <w:t>2）小样焊接工艺：课桌椅的焊接质量、板材耐磨度、各部件（注塑封边、桌斗、板材、管材、连接件）边缘的平整度、安全性，以及座椅靠背弯管与靠背的连接牢固度，金属部件焊接应牢靠，无脱焊、无虚焊、无焊穿，焊缝均匀，应无毛刺、无锐棱、无飞溅、无裂纹，无瑕疵得3分；焊接有可允许的少量瑕疵的得1分，提供的小样明显不符合招标要求的或焊接工艺有明显缺陷的不得分。</w:t>
            </w: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zh-CN" w:eastAsia="zh-CN" w:bidi="ar"/>
              </w:rPr>
            </w:pPr>
            <w:r>
              <w:rPr>
                <w:rFonts w:hint="eastAsia" w:ascii="宋体" w:hAnsi="宋体" w:eastAsia="宋体" w:cs="宋体"/>
                <w:i w:val="0"/>
                <w:iCs w:val="0"/>
                <w:color w:val="auto"/>
                <w:kern w:val="0"/>
                <w:sz w:val="21"/>
                <w:szCs w:val="21"/>
                <w:highlight w:val="none"/>
                <w:u w:val="none"/>
                <w:lang w:val="zh-CN" w:eastAsia="zh-CN" w:bidi="ar"/>
              </w:rPr>
              <w:t>3）小样喷涂工艺：喷涂件涂层应光滑均匀，色泽一致，应无流挂、无疙瘩、无皱皮、无飞漆、无漏喷、无露底、无锈蚀，无瑕疵得3分；喷涂有可允许的少量瑕疵的得1分，提供的小样明显不符合招标要求的或喷涂工艺有明显缺陷的不得分。（满分3分）</w:t>
            </w: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zh-CN" w:eastAsia="zh-CN" w:bidi="ar"/>
              </w:rPr>
            </w:pPr>
            <w:r>
              <w:rPr>
                <w:rFonts w:hint="eastAsia" w:ascii="宋体" w:hAnsi="宋体" w:eastAsia="宋体" w:cs="宋体"/>
                <w:i w:val="0"/>
                <w:iCs w:val="0"/>
                <w:color w:val="auto"/>
                <w:kern w:val="0"/>
                <w:sz w:val="21"/>
                <w:szCs w:val="21"/>
                <w:highlight w:val="none"/>
                <w:u w:val="none"/>
                <w:lang w:val="zh-CN" w:eastAsia="zh-CN" w:bidi="ar"/>
              </w:rPr>
              <w:t>4）金属件小样：金属件硬度坚固、厚度符合要求、金属件应无锈蚀、无喷涂层脱落、无刃口、无锐棱、无毛刺、无黑斑，精良得3分；金属件小样有可允许的少量瑕疵的得1分，提供的金属件小样明显不符合招标要求的或金属件小样有明显缺陷的不得分。</w:t>
            </w:r>
          </w:p>
          <w:p>
            <w:pPr>
              <w:keepNext w:val="0"/>
              <w:keepLines w:val="0"/>
              <w:pageBreakBefore w:val="0"/>
              <w:widowControl/>
              <w:suppressLineNumbers w:val="0"/>
              <w:wordWrap/>
              <w:overflowPunct/>
              <w:topLinePunct w:val="0"/>
              <w:bidi w:val="0"/>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zh-CN" w:eastAsia="zh-CN" w:bidi="ar"/>
              </w:rPr>
              <w:t>5）木质件小样：厚度符合要求、板件或部件的表面应光滑，倒棱、圆角、圆线应均匀一致，在接触人体部位不应有毛刺、刃口或棱角，表面平整无颗粒、气泡、积粉、渣点，色泽均匀，表面色泽剔透，具有较好的耐磨性的，无瑕疵得3分；有可允许的少量瑕疵的得1分，提供的木质件小样明显不符合招标要求的或木质件小样有明显缺陷的不得分。</w:t>
            </w:r>
          </w:p>
        </w:tc>
      </w:tr>
    </w:tbl>
    <w:p>
      <w:pPr>
        <w:pStyle w:val="2"/>
        <w:ind w:left="0" w:leftChars="0" w:firstLine="0" w:firstLineChars="0"/>
        <w:rPr>
          <w:rFonts w:ascii="仿宋" w:hAnsi="仿宋" w:eastAsia="仿宋" w:cs="仿宋"/>
          <w:b/>
          <w:spacing w:val="-2"/>
          <w:sz w:val="24"/>
          <w:szCs w:val="24"/>
        </w:rPr>
      </w:pPr>
    </w:p>
    <w:p>
      <w:pPr>
        <w:pStyle w:val="2"/>
        <w:rPr>
          <w:rFonts w:ascii="仿宋" w:hAnsi="仿宋" w:eastAsia="仿宋" w:cs="仿宋"/>
          <w:b/>
          <w:spacing w:val="-2"/>
          <w:sz w:val="24"/>
          <w:szCs w:val="24"/>
        </w:rPr>
      </w:pPr>
    </w:p>
    <w:p>
      <w:pPr>
        <w:pStyle w:val="2"/>
        <w:rPr>
          <w:rFonts w:ascii="仿宋" w:hAnsi="仿宋" w:eastAsia="仿宋" w:cs="仿宋"/>
          <w:b/>
          <w:spacing w:val="-2"/>
          <w:sz w:val="24"/>
          <w:szCs w:val="24"/>
        </w:rPr>
      </w:pPr>
    </w:p>
    <w:p>
      <w:pPr>
        <w:pStyle w:val="2"/>
        <w:rPr>
          <w:rFonts w:ascii="仿宋" w:hAnsi="仿宋" w:eastAsia="仿宋" w:cs="仿宋"/>
          <w:b/>
          <w:spacing w:val="-2"/>
          <w:sz w:val="24"/>
          <w:szCs w:val="24"/>
        </w:rPr>
      </w:pPr>
    </w:p>
    <w:p>
      <w:pPr>
        <w:pStyle w:val="2"/>
        <w:ind w:left="0" w:leftChars="0" w:firstLine="0" w:firstLineChars="0"/>
        <w:rPr>
          <w:rFonts w:ascii="仿宋" w:hAnsi="仿宋" w:eastAsia="仿宋" w:cs="仿宋"/>
          <w:b/>
          <w:spacing w:val="-2"/>
          <w:sz w:val="24"/>
          <w:szCs w:val="24"/>
        </w:rPr>
      </w:pPr>
    </w:p>
    <w:p>
      <w:pPr>
        <w:pStyle w:val="2"/>
        <w:rPr>
          <w:rFonts w:ascii="仿宋" w:hAnsi="仿宋" w:eastAsia="仿宋" w:cs="仿宋"/>
          <w:b/>
          <w:spacing w:val="-2"/>
          <w:sz w:val="24"/>
          <w:szCs w:val="24"/>
        </w:rPr>
      </w:pPr>
    </w:p>
    <w:p>
      <w:pPr>
        <w:pStyle w:val="2"/>
        <w:rPr>
          <w:rFonts w:ascii="仿宋" w:hAnsi="仿宋" w:eastAsia="仿宋" w:cs="仿宋"/>
          <w:b/>
          <w:spacing w:val="-2"/>
          <w:sz w:val="24"/>
          <w:szCs w:val="24"/>
        </w:rPr>
      </w:pPr>
    </w:p>
    <w:p>
      <w:pPr>
        <w:ind w:firstLine="474" w:firstLineChars="200"/>
        <w:rPr>
          <w:rFonts w:ascii="仿宋" w:hAnsi="仿宋" w:eastAsia="仿宋" w:cs="仿宋"/>
          <w:b/>
          <w:spacing w:val="-2"/>
          <w:sz w:val="24"/>
          <w:szCs w:val="24"/>
        </w:rPr>
      </w:pPr>
      <w:r>
        <w:rPr>
          <w:rFonts w:hint="eastAsia" w:ascii="仿宋" w:hAnsi="仿宋" w:eastAsia="仿宋" w:cs="仿宋"/>
          <w:b/>
          <w:spacing w:val="-2"/>
          <w:sz w:val="24"/>
          <w:szCs w:val="24"/>
        </w:rPr>
        <w:t>（4）支持中小企业政府采购政策功能落实</w:t>
      </w:r>
    </w:p>
    <w:p>
      <w:pPr>
        <w:pStyle w:val="30"/>
        <w:ind w:firstLine="480"/>
        <w:rPr>
          <w:rFonts w:hint="eastAsia" w:eastAsia="仿宋"/>
          <w:highlight w:val="none"/>
        </w:rPr>
      </w:pPr>
      <w:r>
        <w:rPr>
          <w:rFonts w:hint="eastAsia" w:eastAsia="仿宋"/>
          <w:highlight w:val="none"/>
        </w:rPr>
        <w:t>本采购项目</w:t>
      </w:r>
      <w:r>
        <w:rPr>
          <w:rFonts w:hint="eastAsia" w:eastAsia="仿宋"/>
          <w:highlight w:val="none"/>
          <w:lang w:eastAsia="zh-CN"/>
        </w:rPr>
        <w:t>不专门面向中小企业</w:t>
      </w:r>
      <w:r>
        <w:rPr>
          <w:rFonts w:hint="eastAsia" w:ascii="仿宋" w:hAnsi="仿宋" w:eastAsia="仿宋" w:cs="仿宋"/>
          <w:highlight w:val="none"/>
        </w:rPr>
        <w:t>。</w:t>
      </w:r>
      <w:r>
        <w:rPr>
          <w:rFonts w:hint="eastAsia" w:eastAsia="仿宋"/>
          <w:highlight w:val="none"/>
        </w:rPr>
        <w:t>该采购项目对应的中小企业划分标准所属行业</w:t>
      </w:r>
      <w:r>
        <w:rPr>
          <w:rFonts w:hint="eastAsia" w:eastAsia="仿宋"/>
          <w:b/>
          <w:bCs/>
          <w:highlight w:val="none"/>
          <w:u w:val="single"/>
          <w:lang w:val="en-US" w:eastAsia="zh-CN"/>
        </w:rPr>
        <w:t>工业</w:t>
      </w:r>
      <w:r>
        <w:rPr>
          <w:rFonts w:hint="eastAsia" w:eastAsia="仿宋"/>
          <w:highlight w:val="none"/>
        </w:rPr>
        <w:t>行业划分标准按《国民经济行业分类》执行。中小企业划分标准按《中小企业划型标准规定》（工信部联企业[2011]300号）文件规定执行】。</w:t>
      </w:r>
    </w:p>
    <w:p>
      <w:pPr>
        <w:ind w:firstLine="472" w:firstLineChars="200"/>
        <w:rPr>
          <w:rFonts w:hint="eastAsia" w:eastAsia="仿宋"/>
          <w:highlight w:val="none"/>
        </w:rPr>
      </w:pPr>
      <w:r>
        <w:rPr>
          <w:rFonts w:hint="eastAsia" w:ascii="仿宋" w:hAnsi="仿宋" w:eastAsia="仿宋" w:cs="仿宋"/>
          <w:bCs/>
          <w:spacing w:val="-2"/>
          <w:sz w:val="24"/>
          <w:szCs w:val="24"/>
          <w:highlight w:val="none"/>
          <w:lang w:val="en-US" w:eastAsia="zh-CN"/>
        </w:rPr>
        <w:t>即供应商所提供货物由中小企业制造（货物由中小企业生产且使用该中小企业商号或者注册商标，须出具《中小企业声明函》，</w:t>
      </w:r>
      <w:r>
        <w:rPr>
          <w:rFonts w:hint="eastAsia" w:ascii="仿宋" w:hAnsi="仿宋" w:eastAsia="仿宋" w:cs="仿宋"/>
          <w:b/>
          <w:bCs w:val="0"/>
          <w:spacing w:val="-2"/>
          <w:sz w:val="24"/>
          <w:szCs w:val="24"/>
          <w:highlight w:val="none"/>
          <w:lang w:val="en-US" w:eastAsia="zh-CN"/>
        </w:rPr>
        <w:t>如果一个采购项目或采购包含有多个采购标的的，则每个采购标的均应由中小企业制造。</w:t>
      </w:r>
    </w:p>
    <w:p>
      <w:pPr>
        <w:ind w:firstLine="474" w:firstLineChars="200"/>
        <w:rPr>
          <w:rFonts w:ascii="仿宋" w:hAnsi="仿宋" w:eastAsia="仿宋" w:cs="仿宋"/>
          <w:b/>
          <w:spacing w:val="-2"/>
          <w:sz w:val="24"/>
          <w:szCs w:val="24"/>
          <w:highlight w:val="none"/>
        </w:rPr>
      </w:pPr>
      <w:r>
        <w:rPr>
          <w:rFonts w:hint="eastAsia" w:ascii="仿宋" w:hAnsi="仿宋" w:eastAsia="仿宋" w:cs="仿宋"/>
          <w:b/>
          <w:spacing w:val="-2"/>
          <w:sz w:val="24"/>
          <w:szCs w:val="24"/>
          <w:highlight w:val="none"/>
        </w:rPr>
        <w:t>①小微型企业价格扣除</w:t>
      </w:r>
    </w:p>
    <w:p>
      <w:pPr>
        <w:ind w:firstLine="472" w:firstLineChars="200"/>
        <w:rPr>
          <w:rFonts w:ascii="仿宋" w:hAnsi="仿宋" w:eastAsia="仿宋" w:cs="仿宋"/>
          <w:bCs/>
          <w:spacing w:val="-2"/>
          <w:sz w:val="24"/>
          <w:szCs w:val="24"/>
        </w:rPr>
      </w:pPr>
      <w:r>
        <w:rPr>
          <w:rFonts w:hint="eastAsia" w:ascii="仿宋" w:hAnsi="仿宋" w:eastAsia="仿宋" w:cs="仿宋"/>
          <w:bCs/>
          <w:spacing w:val="-2"/>
          <w:sz w:val="24"/>
          <w:szCs w:val="24"/>
        </w:rPr>
        <w:t>（a）本项目对小型和微型企业产品</w:t>
      </w:r>
      <w:r>
        <w:rPr>
          <w:rFonts w:hint="eastAsia" w:ascii="仿宋" w:hAnsi="仿宋" w:eastAsia="仿宋" w:cs="仿宋"/>
          <w:bCs/>
          <w:spacing w:val="-2"/>
          <w:sz w:val="24"/>
          <w:szCs w:val="24"/>
          <w:lang w:eastAsia="zh-CN"/>
        </w:rPr>
        <w:t>给</w:t>
      </w:r>
      <w:r>
        <w:rPr>
          <w:rFonts w:hint="eastAsia" w:ascii="仿宋" w:hAnsi="仿宋" w:eastAsia="仿宋" w:cs="仿宋"/>
          <w:bCs/>
          <w:spacing w:val="-2"/>
          <w:sz w:val="24"/>
          <w:szCs w:val="24"/>
        </w:rPr>
        <w:t>予</w:t>
      </w:r>
      <w:r>
        <w:rPr>
          <w:rFonts w:hint="eastAsia" w:ascii="仿宋" w:hAnsi="仿宋" w:eastAsia="仿宋" w:cs="仿宋"/>
          <w:bCs/>
          <w:spacing w:val="-2"/>
          <w:sz w:val="24"/>
          <w:szCs w:val="24"/>
          <w:u w:val="single"/>
        </w:rPr>
        <w:t>10%</w:t>
      </w:r>
      <w:r>
        <w:rPr>
          <w:rFonts w:hint="eastAsia" w:ascii="仿宋" w:hAnsi="仿宋" w:eastAsia="仿宋" w:cs="仿宋"/>
          <w:bCs/>
          <w:spacing w:val="-2"/>
          <w:sz w:val="24"/>
          <w:szCs w:val="24"/>
        </w:rPr>
        <w:t>的扣除价格，用扣除后的价格参与评审。</w:t>
      </w:r>
    </w:p>
    <w:p>
      <w:pPr>
        <w:ind w:firstLine="472" w:firstLineChars="200"/>
        <w:rPr>
          <w:rFonts w:ascii="仿宋" w:hAnsi="仿宋" w:eastAsia="仿宋" w:cs="仿宋"/>
          <w:bCs/>
          <w:spacing w:val="-2"/>
          <w:sz w:val="24"/>
          <w:szCs w:val="24"/>
        </w:rPr>
      </w:pPr>
      <w:r>
        <w:rPr>
          <w:rFonts w:hint="eastAsia" w:ascii="仿宋" w:hAnsi="仿宋" w:eastAsia="仿宋" w:cs="仿宋"/>
          <w:bCs/>
          <w:spacing w:val="-2"/>
          <w:sz w:val="24"/>
          <w:szCs w:val="24"/>
        </w:rPr>
        <w:t>（b）供应商需按照采购文件的要求提供相应的</w:t>
      </w:r>
      <w:r>
        <w:rPr>
          <w:rFonts w:hint="eastAsia" w:ascii="仿宋" w:hAnsi="仿宋" w:eastAsia="仿宋" w:cs="仿宋"/>
          <w:b/>
          <w:spacing w:val="-2"/>
          <w:sz w:val="24"/>
          <w:szCs w:val="24"/>
        </w:rPr>
        <w:t>《企业类型声明函》</w:t>
      </w:r>
      <w:r>
        <w:rPr>
          <w:rFonts w:hint="eastAsia" w:ascii="仿宋" w:hAnsi="仿宋" w:eastAsia="仿宋" w:cs="仿宋"/>
          <w:bCs/>
          <w:spacing w:val="-2"/>
          <w:sz w:val="24"/>
          <w:szCs w:val="24"/>
        </w:rPr>
        <w:t>。</w:t>
      </w:r>
    </w:p>
    <w:p>
      <w:pPr>
        <w:ind w:firstLine="472" w:firstLineChars="200"/>
        <w:rPr>
          <w:rFonts w:ascii="仿宋" w:hAnsi="仿宋" w:eastAsia="仿宋" w:cs="仿宋"/>
          <w:bCs/>
          <w:spacing w:val="-2"/>
          <w:sz w:val="24"/>
          <w:szCs w:val="24"/>
        </w:rPr>
      </w:pPr>
      <w:r>
        <w:rPr>
          <w:rFonts w:hint="eastAsia" w:ascii="仿宋" w:hAnsi="仿宋" w:eastAsia="仿宋" w:cs="仿宋"/>
          <w:bCs/>
          <w:spacing w:val="-2"/>
          <w:sz w:val="24"/>
          <w:szCs w:val="24"/>
        </w:rPr>
        <w:t>（c）企业标准请参照《关于印发中小企业划型标准规定的通知》（工信部联企业[2011]300号）文件规定自行填写。</w:t>
      </w:r>
    </w:p>
    <w:p>
      <w:pPr>
        <w:ind w:firstLine="474" w:firstLineChars="200"/>
        <w:rPr>
          <w:rFonts w:ascii="仿宋" w:hAnsi="仿宋" w:eastAsia="仿宋" w:cs="仿宋"/>
          <w:b/>
          <w:spacing w:val="-2"/>
          <w:sz w:val="24"/>
          <w:szCs w:val="24"/>
        </w:rPr>
      </w:pPr>
      <w:r>
        <w:rPr>
          <w:rFonts w:hint="eastAsia" w:ascii="仿宋" w:hAnsi="仿宋" w:eastAsia="仿宋" w:cs="仿宋"/>
          <w:b/>
          <w:spacing w:val="-2"/>
          <w:sz w:val="24"/>
          <w:szCs w:val="24"/>
        </w:rPr>
        <w:t>②残疾人福利单位价格扣除</w:t>
      </w:r>
    </w:p>
    <w:p>
      <w:pPr>
        <w:ind w:firstLine="472" w:firstLineChars="200"/>
        <w:rPr>
          <w:rFonts w:ascii="仿宋" w:hAnsi="仿宋" w:eastAsia="仿宋" w:cs="仿宋"/>
          <w:bCs/>
          <w:spacing w:val="-2"/>
          <w:sz w:val="24"/>
          <w:szCs w:val="24"/>
        </w:rPr>
      </w:pPr>
      <w:r>
        <w:rPr>
          <w:rFonts w:hint="eastAsia" w:ascii="仿宋" w:hAnsi="仿宋" w:eastAsia="仿宋" w:cs="仿宋"/>
          <w:bCs/>
          <w:spacing w:val="-2"/>
          <w:sz w:val="24"/>
          <w:szCs w:val="24"/>
        </w:rPr>
        <w:t>（a）本项目对残疾人福利性单位视同小型、微型企业，</w:t>
      </w:r>
      <w:r>
        <w:rPr>
          <w:rFonts w:hint="eastAsia" w:ascii="仿宋" w:hAnsi="仿宋" w:eastAsia="仿宋" w:cs="仿宋"/>
          <w:bCs/>
          <w:spacing w:val="-2"/>
          <w:sz w:val="24"/>
          <w:szCs w:val="24"/>
          <w:lang w:eastAsia="zh-CN"/>
        </w:rPr>
        <w:t>给</w:t>
      </w:r>
      <w:r>
        <w:rPr>
          <w:rFonts w:hint="eastAsia" w:ascii="仿宋" w:hAnsi="仿宋" w:eastAsia="仿宋" w:cs="仿宋"/>
          <w:bCs/>
          <w:spacing w:val="-2"/>
          <w:sz w:val="24"/>
          <w:szCs w:val="24"/>
        </w:rPr>
        <w:t>予</w:t>
      </w:r>
      <w:r>
        <w:rPr>
          <w:rFonts w:hint="eastAsia" w:ascii="仿宋" w:hAnsi="仿宋" w:eastAsia="仿宋" w:cs="仿宋"/>
          <w:bCs/>
          <w:spacing w:val="-2"/>
          <w:sz w:val="24"/>
          <w:szCs w:val="24"/>
          <w:u w:val="single"/>
        </w:rPr>
        <w:t>10%</w:t>
      </w:r>
      <w:r>
        <w:rPr>
          <w:rFonts w:hint="eastAsia" w:ascii="仿宋" w:hAnsi="仿宋" w:eastAsia="仿宋" w:cs="仿宋"/>
          <w:bCs/>
          <w:spacing w:val="-2"/>
          <w:sz w:val="24"/>
          <w:szCs w:val="24"/>
        </w:rPr>
        <w:t>的价格扣除，用扣除后的价格参与评审。</w:t>
      </w:r>
    </w:p>
    <w:p>
      <w:pPr>
        <w:ind w:firstLine="472" w:firstLineChars="200"/>
        <w:rPr>
          <w:rFonts w:ascii="仿宋" w:hAnsi="仿宋" w:eastAsia="仿宋" w:cs="仿宋"/>
          <w:bCs/>
          <w:spacing w:val="-2"/>
          <w:sz w:val="24"/>
          <w:szCs w:val="24"/>
        </w:rPr>
      </w:pPr>
      <w:r>
        <w:rPr>
          <w:rFonts w:hint="eastAsia" w:ascii="仿宋" w:hAnsi="仿宋" w:eastAsia="仿宋" w:cs="仿宋"/>
          <w:bCs/>
          <w:spacing w:val="-2"/>
          <w:sz w:val="24"/>
          <w:szCs w:val="24"/>
        </w:rPr>
        <w:t>（b）残疾人福利单位需按照采购文件的要求提供</w:t>
      </w:r>
      <w:r>
        <w:rPr>
          <w:rFonts w:hint="eastAsia" w:ascii="仿宋" w:hAnsi="仿宋" w:eastAsia="仿宋" w:cs="仿宋"/>
          <w:spacing w:val="-2"/>
          <w:sz w:val="24"/>
          <w:szCs w:val="24"/>
        </w:rPr>
        <w:t>《残疾人福利性单位声明函》</w:t>
      </w:r>
      <w:r>
        <w:rPr>
          <w:rFonts w:hint="eastAsia" w:ascii="仿宋" w:hAnsi="仿宋" w:eastAsia="仿宋" w:cs="仿宋"/>
          <w:bCs/>
          <w:spacing w:val="-2"/>
          <w:sz w:val="24"/>
          <w:szCs w:val="24"/>
        </w:rPr>
        <w:t>。</w:t>
      </w:r>
    </w:p>
    <w:p>
      <w:pPr>
        <w:ind w:firstLine="472" w:firstLineChars="200"/>
        <w:rPr>
          <w:rFonts w:ascii="仿宋" w:hAnsi="仿宋" w:eastAsia="仿宋" w:cs="仿宋"/>
          <w:bCs/>
          <w:spacing w:val="-2"/>
          <w:sz w:val="24"/>
          <w:szCs w:val="24"/>
        </w:rPr>
      </w:pPr>
      <w:r>
        <w:rPr>
          <w:rFonts w:hint="eastAsia" w:ascii="仿宋" w:hAnsi="仿宋" w:eastAsia="仿宋" w:cs="仿宋"/>
          <w:bCs/>
          <w:spacing w:val="-2"/>
          <w:sz w:val="24"/>
          <w:szCs w:val="24"/>
        </w:rPr>
        <w:t>（c）残疾人福利单位标准请参照《关于促进残疾人就业政府采购政策的通知》（财库〔2017〕141号）。</w:t>
      </w:r>
    </w:p>
    <w:p>
      <w:pPr>
        <w:ind w:firstLine="474" w:firstLineChars="200"/>
        <w:rPr>
          <w:rFonts w:ascii="仿宋" w:hAnsi="仿宋" w:eastAsia="仿宋" w:cs="仿宋"/>
          <w:b/>
          <w:spacing w:val="-2"/>
          <w:sz w:val="24"/>
          <w:szCs w:val="24"/>
        </w:rPr>
      </w:pPr>
      <w:r>
        <w:rPr>
          <w:rFonts w:hint="eastAsia" w:ascii="仿宋" w:hAnsi="仿宋" w:eastAsia="仿宋" w:cs="仿宋"/>
          <w:b/>
          <w:spacing w:val="-2"/>
          <w:sz w:val="24"/>
          <w:szCs w:val="24"/>
        </w:rPr>
        <w:t>③监狱和戒毒企业价格扣除</w:t>
      </w:r>
    </w:p>
    <w:p>
      <w:pPr>
        <w:ind w:firstLine="472" w:firstLineChars="200"/>
        <w:rPr>
          <w:rFonts w:ascii="仿宋" w:hAnsi="仿宋" w:eastAsia="仿宋" w:cs="仿宋"/>
          <w:bCs/>
          <w:spacing w:val="-2"/>
          <w:sz w:val="24"/>
          <w:szCs w:val="24"/>
        </w:rPr>
      </w:pPr>
      <w:r>
        <w:rPr>
          <w:rFonts w:hint="eastAsia" w:ascii="仿宋" w:hAnsi="仿宋" w:eastAsia="仿宋" w:cs="仿宋"/>
          <w:bCs/>
          <w:spacing w:val="-2"/>
          <w:sz w:val="24"/>
          <w:szCs w:val="24"/>
        </w:rPr>
        <w:t>（a）本项目对监狱和戒毒企业（简称监狱企业）视同小型、微型企业，</w:t>
      </w:r>
      <w:r>
        <w:rPr>
          <w:rFonts w:hint="eastAsia" w:ascii="仿宋" w:hAnsi="仿宋" w:eastAsia="仿宋" w:cs="仿宋"/>
          <w:bCs/>
          <w:spacing w:val="-2"/>
          <w:sz w:val="24"/>
          <w:szCs w:val="24"/>
          <w:lang w:eastAsia="zh-CN"/>
        </w:rPr>
        <w:t>给</w:t>
      </w:r>
      <w:r>
        <w:rPr>
          <w:rFonts w:hint="eastAsia" w:ascii="仿宋" w:hAnsi="仿宋" w:eastAsia="仿宋" w:cs="仿宋"/>
          <w:bCs/>
          <w:spacing w:val="-2"/>
          <w:sz w:val="24"/>
          <w:szCs w:val="24"/>
        </w:rPr>
        <w:t>予</w:t>
      </w:r>
      <w:r>
        <w:rPr>
          <w:rFonts w:hint="eastAsia" w:ascii="仿宋" w:hAnsi="仿宋" w:eastAsia="仿宋" w:cs="仿宋"/>
          <w:bCs/>
          <w:spacing w:val="-2"/>
          <w:sz w:val="24"/>
          <w:szCs w:val="24"/>
          <w:u w:val="single"/>
        </w:rPr>
        <w:t>10%</w:t>
      </w:r>
      <w:r>
        <w:rPr>
          <w:rFonts w:hint="eastAsia" w:ascii="仿宋" w:hAnsi="仿宋" w:eastAsia="仿宋" w:cs="仿宋"/>
          <w:bCs/>
          <w:spacing w:val="-2"/>
          <w:sz w:val="24"/>
          <w:szCs w:val="24"/>
        </w:rPr>
        <w:t>的价格扣除，用扣除后的价格参与评审。</w:t>
      </w:r>
    </w:p>
    <w:p>
      <w:pPr>
        <w:ind w:firstLine="472" w:firstLineChars="200"/>
        <w:rPr>
          <w:rFonts w:ascii="仿宋" w:hAnsi="仿宋" w:eastAsia="仿宋" w:cs="仿宋"/>
          <w:bCs/>
          <w:spacing w:val="-2"/>
          <w:sz w:val="24"/>
          <w:szCs w:val="24"/>
        </w:rPr>
      </w:pPr>
      <w:r>
        <w:rPr>
          <w:rFonts w:hint="eastAsia" w:ascii="仿宋" w:hAnsi="仿宋" w:eastAsia="仿宋" w:cs="仿宋"/>
          <w:bCs/>
          <w:spacing w:val="-2"/>
          <w:sz w:val="24"/>
          <w:szCs w:val="24"/>
        </w:rPr>
        <w:t>（b）监狱企业参加政府采购活动时，需提供由省级以上监狱管理局、戒毒管理局(含新疆生产建设兵团)出具的属于监狱企业的证明文件。供应商如不提供上述证明文件，价格将不做相应扣除。</w:t>
      </w:r>
    </w:p>
    <w:p>
      <w:pPr>
        <w:ind w:firstLine="472" w:firstLineChars="200"/>
        <w:rPr>
          <w:rFonts w:ascii="仿宋" w:hAnsi="仿宋" w:eastAsia="仿宋" w:cs="仿宋"/>
          <w:bCs/>
          <w:spacing w:val="-2"/>
          <w:sz w:val="24"/>
          <w:szCs w:val="24"/>
        </w:rPr>
      </w:pPr>
      <w:r>
        <w:rPr>
          <w:rFonts w:hint="eastAsia" w:ascii="仿宋" w:hAnsi="仿宋" w:eastAsia="仿宋" w:cs="仿宋"/>
          <w:bCs/>
          <w:spacing w:val="-2"/>
          <w:sz w:val="24"/>
          <w:szCs w:val="24"/>
        </w:rPr>
        <w:t>（c）监狱企业标准请参照《关于政府采购支持监狱企业发展有关问题的通知》（财库[2014]68号）。</w:t>
      </w:r>
    </w:p>
    <w:p>
      <w:pPr>
        <w:pStyle w:val="4"/>
        <w:jc w:val="left"/>
      </w:pPr>
    </w:p>
    <w:p>
      <w:pPr>
        <w:ind w:firstLine="474" w:firstLineChars="200"/>
        <w:rPr>
          <w:rFonts w:ascii="仿宋" w:hAnsi="仿宋" w:eastAsia="仿宋" w:cs="仿宋"/>
          <w:b/>
          <w:spacing w:val="-2"/>
          <w:sz w:val="24"/>
          <w:szCs w:val="24"/>
        </w:rPr>
      </w:pPr>
      <w:r>
        <w:rPr>
          <w:rFonts w:hint="eastAsia" w:ascii="仿宋" w:hAnsi="仿宋" w:eastAsia="仿宋" w:cs="仿宋"/>
          <w:b/>
          <w:spacing w:val="-2"/>
          <w:sz w:val="24"/>
          <w:szCs w:val="24"/>
        </w:rPr>
        <w:t>④残疾人福利单位、监狱企业属于小型、微型企业的，不重复享受政策。</w:t>
      </w:r>
    </w:p>
    <w:p>
      <w:pPr>
        <w:ind w:firstLine="474" w:firstLineChars="200"/>
        <w:rPr>
          <w:rFonts w:ascii="仿宋" w:hAnsi="仿宋" w:eastAsia="仿宋" w:cs="仿宋"/>
          <w:b/>
          <w:spacing w:val="-2"/>
          <w:sz w:val="24"/>
          <w:szCs w:val="24"/>
        </w:rPr>
      </w:pPr>
      <w:r>
        <w:rPr>
          <w:rFonts w:hint="eastAsia" w:ascii="仿宋" w:hAnsi="仿宋" w:eastAsia="仿宋" w:cs="仿宋"/>
          <w:b/>
          <w:spacing w:val="-2"/>
          <w:sz w:val="24"/>
          <w:szCs w:val="24"/>
        </w:rPr>
        <w:t xml:space="preserve">⑤节能产品、环境标志产品政府采购政策执行 </w:t>
      </w:r>
    </w:p>
    <w:p>
      <w:pPr>
        <w:pStyle w:val="7"/>
        <w:numPr>
          <w:ilvl w:val="0"/>
          <w:numId w:val="3"/>
        </w:numPr>
        <w:spacing w:after="0"/>
        <w:ind w:firstLine="472" w:firstLineChars="200"/>
        <w:rPr>
          <w:rFonts w:ascii="仿宋" w:hAnsi="仿宋" w:eastAsia="仿宋" w:cs="仿宋"/>
          <w:bCs/>
          <w:spacing w:val="-2"/>
          <w:sz w:val="24"/>
          <w:szCs w:val="24"/>
        </w:rPr>
      </w:pPr>
      <w:r>
        <w:rPr>
          <w:rFonts w:hint="eastAsia" w:ascii="仿宋" w:hAnsi="仿宋" w:eastAsia="仿宋" w:cs="仿宋"/>
          <w:bCs/>
          <w:spacing w:val="-2"/>
          <w:sz w:val="24"/>
          <w:szCs w:val="24"/>
        </w:rPr>
        <w:t>根据《财政部发展改革委生态环境部市场监管总局关于调整优化节能产品、环境标志产品政府采购执行机制的通知》（财库〔2019〕 9 号）相关要求，依据品目清单和认证证书实施政府优先采购和强制采购。本项目采购的产品属于品目清单范围的，应当依据国家确定的认证机构出具的、处于有效期之内的节能产品、环境标志产品认证证书，对获得证书的产品实施政府优先采购或强制采购。</w:t>
      </w:r>
    </w:p>
    <w:p>
      <w:pPr>
        <w:pStyle w:val="7"/>
        <w:numPr>
          <w:ilvl w:val="0"/>
          <w:numId w:val="3"/>
        </w:numPr>
        <w:spacing w:after="0"/>
        <w:ind w:firstLine="472" w:firstLineChars="200"/>
        <w:rPr>
          <w:rFonts w:ascii="仿宋" w:hAnsi="仿宋" w:eastAsia="仿宋" w:cs="仿宋"/>
          <w:bCs/>
          <w:spacing w:val="-2"/>
          <w:sz w:val="24"/>
          <w:szCs w:val="24"/>
        </w:rPr>
      </w:pPr>
      <w:r>
        <w:rPr>
          <w:rFonts w:hint="eastAsia" w:ascii="仿宋" w:hAnsi="仿宋" w:eastAsia="仿宋" w:cs="仿宋"/>
          <w:bCs/>
          <w:spacing w:val="-2"/>
          <w:sz w:val="24"/>
          <w:szCs w:val="24"/>
        </w:rPr>
        <w:t xml:space="preserve">采购标的属于《节能产品政府采购品目清单》、《环境标志产品政府采购品目清单》中优先采购产品类别产品，须提供由《参与实施政府采购节能产品认证机构名录》、《参与实施政府采购环境标志产品认证机构名录》中确定的认证机构出具的、处于有效期之内的节能产品认证证书或环境标志产品认证证书（复印件加盖供应商公章）。 </w:t>
      </w:r>
    </w:p>
    <w:p>
      <w:pPr>
        <w:ind w:firstLine="474" w:firstLineChars="200"/>
        <w:rPr>
          <w:rFonts w:ascii="宋体" w:hAnsi="宋体"/>
          <w:b/>
          <w:spacing w:val="-2"/>
          <w:sz w:val="24"/>
          <w:szCs w:val="24"/>
        </w:rPr>
      </w:pPr>
      <w:r>
        <w:rPr>
          <w:rFonts w:hint="eastAsia" w:ascii="宋体" w:hAnsi="宋体"/>
          <w:b/>
          <w:spacing w:val="-2"/>
          <w:sz w:val="24"/>
          <w:szCs w:val="24"/>
        </w:rPr>
        <w:t>2</w:t>
      </w:r>
      <w:r>
        <w:rPr>
          <w:rFonts w:hint="eastAsia" w:ascii="宋体" w:hAnsi="宋体"/>
          <w:b/>
          <w:spacing w:val="-2"/>
          <w:sz w:val="24"/>
          <w:szCs w:val="24"/>
          <w:lang w:val="en-US" w:eastAsia="zh-CN"/>
        </w:rPr>
        <w:t>3</w:t>
      </w:r>
      <w:r>
        <w:rPr>
          <w:rFonts w:hint="eastAsia" w:ascii="宋体" w:hAnsi="宋体"/>
          <w:b/>
          <w:spacing w:val="-2"/>
          <w:sz w:val="24"/>
          <w:szCs w:val="24"/>
        </w:rPr>
        <w:t>.3  评标程序</w:t>
      </w:r>
    </w:p>
    <w:p>
      <w:pPr>
        <w:ind w:firstLine="482" w:firstLineChars="200"/>
        <w:rPr>
          <w:rFonts w:ascii="仿宋" w:hAnsi="仿宋" w:eastAsia="仿宋" w:cs="仿宋"/>
          <w:b/>
          <w:sz w:val="24"/>
          <w:szCs w:val="24"/>
        </w:rPr>
      </w:pPr>
      <w:r>
        <w:rPr>
          <w:rFonts w:hint="eastAsia" w:ascii="仿宋" w:hAnsi="仿宋" w:eastAsia="仿宋" w:cs="仿宋"/>
          <w:b/>
          <w:sz w:val="24"/>
          <w:szCs w:val="24"/>
        </w:rPr>
        <w:t>2</w:t>
      </w:r>
      <w:r>
        <w:rPr>
          <w:rFonts w:hint="eastAsia" w:ascii="仿宋" w:hAnsi="仿宋" w:eastAsia="仿宋" w:cs="仿宋"/>
          <w:b/>
          <w:sz w:val="24"/>
          <w:szCs w:val="24"/>
          <w:lang w:val="en-US" w:eastAsia="zh-CN"/>
        </w:rPr>
        <w:t>3</w:t>
      </w:r>
      <w:r>
        <w:rPr>
          <w:rFonts w:hint="eastAsia" w:ascii="仿宋" w:hAnsi="仿宋" w:eastAsia="仿宋" w:cs="仿宋"/>
          <w:b/>
          <w:sz w:val="24"/>
          <w:szCs w:val="24"/>
        </w:rPr>
        <w:t>.3.1投标文件初审</w:t>
      </w:r>
    </w:p>
    <w:p>
      <w:pPr>
        <w:ind w:firstLine="480" w:firstLineChars="200"/>
        <w:rPr>
          <w:rFonts w:ascii="仿宋" w:hAnsi="仿宋" w:eastAsia="仿宋" w:cs="仿宋"/>
          <w:bCs/>
          <w:sz w:val="24"/>
          <w:szCs w:val="24"/>
        </w:rPr>
      </w:pPr>
      <w:r>
        <w:rPr>
          <w:rFonts w:hint="eastAsia" w:ascii="仿宋" w:hAnsi="仿宋" w:eastAsia="仿宋" w:cs="仿宋"/>
          <w:bCs/>
          <w:sz w:val="24"/>
          <w:szCs w:val="24"/>
        </w:rPr>
        <w:t>（1）依据招标文件的规定，从投标文件的有效性、完整性和对招标文件的响应程度进行审查，以确定是否对招标文件的实质性要求作出响应。</w:t>
      </w:r>
    </w:p>
    <w:p>
      <w:pPr>
        <w:ind w:firstLine="480" w:firstLineChars="200"/>
        <w:rPr>
          <w:rFonts w:ascii="仿宋" w:hAnsi="仿宋" w:eastAsia="仿宋" w:cs="仿宋"/>
          <w:bCs/>
          <w:sz w:val="24"/>
          <w:szCs w:val="24"/>
        </w:rPr>
      </w:pPr>
      <w:r>
        <w:rPr>
          <w:rFonts w:hint="eastAsia" w:ascii="仿宋" w:hAnsi="仿宋" w:eastAsia="仿宋" w:cs="仿宋"/>
          <w:bCs/>
          <w:sz w:val="24"/>
          <w:szCs w:val="24"/>
        </w:rPr>
        <w:t>（2）评标委员会判断投标文件的响应性仅基于投标文件本身而不靠外部证据。</w:t>
      </w:r>
    </w:p>
    <w:p>
      <w:pPr>
        <w:ind w:firstLine="480" w:firstLineChars="200"/>
        <w:rPr>
          <w:rFonts w:ascii="仿宋" w:hAnsi="仿宋" w:eastAsia="仿宋" w:cs="仿宋"/>
          <w:bCs/>
          <w:sz w:val="24"/>
          <w:szCs w:val="24"/>
        </w:rPr>
      </w:pPr>
      <w:r>
        <w:rPr>
          <w:rFonts w:hint="eastAsia" w:ascii="仿宋" w:hAnsi="仿宋" w:eastAsia="仿宋" w:cs="仿宋"/>
          <w:bCs/>
          <w:sz w:val="24"/>
          <w:szCs w:val="24"/>
        </w:rPr>
        <w:t>（3）评标委员会将拒绝被确定为非实质性响应的投标。投标人不能通过修正或撤消不符合之处而使其投标成为实质性响应的投标。</w:t>
      </w:r>
    </w:p>
    <w:p>
      <w:pPr>
        <w:ind w:firstLine="480" w:firstLineChars="200"/>
        <w:rPr>
          <w:rFonts w:ascii="仿宋" w:hAnsi="仿宋" w:eastAsia="仿宋" w:cs="仿宋"/>
          <w:bCs/>
          <w:sz w:val="24"/>
          <w:szCs w:val="24"/>
        </w:rPr>
      </w:pPr>
      <w:r>
        <w:rPr>
          <w:rFonts w:hint="eastAsia" w:ascii="仿宋" w:hAnsi="仿宋" w:eastAsia="仿宋" w:cs="仿宋"/>
          <w:bCs/>
          <w:sz w:val="24"/>
          <w:szCs w:val="24"/>
        </w:rPr>
        <w:t>（4）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602" w:firstLineChars="250"/>
        <w:rPr>
          <w:rFonts w:ascii="仿宋" w:hAnsi="仿宋" w:eastAsia="仿宋" w:cs="仿宋"/>
          <w:b/>
          <w:sz w:val="24"/>
          <w:szCs w:val="24"/>
        </w:rPr>
      </w:pPr>
      <w:r>
        <w:rPr>
          <w:rFonts w:hint="eastAsia" w:ascii="仿宋" w:hAnsi="仿宋" w:eastAsia="仿宋" w:cs="仿宋"/>
          <w:b/>
          <w:sz w:val="24"/>
          <w:szCs w:val="24"/>
        </w:rPr>
        <w:t>2</w:t>
      </w:r>
      <w:r>
        <w:rPr>
          <w:rFonts w:hint="eastAsia" w:ascii="仿宋" w:hAnsi="仿宋" w:eastAsia="仿宋" w:cs="仿宋"/>
          <w:b/>
          <w:sz w:val="24"/>
          <w:szCs w:val="24"/>
          <w:lang w:val="en-US" w:eastAsia="zh-CN"/>
        </w:rPr>
        <w:t>3</w:t>
      </w:r>
      <w:r>
        <w:rPr>
          <w:rFonts w:hint="eastAsia" w:ascii="仿宋" w:hAnsi="仿宋" w:eastAsia="仿宋" w:cs="仿宋"/>
          <w:b/>
          <w:sz w:val="24"/>
          <w:szCs w:val="24"/>
        </w:rPr>
        <w:t>.3.2 投标文件的澄清</w:t>
      </w:r>
    </w:p>
    <w:p>
      <w:pPr>
        <w:ind w:firstLine="480" w:firstLineChars="200"/>
        <w:rPr>
          <w:rFonts w:ascii="仿宋" w:hAnsi="仿宋" w:eastAsia="仿宋" w:cs="仿宋"/>
          <w:bCs/>
          <w:sz w:val="24"/>
          <w:szCs w:val="24"/>
        </w:rPr>
      </w:pPr>
      <w:r>
        <w:rPr>
          <w:rFonts w:hint="eastAsia" w:ascii="仿宋" w:hAnsi="仿宋" w:eastAsia="仿宋" w:cs="仿宋"/>
          <w:bCs/>
          <w:sz w:val="24"/>
          <w:szCs w:val="24"/>
        </w:rPr>
        <w:t>（1）为有助于对投标文件进行审查、评估和比较，集采机构组建的评标委员会将对认为需要（不是每一个）的投标人进行询标，请投标人澄清其投标内容。投标人有责任按照集采机构通知的时间、地点指派专人进行答疑和澄清，询标时投标人代表应对重要内容做出书面答复。</w:t>
      </w:r>
    </w:p>
    <w:p>
      <w:pPr>
        <w:ind w:firstLine="480" w:firstLineChars="200"/>
        <w:rPr>
          <w:rFonts w:ascii="仿宋" w:hAnsi="仿宋" w:eastAsia="仿宋" w:cs="仿宋"/>
          <w:bCs/>
          <w:sz w:val="24"/>
          <w:szCs w:val="24"/>
        </w:rPr>
      </w:pPr>
      <w:r>
        <w:rPr>
          <w:rFonts w:hint="eastAsia" w:ascii="仿宋" w:hAnsi="仿宋" w:eastAsia="仿宋" w:cs="仿宋"/>
          <w:bCs/>
          <w:sz w:val="24"/>
          <w:szCs w:val="24"/>
        </w:rPr>
        <w:t>（2）重要澄清的答复应是书面的，但不得对报价、技术指标和参数等内容进行实质性修改。澄清文件须由投标人法人代表或法人授权代表签字和（或）加盖集采机构公章并作为投标文件的组成部分。</w:t>
      </w:r>
    </w:p>
    <w:p>
      <w:pPr>
        <w:ind w:firstLine="482" w:firstLineChars="200"/>
        <w:rPr>
          <w:rFonts w:ascii="仿宋" w:hAnsi="仿宋" w:eastAsia="仿宋" w:cs="仿宋"/>
          <w:b/>
          <w:sz w:val="24"/>
          <w:szCs w:val="24"/>
        </w:rPr>
      </w:pPr>
      <w:r>
        <w:rPr>
          <w:rFonts w:hint="eastAsia" w:ascii="仿宋" w:hAnsi="仿宋" w:eastAsia="仿宋" w:cs="仿宋"/>
          <w:b/>
          <w:sz w:val="24"/>
          <w:szCs w:val="24"/>
        </w:rPr>
        <w:t>2</w:t>
      </w:r>
      <w:r>
        <w:rPr>
          <w:rFonts w:hint="eastAsia" w:ascii="仿宋" w:hAnsi="仿宋" w:eastAsia="仿宋" w:cs="仿宋"/>
          <w:b/>
          <w:sz w:val="24"/>
          <w:szCs w:val="24"/>
          <w:lang w:val="en-US" w:eastAsia="zh-CN"/>
        </w:rPr>
        <w:t>3</w:t>
      </w:r>
      <w:r>
        <w:rPr>
          <w:rFonts w:hint="eastAsia" w:ascii="仿宋" w:hAnsi="仿宋" w:eastAsia="仿宋" w:cs="仿宋"/>
          <w:b/>
          <w:sz w:val="24"/>
          <w:szCs w:val="24"/>
        </w:rPr>
        <w:t>.3.3 对投标文件的评估和比较</w:t>
      </w:r>
    </w:p>
    <w:p>
      <w:pPr>
        <w:ind w:firstLine="480" w:firstLineChars="200"/>
        <w:rPr>
          <w:rFonts w:ascii="仿宋" w:hAnsi="仿宋" w:eastAsia="仿宋" w:cs="仿宋"/>
          <w:bCs/>
          <w:sz w:val="24"/>
          <w:szCs w:val="24"/>
        </w:rPr>
      </w:pPr>
      <w:r>
        <w:rPr>
          <w:rFonts w:hint="eastAsia" w:ascii="仿宋" w:hAnsi="仿宋" w:eastAsia="仿宋" w:cs="仿宋"/>
          <w:bCs/>
          <w:sz w:val="24"/>
          <w:szCs w:val="24"/>
        </w:rPr>
        <w:t>（1）评标委员会将对实质性响应的投标文件进行评估和比较，除考虑投标价格外，应从以下方面予以评估和比较：</w:t>
      </w:r>
    </w:p>
    <w:p>
      <w:pPr>
        <w:ind w:firstLine="480" w:firstLineChars="200"/>
        <w:rPr>
          <w:rFonts w:ascii="仿宋" w:hAnsi="仿宋" w:eastAsia="仿宋" w:cs="仿宋"/>
          <w:bCs/>
          <w:sz w:val="24"/>
          <w:szCs w:val="24"/>
        </w:rPr>
      </w:pPr>
      <w:r>
        <w:rPr>
          <w:rFonts w:hint="eastAsia" w:ascii="仿宋" w:hAnsi="仿宋" w:eastAsia="仿宋" w:cs="仿宋"/>
          <w:bCs/>
          <w:sz w:val="24"/>
          <w:szCs w:val="24"/>
        </w:rPr>
        <w:t>①货物的技术水平、性能；</w:t>
      </w:r>
    </w:p>
    <w:p>
      <w:pPr>
        <w:ind w:firstLine="480" w:firstLineChars="200"/>
        <w:rPr>
          <w:rFonts w:ascii="仿宋" w:hAnsi="仿宋" w:eastAsia="仿宋" w:cs="仿宋"/>
          <w:bCs/>
          <w:sz w:val="24"/>
          <w:szCs w:val="24"/>
        </w:rPr>
      </w:pPr>
      <w:r>
        <w:rPr>
          <w:rFonts w:hint="eastAsia" w:ascii="仿宋" w:hAnsi="仿宋" w:eastAsia="仿宋" w:cs="仿宋"/>
          <w:bCs/>
          <w:sz w:val="24"/>
          <w:szCs w:val="24"/>
        </w:rPr>
        <w:t>②货物的质量和适用性；</w:t>
      </w:r>
    </w:p>
    <w:p>
      <w:pPr>
        <w:ind w:firstLine="480" w:firstLineChars="200"/>
        <w:rPr>
          <w:rFonts w:ascii="仿宋" w:hAnsi="仿宋" w:eastAsia="仿宋" w:cs="仿宋"/>
          <w:bCs/>
          <w:sz w:val="24"/>
          <w:szCs w:val="24"/>
        </w:rPr>
      </w:pPr>
      <w:r>
        <w:rPr>
          <w:rFonts w:hint="eastAsia" w:ascii="仿宋" w:hAnsi="仿宋" w:eastAsia="仿宋" w:cs="仿宋"/>
          <w:bCs/>
          <w:sz w:val="24"/>
          <w:szCs w:val="24"/>
        </w:rPr>
        <w:t>③投标人为其所供货物提供零备件及售后服务的可能性及相关服务费用；</w:t>
      </w:r>
    </w:p>
    <w:p>
      <w:pPr>
        <w:ind w:firstLine="480" w:firstLineChars="200"/>
        <w:rPr>
          <w:rFonts w:ascii="仿宋" w:hAnsi="仿宋" w:eastAsia="仿宋" w:cs="仿宋"/>
          <w:bCs/>
          <w:sz w:val="24"/>
          <w:szCs w:val="24"/>
        </w:rPr>
      </w:pPr>
      <w:r>
        <w:rPr>
          <w:rFonts w:hint="eastAsia" w:ascii="仿宋" w:hAnsi="仿宋" w:eastAsia="仿宋" w:cs="仿宋"/>
          <w:bCs/>
          <w:sz w:val="24"/>
          <w:szCs w:val="24"/>
        </w:rPr>
        <w:t>④有关培训计划；</w:t>
      </w:r>
    </w:p>
    <w:p>
      <w:pPr>
        <w:ind w:firstLine="480" w:firstLineChars="200"/>
        <w:rPr>
          <w:rFonts w:ascii="仿宋" w:hAnsi="仿宋" w:eastAsia="仿宋" w:cs="仿宋"/>
          <w:bCs/>
          <w:sz w:val="24"/>
          <w:szCs w:val="24"/>
        </w:rPr>
      </w:pPr>
      <w:r>
        <w:rPr>
          <w:rFonts w:hint="eastAsia" w:ascii="仿宋" w:hAnsi="仿宋" w:eastAsia="仿宋" w:cs="仿宋"/>
          <w:bCs/>
          <w:sz w:val="24"/>
          <w:szCs w:val="24"/>
        </w:rPr>
        <w:t>⑤企业的类似业绩；</w:t>
      </w:r>
    </w:p>
    <w:p>
      <w:pPr>
        <w:ind w:firstLine="480" w:firstLineChars="200"/>
        <w:rPr>
          <w:rFonts w:ascii="仿宋" w:hAnsi="仿宋" w:eastAsia="仿宋" w:cs="仿宋"/>
          <w:bCs/>
          <w:sz w:val="24"/>
          <w:szCs w:val="24"/>
        </w:rPr>
      </w:pPr>
      <w:r>
        <w:rPr>
          <w:rFonts w:hint="eastAsia" w:ascii="仿宋" w:hAnsi="仿宋" w:eastAsia="仿宋" w:cs="仿宋"/>
          <w:bCs/>
          <w:sz w:val="24"/>
          <w:szCs w:val="24"/>
        </w:rPr>
        <w:t>⑥其他特殊要求因素（如节能、安全和环保等）。</w:t>
      </w:r>
    </w:p>
    <w:p>
      <w:pPr>
        <w:ind w:firstLine="480" w:firstLineChars="200"/>
        <w:rPr>
          <w:rFonts w:ascii="仿宋" w:hAnsi="仿宋" w:eastAsia="仿宋" w:cs="仿宋"/>
          <w:bCs/>
          <w:sz w:val="24"/>
          <w:szCs w:val="24"/>
        </w:rPr>
      </w:pPr>
      <w:r>
        <w:rPr>
          <w:rFonts w:hint="eastAsia" w:ascii="仿宋" w:hAnsi="仿宋" w:eastAsia="仿宋" w:cs="仿宋"/>
          <w:bCs/>
          <w:sz w:val="24"/>
          <w:szCs w:val="24"/>
        </w:rPr>
        <w:t>（2）在评估和比较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firstLineChars="200"/>
        <w:rPr>
          <w:rFonts w:ascii="仿宋" w:hAnsi="仿宋" w:eastAsia="仿宋" w:cs="仿宋"/>
          <w:bCs/>
          <w:sz w:val="24"/>
          <w:szCs w:val="24"/>
        </w:rPr>
      </w:pPr>
      <w:r>
        <w:rPr>
          <w:rFonts w:hint="eastAsia" w:ascii="仿宋" w:hAnsi="仿宋" w:eastAsia="仿宋" w:cs="仿宋"/>
          <w:bCs/>
          <w:sz w:val="24"/>
          <w:szCs w:val="24"/>
        </w:rPr>
        <w:t>（3）在评标过程中，评标委员会发现投标人以他人名义投标、串通投标、以行贿手段谋取中标或者以其他弄虚作假方式投标的，应该及时向集采机构和现场监督部门报告。</w:t>
      </w:r>
    </w:p>
    <w:p>
      <w:pPr>
        <w:ind w:firstLine="480" w:firstLineChars="200"/>
        <w:rPr>
          <w:rFonts w:ascii="仿宋" w:hAnsi="仿宋" w:eastAsia="仿宋" w:cs="仿宋"/>
          <w:bCs/>
          <w:sz w:val="24"/>
          <w:szCs w:val="24"/>
        </w:rPr>
      </w:pPr>
      <w:r>
        <w:rPr>
          <w:rFonts w:hint="eastAsia" w:ascii="仿宋" w:hAnsi="仿宋" w:eastAsia="仿宋" w:cs="仿宋"/>
          <w:bCs/>
          <w:sz w:val="24"/>
          <w:szCs w:val="24"/>
        </w:rPr>
        <w:t>（4）投标人不得误导、干扰集采机构的评标活动。</w:t>
      </w:r>
    </w:p>
    <w:p>
      <w:pPr>
        <w:ind w:firstLine="480" w:firstLineChars="200"/>
        <w:rPr>
          <w:rFonts w:ascii="仿宋" w:hAnsi="仿宋" w:eastAsia="仿宋" w:cs="仿宋"/>
          <w:bCs/>
          <w:sz w:val="24"/>
          <w:szCs w:val="24"/>
        </w:rPr>
      </w:pPr>
      <w:r>
        <w:rPr>
          <w:rFonts w:hint="eastAsia" w:ascii="仿宋" w:hAnsi="仿宋" w:eastAsia="仿宋" w:cs="仿宋"/>
          <w:bCs/>
          <w:sz w:val="24"/>
          <w:szCs w:val="24"/>
        </w:rPr>
        <w:t>（5）评标一般应当在开标后当日内完成。不能在当日完成的，招标人应当提前3天通知所有投标人。</w:t>
      </w:r>
    </w:p>
    <w:p>
      <w:pPr>
        <w:ind w:firstLine="480" w:firstLineChars="200"/>
        <w:rPr>
          <w:rFonts w:ascii="仿宋" w:hAnsi="仿宋" w:eastAsia="仿宋" w:cs="仿宋"/>
          <w:bCs/>
          <w:sz w:val="24"/>
          <w:szCs w:val="24"/>
        </w:rPr>
      </w:pPr>
      <w:r>
        <w:rPr>
          <w:rFonts w:hint="eastAsia" w:ascii="仿宋" w:hAnsi="仿宋" w:eastAsia="仿宋" w:cs="仿宋"/>
          <w:bCs/>
          <w:sz w:val="24"/>
          <w:szCs w:val="24"/>
        </w:rPr>
        <w:t>（6）在评标过程中，因有效投标不足三家使得投标明显缺乏竞争性时，按政府采购相关法规规定处理。</w:t>
      </w:r>
    </w:p>
    <w:p>
      <w:pPr>
        <w:ind w:firstLine="480" w:firstLineChars="200"/>
        <w:rPr>
          <w:rFonts w:ascii="仿宋" w:hAnsi="仿宋" w:eastAsia="仿宋" w:cs="仿宋"/>
          <w:bCs/>
          <w:sz w:val="24"/>
          <w:szCs w:val="24"/>
        </w:rPr>
      </w:pPr>
      <w:r>
        <w:rPr>
          <w:rFonts w:hint="eastAsia" w:ascii="仿宋" w:hAnsi="仿宋" w:eastAsia="仿宋" w:cs="仿宋"/>
          <w:bCs/>
          <w:sz w:val="24"/>
          <w:szCs w:val="24"/>
        </w:rPr>
        <w:t>（7）评标委员会根据全体评标成员签字的原始评标记录和评标结果编写评标报告。</w:t>
      </w:r>
    </w:p>
    <w:p>
      <w:pPr>
        <w:ind w:firstLine="482" w:firstLineChars="200"/>
        <w:rPr>
          <w:rFonts w:ascii="仿宋" w:hAnsi="仿宋" w:eastAsia="仿宋" w:cs="仿宋"/>
          <w:bCs/>
          <w:sz w:val="24"/>
          <w:szCs w:val="24"/>
        </w:rPr>
      </w:pPr>
      <w:r>
        <w:rPr>
          <w:rFonts w:hint="eastAsia" w:ascii="仿宋" w:hAnsi="仿宋" w:eastAsia="仿宋" w:cs="仿宋"/>
          <w:b/>
          <w:sz w:val="24"/>
          <w:szCs w:val="24"/>
        </w:rPr>
        <w:t>2</w:t>
      </w:r>
      <w:r>
        <w:rPr>
          <w:rFonts w:hint="eastAsia" w:ascii="仿宋" w:hAnsi="仿宋" w:eastAsia="仿宋" w:cs="仿宋"/>
          <w:b/>
          <w:sz w:val="24"/>
          <w:szCs w:val="24"/>
          <w:lang w:val="en-US" w:eastAsia="zh-CN"/>
        </w:rPr>
        <w:t>3</w:t>
      </w:r>
      <w:r>
        <w:rPr>
          <w:rFonts w:hint="eastAsia" w:ascii="仿宋" w:hAnsi="仿宋" w:eastAsia="仿宋" w:cs="仿宋"/>
          <w:b/>
          <w:sz w:val="24"/>
          <w:szCs w:val="24"/>
        </w:rPr>
        <w:t xml:space="preserve">.3.4 </w:t>
      </w:r>
      <w:r>
        <w:rPr>
          <w:rFonts w:hint="eastAsia" w:ascii="仿宋" w:hAnsi="仿宋" w:eastAsia="仿宋" w:cs="仿宋"/>
          <w:b/>
          <w:bCs/>
          <w:sz w:val="24"/>
          <w:szCs w:val="24"/>
        </w:rPr>
        <w:t>推荐中标候选投标人。</w:t>
      </w:r>
    </w:p>
    <w:p>
      <w:pPr>
        <w:spacing w:line="340" w:lineRule="exact"/>
        <w:ind w:firstLine="480" w:firstLineChars="200"/>
        <w:rPr>
          <w:rFonts w:ascii="仿宋" w:hAnsi="仿宋" w:eastAsia="仿宋" w:cs="仿宋"/>
          <w:bCs/>
          <w:sz w:val="24"/>
          <w:szCs w:val="24"/>
        </w:rPr>
      </w:pPr>
      <w:r>
        <w:rPr>
          <w:rFonts w:hint="eastAsia" w:ascii="仿宋" w:hAnsi="仿宋" w:eastAsia="仿宋" w:cs="仿宋"/>
          <w:bCs/>
          <w:sz w:val="24"/>
          <w:szCs w:val="24"/>
        </w:rPr>
        <w:t>评标委员会从质量和服务均能满足采购文件实质性响应要求的投标人中，按照综合得分从高到低的顺序，向采购人推荐中标候选人</w:t>
      </w:r>
      <w:r>
        <w:rPr>
          <w:rFonts w:hint="eastAsia" w:ascii="仿宋" w:hAnsi="仿宋" w:eastAsia="仿宋" w:cs="仿宋"/>
          <w:bCs/>
          <w:sz w:val="24"/>
          <w:szCs w:val="24"/>
          <w:lang w:val="en-US" w:eastAsia="zh-CN"/>
        </w:rPr>
        <w:t>3名</w:t>
      </w:r>
      <w:r>
        <w:rPr>
          <w:rFonts w:hint="eastAsia" w:ascii="仿宋" w:hAnsi="仿宋" w:eastAsia="仿宋" w:cs="仿宋"/>
          <w:bCs/>
          <w:sz w:val="24"/>
          <w:szCs w:val="24"/>
        </w:rPr>
        <w:t>，并编写评标报告。</w:t>
      </w:r>
    </w:p>
    <w:p>
      <w:pPr>
        <w:ind w:firstLine="482" w:firstLineChars="200"/>
        <w:rPr>
          <w:rFonts w:ascii="仿宋" w:hAnsi="仿宋" w:eastAsia="仿宋" w:cs="仿宋"/>
          <w:bCs/>
          <w:sz w:val="24"/>
          <w:szCs w:val="24"/>
        </w:rPr>
      </w:pPr>
      <w:r>
        <w:rPr>
          <w:rFonts w:hint="eastAsia" w:ascii="仿宋" w:hAnsi="仿宋" w:eastAsia="仿宋" w:cs="仿宋"/>
          <w:b/>
          <w:sz w:val="24"/>
          <w:szCs w:val="24"/>
        </w:rPr>
        <w:t>2</w:t>
      </w:r>
      <w:r>
        <w:rPr>
          <w:rFonts w:hint="eastAsia" w:ascii="仿宋" w:hAnsi="仿宋" w:eastAsia="仿宋" w:cs="仿宋"/>
          <w:b/>
          <w:sz w:val="24"/>
          <w:szCs w:val="24"/>
          <w:lang w:val="en-US" w:eastAsia="zh-CN"/>
        </w:rPr>
        <w:t>3</w:t>
      </w:r>
      <w:r>
        <w:rPr>
          <w:rFonts w:hint="eastAsia" w:ascii="仿宋" w:hAnsi="仿宋" w:eastAsia="仿宋" w:cs="仿宋"/>
          <w:b/>
          <w:sz w:val="24"/>
          <w:szCs w:val="24"/>
        </w:rPr>
        <w:t xml:space="preserve">.3.5 </w:t>
      </w:r>
      <w:r>
        <w:rPr>
          <w:rFonts w:hint="eastAsia" w:ascii="仿宋" w:hAnsi="仿宋" w:eastAsia="仿宋" w:cs="仿宋"/>
          <w:b/>
          <w:bCs/>
          <w:sz w:val="24"/>
          <w:szCs w:val="24"/>
        </w:rPr>
        <w:t>评标过程的保密</w:t>
      </w:r>
    </w:p>
    <w:p>
      <w:pPr>
        <w:ind w:firstLine="480" w:firstLineChars="200"/>
        <w:rPr>
          <w:rFonts w:ascii="仿宋" w:hAnsi="仿宋" w:eastAsia="仿宋" w:cs="仿宋"/>
          <w:bCs/>
          <w:sz w:val="24"/>
          <w:szCs w:val="24"/>
        </w:rPr>
      </w:pPr>
      <w:r>
        <w:rPr>
          <w:rFonts w:hint="eastAsia" w:ascii="仿宋" w:hAnsi="仿宋" w:eastAsia="仿宋" w:cs="仿宋"/>
          <w:bCs/>
          <w:sz w:val="24"/>
          <w:szCs w:val="24"/>
        </w:rPr>
        <w:t>（1）开标后，凡是属于审查、澄清、评价和比较的有关资料以及授标建议等评标委员会成员或参与评标的有关工作人员均不得向投标人或其他无关的人员透露，违者给予警告、取消担任评标委员会成员的资格，不得再参加任何投标项目的评标。</w:t>
      </w:r>
    </w:p>
    <w:p>
      <w:pPr>
        <w:ind w:firstLine="480" w:firstLineChars="200"/>
        <w:rPr>
          <w:rFonts w:ascii="仿宋" w:hAnsi="仿宋" w:eastAsia="仿宋" w:cs="仿宋"/>
          <w:bCs/>
          <w:sz w:val="24"/>
          <w:szCs w:val="24"/>
        </w:rPr>
      </w:pPr>
      <w:r>
        <w:rPr>
          <w:rFonts w:hint="eastAsia" w:ascii="仿宋" w:hAnsi="仿宋" w:eastAsia="仿宋" w:cs="仿宋"/>
          <w:bCs/>
          <w:sz w:val="24"/>
          <w:szCs w:val="24"/>
        </w:rPr>
        <w:t>（2）投标人在评标过程中，所进行的力图影响评标结果的不符合《政府采购法》及本次招标有关规定的活动，将被取消中标资格。</w:t>
      </w:r>
    </w:p>
    <w:p>
      <w:pPr>
        <w:ind w:firstLine="482" w:firstLineChars="200"/>
        <w:rPr>
          <w:rFonts w:ascii="仿宋" w:hAnsi="仿宋" w:eastAsia="仿宋" w:cs="仿宋"/>
          <w:b/>
          <w:bCs/>
          <w:sz w:val="24"/>
          <w:szCs w:val="24"/>
        </w:rPr>
      </w:pPr>
      <w:r>
        <w:rPr>
          <w:rFonts w:hint="eastAsia" w:ascii="仿宋" w:hAnsi="仿宋" w:eastAsia="仿宋" w:cs="仿宋"/>
          <w:b/>
          <w:bCs/>
          <w:sz w:val="24"/>
          <w:szCs w:val="24"/>
        </w:rPr>
        <w:t>2</w:t>
      </w: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、定标</w:t>
      </w:r>
    </w:p>
    <w:p>
      <w:pPr>
        <w:ind w:firstLine="482" w:firstLineChars="200"/>
        <w:rPr>
          <w:rFonts w:ascii="仿宋" w:hAnsi="仿宋" w:eastAsia="仿宋" w:cs="仿宋"/>
          <w:b/>
          <w:sz w:val="24"/>
          <w:szCs w:val="24"/>
        </w:rPr>
      </w:pPr>
      <w:r>
        <w:rPr>
          <w:rFonts w:hint="eastAsia" w:ascii="仿宋" w:hAnsi="仿宋" w:eastAsia="仿宋" w:cs="仿宋"/>
          <w:b/>
          <w:sz w:val="24"/>
          <w:szCs w:val="24"/>
        </w:rPr>
        <w:t>2</w:t>
      </w:r>
      <w:r>
        <w:rPr>
          <w:rFonts w:hint="eastAsia" w:ascii="仿宋" w:hAnsi="仿宋" w:eastAsia="仿宋" w:cs="仿宋"/>
          <w:b/>
          <w:sz w:val="24"/>
          <w:szCs w:val="24"/>
          <w:lang w:val="en-US" w:eastAsia="zh-CN"/>
        </w:rPr>
        <w:t>4</w:t>
      </w:r>
      <w:r>
        <w:rPr>
          <w:rFonts w:hint="eastAsia" w:ascii="仿宋" w:hAnsi="仿宋" w:eastAsia="仿宋" w:cs="仿宋"/>
          <w:b/>
          <w:sz w:val="24"/>
          <w:szCs w:val="24"/>
        </w:rPr>
        <w:t>.1 采购结果确认和公告</w:t>
      </w:r>
    </w:p>
    <w:p>
      <w:pPr>
        <w:ind w:firstLine="480" w:firstLineChars="200"/>
        <w:rPr>
          <w:rFonts w:hint="eastAsia" w:ascii="仿宋" w:hAnsi="仿宋" w:eastAsia="仿宋" w:cs="仿宋"/>
          <w:bCs/>
          <w:sz w:val="24"/>
          <w:szCs w:val="24"/>
        </w:rPr>
      </w:pPr>
      <w:r>
        <w:rPr>
          <w:rFonts w:hint="eastAsia" w:ascii="仿宋" w:hAnsi="仿宋" w:eastAsia="仿宋" w:cs="仿宋"/>
          <w:bCs/>
          <w:sz w:val="24"/>
          <w:szCs w:val="24"/>
        </w:rPr>
        <w:t>（1）集采机构在评标结束后将评标报告送采购人，采购人根据评标报告确定的中标候选人名单，出具《采购结果确认书》确定中标人。中标候选人并列的，由采购人或者采购人委托评标委员会按照招标文件规定的方式确定中标人。采购人在收到评标报告5个工作日内未按评标报告推荐的中标候选人顺序确定中标人，又不能说明合法理由的，视同按评标报告推荐的顺序确定排名第一的中标候选人为中标人。</w:t>
      </w:r>
    </w:p>
    <w:p>
      <w:pPr>
        <w:ind w:firstLine="480" w:firstLineChars="200"/>
        <w:rPr>
          <w:rFonts w:hint="eastAsia" w:ascii="仿宋" w:hAnsi="仿宋" w:eastAsia="仿宋" w:cs="仿宋"/>
          <w:bCs/>
          <w:sz w:val="24"/>
          <w:szCs w:val="24"/>
        </w:rPr>
      </w:pP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2）</w:t>
      </w:r>
      <w:r>
        <w:rPr>
          <w:rFonts w:hint="eastAsia" w:ascii="仿宋" w:hAnsi="仿宋" w:eastAsia="仿宋" w:cs="仿宋"/>
          <w:bCs/>
          <w:sz w:val="24"/>
          <w:szCs w:val="24"/>
        </w:rPr>
        <w:t>排名第一的中标候选人放弃中标或因不可抗力提出不能履行合同，或者招标文件规定应当提交履约保证金而在规定的期限内未能提交的，招标人可以确定排名第二的中标候选人为中标人。排名第二的中标候选人因前款规定的同样原因不能签订合同的，招标人可以确定排名第三的中标候选人为中标人。</w:t>
      </w:r>
    </w:p>
    <w:p>
      <w:pPr>
        <w:rPr>
          <w:rFonts w:ascii="仿宋" w:hAnsi="仿宋" w:eastAsia="仿宋" w:cs="仿宋"/>
          <w:bCs/>
          <w:sz w:val="24"/>
          <w:szCs w:val="24"/>
        </w:rPr>
      </w:pPr>
      <w:r>
        <w:rPr>
          <w:rFonts w:hint="eastAsia" w:ascii="仿宋" w:hAnsi="仿宋" w:eastAsia="仿宋" w:cs="仿宋"/>
          <w:bCs/>
          <w:sz w:val="24"/>
          <w:szCs w:val="24"/>
        </w:rPr>
        <w:t>　　（</w:t>
      </w:r>
      <w:r>
        <w:rPr>
          <w:rFonts w:hint="eastAsia" w:ascii="仿宋" w:hAnsi="仿宋" w:eastAsia="仿宋" w:cs="仿宋"/>
          <w:bCs/>
          <w:sz w:val="24"/>
          <w:szCs w:val="24"/>
          <w:lang w:val="en-US" w:eastAsia="zh-CN"/>
        </w:rPr>
        <w:t>3</w:t>
      </w:r>
      <w:r>
        <w:rPr>
          <w:rFonts w:hint="eastAsia" w:ascii="仿宋" w:hAnsi="仿宋" w:eastAsia="仿宋" w:cs="仿宋"/>
          <w:bCs/>
          <w:sz w:val="24"/>
          <w:szCs w:val="24"/>
        </w:rPr>
        <w:t>）集采机构在收到采购人出具《采购结果确认书》之日起2个工作日内，在《新疆政府采购网》公告中标结果。</w:t>
      </w:r>
    </w:p>
    <w:p>
      <w:pPr>
        <w:ind w:firstLine="482" w:firstLineChars="200"/>
        <w:rPr>
          <w:rFonts w:ascii="仿宋" w:hAnsi="仿宋" w:eastAsia="仿宋" w:cs="仿宋"/>
          <w:b/>
          <w:sz w:val="24"/>
          <w:szCs w:val="24"/>
        </w:rPr>
      </w:pPr>
      <w:r>
        <w:rPr>
          <w:rFonts w:hint="eastAsia" w:ascii="仿宋" w:hAnsi="仿宋" w:eastAsia="仿宋" w:cs="仿宋"/>
          <w:b/>
          <w:sz w:val="24"/>
          <w:szCs w:val="24"/>
        </w:rPr>
        <w:t>2</w:t>
      </w:r>
      <w:r>
        <w:rPr>
          <w:rFonts w:hint="eastAsia" w:ascii="仿宋" w:hAnsi="仿宋" w:eastAsia="仿宋" w:cs="仿宋"/>
          <w:b/>
          <w:sz w:val="24"/>
          <w:szCs w:val="24"/>
          <w:lang w:val="en-US" w:eastAsia="zh-CN"/>
        </w:rPr>
        <w:t>4</w:t>
      </w:r>
      <w:r>
        <w:rPr>
          <w:rFonts w:hint="eastAsia" w:ascii="仿宋" w:hAnsi="仿宋" w:eastAsia="仿宋" w:cs="仿宋"/>
          <w:b/>
          <w:sz w:val="24"/>
          <w:szCs w:val="24"/>
        </w:rPr>
        <w:t>.2 中标通知书</w:t>
      </w:r>
    </w:p>
    <w:p>
      <w:pPr>
        <w:ind w:firstLine="480" w:firstLineChars="200"/>
        <w:rPr>
          <w:rFonts w:ascii="仿宋" w:hAnsi="仿宋" w:eastAsia="仿宋" w:cs="仿宋"/>
          <w:bCs/>
          <w:sz w:val="24"/>
          <w:szCs w:val="24"/>
        </w:rPr>
      </w:pPr>
      <w:r>
        <w:rPr>
          <w:rFonts w:hint="eastAsia" w:ascii="仿宋" w:hAnsi="仿宋" w:eastAsia="仿宋" w:cs="仿宋"/>
          <w:bCs/>
          <w:sz w:val="24"/>
          <w:szCs w:val="24"/>
        </w:rPr>
        <w:t>（1）集采机构在公告采购结果的同时以书面形式发出《中标通知书》，《中标通知书》发出后因质疑或投诉引起的中标结果变更，发出的《中标通知书》将自动作废。</w:t>
      </w:r>
    </w:p>
    <w:p>
      <w:pPr>
        <w:ind w:firstLine="480" w:firstLineChars="200"/>
        <w:rPr>
          <w:rFonts w:ascii="仿宋" w:hAnsi="仿宋" w:eastAsia="仿宋" w:cs="仿宋"/>
          <w:bCs/>
          <w:sz w:val="24"/>
          <w:szCs w:val="24"/>
        </w:rPr>
      </w:pPr>
      <w:r>
        <w:rPr>
          <w:rFonts w:hint="eastAsia" w:ascii="仿宋" w:hAnsi="仿宋" w:eastAsia="仿宋" w:cs="仿宋"/>
          <w:bCs/>
          <w:sz w:val="24"/>
          <w:szCs w:val="24"/>
        </w:rPr>
        <w:t>（2）《中标通知书》将作为签订合同的依据，一经发出即发生法律效力。</w:t>
      </w:r>
    </w:p>
    <w:p>
      <w:pPr>
        <w:ind w:firstLine="480" w:firstLineChars="200"/>
        <w:rPr>
          <w:rFonts w:ascii="仿宋" w:hAnsi="仿宋" w:eastAsia="仿宋" w:cs="仿宋"/>
          <w:bCs/>
          <w:sz w:val="24"/>
          <w:szCs w:val="24"/>
        </w:rPr>
      </w:pPr>
      <w:r>
        <w:rPr>
          <w:rFonts w:hint="eastAsia" w:ascii="仿宋" w:hAnsi="仿宋" w:eastAsia="仿宋" w:cs="仿宋"/>
          <w:bCs/>
          <w:sz w:val="24"/>
          <w:szCs w:val="24"/>
        </w:rPr>
        <w:t>（3）本项目的中标供应商可以登陆“政采云平台</w:t>
      </w:r>
      <w:r>
        <w:rPr>
          <w:rFonts w:ascii="仿宋" w:hAnsi="仿宋" w:eastAsia="仿宋" w:cs="仿宋"/>
          <w:bCs/>
          <w:sz w:val="24"/>
          <w:szCs w:val="24"/>
        </w:rPr>
        <w:t>”</w:t>
      </w:r>
      <w:r>
        <w:rPr>
          <w:rFonts w:hint="eastAsia" w:ascii="仿宋" w:hAnsi="仿宋" w:eastAsia="仿宋" w:cs="仿宋"/>
          <w:bCs/>
          <w:sz w:val="24"/>
          <w:szCs w:val="24"/>
        </w:rPr>
        <w:t>, 进入“项目采购-中标通知书”，自行打印中标通知书。通过交易系统下载打印的中标通知书与现场开具的中标通知书具有同等法律效力</w:t>
      </w:r>
    </w:p>
    <w:p>
      <w:pPr>
        <w:jc w:val="center"/>
        <w:outlineLvl w:val="1"/>
        <w:rPr>
          <w:rFonts w:ascii="仿宋" w:hAnsi="仿宋" w:eastAsia="仿宋" w:cs="仿宋"/>
          <w:b/>
          <w:bCs/>
          <w:sz w:val="30"/>
          <w:szCs w:val="30"/>
        </w:rPr>
      </w:pPr>
      <w:bookmarkStart w:id="240" w:name="_Toc10274"/>
      <w:bookmarkStart w:id="241" w:name="_Toc21777"/>
      <w:bookmarkStart w:id="242" w:name="_Toc25010"/>
      <w:bookmarkStart w:id="243" w:name="_Toc17820"/>
      <w:bookmarkStart w:id="244" w:name="_Toc16214"/>
      <w:bookmarkStart w:id="245" w:name="_Toc14117"/>
      <w:bookmarkStart w:id="246" w:name="_Toc5002"/>
      <w:bookmarkStart w:id="247" w:name="_Toc26613"/>
      <w:bookmarkStart w:id="248" w:name="_Toc28069"/>
      <w:bookmarkStart w:id="249" w:name="_Toc27758"/>
      <w:bookmarkStart w:id="250" w:name="_Toc16601"/>
      <w:bookmarkStart w:id="251" w:name="_Toc32107"/>
      <w:bookmarkStart w:id="252" w:name="_Toc17675"/>
      <w:bookmarkStart w:id="253" w:name="_Toc11030_WPSOffice_Level2"/>
      <w:bookmarkStart w:id="254" w:name="_Toc4916"/>
      <w:bookmarkStart w:id="255" w:name="_Toc8330"/>
      <w:bookmarkStart w:id="256" w:name="_Toc25873"/>
      <w:r>
        <w:rPr>
          <w:rFonts w:hint="eastAsia" w:ascii="仿宋" w:hAnsi="仿宋" w:eastAsia="仿宋" w:cs="仿宋"/>
          <w:b/>
          <w:bCs/>
          <w:sz w:val="30"/>
          <w:szCs w:val="30"/>
        </w:rPr>
        <w:t>第三章 无效投标及废标</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ind w:firstLine="482" w:firstLineChars="200"/>
        <w:rPr>
          <w:rFonts w:ascii="仿宋" w:hAnsi="仿宋" w:eastAsia="仿宋" w:cs="仿宋"/>
          <w:b/>
          <w:bCs/>
          <w:sz w:val="24"/>
          <w:szCs w:val="24"/>
        </w:rPr>
      </w:pPr>
      <w:r>
        <w:rPr>
          <w:rFonts w:hint="eastAsia" w:ascii="仿宋" w:hAnsi="仿宋" w:eastAsia="仿宋" w:cs="仿宋"/>
          <w:b/>
          <w:bCs/>
          <w:sz w:val="24"/>
          <w:szCs w:val="24"/>
        </w:rPr>
        <w:t>2</w:t>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、无效标</w:t>
      </w:r>
    </w:p>
    <w:p>
      <w:pPr>
        <w:ind w:firstLine="482" w:firstLineChars="200"/>
        <w:rPr>
          <w:rFonts w:ascii="仿宋" w:hAnsi="仿宋" w:eastAsia="仿宋" w:cs="仿宋"/>
          <w:b/>
          <w:sz w:val="24"/>
          <w:szCs w:val="24"/>
        </w:rPr>
      </w:pPr>
      <w:r>
        <w:rPr>
          <w:rFonts w:hint="eastAsia" w:ascii="仿宋" w:hAnsi="仿宋" w:eastAsia="仿宋" w:cs="仿宋"/>
          <w:b/>
          <w:sz w:val="24"/>
          <w:szCs w:val="24"/>
        </w:rPr>
        <w:t>2</w:t>
      </w:r>
      <w:r>
        <w:rPr>
          <w:rFonts w:hint="eastAsia" w:ascii="仿宋" w:hAnsi="仿宋" w:eastAsia="仿宋" w:cs="仿宋"/>
          <w:b/>
          <w:sz w:val="24"/>
          <w:szCs w:val="24"/>
          <w:lang w:val="en-US" w:eastAsia="zh-CN"/>
        </w:rPr>
        <w:t>5</w:t>
      </w:r>
      <w:r>
        <w:rPr>
          <w:rFonts w:ascii="仿宋" w:hAnsi="仿宋" w:eastAsia="仿宋" w:cs="仿宋"/>
          <w:b/>
          <w:sz w:val="24"/>
          <w:szCs w:val="24"/>
        </w:rPr>
        <w:t>.</w:t>
      </w:r>
      <w:r>
        <w:rPr>
          <w:rFonts w:hint="eastAsia" w:ascii="仿宋" w:hAnsi="仿宋" w:eastAsia="仿宋" w:cs="仿宋"/>
          <w:b/>
          <w:sz w:val="24"/>
          <w:szCs w:val="24"/>
        </w:rPr>
        <w:t>1　无效投标的概念</w:t>
      </w:r>
    </w:p>
    <w:p>
      <w:pPr>
        <w:ind w:firstLine="480" w:firstLineChars="200"/>
        <w:rPr>
          <w:rFonts w:ascii="仿宋" w:hAnsi="仿宋" w:eastAsia="仿宋" w:cs="仿宋"/>
          <w:bCs/>
          <w:sz w:val="24"/>
          <w:szCs w:val="24"/>
        </w:rPr>
      </w:pPr>
      <w:r>
        <w:rPr>
          <w:rFonts w:hint="eastAsia" w:ascii="仿宋" w:hAnsi="仿宋" w:eastAsia="仿宋" w:cs="仿宋"/>
          <w:bCs/>
          <w:sz w:val="24"/>
          <w:szCs w:val="24"/>
        </w:rPr>
        <w:t>无效投标一般是指由于投标人所递交的单个投标文件，经审查不符合招标文件资格性、符合性的要求，从而导致评标委员会拒绝接受该投标文件。无效投标对其他投标人投标行为的有效性不直接产生影响，该招标项目可以继续进行。</w:t>
      </w:r>
    </w:p>
    <w:p>
      <w:pPr>
        <w:ind w:firstLine="482" w:firstLineChars="200"/>
        <w:rPr>
          <w:rFonts w:ascii="仿宋" w:hAnsi="仿宋" w:eastAsia="仿宋" w:cs="仿宋"/>
          <w:b/>
          <w:sz w:val="24"/>
          <w:szCs w:val="24"/>
        </w:rPr>
      </w:pPr>
      <w:r>
        <w:rPr>
          <w:rFonts w:hint="eastAsia" w:ascii="仿宋" w:hAnsi="仿宋" w:eastAsia="仿宋" w:cs="仿宋"/>
          <w:b/>
          <w:sz w:val="24"/>
          <w:szCs w:val="24"/>
        </w:rPr>
        <w:t>2</w:t>
      </w:r>
      <w:r>
        <w:rPr>
          <w:rFonts w:hint="eastAsia" w:ascii="仿宋" w:hAnsi="仿宋" w:eastAsia="仿宋" w:cs="仿宋"/>
          <w:b/>
          <w:sz w:val="24"/>
          <w:szCs w:val="24"/>
          <w:lang w:val="en-US" w:eastAsia="zh-CN"/>
        </w:rPr>
        <w:t>5</w:t>
      </w:r>
      <w:r>
        <w:rPr>
          <w:rFonts w:hint="eastAsia" w:ascii="仿宋" w:hAnsi="仿宋" w:eastAsia="仿宋" w:cs="仿宋"/>
          <w:b/>
          <w:sz w:val="24"/>
          <w:szCs w:val="24"/>
        </w:rPr>
        <w:t>.2  有</w:t>
      </w:r>
      <w:r>
        <w:rPr>
          <w:rFonts w:ascii="仿宋" w:hAnsi="仿宋" w:eastAsia="仿宋" w:cs="仿宋"/>
          <w:b/>
          <w:sz w:val="24"/>
          <w:szCs w:val="24"/>
        </w:rPr>
        <w:t>下列情况之一</w:t>
      </w:r>
      <w:r>
        <w:rPr>
          <w:rFonts w:hint="eastAsia" w:ascii="仿宋" w:hAnsi="仿宋" w:eastAsia="仿宋" w:cs="仿宋"/>
          <w:b/>
          <w:sz w:val="24"/>
          <w:szCs w:val="24"/>
        </w:rPr>
        <w:t>的投标应</w:t>
      </w:r>
      <w:r>
        <w:rPr>
          <w:rFonts w:ascii="仿宋" w:hAnsi="仿宋" w:eastAsia="仿宋" w:cs="仿宋"/>
          <w:b/>
          <w:sz w:val="24"/>
          <w:szCs w:val="24"/>
        </w:rPr>
        <w:t>作无效</w:t>
      </w:r>
      <w:r>
        <w:rPr>
          <w:rFonts w:hint="eastAsia" w:ascii="仿宋" w:hAnsi="仿宋" w:eastAsia="仿宋" w:cs="仿宋"/>
          <w:b/>
          <w:sz w:val="24"/>
          <w:szCs w:val="24"/>
        </w:rPr>
        <w:t>标</w:t>
      </w:r>
      <w:r>
        <w:rPr>
          <w:rFonts w:ascii="仿宋" w:hAnsi="仿宋" w:eastAsia="仿宋" w:cs="仿宋"/>
          <w:b/>
          <w:sz w:val="24"/>
          <w:szCs w:val="24"/>
        </w:rPr>
        <w:t>处理：</w:t>
      </w:r>
    </w:p>
    <w:p>
      <w:pPr>
        <w:ind w:firstLine="480" w:firstLineChars="200"/>
        <w:rPr>
          <w:rFonts w:ascii="仿宋" w:hAnsi="仿宋" w:eastAsia="仿宋" w:cs="仿宋"/>
          <w:bCs/>
          <w:sz w:val="24"/>
          <w:szCs w:val="24"/>
        </w:rPr>
      </w:pPr>
      <w:r>
        <w:rPr>
          <w:rFonts w:hint="eastAsia" w:ascii="仿宋" w:hAnsi="仿宋" w:eastAsia="仿宋" w:cs="仿宋"/>
          <w:bCs/>
          <w:sz w:val="24"/>
          <w:szCs w:val="24"/>
        </w:rPr>
        <w:t>（1）投标截止时间过后递交的投标文件；</w:t>
      </w:r>
    </w:p>
    <w:p>
      <w:pPr>
        <w:ind w:firstLine="480" w:firstLineChars="200"/>
        <w:rPr>
          <w:rFonts w:ascii="仿宋" w:hAnsi="仿宋" w:eastAsia="仿宋" w:cs="仿宋"/>
          <w:bCs/>
          <w:sz w:val="24"/>
          <w:szCs w:val="24"/>
        </w:rPr>
      </w:pPr>
      <w:r>
        <w:rPr>
          <w:rFonts w:hint="eastAsia" w:ascii="仿宋" w:hAnsi="仿宋" w:eastAsia="仿宋" w:cs="仿宋"/>
          <w:bCs/>
          <w:sz w:val="24"/>
          <w:szCs w:val="24"/>
        </w:rPr>
        <w:t>（2）不具备招标文件中规定资格要求的；</w:t>
      </w:r>
    </w:p>
    <w:p>
      <w:pPr>
        <w:ind w:firstLine="480" w:firstLineChars="200"/>
        <w:rPr>
          <w:rFonts w:ascii="仿宋" w:hAnsi="仿宋" w:eastAsia="仿宋" w:cs="仿宋"/>
          <w:bCs/>
          <w:sz w:val="24"/>
          <w:szCs w:val="24"/>
        </w:rPr>
      </w:pPr>
      <w:r>
        <w:rPr>
          <w:rFonts w:hint="eastAsia" w:ascii="仿宋" w:hAnsi="仿宋" w:eastAsia="仿宋" w:cs="仿宋"/>
          <w:bCs/>
          <w:sz w:val="24"/>
          <w:szCs w:val="24"/>
        </w:rPr>
        <w:t>（3）未提供《开标一览表》的；</w:t>
      </w:r>
    </w:p>
    <w:p>
      <w:pPr>
        <w:ind w:firstLine="480" w:firstLineChars="200"/>
        <w:rPr>
          <w:rFonts w:ascii="仿宋" w:hAnsi="仿宋" w:eastAsia="仿宋" w:cs="仿宋"/>
          <w:bCs/>
          <w:sz w:val="24"/>
          <w:szCs w:val="24"/>
        </w:rPr>
      </w:pPr>
      <w:r>
        <w:rPr>
          <w:rFonts w:hint="eastAsia" w:ascii="仿宋" w:hAnsi="仿宋" w:eastAsia="仿宋" w:cs="仿宋"/>
          <w:bCs/>
          <w:sz w:val="24"/>
          <w:szCs w:val="24"/>
        </w:rPr>
        <w:t>（4）投标文件未按照采购文件规定要求密封、签署、盖章的；</w:t>
      </w:r>
    </w:p>
    <w:p>
      <w:pPr>
        <w:ind w:firstLine="480" w:firstLineChars="200"/>
        <w:rPr>
          <w:rFonts w:ascii="仿宋" w:hAnsi="仿宋" w:eastAsia="仿宋" w:cs="仿宋"/>
          <w:bCs/>
          <w:sz w:val="24"/>
          <w:szCs w:val="24"/>
        </w:rPr>
      </w:pPr>
      <w:r>
        <w:rPr>
          <w:rFonts w:hint="eastAsia" w:ascii="仿宋" w:hAnsi="仿宋" w:eastAsia="仿宋" w:cs="仿宋"/>
          <w:bCs/>
          <w:sz w:val="24"/>
          <w:szCs w:val="24"/>
        </w:rPr>
        <w:t>（5）投标报价超过招标文件中规定的预算金额或最高限价的</w:t>
      </w:r>
    </w:p>
    <w:p>
      <w:pPr>
        <w:ind w:firstLine="480" w:firstLineChars="200"/>
        <w:rPr>
          <w:rFonts w:ascii="仿宋" w:hAnsi="仿宋" w:eastAsia="仿宋" w:cs="仿宋"/>
          <w:bCs/>
          <w:sz w:val="24"/>
          <w:szCs w:val="24"/>
        </w:rPr>
      </w:pPr>
      <w:r>
        <w:rPr>
          <w:rFonts w:hint="eastAsia" w:ascii="仿宋" w:hAnsi="仿宋" w:eastAsia="仿宋" w:cs="仿宋"/>
          <w:bCs/>
          <w:sz w:val="24"/>
          <w:szCs w:val="24"/>
        </w:rPr>
        <w:t>（6）投标</w:t>
      </w:r>
      <w:r>
        <w:rPr>
          <w:rFonts w:ascii="仿宋" w:hAnsi="仿宋" w:eastAsia="仿宋" w:cs="仿宋"/>
          <w:bCs/>
          <w:sz w:val="24"/>
          <w:szCs w:val="24"/>
        </w:rPr>
        <w:t>文件载明的采购项目完成期限超过</w:t>
      </w:r>
      <w:r>
        <w:rPr>
          <w:rFonts w:hint="eastAsia" w:ascii="仿宋" w:hAnsi="仿宋" w:eastAsia="仿宋" w:cs="仿宋"/>
          <w:bCs/>
          <w:sz w:val="24"/>
          <w:szCs w:val="24"/>
        </w:rPr>
        <w:t>招标</w:t>
      </w:r>
      <w:r>
        <w:rPr>
          <w:rFonts w:ascii="仿宋" w:hAnsi="仿宋" w:eastAsia="仿宋" w:cs="仿宋"/>
          <w:bCs/>
          <w:sz w:val="24"/>
          <w:szCs w:val="24"/>
        </w:rPr>
        <w:t>文件规定期限的；</w:t>
      </w:r>
    </w:p>
    <w:p>
      <w:pPr>
        <w:tabs>
          <w:tab w:val="left" w:pos="1260"/>
        </w:tabs>
        <w:ind w:firstLine="480" w:firstLineChars="200"/>
        <w:rPr>
          <w:rFonts w:ascii="仿宋" w:hAnsi="仿宋" w:eastAsia="仿宋" w:cs="仿宋"/>
          <w:bCs/>
          <w:sz w:val="24"/>
          <w:szCs w:val="24"/>
        </w:rPr>
      </w:pPr>
      <w:r>
        <w:rPr>
          <w:rFonts w:hint="eastAsia" w:ascii="仿宋" w:hAnsi="仿宋" w:eastAsia="仿宋" w:cs="仿宋"/>
          <w:bCs/>
          <w:sz w:val="24"/>
          <w:szCs w:val="24"/>
        </w:rPr>
        <w:t>（7）评标过程中拒绝澄清相关事宜和问题的；</w:t>
      </w:r>
    </w:p>
    <w:p>
      <w:pPr>
        <w:tabs>
          <w:tab w:val="left" w:pos="1260"/>
        </w:tabs>
        <w:ind w:firstLine="480" w:firstLineChars="200"/>
        <w:rPr>
          <w:rFonts w:ascii="仿宋" w:hAnsi="仿宋" w:eastAsia="仿宋" w:cs="仿宋"/>
          <w:bCs/>
          <w:sz w:val="24"/>
          <w:szCs w:val="24"/>
        </w:rPr>
      </w:pPr>
      <w:r>
        <w:rPr>
          <w:rFonts w:hint="eastAsia" w:ascii="仿宋" w:hAnsi="仿宋" w:eastAsia="仿宋" w:cs="仿宋"/>
          <w:bCs/>
          <w:sz w:val="24"/>
          <w:szCs w:val="24"/>
        </w:rPr>
        <w:t>（8）投标文件不真实，有欺骗行为的；</w:t>
      </w:r>
    </w:p>
    <w:p>
      <w:pPr>
        <w:tabs>
          <w:tab w:val="left" w:pos="1260"/>
        </w:tabs>
        <w:ind w:firstLine="480" w:firstLineChars="200"/>
        <w:rPr>
          <w:rFonts w:ascii="仿宋" w:hAnsi="仿宋" w:eastAsia="仿宋" w:cs="仿宋"/>
          <w:bCs/>
          <w:sz w:val="24"/>
          <w:szCs w:val="24"/>
        </w:rPr>
      </w:pPr>
      <w:r>
        <w:rPr>
          <w:rFonts w:hint="eastAsia" w:ascii="仿宋" w:hAnsi="仿宋" w:eastAsia="仿宋" w:cs="仿宋"/>
          <w:bCs/>
          <w:sz w:val="24"/>
          <w:szCs w:val="24"/>
        </w:rPr>
        <w:t>（9）投标</w:t>
      </w:r>
      <w:r>
        <w:rPr>
          <w:rFonts w:ascii="仿宋" w:hAnsi="仿宋" w:eastAsia="仿宋" w:cs="仿宋"/>
          <w:bCs/>
          <w:sz w:val="24"/>
          <w:szCs w:val="24"/>
        </w:rPr>
        <w:t>文件</w:t>
      </w:r>
      <w:r>
        <w:rPr>
          <w:rFonts w:hint="eastAsia" w:ascii="仿宋" w:hAnsi="仿宋" w:eastAsia="仿宋" w:cs="仿宋"/>
          <w:bCs/>
          <w:sz w:val="24"/>
          <w:szCs w:val="24"/>
        </w:rPr>
        <w:t>含有</w:t>
      </w:r>
      <w:r>
        <w:rPr>
          <w:rFonts w:ascii="仿宋" w:hAnsi="仿宋" w:eastAsia="仿宋" w:cs="仿宋"/>
          <w:bCs/>
          <w:sz w:val="24"/>
          <w:szCs w:val="24"/>
        </w:rPr>
        <w:t>采购人和</w:t>
      </w:r>
      <w:r>
        <w:rPr>
          <w:rFonts w:hint="eastAsia" w:ascii="仿宋" w:hAnsi="仿宋" w:eastAsia="仿宋" w:cs="仿宋"/>
          <w:bCs/>
          <w:sz w:val="24"/>
          <w:szCs w:val="24"/>
        </w:rPr>
        <w:t>集采机构</w:t>
      </w:r>
      <w:r>
        <w:rPr>
          <w:rFonts w:ascii="仿宋" w:hAnsi="仿宋" w:eastAsia="仿宋" w:cs="仿宋"/>
          <w:bCs/>
          <w:sz w:val="24"/>
          <w:szCs w:val="24"/>
        </w:rPr>
        <w:t>不能接受的</w:t>
      </w:r>
      <w:r>
        <w:rPr>
          <w:rFonts w:hint="eastAsia" w:ascii="仿宋" w:hAnsi="仿宋" w:eastAsia="仿宋" w:cs="仿宋"/>
          <w:bCs/>
          <w:sz w:val="24"/>
          <w:szCs w:val="24"/>
        </w:rPr>
        <w:t>附加</w:t>
      </w:r>
      <w:r>
        <w:rPr>
          <w:rFonts w:ascii="仿宋" w:hAnsi="仿宋" w:eastAsia="仿宋" w:cs="仿宋"/>
          <w:bCs/>
          <w:sz w:val="24"/>
          <w:szCs w:val="24"/>
        </w:rPr>
        <w:t>条件的；</w:t>
      </w:r>
    </w:p>
    <w:p>
      <w:pPr>
        <w:tabs>
          <w:tab w:val="left" w:pos="1260"/>
        </w:tabs>
        <w:ind w:firstLine="480" w:firstLineChars="200"/>
        <w:rPr>
          <w:rFonts w:ascii="仿宋" w:hAnsi="仿宋" w:eastAsia="仿宋" w:cs="仿宋"/>
          <w:bCs/>
          <w:sz w:val="24"/>
          <w:szCs w:val="24"/>
        </w:rPr>
      </w:pPr>
      <w:r>
        <w:rPr>
          <w:rFonts w:hint="eastAsia" w:ascii="仿宋" w:hAnsi="仿宋" w:eastAsia="仿宋" w:cs="仿宋"/>
          <w:bCs/>
          <w:sz w:val="24"/>
          <w:szCs w:val="24"/>
        </w:rPr>
        <w:t>（10）</w:t>
      </w:r>
      <w:r>
        <w:rPr>
          <w:rFonts w:ascii="仿宋" w:hAnsi="仿宋" w:eastAsia="仿宋" w:cs="仿宋"/>
          <w:bCs/>
          <w:sz w:val="24"/>
          <w:szCs w:val="24"/>
        </w:rPr>
        <w:t>不符合</w:t>
      </w:r>
      <w:r>
        <w:rPr>
          <w:rFonts w:hint="eastAsia" w:ascii="仿宋" w:hAnsi="仿宋" w:eastAsia="仿宋" w:cs="仿宋"/>
          <w:bCs/>
          <w:sz w:val="24"/>
          <w:szCs w:val="24"/>
        </w:rPr>
        <w:t>投标</w:t>
      </w:r>
      <w:r>
        <w:rPr>
          <w:rFonts w:ascii="仿宋" w:hAnsi="仿宋" w:eastAsia="仿宋" w:cs="仿宋"/>
          <w:bCs/>
          <w:sz w:val="24"/>
          <w:szCs w:val="24"/>
        </w:rPr>
        <w:t>文件规定的其他实质性要求的</w:t>
      </w:r>
      <w:r>
        <w:rPr>
          <w:rFonts w:hint="eastAsia" w:ascii="仿宋" w:hAnsi="仿宋" w:eastAsia="仿宋" w:cs="仿宋"/>
          <w:bCs/>
          <w:sz w:val="24"/>
          <w:szCs w:val="24"/>
        </w:rPr>
        <w:t>；</w:t>
      </w:r>
    </w:p>
    <w:p>
      <w:pPr>
        <w:tabs>
          <w:tab w:val="left" w:pos="1260"/>
        </w:tabs>
        <w:ind w:firstLine="482" w:firstLineChars="200"/>
        <w:rPr>
          <w:rFonts w:ascii="仿宋" w:hAnsi="仿宋" w:eastAsia="仿宋" w:cs="仿宋"/>
          <w:b/>
          <w:bCs/>
          <w:sz w:val="24"/>
          <w:szCs w:val="24"/>
        </w:rPr>
      </w:pPr>
      <w:r>
        <w:rPr>
          <w:rFonts w:hint="eastAsia" w:ascii="仿宋" w:hAnsi="仿宋" w:eastAsia="仿宋" w:cs="仿宋"/>
          <w:b/>
          <w:bCs/>
          <w:sz w:val="24"/>
          <w:szCs w:val="24"/>
        </w:rPr>
        <w:t>2</w:t>
      </w:r>
      <w:r>
        <w:rPr>
          <w:rFonts w:hint="eastAsia" w:ascii="仿宋" w:hAnsi="仿宋" w:eastAsia="仿宋" w:cs="仿宋"/>
          <w:b/>
          <w:bCs/>
          <w:sz w:val="24"/>
          <w:szCs w:val="24"/>
          <w:lang w:val="en-US" w:eastAsia="zh-CN"/>
        </w:rPr>
        <w:t>6</w:t>
      </w:r>
      <w:r>
        <w:rPr>
          <w:rFonts w:hint="eastAsia" w:ascii="仿宋" w:hAnsi="仿宋" w:eastAsia="仿宋" w:cs="仿宋"/>
          <w:b/>
          <w:bCs/>
          <w:sz w:val="24"/>
          <w:szCs w:val="24"/>
        </w:rPr>
        <w:t>、废标</w:t>
      </w:r>
    </w:p>
    <w:p>
      <w:pPr>
        <w:tabs>
          <w:tab w:val="left" w:pos="1260"/>
        </w:tabs>
        <w:ind w:firstLine="482" w:firstLineChars="200"/>
        <w:rPr>
          <w:rFonts w:ascii="仿宋" w:hAnsi="仿宋" w:eastAsia="仿宋" w:cs="仿宋"/>
          <w:b/>
          <w:sz w:val="24"/>
          <w:szCs w:val="24"/>
        </w:rPr>
      </w:pPr>
      <w:r>
        <w:rPr>
          <w:rFonts w:hint="eastAsia" w:ascii="仿宋" w:hAnsi="仿宋" w:eastAsia="仿宋" w:cs="仿宋"/>
          <w:b/>
          <w:sz w:val="24"/>
          <w:szCs w:val="24"/>
        </w:rPr>
        <w:t>2</w:t>
      </w:r>
      <w:r>
        <w:rPr>
          <w:rFonts w:hint="eastAsia" w:ascii="仿宋" w:hAnsi="仿宋" w:eastAsia="仿宋" w:cs="仿宋"/>
          <w:b/>
          <w:sz w:val="24"/>
          <w:szCs w:val="24"/>
          <w:lang w:val="en-US" w:eastAsia="zh-CN"/>
        </w:rPr>
        <w:t>6</w:t>
      </w:r>
      <w:r>
        <w:rPr>
          <w:rFonts w:hint="eastAsia" w:ascii="仿宋" w:hAnsi="仿宋" w:eastAsia="仿宋" w:cs="仿宋"/>
          <w:b/>
          <w:sz w:val="24"/>
          <w:szCs w:val="24"/>
        </w:rPr>
        <w:t>.1  废标的概念</w:t>
      </w:r>
    </w:p>
    <w:p>
      <w:pPr>
        <w:tabs>
          <w:tab w:val="left" w:pos="1260"/>
        </w:tabs>
        <w:ind w:firstLine="480" w:firstLineChars="200"/>
        <w:rPr>
          <w:rFonts w:ascii="仿宋" w:hAnsi="仿宋" w:eastAsia="仿宋" w:cs="仿宋"/>
          <w:bCs/>
          <w:sz w:val="24"/>
          <w:szCs w:val="24"/>
        </w:rPr>
      </w:pPr>
      <w:r>
        <w:rPr>
          <w:rFonts w:hint="eastAsia" w:ascii="仿宋" w:hAnsi="仿宋" w:eastAsia="仿宋" w:cs="仿宋"/>
          <w:bCs/>
          <w:sz w:val="24"/>
          <w:szCs w:val="24"/>
        </w:rPr>
        <w:t>废标一般是指由于投标人所递交的所有投标文件，经评标委员会审查，在合格投标文件的数量、投标报价、招标过程的公正性上不符合法律的规定，从而导致评标委员会拒绝接受所有投标文件。废标对所有投标人的投标行为都直接产生影响，标志着该招标项目立即终止，需要重新招标或改用其他采购方式。</w:t>
      </w:r>
    </w:p>
    <w:p>
      <w:pPr>
        <w:tabs>
          <w:tab w:val="left" w:pos="1260"/>
        </w:tabs>
        <w:ind w:firstLine="482" w:firstLineChars="200"/>
        <w:rPr>
          <w:rFonts w:ascii="仿宋" w:hAnsi="仿宋" w:eastAsia="仿宋" w:cs="仿宋"/>
          <w:b/>
          <w:sz w:val="24"/>
          <w:szCs w:val="24"/>
        </w:rPr>
      </w:pPr>
      <w:r>
        <w:rPr>
          <w:rFonts w:hint="eastAsia" w:ascii="仿宋" w:hAnsi="仿宋" w:eastAsia="仿宋" w:cs="仿宋"/>
          <w:b/>
          <w:sz w:val="24"/>
          <w:szCs w:val="24"/>
        </w:rPr>
        <w:t>2</w:t>
      </w:r>
      <w:r>
        <w:rPr>
          <w:rFonts w:hint="eastAsia" w:ascii="仿宋" w:hAnsi="仿宋" w:eastAsia="仿宋" w:cs="仿宋"/>
          <w:b/>
          <w:sz w:val="24"/>
          <w:szCs w:val="24"/>
          <w:lang w:val="en-US" w:eastAsia="zh-CN"/>
        </w:rPr>
        <w:t>6</w:t>
      </w:r>
      <w:r>
        <w:rPr>
          <w:rFonts w:hint="eastAsia" w:ascii="仿宋" w:hAnsi="仿宋" w:eastAsia="仿宋" w:cs="仿宋"/>
          <w:b/>
          <w:sz w:val="24"/>
          <w:szCs w:val="24"/>
        </w:rPr>
        <w:t>.2  有下列情形之一的应予以废标：</w:t>
      </w:r>
    </w:p>
    <w:p>
      <w:pPr>
        <w:tabs>
          <w:tab w:val="left" w:pos="1260"/>
        </w:tabs>
        <w:ind w:firstLine="480" w:firstLineChars="200"/>
        <w:rPr>
          <w:rFonts w:ascii="仿宋" w:hAnsi="仿宋" w:eastAsia="仿宋" w:cs="仿宋"/>
          <w:bCs/>
          <w:sz w:val="24"/>
          <w:szCs w:val="24"/>
        </w:rPr>
      </w:pPr>
      <w:r>
        <w:rPr>
          <w:rFonts w:hint="eastAsia" w:ascii="仿宋" w:hAnsi="仿宋" w:eastAsia="仿宋" w:cs="仿宋"/>
          <w:bCs/>
          <w:sz w:val="24"/>
          <w:szCs w:val="24"/>
        </w:rPr>
        <w:t>(1)出现影响采购公正的违法、违规行为的；</w:t>
      </w:r>
    </w:p>
    <w:p>
      <w:pPr>
        <w:tabs>
          <w:tab w:val="left" w:pos="1260"/>
        </w:tabs>
        <w:ind w:firstLine="480" w:firstLineChars="200"/>
        <w:rPr>
          <w:rFonts w:ascii="仿宋" w:hAnsi="仿宋" w:eastAsia="仿宋" w:cs="仿宋"/>
          <w:bCs/>
          <w:sz w:val="24"/>
          <w:szCs w:val="24"/>
        </w:rPr>
      </w:pPr>
      <w:r>
        <w:rPr>
          <w:rFonts w:hint="eastAsia" w:ascii="仿宋" w:hAnsi="仿宋" w:eastAsia="仿宋" w:cs="仿宋"/>
          <w:bCs/>
          <w:sz w:val="24"/>
          <w:szCs w:val="24"/>
        </w:rPr>
        <w:t>(2)投标人的报价均超过了采购预算，且采购人不能支付的；</w:t>
      </w:r>
    </w:p>
    <w:p>
      <w:pPr>
        <w:tabs>
          <w:tab w:val="left" w:pos="1260"/>
        </w:tabs>
        <w:ind w:firstLine="480" w:firstLineChars="200"/>
        <w:rPr>
          <w:rFonts w:ascii="仿宋" w:hAnsi="仿宋" w:eastAsia="仿宋" w:cs="仿宋"/>
          <w:bCs/>
          <w:sz w:val="24"/>
          <w:szCs w:val="24"/>
        </w:rPr>
      </w:pPr>
      <w:r>
        <w:rPr>
          <w:rFonts w:hint="eastAsia" w:ascii="仿宋" w:hAnsi="仿宋" w:eastAsia="仿宋" w:cs="仿宋"/>
          <w:bCs/>
          <w:sz w:val="24"/>
          <w:szCs w:val="24"/>
        </w:rPr>
        <w:t>(3)因重大变故，采购任务取消的。</w:t>
      </w:r>
    </w:p>
    <w:p>
      <w:pPr>
        <w:tabs>
          <w:tab w:val="left" w:pos="1260"/>
        </w:tabs>
        <w:jc w:val="center"/>
        <w:outlineLvl w:val="0"/>
        <w:rPr>
          <w:rFonts w:ascii="仿宋" w:hAnsi="仿宋" w:eastAsia="仿宋" w:cs="仿宋"/>
          <w:b/>
          <w:bCs/>
          <w:sz w:val="32"/>
          <w:szCs w:val="32"/>
        </w:rPr>
      </w:pPr>
      <w:bookmarkStart w:id="257" w:name="_Toc8279"/>
      <w:bookmarkStart w:id="258" w:name="_Toc2991"/>
      <w:bookmarkStart w:id="259" w:name="_Toc12063"/>
      <w:bookmarkStart w:id="260" w:name="_Toc28963"/>
      <w:bookmarkStart w:id="261" w:name="_Toc9258"/>
      <w:bookmarkStart w:id="262" w:name="_Toc30979"/>
      <w:bookmarkStart w:id="263" w:name="_Toc1307"/>
      <w:bookmarkStart w:id="264" w:name="_Toc672"/>
      <w:bookmarkStart w:id="265" w:name="_Toc1900_WPSOffice_Level1"/>
      <w:bookmarkStart w:id="266" w:name="_Toc20299"/>
      <w:bookmarkStart w:id="267" w:name="_Toc24361"/>
      <w:bookmarkStart w:id="268" w:name="_Toc19746"/>
      <w:bookmarkStart w:id="269" w:name="_Toc24166"/>
      <w:bookmarkStart w:id="270" w:name="_Toc20557"/>
      <w:bookmarkStart w:id="271" w:name="_Toc30692"/>
      <w:bookmarkStart w:id="272" w:name="_Toc9991"/>
      <w:bookmarkStart w:id="273" w:name="_Toc9812"/>
      <w:r>
        <w:rPr>
          <w:rFonts w:hint="eastAsia" w:ascii="仿宋" w:hAnsi="仿宋" w:eastAsia="仿宋" w:cs="仿宋"/>
          <w:b/>
          <w:bCs/>
          <w:sz w:val="32"/>
          <w:szCs w:val="32"/>
        </w:rPr>
        <w:t>第五部分  招标结束后注意事项</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10"/>
        <w:snapToGrid w:val="0"/>
        <w:jc w:val="center"/>
        <w:outlineLvl w:val="1"/>
        <w:rPr>
          <w:rFonts w:ascii="仿宋" w:hAnsi="仿宋" w:eastAsia="仿宋" w:cs="仿宋"/>
          <w:b/>
          <w:bCs/>
          <w:sz w:val="32"/>
          <w:szCs w:val="32"/>
        </w:rPr>
      </w:pPr>
      <w:bookmarkStart w:id="274" w:name="_Toc7368"/>
      <w:bookmarkStart w:id="275" w:name="_Toc25464"/>
      <w:bookmarkStart w:id="276" w:name="_Toc25057"/>
      <w:bookmarkStart w:id="277" w:name="_Toc13509"/>
      <w:bookmarkStart w:id="278" w:name="_Toc5215"/>
      <w:bookmarkStart w:id="279" w:name="_Toc3444"/>
      <w:bookmarkStart w:id="280" w:name="_Toc11531"/>
      <w:bookmarkStart w:id="281" w:name="_Toc3688"/>
      <w:bookmarkStart w:id="282" w:name="_Toc22904"/>
      <w:bookmarkStart w:id="283" w:name="_Toc22243"/>
      <w:bookmarkStart w:id="284" w:name="_Toc7360"/>
      <w:bookmarkStart w:id="285" w:name="_Toc11066"/>
      <w:bookmarkStart w:id="286" w:name="_Toc15299"/>
      <w:bookmarkStart w:id="287" w:name="_Toc28495"/>
      <w:bookmarkStart w:id="288" w:name="_Toc518"/>
      <w:bookmarkStart w:id="289" w:name="_Toc2328"/>
      <w:bookmarkStart w:id="290" w:name="_Toc14252"/>
      <w:bookmarkStart w:id="291" w:name="_Toc25297"/>
      <w:bookmarkStart w:id="292" w:name="_Toc19351"/>
      <w:bookmarkStart w:id="293" w:name="_Toc17833_WPSOffice_Level2"/>
      <w:r>
        <w:rPr>
          <w:rFonts w:hint="eastAsia" w:ascii="仿宋" w:hAnsi="仿宋" w:eastAsia="仿宋" w:cs="仿宋"/>
          <w:b/>
          <w:bCs/>
          <w:sz w:val="32"/>
          <w:szCs w:val="32"/>
        </w:rPr>
        <w:t>第一章 质疑</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Fonts w:hint="eastAsia" w:ascii="仿宋" w:hAnsi="仿宋" w:eastAsia="仿宋" w:cs="仿宋"/>
          <w:b/>
          <w:bCs/>
          <w:sz w:val="32"/>
          <w:szCs w:val="32"/>
        </w:rPr>
        <w:t>处理</w:t>
      </w:r>
      <w:bookmarkEnd w:id="289"/>
      <w:bookmarkEnd w:id="290"/>
      <w:bookmarkEnd w:id="291"/>
      <w:bookmarkEnd w:id="292"/>
      <w:bookmarkEnd w:id="293"/>
    </w:p>
    <w:p>
      <w:pPr>
        <w:pStyle w:val="10"/>
        <w:snapToGrid w:val="0"/>
        <w:ind w:firstLine="482" w:firstLineChars="200"/>
        <w:rPr>
          <w:rFonts w:ascii="仿宋" w:hAnsi="仿宋" w:eastAsia="仿宋" w:cs="仿宋"/>
          <w:b/>
          <w:bCs/>
          <w:sz w:val="24"/>
          <w:szCs w:val="24"/>
        </w:rPr>
      </w:pPr>
      <w:r>
        <w:rPr>
          <w:rFonts w:hint="eastAsia" w:ascii="仿宋" w:hAnsi="仿宋" w:eastAsia="仿宋" w:cs="仿宋"/>
          <w:b/>
          <w:bCs/>
          <w:sz w:val="24"/>
          <w:szCs w:val="24"/>
        </w:rPr>
        <w:t>2</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、质疑提出</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7</w:t>
      </w:r>
      <w:r>
        <w:rPr>
          <w:rFonts w:hint="eastAsia" w:ascii="仿宋" w:hAnsi="仿宋" w:eastAsia="仿宋" w:cs="仿宋"/>
          <w:bCs/>
          <w:sz w:val="24"/>
          <w:szCs w:val="24"/>
        </w:rPr>
        <w:t>.1  投标人认为招标过程或中标结果使自己的合法权益受到损害的，应当在知道或者应知其权益受到损害之日起七个工作日内，以书面形式提出质疑。</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7</w:t>
      </w:r>
      <w:r>
        <w:rPr>
          <w:rFonts w:hint="eastAsia" w:ascii="仿宋" w:hAnsi="仿宋" w:eastAsia="仿宋" w:cs="仿宋"/>
          <w:bCs/>
          <w:sz w:val="24"/>
          <w:szCs w:val="24"/>
        </w:rPr>
        <w:t>.2 投标人提出质疑应当提交质疑函和必要的证明材料。质疑函应当包括下列内容：</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　　（一）投标人的姓名或者名称、地址、邮编、联系人及联系电话；</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　　（二）质疑项目的名称、编号；</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　　（三）具体、明确的质疑事项和与质疑事项相关的请求；</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　　（四）事实依据；</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　　（五）必要的法律依据；</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　　（六）提出质疑的日期。</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投标人为自然人的，应当由本人签字；投标人为法人或者其他组织的，应当由法定代表人、主要负责人，或者其授权代表签字或者盖章，并加盖公章。</w:t>
      </w:r>
    </w:p>
    <w:p>
      <w:pPr>
        <w:pStyle w:val="10"/>
        <w:snapToGrid w:val="0"/>
        <w:ind w:firstLine="482" w:firstLineChars="200"/>
        <w:rPr>
          <w:rFonts w:ascii="仿宋" w:hAnsi="仿宋" w:eastAsia="仿宋" w:cs="仿宋"/>
          <w:b/>
          <w:bCs/>
          <w:sz w:val="24"/>
          <w:szCs w:val="24"/>
        </w:rPr>
      </w:pPr>
      <w:r>
        <w:rPr>
          <w:rFonts w:hint="eastAsia" w:ascii="仿宋" w:hAnsi="仿宋" w:eastAsia="仿宋" w:cs="仿宋"/>
          <w:b/>
          <w:bCs/>
          <w:sz w:val="24"/>
          <w:szCs w:val="24"/>
        </w:rPr>
        <w:t>2</w:t>
      </w:r>
      <w:r>
        <w:rPr>
          <w:rFonts w:hint="eastAsia" w:ascii="仿宋" w:hAnsi="仿宋" w:eastAsia="仿宋" w:cs="仿宋"/>
          <w:b/>
          <w:bCs/>
          <w:sz w:val="24"/>
          <w:szCs w:val="24"/>
          <w:lang w:val="en-US" w:eastAsia="zh-CN"/>
        </w:rPr>
        <w:t>8</w:t>
      </w:r>
      <w:r>
        <w:rPr>
          <w:rFonts w:hint="eastAsia" w:ascii="仿宋" w:hAnsi="仿宋" w:eastAsia="仿宋" w:cs="仿宋"/>
          <w:b/>
          <w:bCs/>
          <w:sz w:val="24"/>
          <w:szCs w:val="24"/>
        </w:rPr>
        <w:t>、 质疑答复</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8</w:t>
      </w:r>
      <w:r>
        <w:rPr>
          <w:rFonts w:hint="eastAsia" w:ascii="仿宋" w:hAnsi="仿宋" w:eastAsia="仿宋" w:cs="仿宋"/>
          <w:bCs/>
          <w:sz w:val="24"/>
          <w:szCs w:val="24"/>
        </w:rPr>
        <w:t>.1 采购人或集采机构应当在收到质疑函后7个工作日内作出答复，并以书面形式通知质疑投标人。</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8</w:t>
      </w:r>
      <w:r>
        <w:rPr>
          <w:rFonts w:hint="eastAsia" w:ascii="仿宋" w:hAnsi="仿宋" w:eastAsia="仿宋" w:cs="仿宋"/>
          <w:bCs/>
          <w:sz w:val="24"/>
          <w:szCs w:val="24"/>
        </w:rPr>
        <w:t>.2 对招标组织程序、招标过程有质疑的由集采机构负责答复，对采购需求、评标结果有质疑的由采购人负责答复。</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8</w:t>
      </w:r>
      <w:r>
        <w:rPr>
          <w:rFonts w:hint="eastAsia" w:ascii="仿宋" w:hAnsi="仿宋" w:eastAsia="仿宋" w:cs="仿宋"/>
          <w:bCs/>
          <w:sz w:val="24"/>
          <w:szCs w:val="24"/>
        </w:rPr>
        <w:t>.3 投标人对采购人或投标方未在规定时间内作出答复的或者对质疑答复不满意，可以在答复期满后十五个工作日内向同级采购监管部门投诉。</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8</w:t>
      </w:r>
      <w:r>
        <w:rPr>
          <w:rFonts w:hint="eastAsia" w:ascii="仿宋" w:hAnsi="仿宋" w:eastAsia="仿宋" w:cs="仿宋"/>
          <w:bCs/>
          <w:sz w:val="24"/>
          <w:szCs w:val="24"/>
        </w:rPr>
        <w:t>.4  质疑、投诉应当采用书面形式，质疑书、投诉书均应明确招标过程或中标结果中使自己合法权益受到损害的实质性内容，提供相关事实、依据和证据及其来源或线索，便于有关单位调查、答复和处理。</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8</w:t>
      </w:r>
      <w:r>
        <w:rPr>
          <w:rFonts w:hint="eastAsia" w:ascii="仿宋" w:hAnsi="仿宋" w:eastAsia="仿宋" w:cs="仿宋"/>
          <w:bCs/>
          <w:sz w:val="24"/>
          <w:szCs w:val="24"/>
        </w:rPr>
        <w:t>.5对中标或者成交结果提出质疑的，为中标或者成交结果公告期限届满之日。</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供应商应当在法定质疑期内一次性提出针对同一采购程序环节的质疑。供应商如在法定期限内对同一采购程序环节提出多次质疑的，交易中心、采购人将只对供应商第一次质疑作出答复。</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8</w:t>
      </w:r>
      <w:r>
        <w:rPr>
          <w:rFonts w:hint="eastAsia" w:ascii="仿宋" w:hAnsi="仿宋" w:eastAsia="仿宋" w:cs="仿宋"/>
          <w:bCs/>
          <w:sz w:val="24"/>
          <w:szCs w:val="24"/>
        </w:rPr>
        <w:t>.6</w:t>
      </w:r>
      <w:r>
        <w:rPr>
          <w:rFonts w:hint="eastAsia" w:ascii="仿宋" w:hAnsi="仿宋" w:eastAsia="仿宋" w:cs="仿宋"/>
          <w:b/>
          <w:sz w:val="24"/>
          <w:szCs w:val="24"/>
        </w:rPr>
        <w:t>以下情形的质疑不予受理</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8</w:t>
      </w:r>
      <w:r>
        <w:rPr>
          <w:rFonts w:hint="eastAsia" w:ascii="仿宋" w:hAnsi="仿宋" w:eastAsia="仿宋" w:cs="仿宋"/>
          <w:bCs/>
          <w:sz w:val="24"/>
          <w:szCs w:val="24"/>
        </w:rPr>
        <w:t>.6.1内容不符合《政府采购质疑和投诉办法》第十二条规定的质疑。</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8</w:t>
      </w:r>
      <w:r>
        <w:rPr>
          <w:rFonts w:hint="eastAsia" w:ascii="仿宋" w:hAnsi="仿宋" w:eastAsia="仿宋" w:cs="仿宋"/>
          <w:bCs/>
          <w:sz w:val="24"/>
          <w:szCs w:val="24"/>
        </w:rPr>
        <w:t>.6.2 超出政府采购法定期限的质疑。</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8</w:t>
      </w:r>
      <w:r>
        <w:rPr>
          <w:rFonts w:hint="eastAsia" w:ascii="仿宋" w:hAnsi="仿宋" w:eastAsia="仿宋" w:cs="仿宋"/>
          <w:bCs/>
          <w:sz w:val="24"/>
          <w:szCs w:val="24"/>
        </w:rPr>
        <w:t>.6.3 以传真、电子邮件等方式递交的非原件形式的质疑。</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8</w:t>
      </w:r>
      <w:r>
        <w:rPr>
          <w:rFonts w:hint="eastAsia" w:ascii="仿宋" w:hAnsi="仿宋" w:eastAsia="仿宋" w:cs="仿宋"/>
          <w:bCs/>
          <w:sz w:val="24"/>
          <w:szCs w:val="24"/>
        </w:rPr>
        <w:t>.6.4 未参加投标活动的供应商或在投标活动中自身权益未受到损害的供应商所提出的质疑。</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8</w:t>
      </w:r>
      <w:r>
        <w:rPr>
          <w:rFonts w:hint="eastAsia" w:ascii="仿宋" w:hAnsi="仿宋" w:eastAsia="仿宋" w:cs="仿宋"/>
          <w:bCs/>
          <w:sz w:val="24"/>
          <w:szCs w:val="24"/>
        </w:rPr>
        <w:t>.6.5供应商组成联合体参加投标，联合体中任何一方或多方未按要求签字、盖章、加盖公章的质疑。</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8</w:t>
      </w:r>
      <w:r>
        <w:rPr>
          <w:rFonts w:hint="eastAsia" w:ascii="仿宋" w:hAnsi="仿宋" w:eastAsia="仿宋" w:cs="仿宋"/>
          <w:bCs/>
          <w:sz w:val="24"/>
          <w:szCs w:val="24"/>
        </w:rPr>
        <w:t>.6.6无具体质疑事项内容，或未提供有效线索，难以查证的。</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8</w:t>
      </w:r>
      <w:r>
        <w:rPr>
          <w:rFonts w:hint="eastAsia" w:ascii="仿宋" w:hAnsi="仿宋" w:eastAsia="仿宋" w:cs="仿宋"/>
          <w:bCs/>
          <w:sz w:val="24"/>
          <w:szCs w:val="24"/>
        </w:rPr>
        <w:t>.6.7所质疑事项已进行处理，或正在行政复议、仲裁、诉讼、投诉等其他程序的。</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8</w:t>
      </w:r>
      <w:r>
        <w:rPr>
          <w:rFonts w:hint="eastAsia" w:ascii="仿宋" w:hAnsi="仿宋" w:eastAsia="仿宋" w:cs="仿宋"/>
          <w:bCs/>
          <w:sz w:val="24"/>
          <w:szCs w:val="24"/>
        </w:rPr>
        <w:t>.6.8不属于本中心管辖范围的质疑。</w:t>
      </w:r>
    </w:p>
    <w:p>
      <w:pPr>
        <w:pStyle w:val="10"/>
        <w:snapToGrid w:val="0"/>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Cs/>
          <w:sz w:val="24"/>
          <w:szCs w:val="24"/>
          <w:lang w:val="en-US" w:eastAsia="zh-CN"/>
        </w:rPr>
        <w:t>8</w:t>
      </w:r>
      <w:r>
        <w:rPr>
          <w:rFonts w:hint="eastAsia" w:ascii="仿宋" w:hAnsi="仿宋" w:eastAsia="仿宋" w:cs="仿宋"/>
          <w:bCs/>
          <w:sz w:val="24"/>
          <w:szCs w:val="24"/>
        </w:rPr>
        <w:t>.7  供应商提出书面质疑必须有理、有据，不得捏造事实、提供虚假材料进行恶意质疑。</w:t>
      </w:r>
      <w:bookmarkStart w:id="294" w:name="_Toc14025"/>
      <w:bookmarkStart w:id="295" w:name="_Toc17178"/>
      <w:bookmarkStart w:id="296" w:name="_Toc31205"/>
      <w:bookmarkStart w:id="297" w:name="_Toc15644"/>
      <w:bookmarkStart w:id="298" w:name="_Toc13635"/>
      <w:bookmarkStart w:id="299" w:name="_Toc9693"/>
      <w:bookmarkStart w:id="300" w:name="_Toc3081"/>
      <w:bookmarkStart w:id="301" w:name="_Toc2726"/>
      <w:bookmarkStart w:id="302" w:name="_Toc7296"/>
      <w:bookmarkStart w:id="303" w:name="_Toc10561"/>
      <w:bookmarkStart w:id="304" w:name="_Toc21063"/>
      <w:bookmarkStart w:id="305" w:name="_Toc6419"/>
      <w:bookmarkStart w:id="306" w:name="_Toc6206"/>
      <w:bookmarkStart w:id="307" w:name="_Toc18572"/>
      <w:bookmarkStart w:id="308" w:name="_Toc11909"/>
      <w:bookmarkStart w:id="309" w:name="_Toc24481_WPSOffice_Level2"/>
    </w:p>
    <w:p>
      <w:pPr>
        <w:jc w:val="center"/>
        <w:outlineLvl w:val="1"/>
        <w:rPr>
          <w:rFonts w:ascii="仿宋" w:hAnsi="仿宋" w:eastAsia="仿宋" w:cs="仿宋"/>
          <w:b/>
          <w:bCs/>
          <w:sz w:val="30"/>
          <w:szCs w:val="30"/>
        </w:rPr>
      </w:pPr>
      <w:bookmarkStart w:id="310" w:name="_Toc22161"/>
      <w:r>
        <w:rPr>
          <w:rFonts w:hint="eastAsia" w:ascii="仿宋" w:hAnsi="仿宋" w:eastAsia="仿宋" w:cs="仿宋"/>
          <w:b/>
          <w:bCs/>
          <w:sz w:val="30"/>
          <w:szCs w:val="30"/>
        </w:rPr>
        <w:t xml:space="preserve">第二章 </w:t>
      </w:r>
      <w:bookmarkEnd w:id="294"/>
      <w:bookmarkEnd w:id="295"/>
      <w:bookmarkEnd w:id="296"/>
      <w:bookmarkEnd w:id="297"/>
      <w:bookmarkEnd w:id="298"/>
      <w:bookmarkEnd w:id="299"/>
      <w:bookmarkEnd w:id="300"/>
      <w:bookmarkEnd w:id="301"/>
      <w:bookmarkEnd w:id="302"/>
      <w:bookmarkEnd w:id="303"/>
      <w:bookmarkEnd w:id="304"/>
      <w:bookmarkEnd w:id="305"/>
      <w:r>
        <w:rPr>
          <w:rFonts w:hint="eastAsia" w:ascii="仿宋" w:hAnsi="仿宋" w:eastAsia="仿宋" w:cs="仿宋"/>
          <w:b/>
          <w:bCs/>
          <w:sz w:val="30"/>
          <w:szCs w:val="30"/>
        </w:rPr>
        <w:t>签订合同</w:t>
      </w:r>
      <w:bookmarkEnd w:id="306"/>
      <w:bookmarkEnd w:id="307"/>
      <w:bookmarkEnd w:id="308"/>
      <w:bookmarkEnd w:id="309"/>
      <w:bookmarkEnd w:id="310"/>
    </w:p>
    <w:p>
      <w:pPr>
        <w:ind w:firstLine="482" w:firstLineChars="200"/>
        <w:rPr>
          <w:rFonts w:ascii="仿宋" w:hAnsi="仿宋" w:eastAsia="仿宋" w:cs="仿宋"/>
          <w:b/>
          <w:bCs/>
          <w:sz w:val="24"/>
          <w:szCs w:val="24"/>
        </w:rPr>
      </w:pPr>
      <w:r>
        <w:rPr>
          <w:rFonts w:hint="eastAsia" w:ascii="仿宋" w:hAnsi="仿宋" w:eastAsia="仿宋" w:cs="仿宋"/>
          <w:b/>
          <w:bCs/>
          <w:sz w:val="24"/>
          <w:szCs w:val="24"/>
        </w:rPr>
        <w:t>30、签订合同</w:t>
      </w:r>
    </w:p>
    <w:p>
      <w:pPr>
        <w:ind w:firstLine="480" w:firstLineChars="200"/>
        <w:rPr>
          <w:rFonts w:ascii="仿宋" w:hAnsi="仿宋" w:eastAsia="仿宋" w:cs="仿宋"/>
          <w:bCs/>
          <w:sz w:val="24"/>
          <w:szCs w:val="24"/>
        </w:rPr>
      </w:pPr>
      <w:r>
        <w:rPr>
          <w:rFonts w:hint="eastAsia" w:ascii="仿宋" w:hAnsi="仿宋" w:eastAsia="仿宋" w:cs="仿宋"/>
          <w:bCs/>
          <w:sz w:val="24"/>
          <w:szCs w:val="24"/>
        </w:rPr>
        <w:t>30.1　中标人收到集采机构的《中标通知书》后30日内，按照招标文件和投标书中的约定与采购人签订书面合同，所签订的合同不得对招标文件和中标人的投标文件作实质性修改。采购人不得向中标人提出任何不合理的要求作为签订合同的条件。</w:t>
      </w:r>
    </w:p>
    <w:p>
      <w:pPr>
        <w:ind w:firstLine="480" w:firstLineChars="200"/>
        <w:rPr>
          <w:rFonts w:ascii="仿宋" w:hAnsi="仿宋" w:eastAsia="仿宋" w:cs="仿宋"/>
          <w:bCs/>
          <w:sz w:val="24"/>
          <w:szCs w:val="24"/>
        </w:rPr>
      </w:pPr>
      <w:r>
        <w:rPr>
          <w:rFonts w:hint="eastAsia" w:ascii="仿宋" w:hAnsi="仿宋" w:eastAsia="仿宋" w:cs="仿宋"/>
          <w:bCs/>
          <w:sz w:val="24"/>
          <w:szCs w:val="24"/>
        </w:rPr>
        <w:t>30.2政府采购合同应当包括采购人与中标人的名称和住所、标的、数量、质量、价款或者报酬、履行期限及地点和方式、验收要求、违约责任、解决争议的方法等内容。</w:t>
      </w:r>
    </w:p>
    <w:p>
      <w:pPr>
        <w:ind w:firstLine="480" w:firstLineChars="200"/>
        <w:rPr>
          <w:rFonts w:ascii="仿宋" w:hAnsi="仿宋" w:eastAsia="仿宋" w:cs="仿宋"/>
          <w:bCs/>
          <w:sz w:val="24"/>
          <w:szCs w:val="24"/>
        </w:rPr>
      </w:pPr>
      <w:r>
        <w:rPr>
          <w:rFonts w:hint="eastAsia" w:ascii="仿宋" w:hAnsi="仿宋" w:eastAsia="仿宋" w:cs="仿宋"/>
          <w:bCs/>
          <w:sz w:val="24"/>
          <w:szCs w:val="24"/>
        </w:rPr>
        <w:t>30.3采购人与中标人应当根据合同的约定依法履行合同义务。</w:t>
      </w:r>
    </w:p>
    <w:p>
      <w:pPr>
        <w:ind w:firstLine="480" w:firstLineChars="200"/>
        <w:rPr>
          <w:rFonts w:ascii="仿宋" w:hAnsi="仿宋" w:eastAsia="仿宋" w:cs="仿宋"/>
          <w:bCs/>
          <w:sz w:val="24"/>
          <w:szCs w:val="24"/>
        </w:rPr>
      </w:pPr>
      <w:r>
        <w:rPr>
          <w:rFonts w:hint="eastAsia" w:ascii="仿宋" w:hAnsi="仿宋" w:eastAsia="仿宋" w:cs="仿宋"/>
          <w:bCs/>
          <w:sz w:val="24"/>
          <w:szCs w:val="24"/>
        </w:rPr>
        <w:t>30.4政府采购合同的履行、违约责任和解决争议的方法等适用《中华人民共和国合同法》。</w:t>
      </w:r>
    </w:p>
    <w:p>
      <w:pPr>
        <w:pStyle w:val="27"/>
        <w:ind w:firstLine="3753" w:firstLineChars="1246"/>
        <w:outlineLvl w:val="1"/>
        <w:rPr>
          <w:rFonts w:ascii="仿宋" w:hAnsi="仿宋" w:eastAsia="仿宋" w:cs="仿宋"/>
          <w:b/>
          <w:bCs/>
          <w:color w:val="auto"/>
          <w:kern w:val="2"/>
          <w:sz w:val="30"/>
          <w:szCs w:val="30"/>
        </w:rPr>
      </w:pPr>
    </w:p>
    <w:p>
      <w:pPr>
        <w:pStyle w:val="27"/>
        <w:ind w:firstLine="3753" w:firstLineChars="1246"/>
        <w:outlineLvl w:val="1"/>
        <w:rPr>
          <w:rFonts w:ascii="仿宋" w:hAnsi="仿宋" w:eastAsia="仿宋" w:cs="仿宋"/>
          <w:b/>
          <w:bCs/>
          <w:color w:val="auto"/>
          <w:kern w:val="2"/>
          <w:sz w:val="30"/>
          <w:szCs w:val="30"/>
        </w:rPr>
      </w:pPr>
      <w:bookmarkStart w:id="311" w:name="_Toc29254"/>
      <w:r>
        <w:rPr>
          <w:rFonts w:hint="eastAsia" w:ascii="仿宋" w:hAnsi="仿宋" w:eastAsia="仿宋" w:cs="仿宋"/>
          <w:b/>
          <w:bCs/>
          <w:color w:val="auto"/>
          <w:kern w:val="2"/>
          <w:sz w:val="30"/>
          <w:szCs w:val="30"/>
        </w:rPr>
        <w:t>合同格式范本（仅供参考）</w:t>
      </w:r>
      <w:bookmarkEnd w:id="311"/>
    </w:p>
    <w:p>
      <w:pPr>
        <w:ind w:firstLine="480" w:firstLineChars="200"/>
        <w:rPr>
          <w:rFonts w:ascii="仿宋" w:hAnsi="仿宋" w:eastAsia="仿宋" w:cs="仿宋"/>
          <w:sz w:val="24"/>
          <w:szCs w:val="24"/>
        </w:rPr>
      </w:pPr>
      <w:r>
        <w:rPr>
          <w:rFonts w:hint="eastAsia" w:ascii="仿宋" w:hAnsi="仿宋" w:eastAsia="仿宋" w:cs="仿宋"/>
          <w:sz w:val="24"/>
          <w:szCs w:val="24"/>
        </w:rPr>
        <w:t>以下为中标后签定本项目合同的通用条款，中标人不得提出实质性的修改，关于专用条款将由采购人与中标人结合本项目具体情况协商后签订。</w:t>
      </w:r>
    </w:p>
    <w:p>
      <w:pPr>
        <w:rPr>
          <w:rFonts w:ascii="仿宋" w:hAnsi="仿宋" w:eastAsia="仿宋" w:cs="仿宋"/>
          <w:sz w:val="24"/>
          <w:szCs w:val="24"/>
        </w:rPr>
      </w:pPr>
    </w:p>
    <w:p>
      <w:pPr>
        <w:rPr>
          <w:rFonts w:ascii="仿宋" w:hAnsi="仿宋" w:eastAsia="仿宋" w:cs="仿宋"/>
          <w:sz w:val="24"/>
          <w:szCs w:val="24"/>
          <w:u w:val="single"/>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项目编号：</w:t>
      </w:r>
      <w:r>
        <w:rPr>
          <w:rFonts w:hint="eastAsia" w:ascii="仿宋" w:hAnsi="仿宋" w:eastAsia="仿宋" w:cs="仿宋"/>
          <w:sz w:val="24"/>
          <w:szCs w:val="24"/>
          <w:u w:val="single"/>
        </w:rPr>
        <w:t xml:space="preserve">                       </w:t>
      </w:r>
    </w:p>
    <w:p>
      <w:pPr>
        <w:rPr>
          <w:rFonts w:ascii="仿宋" w:hAnsi="仿宋" w:eastAsia="仿宋" w:cs="仿宋"/>
          <w:sz w:val="24"/>
          <w:szCs w:val="24"/>
          <w:u w:val="single"/>
        </w:rPr>
      </w:pPr>
      <w:r>
        <w:rPr>
          <w:rFonts w:hint="eastAsia" w:ascii="仿宋" w:hAnsi="仿宋" w:eastAsia="仿宋" w:cs="仿宋"/>
          <w:sz w:val="24"/>
          <w:szCs w:val="24"/>
        </w:rPr>
        <w:t>甲方：（买方）</w:t>
      </w:r>
      <w:r>
        <w:rPr>
          <w:rFonts w:hint="eastAsia" w:ascii="仿宋" w:hAnsi="仿宋" w:eastAsia="仿宋" w:cs="仿宋"/>
          <w:sz w:val="24"/>
          <w:szCs w:val="24"/>
          <w:u w:val="single"/>
        </w:rPr>
        <w:t xml:space="preserve">                            </w:t>
      </w:r>
    </w:p>
    <w:p>
      <w:pPr>
        <w:rPr>
          <w:rFonts w:ascii="仿宋" w:hAnsi="仿宋" w:eastAsia="仿宋" w:cs="仿宋"/>
          <w:sz w:val="24"/>
          <w:szCs w:val="24"/>
          <w:u w:val="single"/>
        </w:rPr>
      </w:pPr>
      <w:r>
        <w:rPr>
          <w:rFonts w:hint="eastAsia" w:ascii="仿宋" w:hAnsi="仿宋" w:eastAsia="仿宋" w:cs="仿宋"/>
          <w:sz w:val="24"/>
          <w:szCs w:val="24"/>
        </w:rPr>
        <w:t>乙方：（卖方）</w:t>
      </w:r>
      <w:r>
        <w:rPr>
          <w:rFonts w:hint="eastAsia" w:ascii="仿宋" w:hAnsi="仿宋" w:eastAsia="仿宋" w:cs="仿宋"/>
          <w:sz w:val="24"/>
          <w:szCs w:val="24"/>
          <w:u w:val="single"/>
        </w:rPr>
        <w:t xml:space="preserve">                            </w:t>
      </w:r>
    </w:p>
    <w:p>
      <w:pPr>
        <w:rPr>
          <w:rFonts w:ascii="仿宋" w:hAnsi="仿宋" w:eastAsia="仿宋" w:cs="仿宋"/>
          <w:sz w:val="24"/>
          <w:szCs w:val="24"/>
        </w:rPr>
      </w:pPr>
      <w:r>
        <w:rPr>
          <w:rFonts w:hint="eastAsia" w:ascii="仿宋" w:hAnsi="仿宋" w:eastAsia="仿宋" w:cs="仿宋"/>
          <w:sz w:val="24"/>
          <w:szCs w:val="24"/>
        </w:rPr>
        <w:t>甲、乙双方根据本项目中标结果签署本合同。</w:t>
      </w:r>
    </w:p>
    <w:p>
      <w:pPr>
        <w:rPr>
          <w:rFonts w:ascii="仿宋" w:hAnsi="仿宋" w:eastAsia="仿宋" w:cs="仿宋"/>
          <w:sz w:val="24"/>
          <w:szCs w:val="24"/>
        </w:rPr>
      </w:pPr>
      <w:r>
        <w:rPr>
          <w:rFonts w:hint="eastAsia" w:ascii="仿宋" w:hAnsi="仿宋" w:eastAsia="仿宋" w:cs="仿宋"/>
          <w:sz w:val="24"/>
          <w:szCs w:val="24"/>
        </w:rPr>
        <w:t>一、产品内容</w:t>
      </w:r>
    </w:p>
    <w:p>
      <w:pPr>
        <w:rPr>
          <w:rFonts w:ascii="仿宋" w:hAnsi="仿宋" w:eastAsia="仿宋" w:cs="仿宋"/>
          <w:sz w:val="24"/>
          <w:szCs w:val="24"/>
        </w:rPr>
      </w:pPr>
      <w:r>
        <w:rPr>
          <w:rFonts w:hint="eastAsia" w:ascii="仿宋" w:hAnsi="仿宋" w:eastAsia="仿宋" w:cs="仿宋"/>
          <w:sz w:val="24"/>
          <w:szCs w:val="24"/>
        </w:rPr>
        <w:t>1.1 产品名称：</w:t>
      </w:r>
    </w:p>
    <w:p>
      <w:pPr>
        <w:rPr>
          <w:rFonts w:ascii="仿宋" w:hAnsi="仿宋" w:eastAsia="仿宋" w:cs="仿宋"/>
          <w:sz w:val="24"/>
          <w:szCs w:val="24"/>
        </w:rPr>
      </w:pPr>
      <w:r>
        <w:rPr>
          <w:rFonts w:hint="eastAsia" w:ascii="仿宋" w:hAnsi="仿宋" w:eastAsia="仿宋" w:cs="仿宋"/>
          <w:sz w:val="24"/>
          <w:szCs w:val="24"/>
        </w:rPr>
        <w:t>1.2 型号规格：</w:t>
      </w:r>
    </w:p>
    <w:p>
      <w:pPr>
        <w:rPr>
          <w:rFonts w:ascii="仿宋" w:hAnsi="仿宋" w:eastAsia="仿宋" w:cs="仿宋"/>
          <w:sz w:val="24"/>
          <w:szCs w:val="24"/>
        </w:rPr>
      </w:pPr>
      <w:r>
        <w:rPr>
          <w:rFonts w:hint="eastAsia" w:ascii="仿宋" w:hAnsi="仿宋" w:eastAsia="仿宋" w:cs="仿宋"/>
          <w:sz w:val="24"/>
          <w:szCs w:val="24"/>
        </w:rPr>
        <w:t>1.3 数量（单位）：</w:t>
      </w:r>
    </w:p>
    <w:p>
      <w:pPr>
        <w:rPr>
          <w:rFonts w:ascii="仿宋" w:hAnsi="仿宋" w:eastAsia="仿宋" w:cs="仿宋"/>
          <w:sz w:val="24"/>
          <w:szCs w:val="24"/>
        </w:rPr>
      </w:pPr>
      <w:r>
        <w:rPr>
          <w:rFonts w:hint="eastAsia" w:ascii="仿宋" w:hAnsi="仿宋" w:eastAsia="仿宋" w:cs="仿宋"/>
          <w:sz w:val="24"/>
          <w:szCs w:val="24"/>
        </w:rPr>
        <w:t>二、合同金额</w:t>
      </w:r>
    </w:p>
    <w:p>
      <w:pPr>
        <w:rPr>
          <w:rFonts w:ascii="仿宋" w:hAnsi="仿宋" w:eastAsia="仿宋" w:cs="仿宋"/>
          <w:sz w:val="24"/>
          <w:szCs w:val="24"/>
        </w:rPr>
      </w:pPr>
      <w:r>
        <w:rPr>
          <w:rFonts w:hint="eastAsia" w:ascii="仿宋" w:hAnsi="仿宋" w:eastAsia="仿宋" w:cs="仿宋"/>
          <w:sz w:val="24"/>
          <w:szCs w:val="24"/>
        </w:rPr>
        <w:t>2.1 本合同金额为（大写）：____________________________________圆（_______________元）人民币或其他币种。</w:t>
      </w:r>
    </w:p>
    <w:p>
      <w:pPr>
        <w:rPr>
          <w:rFonts w:ascii="仿宋" w:hAnsi="仿宋" w:eastAsia="仿宋" w:cs="仿宋"/>
          <w:sz w:val="24"/>
          <w:szCs w:val="24"/>
        </w:rPr>
      </w:pPr>
      <w:r>
        <w:rPr>
          <w:rFonts w:hint="eastAsia" w:ascii="仿宋" w:hAnsi="仿宋" w:eastAsia="仿宋" w:cs="仿宋"/>
          <w:sz w:val="24"/>
          <w:szCs w:val="24"/>
        </w:rPr>
        <w:t>三、技术资料</w:t>
      </w:r>
    </w:p>
    <w:p>
      <w:pPr>
        <w:rPr>
          <w:rFonts w:ascii="仿宋" w:hAnsi="仿宋" w:eastAsia="仿宋" w:cs="仿宋"/>
          <w:sz w:val="24"/>
          <w:szCs w:val="24"/>
        </w:rPr>
      </w:pPr>
      <w:r>
        <w:rPr>
          <w:rFonts w:hint="eastAsia" w:ascii="仿宋" w:hAnsi="仿宋" w:eastAsia="仿宋" w:cs="仿宋"/>
          <w:sz w:val="24"/>
          <w:szCs w:val="24"/>
        </w:rPr>
        <w:t>3.1乙方应按招标文件规定的时间向甲方提供使用产品的有关技术资料。</w:t>
      </w:r>
    </w:p>
    <w:p>
      <w:pPr>
        <w:rPr>
          <w:rFonts w:ascii="仿宋" w:hAnsi="仿宋" w:eastAsia="仿宋" w:cs="仿宋"/>
          <w:sz w:val="24"/>
          <w:szCs w:val="24"/>
        </w:rPr>
      </w:pPr>
      <w:r>
        <w:rPr>
          <w:rFonts w:hint="eastAsia" w:ascii="仿宋" w:hAnsi="仿宋" w:eastAsia="仿宋" w:cs="仿宋"/>
          <w:sz w:val="24"/>
          <w:szCs w:val="24"/>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rPr>
          <w:rFonts w:ascii="仿宋" w:hAnsi="仿宋" w:eastAsia="仿宋" w:cs="仿宋"/>
          <w:sz w:val="24"/>
          <w:szCs w:val="24"/>
        </w:rPr>
      </w:pPr>
      <w:r>
        <w:rPr>
          <w:rFonts w:hint="eastAsia" w:ascii="仿宋" w:hAnsi="仿宋" w:eastAsia="仿宋" w:cs="仿宋"/>
          <w:sz w:val="24"/>
          <w:szCs w:val="24"/>
        </w:rPr>
        <w:t>四、知识产权</w:t>
      </w:r>
    </w:p>
    <w:p>
      <w:pPr>
        <w:rPr>
          <w:rFonts w:ascii="仿宋" w:hAnsi="仿宋" w:eastAsia="仿宋" w:cs="仿宋"/>
          <w:sz w:val="24"/>
          <w:szCs w:val="24"/>
        </w:rPr>
      </w:pPr>
      <w:r>
        <w:rPr>
          <w:rFonts w:hint="eastAsia" w:ascii="仿宋" w:hAnsi="仿宋" w:eastAsia="仿宋" w:cs="仿宋"/>
          <w:sz w:val="24"/>
          <w:szCs w:val="24"/>
        </w:rPr>
        <w:t>4.1乙方应保证甲方在使用、接受本合同产品和服务或其任何一部分时不受第三方提出侵犯其专利权、版权、商标权和工业设计权等知识产权的起诉。一旦出现侵权，由乙方负全部责任。</w:t>
      </w:r>
    </w:p>
    <w:p>
      <w:pPr>
        <w:rPr>
          <w:rFonts w:ascii="仿宋" w:hAnsi="仿宋" w:eastAsia="仿宋" w:cs="仿宋"/>
          <w:sz w:val="24"/>
          <w:szCs w:val="24"/>
        </w:rPr>
      </w:pPr>
      <w:r>
        <w:rPr>
          <w:rFonts w:hint="eastAsia" w:ascii="仿宋" w:hAnsi="仿宋" w:eastAsia="仿宋" w:cs="仿宋"/>
          <w:sz w:val="24"/>
          <w:szCs w:val="24"/>
        </w:rPr>
        <w:t>五、产权担保</w:t>
      </w:r>
    </w:p>
    <w:p>
      <w:pPr>
        <w:rPr>
          <w:rFonts w:ascii="仿宋" w:hAnsi="仿宋" w:eastAsia="仿宋" w:cs="仿宋"/>
          <w:sz w:val="24"/>
          <w:szCs w:val="24"/>
        </w:rPr>
      </w:pPr>
      <w:r>
        <w:rPr>
          <w:rFonts w:hint="eastAsia" w:ascii="仿宋" w:hAnsi="仿宋" w:eastAsia="仿宋" w:cs="仿宋"/>
          <w:sz w:val="24"/>
          <w:szCs w:val="24"/>
        </w:rPr>
        <w:t>5.1 乙方保证所交付的产品的所有权完全属于乙方且无任何抵押、查封等产权瑕疵。</w:t>
      </w:r>
    </w:p>
    <w:p>
      <w:pPr>
        <w:rPr>
          <w:rFonts w:ascii="仿宋" w:hAnsi="仿宋" w:eastAsia="仿宋" w:cs="仿宋"/>
          <w:sz w:val="24"/>
          <w:szCs w:val="24"/>
        </w:rPr>
      </w:pPr>
      <w:r>
        <w:rPr>
          <w:rFonts w:hint="eastAsia" w:ascii="仿宋" w:hAnsi="仿宋" w:eastAsia="仿宋" w:cs="仿宋"/>
          <w:sz w:val="24"/>
          <w:szCs w:val="24"/>
        </w:rPr>
        <w:t>六、履约保证金</w:t>
      </w:r>
    </w:p>
    <w:p>
      <w:pPr>
        <w:rPr>
          <w:rFonts w:ascii="仿宋" w:hAnsi="仿宋" w:eastAsia="仿宋" w:cs="仿宋"/>
          <w:sz w:val="24"/>
          <w:szCs w:val="24"/>
        </w:rPr>
      </w:pPr>
      <w:r>
        <w:rPr>
          <w:rFonts w:hint="eastAsia" w:ascii="仿宋" w:hAnsi="仿宋" w:eastAsia="仿宋" w:cs="仿宋"/>
          <w:sz w:val="24"/>
          <w:szCs w:val="24"/>
        </w:rPr>
        <w:t>6.1 乙方交纳人民币_________元作为本合同的履约保证金。</w:t>
      </w:r>
    </w:p>
    <w:p>
      <w:pPr>
        <w:rPr>
          <w:rFonts w:ascii="仿宋" w:hAnsi="仿宋" w:eastAsia="仿宋" w:cs="仿宋"/>
          <w:sz w:val="24"/>
          <w:szCs w:val="24"/>
        </w:rPr>
      </w:pPr>
      <w:r>
        <w:rPr>
          <w:rFonts w:hint="eastAsia" w:ascii="仿宋" w:hAnsi="仿宋" w:eastAsia="仿宋" w:cs="仿宋"/>
          <w:sz w:val="24"/>
          <w:szCs w:val="24"/>
        </w:rPr>
        <w:t>七、转包或分包</w:t>
      </w:r>
    </w:p>
    <w:p>
      <w:pPr>
        <w:rPr>
          <w:rFonts w:ascii="仿宋" w:hAnsi="仿宋" w:eastAsia="仿宋" w:cs="仿宋"/>
          <w:sz w:val="24"/>
          <w:szCs w:val="24"/>
        </w:rPr>
      </w:pPr>
      <w:r>
        <w:rPr>
          <w:rFonts w:hint="eastAsia" w:ascii="仿宋" w:hAnsi="仿宋" w:eastAsia="仿宋" w:cs="仿宋"/>
          <w:sz w:val="24"/>
          <w:szCs w:val="24"/>
        </w:rPr>
        <w:t>7.1本合同范围的产品，应由乙方直接供应，不得转让他人供应；</w:t>
      </w:r>
    </w:p>
    <w:p>
      <w:pPr>
        <w:rPr>
          <w:rFonts w:ascii="仿宋" w:hAnsi="仿宋" w:eastAsia="仿宋" w:cs="仿宋"/>
          <w:sz w:val="24"/>
          <w:szCs w:val="24"/>
        </w:rPr>
      </w:pPr>
      <w:r>
        <w:rPr>
          <w:rFonts w:hint="eastAsia" w:ascii="仿宋" w:hAnsi="仿宋" w:eastAsia="仿宋" w:cs="仿宋"/>
          <w:sz w:val="24"/>
          <w:szCs w:val="24"/>
        </w:rPr>
        <w:t>7.2 除非得到甲方的书面同意，乙方不得部分分包给他人供应。</w:t>
      </w:r>
    </w:p>
    <w:p>
      <w:pPr>
        <w:rPr>
          <w:rFonts w:ascii="仿宋" w:hAnsi="仿宋" w:eastAsia="仿宋" w:cs="仿宋"/>
          <w:sz w:val="24"/>
          <w:szCs w:val="24"/>
        </w:rPr>
      </w:pPr>
      <w:r>
        <w:rPr>
          <w:rFonts w:hint="eastAsia" w:ascii="仿宋" w:hAnsi="仿宋" w:eastAsia="仿宋" w:cs="仿宋"/>
          <w:sz w:val="24"/>
          <w:szCs w:val="24"/>
        </w:rPr>
        <w:t>7.3如有转让和未经甲方同意的分包行为，甲方有权给予终止合同。</w:t>
      </w:r>
    </w:p>
    <w:p>
      <w:pPr>
        <w:rPr>
          <w:rFonts w:ascii="仿宋" w:hAnsi="仿宋" w:eastAsia="仿宋" w:cs="仿宋"/>
          <w:sz w:val="24"/>
          <w:szCs w:val="24"/>
        </w:rPr>
      </w:pPr>
      <w:r>
        <w:rPr>
          <w:rFonts w:hint="eastAsia" w:ascii="仿宋" w:hAnsi="仿宋" w:eastAsia="仿宋" w:cs="仿宋"/>
          <w:sz w:val="24"/>
          <w:szCs w:val="24"/>
        </w:rPr>
        <w:t>八、质保期</w:t>
      </w:r>
    </w:p>
    <w:p>
      <w:pPr>
        <w:rPr>
          <w:rFonts w:ascii="仿宋" w:hAnsi="仿宋" w:eastAsia="仿宋" w:cs="仿宋"/>
          <w:sz w:val="24"/>
          <w:szCs w:val="24"/>
        </w:rPr>
      </w:pPr>
      <w:r>
        <w:rPr>
          <w:rFonts w:hint="eastAsia" w:ascii="仿宋" w:hAnsi="仿宋" w:eastAsia="仿宋" w:cs="仿宋"/>
          <w:sz w:val="24"/>
          <w:szCs w:val="24"/>
        </w:rPr>
        <w:t>8.1 产品质保期</w:t>
      </w:r>
      <w:r>
        <w:rPr>
          <w:rFonts w:hint="eastAsia" w:ascii="仿宋" w:hAnsi="仿宋" w:eastAsia="仿宋" w:cs="仿宋"/>
          <w:sz w:val="24"/>
          <w:szCs w:val="24"/>
          <w:u w:val="single"/>
        </w:rPr>
        <w:t xml:space="preserve">    </w:t>
      </w:r>
      <w:r>
        <w:rPr>
          <w:rFonts w:hint="eastAsia" w:ascii="仿宋" w:hAnsi="仿宋" w:eastAsia="仿宋" w:cs="仿宋"/>
          <w:sz w:val="24"/>
          <w:szCs w:val="24"/>
        </w:rPr>
        <w:t>年。（自通过甲方验收合格之日起计）</w:t>
      </w:r>
    </w:p>
    <w:p>
      <w:pPr>
        <w:rPr>
          <w:rFonts w:ascii="仿宋" w:hAnsi="仿宋" w:eastAsia="仿宋" w:cs="仿宋"/>
          <w:sz w:val="24"/>
          <w:szCs w:val="24"/>
        </w:rPr>
      </w:pPr>
      <w:r>
        <w:rPr>
          <w:rFonts w:hint="eastAsia" w:ascii="仿宋" w:hAnsi="仿宋" w:eastAsia="仿宋" w:cs="仿宋"/>
          <w:sz w:val="24"/>
          <w:szCs w:val="24"/>
        </w:rPr>
        <w:t>九、交货期、交货方式及交货地点</w:t>
      </w:r>
    </w:p>
    <w:p>
      <w:pPr>
        <w:rPr>
          <w:rFonts w:ascii="仿宋" w:hAnsi="仿宋" w:eastAsia="仿宋" w:cs="仿宋"/>
          <w:sz w:val="24"/>
          <w:szCs w:val="24"/>
          <w:u w:val="single"/>
        </w:rPr>
      </w:pPr>
      <w:r>
        <w:rPr>
          <w:rFonts w:hint="eastAsia" w:ascii="仿宋" w:hAnsi="仿宋" w:eastAsia="仿宋" w:cs="仿宋"/>
          <w:sz w:val="24"/>
          <w:szCs w:val="24"/>
        </w:rPr>
        <w:t>9.1 交货期：</w:t>
      </w:r>
      <w:r>
        <w:rPr>
          <w:rFonts w:hint="eastAsia" w:ascii="仿宋" w:hAnsi="仿宋" w:eastAsia="仿宋" w:cs="仿宋"/>
          <w:sz w:val="24"/>
          <w:szCs w:val="24"/>
          <w:u w:val="single"/>
        </w:rPr>
        <w:t xml:space="preserve">                       </w:t>
      </w:r>
    </w:p>
    <w:p>
      <w:pPr>
        <w:rPr>
          <w:rFonts w:ascii="仿宋" w:hAnsi="仿宋" w:eastAsia="仿宋" w:cs="仿宋"/>
          <w:sz w:val="24"/>
          <w:szCs w:val="24"/>
          <w:u w:val="single"/>
        </w:rPr>
      </w:pPr>
      <w:r>
        <w:rPr>
          <w:rFonts w:hint="eastAsia" w:ascii="仿宋" w:hAnsi="仿宋" w:eastAsia="仿宋" w:cs="仿宋"/>
          <w:sz w:val="24"/>
          <w:szCs w:val="24"/>
        </w:rPr>
        <w:t>9.2 交货方式：</w:t>
      </w:r>
      <w:r>
        <w:rPr>
          <w:rFonts w:hint="eastAsia" w:ascii="仿宋" w:hAnsi="仿宋" w:eastAsia="仿宋" w:cs="仿宋"/>
          <w:sz w:val="24"/>
          <w:szCs w:val="24"/>
          <w:u w:val="single"/>
        </w:rPr>
        <w:t xml:space="preserve">                     </w:t>
      </w:r>
    </w:p>
    <w:p>
      <w:pPr>
        <w:rPr>
          <w:rFonts w:ascii="仿宋" w:hAnsi="仿宋" w:eastAsia="仿宋" w:cs="仿宋"/>
          <w:sz w:val="24"/>
          <w:szCs w:val="24"/>
        </w:rPr>
      </w:pPr>
      <w:r>
        <w:rPr>
          <w:rFonts w:hint="eastAsia" w:ascii="仿宋" w:hAnsi="仿宋" w:eastAsia="仿宋" w:cs="仿宋"/>
          <w:sz w:val="24"/>
          <w:szCs w:val="24"/>
        </w:rPr>
        <w:t>9.3 交货地点：甲方指定地点</w:t>
      </w:r>
    </w:p>
    <w:p>
      <w:pPr>
        <w:rPr>
          <w:rFonts w:ascii="仿宋" w:hAnsi="仿宋" w:eastAsia="仿宋" w:cs="仿宋"/>
          <w:sz w:val="24"/>
          <w:szCs w:val="24"/>
        </w:rPr>
      </w:pPr>
      <w:r>
        <w:rPr>
          <w:rFonts w:hint="eastAsia" w:ascii="仿宋" w:hAnsi="仿宋" w:eastAsia="仿宋" w:cs="仿宋"/>
          <w:sz w:val="24"/>
          <w:szCs w:val="24"/>
        </w:rPr>
        <w:t>十、货款支付</w:t>
      </w:r>
    </w:p>
    <w:p>
      <w:pPr>
        <w:pStyle w:val="20"/>
        <w:ind w:left="0" w:leftChars="0" w:firstLine="0" w:firstLineChars="0"/>
        <w:rPr>
          <w:rFonts w:ascii="仿宋" w:hAnsi="仿宋" w:eastAsia="仿宋" w:cs="仿宋"/>
          <w:sz w:val="24"/>
          <w:szCs w:val="24"/>
        </w:rPr>
      </w:pPr>
      <w:r>
        <w:rPr>
          <w:rFonts w:hint="eastAsia" w:ascii="仿宋" w:hAnsi="仿宋" w:eastAsia="仿宋" w:cs="仿宋"/>
          <w:sz w:val="24"/>
          <w:szCs w:val="24"/>
        </w:rPr>
        <w:t>10.1货到验收合格后</w:t>
      </w:r>
      <w:r>
        <w:rPr>
          <w:rFonts w:ascii="仿宋" w:hAnsi="仿宋" w:eastAsia="仿宋" w:cs="仿宋"/>
          <w:sz w:val="24"/>
          <w:szCs w:val="24"/>
        </w:rPr>
        <w:t>分期付款</w:t>
      </w:r>
      <w:r>
        <w:rPr>
          <w:rFonts w:hint="eastAsia" w:ascii="仿宋" w:hAnsi="仿宋" w:eastAsia="仿宋" w:cs="仿宋"/>
          <w:sz w:val="24"/>
          <w:szCs w:val="24"/>
        </w:rPr>
        <w:t xml:space="preserve">     </w:t>
      </w:r>
    </w:p>
    <w:p>
      <w:pPr>
        <w:rPr>
          <w:rFonts w:ascii="仿宋" w:hAnsi="仿宋" w:eastAsia="仿宋" w:cs="仿宋"/>
          <w:sz w:val="24"/>
          <w:szCs w:val="24"/>
        </w:rPr>
      </w:pPr>
      <w:r>
        <w:rPr>
          <w:rFonts w:hint="eastAsia" w:ascii="仿宋" w:hAnsi="仿宋" w:eastAsia="仿宋" w:cs="仿宋"/>
          <w:sz w:val="24"/>
          <w:szCs w:val="24"/>
        </w:rPr>
        <w:t>十一.税</w:t>
      </w:r>
    </w:p>
    <w:p>
      <w:pPr>
        <w:rPr>
          <w:rFonts w:ascii="仿宋" w:hAnsi="仿宋" w:eastAsia="仿宋" w:cs="仿宋"/>
          <w:sz w:val="24"/>
          <w:szCs w:val="24"/>
        </w:rPr>
      </w:pPr>
      <w:r>
        <w:rPr>
          <w:rFonts w:hint="eastAsia" w:ascii="仿宋" w:hAnsi="仿宋" w:eastAsia="仿宋" w:cs="仿宋"/>
          <w:sz w:val="24"/>
          <w:szCs w:val="24"/>
        </w:rPr>
        <w:t>11.1本合同执行中相关的一切税费均由乙方负担。</w:t>
      </w:r>
    </w:p>
    <w:p>
      <w:pPr>
        <w:rPr>
          <w:rFonts w:ascii="仿宋" w:hAnsi="仿宋" w:eastAsia="仿宋" w:cs="仿宋"/>
          <w:sz w:val="24"/>
          <w:szCs w:val="24"/>
        </w:rPr>
      </w:pPr>
      <w:r>
        <w:rPr>
          <w:rFonts w:hint="eastAsia" w:ascii="仿宋" w:hAnsi="仿宋" w:eastAsia="仿宋" w:cs="仿宋"/>
          <w:sz w:val="24"/>
          <w:szCs w:val="24"/>
        </w:rPr>
        <w:t>十二、质量保证及售后服务</w:t>
      </w:r>
    </w:p>
    <w:p>
      <w:pPr>
        <w:rPr>
          <w:rFonts w:ascii="仿宋" w:hAnsi="仿宋" w:eastAsia="仿宋" w:cs="仿宋"/>
          <w:sz w:val="24"/>
          <w:szCs w:val="24"/>
        </w:rPr>
      </w:pPr>
      <w:r>
        <w:rPr>
          <w:rFonts w:hint="eastAsia" w:ascii="仿宋" w:hAnsi="仿宋" w:eastAsia="仿宋" w:cs="仿宋"/>
          <w:sz w:val="24"/>
          <w:szCs w:val="24"/>
        </w:rPr>
        <w:t>12.1 乙方应按招标文件规定的产品性能、技术要求、质量标准向甲方提供未经使用的全新产品。</w:t>
      </w:r>
    </w:p>
    <w:p>
      <w:pPr>
        <w:rPr>
          <w:rFonts w:ascii="仿宋" w:hAnsi="仿宋" w:eastAsia="仿宋" w:cs="仿宋"/>
          <w:sz w:val="24"/>
          <w:szCs w:val="24"/>
        </w:rPr>
      </w:pPr>
      <w:r>
        <w:rPr>
          <w:rFonts w:hint="eastAsia" w:ascii="仿宋" w:hAnsi="仿宋" w:eastAsia="仿宋" w:cs="仿宋"/>
          <w:sz w:val="24"/>
          <w:szCs w:val="24"/>
        </w:rPr>
        <w:t>12.2 乙方提供的产品在质量期内因产品本身的质量问题发生故障，乙方应负责免费更换。对达不到技术要求者，根据实际情况，经双方协商，可按以下办法处理：</w:t>
      </w:r>
    </w:p>
    <w:p>
      <w:pPr>
        <w:rPr>
          <w:rFonts w:ascii="仿宋" w:hAnsi="仿宋" w:eastAsia="仿宋" w:cs="仿宋"/>
          <w:sz w:val="24"/>
          <w:szCs w:val="24"/>
        </w:rPr>
      </w:pPr>
      <w:r>
        <w:rPr>
          <w:rFonts w:hint="eastAsia" w:ascii="仿宋" w:hAnsi="仿宋" w:eastAsia="仿宋" w:cs="仿宋"/>
          <w:sz w:val="24"/>
          <w:szCs w:val="24"/>
        </w:rPr>
        <w:t>⑴更换：由乙方承担所发生的全部费用。</w:t>
      </w:r>
    </w:p>
    <w:p>
      <w:pPr>
        <w:rPr>
          <w:rFonts w:ascii="仿宋" w:hAnsi="仿宋" w:eastAsia="仿宋" w:cs="仿宋"/>
          <w:sz w:val="24"/>
          <w:szCs w:val="24"/>
        </w:rPr>
      </w:pPr>
      <w:r>
        <w:rPr>
          <w:rFonts w:hint="eastAsia" w:ascii="仿宋" w:hAnsi="仿宋" w:eastAsia="仿宋" w:cs="仿宋"/>
          <w:sz w:val="24"/>
          <w:szCs w:val="24"/>
        </w:rPr>
        <w:t>⑵贬值处理：由甲乙双方合议定价。</w:t>
      </w:r>
    </w:p>
    <w:p>
      <w:pPr>
        <w:rPr>
          <w:rFonts w:ascii="仿宋" w:hAnsi="仿宋" w:eastAsia="仿宋" w:cs="仿宋"/>
          <w:sz w:val="24"/>
          <w:szCs w:val="24"/>
        </w:rPr>
      </w:pPr>
      <w:r>
        <w:rPr>
          <w:rFonts w:hint="eastAsia" w:ascii="仿宋" w:hAnsi="仿宋" w:eastAsia="仿宋" w:cs="仿宋"/>
          <w:sz w:val="24"/>
          <w:szCs w:val="24"/>
        </w:rPr>
        <w:t>⑶退货处理：乙方应退还甲方支付的合同款，同时应承担该产品的直接费用（运输、保险、检验、货款利息及银行手续费等）。</w:t>
      </w:r>
    </w:p>
    <w:p>
      <w:pPr>
        <w:rPr>
          <w:rFonts w:ascii="仿宋" w:hAnsi="仿宋" w:eastAsia="仿宋" w:cs="仿宋"/>
          <w:sz w:val="24"/>
          <w:szCs w:val="24"/>
        </w:rPr>
      </w:pPr>
      <w:r>
        <w:rPr>
          <w:rFonts w:hint="eastAsia" w:ascii="仿宋" w:hAnsi="仿宋" w:eastAsia="仿宋" w:cs="仿宋"/>
          <w:sz w:val="24"/>
          <w:szCs w:val="24"/>
        </w:rPr>
        <w:t>12.3 如在使用过程中发生质量问题，乙方在接到甲方通知后在___小时内到达甲方现场。</w:t>
      </w:r>
    </w:p>
    <w:p>
      <w:pPr>
        <w:rPr>
          <w:rFonts w:ascii="仿宋" w:hAnsi="仿宋" w:eastAsia="仿宋" w:cs="仿宋"/>
          <w:sz w:val="24"/>
          <w:szCs w:val="24"/>
        </w:rPr>
      </w:pPr>
      <w:r>
        <w:rPr>
          <w:rFonts w:hint="eastAsia" w:ascii="仿宋" w:hAnsi="仿宋" w:eastAsia="仿宋" w:cs="仿宋"/>
          <w:sz w:val="24"/>
          <w:szCs w:val="24"/>
        </w:rPr>
        <w:t>12.4 在维保期内，乙方应对产品出现的质量及安全问题负责处理解决并承担一切费用。</w:t>
      </w:r>
    </w:p>
    <w:p>
      <w:pPr>
        <w:rPr>
          <w:rFonts w:ascii="仿宋" w:hAnsi="仿宋" w:eastAsia="仿宋" w:cs="仿宋"/>
          <w:sz w:val="24"/>
          <w:szCs w:val="24"/>
        </w:rPr>
      </w:pPr>
      <w:r>
        <w:rPr>
          <w:rFonts w:hint="eastAsia" w:ascii="仿宋" w:hAnsi="仿宋" w:eastAsia="仿宋" w:cs="仿宋"/>
          <w:sz w:val="24"/>
          <w:szCs w:val="24"/>
        </w:rPr>
        <w:t>12.5上述的产品的免费保修期为</w:t>
      </w:r>
      <w:r>
        <w:rPr>
          <w:rFonts w:hint="eastAsia" w:ascii="仿宋" w:hAnsi="仿宋" w:eastAsia="仿宋" w:cs="仿宋"/>
          <w:sz w:val="24"/>
          <w:szCs w:val="24"/>
          <w:u w:val="single"/>
        </w:rPr>
        <w:t xml:space="preserve">     </w:t>
      </w:r>
      <w:r>
        <w:rPr>
          <w:rFonts w:hint="eastAsia" w:ascii="仿宋" w:hAnsi="仿宋" w:eastAsia="仿宋" w:cs="仿宋"/>
          <w:sz w:val="24"/>
          <w:szCs w:val="24"/>
        </w:rPr>
        <w:t>年，因人为因素出现的故障不在免费保修范围内。超过保修期后，终生维修，维修时只收部件成本费。</w:t>
      </w:r>
    </w:p>
    <w:p>
      <w:pPr>
        <w:rPr>
          <w:rFonts w:ascii="仿宋" w:hAnsi="仿宋" w:eastAsia="仿宋" w:cs="仿宋"/>
          <w:sz w:val="24"/>
          <w:szCs w:val="24"/>
        </w:rPr>
      </w:pPr>
      <w:r>
        <w:rPr>
          <w:rFonts w:hint="eastAsia" w:ascii="仿宋" w:hAnsi="仿宋" w:eastAsia="仿宋" w:cs="仿宋"/>
          <w:sz w:val="24"/>
          <w:szCs w:val="24"/>
        </w:rPr>
        <w:t>十三、调试和验收</w:t>
      </w:r>
    </w:p>
    <w:p>
      <w:pPr>
        <w:rPr>
          <w:rFonts w:ascii="仿宋" w:hAnsi="仿宋" w:eastAsia="仿宋" w:cs="仿宋"/>
          <w:sz w:val="24"/>
          <w:szCs w:val="24"/>
        </w:rPr>
      </w:pPr>
      <w:r>
        <w:rPr>
          <w:rFonts w:hint="eastAsia" w:ascii="仿宋" w:hAnsi="仿宋" w:eastAsia="仿宋" w:cs="仿宋"/>
          <w:sz w:val="24"/>
          <w:szCs w:val="24"/>
        </w:rPr>
        <w:t>13.1 初验条件：所投软硬件产品全部安装部署到位，产品外观、数量、功能、性能、技术参数以及集成服务等符合招标文件要求。</w:t>
      </w:r>
    </w:p>
    <w:p>
      <w:pPr>
        <w:rPr>
          <w:rFonts w:ascii="仿宋" w:hAnsi="仿宋" w:eastAsia="仿宋" w:cs="仿宋"/>
          <w:sz w:val="24"/>
          <w:szCs w:val="24"/>
        </w:rPr>
      </w:pPr>
      <w:r>
        <w:rPr>
          <w:rFonts w:hint="eastAsia" w:ascii="仿宋" w:hAnsi="仿宋" w:eastAsia="仿宋" w:cs="仿宋"/>
          <w:sz w:val="24"/>
          <w:szCs w:val="24"/>
        </w:rPr>
        <w:t>13.2 终验条件：通过甲方初验后，试运行</w:t>
      </w:r>
      <w:r>
        <w:rPr>
          <w:rFonts w:ascii="仿宋" w:hAnsi="仿宋" w:eastAsia="仿宋" w:cs="仿宋"/>
          <w:sz w:val="24"/>
          <w:szCs w:val="24"/>
        </w:rPr>
        <w:t>3</w:t>
      </w:r>
      <w:r>
        <w:rPr>
          <w:rFonts w:hint="eastAsia" w:ascii="仿宋" w:hAnsi="仿宋" w:eastAsia="仿宋" w:cs="仿宋"/>
          <w:sz w:val="24"/>
          <w:szCs w:val="24"/>
        </w:rPr>
        <w:t>6个月，所投软硬件产品运行正常，满足甲方需求，提交全部报告材料（含中标方在本单位财务独立核算的财务资料）。</w:t>
      </w:r>
    </w:p>
    <w:p>
      <w:pPr>
        <w:rPr>
          <w:rFonts w:ascii="仿宋" w:hAnsi="仿宋" w:eastAsia="仿宋" w:cs="仿宋"/>
          <w:sz w:val="24"/>
          <w:szCs w:val="24"/>
        </w:rPr>
      </w:pPr>
      <w:r>
        <w:rPr>
          <w:rFonts w:hint="eastAsia" w:ascii="仿宋" w:hAnsi="仿宋" w:eastAsia="仿宋" w:cs="仿宋"/>
          <w:sz w:val="24"/>
          <w:szCs w:val="24"/>
        </w:rPr>
        <w:t>13.3 对技术复杂的产品，甲方可请国家认可的专业检测机构参与初步验收及最终验收，并由其出具质量检测报告，验收费用由乙方承担。</w:t>
      </w:r>
    </w:p>
    <w:p>
      <w:pPr>
        <w:rPr>
          <w:rFonts w:ascii="仿宋" w:hAnsi="仿宋" w:eastAsia="仿宋" w:cs="仿宋"/>
          <w:sz w:val="24"/>
          <w:szCs w:val="24"/>
        </w:rPr>
      </w:pPr>
      <w:r>
        <w:rPr>
          <w:rFonts w:hint="eastAsia" w:ascii="仿宋" w:hAnsi="仿宋" w:eastAsia="仿宋" w:cs="仿宋"/>
          <w:sz w:val="24"/>
          <w:szCs w:val="24"/>
        </w:rPr>
        <w:t>十四、产品包装、发运及运输</w:t>
      </w:r>
    </w:p>
    <w:p>
      <w:pPr>
        <w:rPr>
          <w:rFonts w:ascii="仿宋" w:hAnsi="仿宋" w:eastAsia="仿宋" w:cs="仿宋"/>
          <w:sz w:val="24"/>
          <w:szCs w:val="24"/>
        </w:rPr>
      </w:pPr>
      <w:r>
        <w:rPr>
          <w:rFonts w:hint="eastAsia" w:ascii="仿宋" w:hAnsi="仿宋" w:eastAsia="仿宋" w:cs="仿宋"/>
          <w:sz w:val="24"/>
          <w:szCs w:val="24"/>
        </w:rPr>
        <w:t>14.1 乙方应在产品发运前对其进行满足运输距离、防潮、防震、防锈和防破损装卸等要求包装，以保证产品安全运达甲方指定地点。</w:t>
      </w:r>
    </w:p>
    <w:p>
      <w:pPr>
        <w:rPr>
          <w:rFonts w:ascii="仿宋" w:hAnsi="仿宋" w:eastAsia="仿宋" w:cs="仿宋"/>
          <w:sz w:val="24"/>
          <w:szCs w:val="24"/>
        </w:rPr>
      </w:pPr>
      <w:r>
        <w:rPr>
          <w:rFonts w:hint="eastAsia" w:ascii="仿宋" w:hAnsi="仿宋" w:eastAsia="仿宋" w:cs="仿宋"/>
          <w:sz w:val="24"/>
          <w:szCs w:val="24"/>
        </w:rPr>
        <w:t>14.2 使用说明书、质量检验证明书、随配附件和工具以及清单一并附于产品内。</w:t>
      </w:r>
    </w:p>
    <w:p>
      <w:pPr>
        <w:rPr>
          <w:rFonts w:ascii="仿宋" w:hAnsi="仿宋" w:eastAsia="仿宋" w:cs="仿宋"/>
          <w:sz w:val="24"/>
          <w:szCs w:val="24"/>
        </w:rPr>
      </w:pPr>
      <w:r>
        <w:rPr>
          <w:rFonts w:hint="eastAsia" w:ascii="仿宋" w:hAnsi="仿宋" w:eastAsia="仿宋" w:cs="仿宋"/>
          <w:sz w:val="24"/>
          <w:szCs w:val="24"/>
        </w:rPr>
        <w:t>14.3 乙方在产品发运手续办理完毕后24小时内或货到甲方48小时前通知甲方，以准备接货。</w:t>
      </w:r>
    </w:p>
    <w:p>
      <w:pPr>
        <w:rPr>
          <w:rFonts w:ascii="仿宋" w:hAnsi="仿宋" w:eastAsia="仿宋" w:cs="仿宋"/>
          <w:sz w:val="24"/>
          <w:szCs w:val="24"/>
        </w:rPr>
      </w:pPr>
      <w:r>
        <w:rPr>
          <w:rFonts w:hint="eastAsia" w:ascii="仿宋" w:hAnsi="仿宋" w:eastAsia="仿宋" w:cs="仿宋"/>
          <w:sz w:val="24"/>
          <w:szCs w:val="24"/>
        </w:rPr>
        <w:t>14.4 产品在交付甲方前发生的风险均由乙方负责。</w:t>
      </w:r>
    </w:p>
    <w:p>
      <w:pPr>
        <w:rPr>
          <w:rFonts w:ascii="仿宋" w:hAnsi="仿宋" w:eastAsia="仿宋" w:cs="仿宋"/>
          <w:sz w:val="24"/>
          <w:szCs w:val="24"/>
        </w:rPr>
      </w:pPr>
      <w:r>
        <w:rPr>
          <w:rFonts w:hint="eastAsia" w:ascii="仿宋" w:hAnsi="仿宋" w:eastAsia="仿宋" w:cs="仿宋"/>
          <w:sz w:val="24"/>
          <w:szCs w:val="24"/>
        </w:rPr>
        <w:t>14.5 产品在规定的交付期限内由乙方送达甲方指定的地点视为交付，乙方同时需通知甲方产品已送达。</w:t>
      </w:r>
    </w:p>
    <w:p>
      <w:pPr>
        <w:rPr>
          <w:rFonts w:ascii="仿宋" w:hAnsi="仿宋" w:eastAsia="仿宋" w:cs="仿宋"/>
          <w:sz w:val="24"/>
          <w:szCs w:val="24"/>
        </w:rPr>
      </w:pPr>
      <w:r>
        <w:rPr>
          <w:rFonts w:hint="eastAsia" w:ascii="仿宋" w:hAnsi="仿宋" w:eastAsia="仿宋" w:cs="仿宋"/>
          <w:sz w:val="24"/>
          <w:szCs w:val="24"/>
        </w:rPr>
        <w:t>十五、违约责任</w:t>
      </w:r>
    </w:p>
    <w:p>
      <w:pPr>
        <w:rPr>
          <w:rFonts w:ascii="仿宋" w:hAnsi="仿宋" w:eastAsia="仿宋" w:cs="仿宋"/>
          <w:sz w:val="24"/>
          <w:szCs w:val="24"/>
        </w:rPr>
      </w:pPr>
      <w:r>
        <w:rPr>
          <w:rFonts w:hint="eastAsia" w:ascii="仿宋" w:hAnsi="仿宋" w:eastAsia="仿宋" w:cs="仿宋"/>
          <w:sz w:val="24"/>
          <w:szCs w:val="24"/>
        </w:rPr>
        <w:t>15.1 甲方无正当理由拒收产品的，甲方向乙方偿付拒收货款总值的</w:t>
      </w:r>
      <w:r>
        <w:rPr>
          <w:rFonts w:hint="eastAsia" w:ascii="仿宋" w:hAnsi="仿宋" w:eastAsia="仿宋" w:cs="仿宋"/>
          <w:sz w:val="24"/>
          <w:szCs w:val="24"/>
          <w:u w:val="single"/>
        </w:rPr>
        <w:t xml:space="preserve">     </w:t>
      </w:r>
      <w:r>
        <w:rPr>
          <w:rFonts w:hint="eastAsia" w:ascii="仿宋" w:hAnsi="仿宋" w:eastAsia="仿宋" w:cs="仿宋"/>
          <w:sz w:val="24"/>
          <w:szCs w:val="24"/>
        </w:rPr>
        <w:t>违约金。</w:t>
      </w:r>
    </w:p>
    <w:p>
      <w:pPr>
        <w:rPr>
          <w:rFonts w:ascii="仿宋" w:hAnsi="仿宋" w:eastAsia="仿宋" w:cs="仿宋"/>
          <w:sz w:val="24"/>
          <w:szCs w:val="24"/>
        </w:rPr>
      </w:pPr>
      <w:r>
        <w:rPr>
          <w:rFonts w:hint="eastAsia" w:ascii="仿宋" w:hAnsi="仿宋" w:eastAsia="仿宋" w:cs="仿宋"/>
          <w:sz w:val="24"/>
          <w:szCs w:val="24"/>
        </w:rPr>
        <w:t>15.2 甲方无故逾期验收和办理货款支付手续的,甲方应按逾期付款总额每日</w:t>
      </w:r>
      <w:r>
        <w:rPr>
          <w:rFonts w:hint="eastAsia" w:ascii="仿宋" w:hAnsi="仿宋" w:eastAsia="仿宋" w:cs="仿宋"/>
          <w:sz w:val="24"/>
          <w:szCs w:val="24"/>
          <w:u w:val="single"/>
        </w:rPr>
        <w:t xml:space="preserve">     </w:t>
      </w:r>
      <w:r>
        <w:rPr>
          <w:rFonts w:hint="eastAsia" w:ascii="仿宋" w:hAnsi="仿宋" w:eastAsia="仿宋" w:cs="仿宋"/>
          <w:sz w:val="24"/>
          <w:szCs w:val="24"/>
        </w:rPr>
        <w:t>向乙方支付违约金。</w:t>
      </w:r>
    </w:p>
    <w:p>
      <w:pPr>
        <w:rPr>
          <w:rFonts w:ascii="仿宋" w:hAnsi="仿宋" w:eastAsia="仿宋" w:cs="仿宋"/>
          <w:sz w:val="24"/>
          <w:szCs w:val="24"/>
        </w:rPr>
      </w:pPr>
      <w:r>
        <w:rPr>
          <w:rFonts w:hint="eastAsia" w:ascii="仿宋" w:hAnsi="仿宋" w:eastAsia="仿宋" w:cs="仿宋"/>
          <w:sz w:val="24"/>
          <w:szCs w:val="24"/>
        </w:rPr>
        <w:t>15.3 乙方逾期交付产品的，乙方应按逾期交货总额</w:t>
      </w:r>
      <w:r>
        <w:rPr>
          <w:rFonts w:hint="eastAsia" w:ascii="仿宋" w:hAnsi="仿宋" w:eastAsia="仿宋" w:cs="仿宋"/>
          <w:sz w:val="24"/>
          <w:szCs w:val="24"/>
          <w:u w:val="single"/>
        </w:rPr>
        <w:t xml:space="preserve">        </w:t>
      </w:r>
      <w:r>
        <w:rPr>
          <w:rFonts w:hint="eastAsia" w:ascii="仿宋" w:hAnsi="仿宋" w:eastAsia="仿宋" w:cs="仿宋"/>
          <w:sz w:val="24"/>
          <w:szCs w:val="24"/>
        </w:rPr>
        <w:t>向甲方支付违约金，由甲方从待付货款中扣除。逾期超过约定日期</w:t>
      </w:r>
      <w:r>
        <w:rPr>
          <w:rFonts w:hint="eastAsia" w:ascii="仿宋" w:hAnsi="仿宋" w:eastAsia="仿宋" w:cs="仿宋"/>
          <w:sz w:val="24"/>
          <w:szCs w:val="24"/>
          <w:u w:val="single"/>
        </w:rPr>
        <w:t xml:space="preserve">       </w:t>
      </w:r>
      <w:r>
        <w:rPr>
          <w:rFonts w:hint="eastAsia" w:ascii="仿宋" w:hAnsi="仿宋" w:eastAsia="仿宋" w:cs="仿宋"/>
          <w:sz w:val="24"/>
          <w:szCs w:val="24"/>
        </w:rPr>
        <w:t>工作日不能交货的，甲方可解除本合同。乙方因逾期交货或因其他违约行为导致甲方解除合同的，乙方应向甲方支付</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的违约金，如造成甲方损失超过违约金的，超出部分由乙方继续承担赔偿责任。 </w:t>
      </w:r>
    </w:p>
    <w:p>
      <w:pPr>
        <w:rPr>
          <w:rFonts w:ascii="仿宋" w:hAnsi="仿宋" w:eastAsia="仿宋" w:cs="仿宋"/>
          <w:sz w:val="24"/>
          <w:szCs w:val="24"/>
        </w:rPr>
      </w:pPr>
      <w:r>
        <w:rPr>
          <w:rFonts w:hint="eastAsia" w:ascii="仿宋" w:hAnsi="仿宋" w:eastAsia="仿宋" w:cs="仿宋"/>
          <w:sz w:val="24"/>
          <w:szCs w:val="24"/>
        </w:rPr>
        <w:t>15.4 乙方所交的产品品种、型号、规格、技术参数、质量不符合合同规定及招标文件规定标准的，甲方有权拒收该产品，乙方愿意更换产品但逾期交货的，按乙方逾期交货处理。乙方拒绝更换产品的，甲方可单方面解除合同。</w:t>
      </w:r>
    </w:p>
    <w:p>
      <w:pPr>
        <w:rPr>
          <w:rFonts w:ascii="仿宋" w:hAnsi="仿宋" w:eastAsia="仿宋" w:cs="仿宋"/>
          <w:sz w:val="24"/>
          <w:szCs w:val="24"/>
        </w:rPr>
      </w:pPr>
      <w:r>
        <w:rPr>
          <w:rFonts w:hint="eastAsia" w:ascii="仿宋" w:hAnsi="仿宋" w:eastAsia="仿宋" w:cs="仿宋"/>
          <w:sz w:val="24"/>
          <w:szCs w:val="24"/>
        </w:rPr>
        <w:t>十六、不可抗力事件处理</w:t>
      </w:r>
    </w:p>
    <w:p>
      <w:pPr>
        <w:rPr>
          <w:rFonts w:ascii="仿宋" w:hAnsi="仿宋" w:eastAsia="仿宋" w:cs="仿宋"/>
          <w:sz w:val="24"/>
          <w:szCs w:val="24"/>
        </w:rPr>
      </w:pPr>
      <w:r>
        <w:rPr>
          <w:rFonts w:hint="eastAsia" w:ascii="仿宋" w:hAnsi="仿宋" w:eastAsia="仿宋" w:cs="仿宋"/>
          <w:sz w:val="24"/>
          <w:szCs w:val="24"/>
        </w:rPr>
        <w:t>16.1 在合同有效期内，任何一方因不可抗力事件导致不能履行合同，则合同履行期可延长，其延长期与不可抗力影响期相同。</w:t>
      </w:r>
    </w:p>
    <w:p>
      <w:pPr>
        <w:rPr>
          <w:rFonts w:ascii="仿宋" w:hAnsi="仿宋" w:eastAsia="仿宋" w:cs="仿宋"/>
          <w:sz w:val="24"/>
          <w:szCs w:val="24"/>
        </w:rPr>
      </w:pPr>
      <w:r>
        <w:rPr>
          <w:rFonts w:hint="eastAsia" w:ascii="仿宋" w:hAnsi="仿宋" w:eastAsia="仿宋" w:cs="仿宋"/>
          <w:sz w:val="24"/>
          <w:szCs w:val="24"/>
        </w:rPr>
        <w:t>16.2 不可抗力事件发生后，应立即通知对方，并寄送有关权威机构出具的证明。</w:t>
      </w:r>
    </w:p>
    <w:p>
      <w:pPr>
        <w:rPr>
          <w:rFonts w:ascii="仿宋" w:hAnsi="仿宋" w:eastAsia="仿宋" w:cs="仿宋"/>
          <w:sz w:val="24"/>
          <w:szCs w:val="24"/>
        </w:rPr>
      </w:pPr>
      <w:r>
        <w:rPr>
          <w:rFonts w:hint="eastAsia" w:ascii="仿宋" w:hAnsi="仿宋" w:eastAsia="仿宋" w:cs="仿宋"/>
          <w:sz w:val="24"/>
          <w:szCs w:val="24"/>
        </w:rPr>
        <w:t>16.3 不可抗力事件延续</w:t>
      </w:r>
      <w:r>
        <w:rPr>
          <w:rFonts w:hint="eastAsia" w:ascii="仿宋" w:hAnsi="仿宋" w:eastAsia="仿宋" w:cs="仿宋"/>
          <w:sz w:val="24"/>
          <w:szCs w:val="24"/>
          <w:u w:val="single"/>
        </w:rPr>
        <w:t xml:space="preserve">    </w:t>
      </w:r>
      <w:r>
        <w:rPr>
          <w:rFonts w:hint="eastAsia" w:ascii="仿宋" w:hAnsi="仿宋" w:eastAsia="仿宋" w:cs="仿宋"/>
          <w:sz w:val="24"/>
          <w:szCs w:val="24"/>
        </w:rPr>
        <w:t>天以上，双方应通过友好协商，确定是否继续履行合同。</w:t>
      </w:r>
    </w:p>
    <w:p>
      <w:pPr>
        <w:rPr>
          <w:rFonts w:ascii="仿宋" w:hAnsi="仿宋" w:eastAsia="仿宋" w:cs="仿宋"/>
          <w:sz w:val="24"/>
          <w:szCs w:val="24"/>
        </w:rPr>
      </w:pPr>
      <w:r>
        <w:rPr>
          <w:rFonts w:hint="eastAsia" w:ascii="仿宋" w:hAnsi="仿宋" w:eastAsia="仿宋" w:cs="仿宋"/>
          <w:sz w:val="24"/>
          <w:szCs w:val="24"/>
        </w:rPr>
        <w:t>十七、诉讼</w:t>
      </w:r>
    </w:p>
    <w:p>
      <w:pPr>
        <w:rPr>
          <w:rFonts w:ascii="仿宋" w:hAnsi="仿宋" w:eastAsia="仿宋" w:cs="仿宋"/>
          <w:sz w:val="24"/>
          <w:szCs w:val="24"/>
        </w:rPr>
      </w:pPr>
      <w:r>
        <w:rPr>
          <w:rFonts w:hint="eastAsia" w:ascii="仿宋" w:hAnsi="仿宋" w:eastAsia="仿宋" w:cs="仿宋"/>
          <w:sz w:val="24"/>
          <w:szCs w:val="24"/>
        </w:rPr>
        <w:t>17.1 双方在执行合同中所发生的一切争议，应通过协商解决。如协商不成，可向合同签订地法院起诉，合同签订地在此约定为乌鲁木齐市。</w:t>
      </w:r>
    </w:p>
    <w:p>
      <w:pPr>
        <w:rPr>
          <w:rFonts w:ascii="仿宋" w:hAnsi="仿宋" w:eastAsia="仿宋" w:cs="仿宋"/>
          <w:sz w:val="24"/>
          <w:szCs w:val="24"/>
        </w:rPr>
      </w:pPr>
      <w:r>
        <w:rPr>
          <w:rFonts w:hint="eastAsia" w:ascii="仿宋" w:hAnsi="仿宋" w:eastAsia="仿宋" w:cs="仿宋"/>
          <w:sz w:val="24"/>
          <w:szCs w:val="24"/>
        </w:rPr>
        <w:t>十八、组成本合同的文件包括：</w:t>
      </w:r>
    </w:p>
    <w:p>
      <w:pPr>
        <w:rPr>
          <w:rFonts w:ascii="仿宋" w:hAnsi="仿宋" w:eastAsia="仿宋" w:cs="仿宋"/>
          <w:sz w:val="24"/>
          <w:szCs w:val="24"/>
        </w:rPr>
      </w:pPr>
      <w:r>
        <w:rPr>
          <w:rFonts w:hint="eastAsia" w:ascii="仿宋" w:hAnsi="仿宋" w:eastAsia="仿宋" w:cs="仿宋"/>
          <w:sz w:val="24"/>
          <w:szCs w:val="24"/>
        </w:rPr>
        <w:t>18.1合同通用条款和专用条款；</w:t>
      </w:r>
    </w:p>
    <w:p>
      <w:pPr>
        <w:rPr>
          <w:rFonts w:ascii="仿宋" w:hAnsi="仿宋" w:eastAsia="仿宋" w:cs="仿宋"/>
          <w:sz w:val="24"/>
          <w:szCs w:val="24"/>
        </w:rPr>
      </w:pPr>
      <w:r>
        <w:rPr>
          <w:rFonts w:hint="eastAsia" w:ascii="仿宋" w:hAnsi="仿宋" w:eastAsia="仿宋" w:cs="仿宋"/>
          <w:sz w:val="24"/>
          <w:szCs w:val="24"/>
        </w:rPr>
        <w:t>18.2采购文件和乙方的投标文件；</w:t>
      </w:r>
    </w:p>
    <w:p>
      <w:pPr>
        <w:rPr>
          <w:rFonts w:ascii="仿宋" w:hAnsi="仿宋" w:eastAsia="仿宋" w:cs="仿宋"/>
          <w:sz w:val="24"/>
          <w:szCs w:val="24"/>
        </w:rPr>
      </w:pPr>
      <w:r>
        <w:rPr>
          <w:rFonts w:hint="eastAsia" w:ascii="仿宋" w:hAnsi="仿宋" w:eastAsia="仿宋" w:cs="仿宋"/>
          <w:sz w:val="24"/>
          <w:szCs w:val="24"/>
        </w:rPr>
        <w:t>18.3中标通知书；</w:t>
      </w:r>
    </w:p>
    <w:p>
      <w:pPr>
        <w:rPr>
          <w:rFonts w:ascii="仿宋" w:hAnsi="仿宋" w:eastAsia="仿宋" w:cs="仿宋"/>
          <w:sz w:val="24"/>
          <w:szCs w:val="24"/>
        </w:rPr>
      </w:pPr>
      <w:r>
        <w:rPr>
          <w:rFonts w:hint="eastAsia" w:ascii="仿宋" w:hAnsi="仿宋" w:eastAsia="仿宋" w:cs="仿宋"/>
          <w:sz w:val="24"/>
          <w:szCs w:val="24"/>
        </w:rPr>
        <w:t>18.4甲乙双方商定的其他必要文件。</w:t>
      </w:r>
    </w:p>
    <w:p>
      <w:pPr>
        <w:rPr>
          <w:rFonts w:ascii="仿宋" w:hAnsi="仿宋" w:eastAsia="仿宋" w:cs="仿宋"/>
          <w:sz w:val="24"/>
          <w:szCs w:val="24"/>
        </w:rPr>
      </w:pPr>
      <w:r>
        <w:rPr>
          <w:rFonts w:hint="eastAsia" w:ascii="仿宋" w:hAnsi="仿宋" w:eastAsia="仿宋" w:cs="仿宋"/>
          <w:sz w:val="24"/>
          <w:szCs w:val="24"/>
        </w:rPr>
        <w:t>上述合同文件内容互为补充，如有不明确，由甲方负责解释。</w:t>
      </w:r>
    </w:p>
    <w:p>
      <w:pPr>
        <w:rPr>
          <w:rFonts w:ascii="仿宋" w:hAnsi="仿宋" w:eastAsia="仿宋" w:cs="仿宋"/>
          <w:sz w:val="24"/>
          <w:szCs w:val="24"/>
        </w:rPr>
      </w:pPr>
      <w:r>
        <w:rPr>
          <w:rFonts w:hint="eastAsia" w:ascii="仿宋" w:hAnsi="仿宋" w:eastAsia="仿宋" w:cs="仿宋"/>
          <w:sz w:val="24"/>
          <w:szCs w:val="24"/>
        </w:rPr>
        <w:t>十九、合同生效及其它</w:t>
      </w:r>
    </w:p>
    <w:p>
      <w:pPr>
        <w:rPr>
          <w:rFonts w:ascii="仿宋" w:hAnsi="仿宋" w:eastAsia="仿宋" w:cs="仿宋"/>
          <w:sz w:val="24"/>
          <w:szCs w:val="24"/>
        </w:rPr>
      </w:pPr>
      <w:r>
        <w:rPr>
          <w:rFonts w:hint="eastAsia" w:ascii="仿宋" w:hAnsi="仿宋" w:eastAsia="仿宋" w:cs="仿宋"/>
          <w:sz w:val="24"/>
          <w:szCs w:val="24"/>
        </w:rPr>
        <w:t>19.1 合同经双方法定代表人或授权委托代表人签字并加盖单位公章后生效。</w:t>
      </w:r>
    </w:p>
    <w:p>
      <w:pPr>
        <w:rPr>
          <w:rFonts w:ascii="仿宋" w:hAnsi="仿宋" w:eastAsia="仿宋" w:cs="仿宋"/>
          <w:sz w:val="24"/>
          <w:szCs w:val="24"/>
        </w:rPr>
      </w:pPr>
      <w:r>
        <w:rPr>
          <w:rFonts w:hint="eastAsia" w:ascii="仿宋" w:hAnsi="仿宋" w:eastAsia="仿宋" w:cs="仿宋"/>
          <w:sz w:val="24"/>
          <w:szCs w:val="24"/>
        </w:rPr>
        <w:t>19.2本合同未尽事宜，遵照《合同法》有关条文执行。</w:t>
      </w:r>
    </w:p>
    <w:p>
      <w:pPr>
        <w:rPr>
          <w:rFonts w:ascii="仿宋" w:hAnsi="仿宋" w:eastAsia="仿宋" w:cs="仿宋"/>
          <w:sz w:val="24"/>
          <w:szCs w:val="24"/>
        </w:rPr>
      </w:pPr>
      <w:r>
        <w:rPr>
          <w:rFonts w:hint="eastAsia" w:ascii="仿宋" w:hAnsi="仿宋" w:eastAsia="仿宋" w:cs="仿宋"/>
          <w:sz w:val="24"/>
          <w:szCs w:val="24"/>
        </w:rPr>
        <w:t>19.3 本合同正本一式三份，具有同等法律效力，甲方、乙方及财政监管部门各执一份。</w:t>
      </w:r>
    </w:p>
    <w:p>
      <w:pPr>
        <w:rPr>
          <w:rFonts w:ascii="仿宋" w:hAnsi="仿宋" w:eastAsia="仿宋" w:cs="仿宋"/>
          <w:sz w:val="24"/>
          <w:szCs w:val="24"/>
        </w:rPr>
      </w:pPr>
      <w:r>
        <w:rPr>
          <w:rFonts w:hint="eastAsia" w:ascii="仿宋" w:hAnsi="仿宋" w:eastAsia="仿宋" w:cs="仿宋"/>
          <w:sz w:val="24"/>
          <w:szCs w:val="24"/>
        </w:rPr>
        <w:t xml:space="preserve">  甲方：                        乙方： </w:t>
      </w:r>
    </w:p>
    <w:p>
      <w:pPr>
        <w:rPr>
          <w:rFonts w:ascii="仿宋" w:hAnsi="仿宋" w:eastAsia="仿宋" w:cs="仿宋"/>
          <w:sz w:val="24"/>
          <w:szCs w:val="24"/>
        </w:rPr>
      </w:pPr>
      <w:r>
        <w:rPr>
          <w:rFonts w:hint="eastAsia" w:ascii="仿宋" w:hAnsi="仿宋" w:eastAsia="仿宋" w:cs="仿宋"/>
          <w:sz w:val="24"/>
          <w:szCs w:val="24"/>
        </w:rPr>
        <w:t xml:space="preserve">  地址：                       地址： </w:t>
      </w:r>
    </w:p>
    <w:p>
      <w:pPr>
        <w:rPr>
          <w:rFonts w:ascii="仿宋" w:hAnsi="仿宋" w:eastAsia="仿宋" w:cs="仿宋"/>
          <w:sz w:val="24"/>
          <w:szCs w:val="24"/>
        </w:rPr>
      </w:pPr>
      <w:r>
        <w:rPr>
          <w:rFonts w:hint="eastAsia" w:ascii="仿宋" w:hAnsi="仿宋" w:eastAsia="仿宋" w:cs="仿宋"/>
          <w:sz w:val="24"/>
          <w:szCs w:val="24"/>
        </w:rPr>
        <w:t xml:space="preserve"> </w:t>
      </w:r>
    </w:p>
    <w:p>
      <w:pPr>
        <w:rPr>
          <w:rFonts w:ascii="仿宋" w:hAnsi="仿宋" w:eastAsia="仿宋" w:cs="仿宋"/>
          <w:sz w:val="24"/>
          <w:szCs w:val="24"/>
        </w:rPr>
      </w:pPr>
      <w:r>
        <w:rPr>
          <w:rFonts w:hint="eastAsia" w:ascii="仿宋" w:hAnsi="仿宋" w:eastAsia="仿宋" w:cs="仿宋"/>
          <w:sz w:val="24"/>
          <w:szCs w:val="24"/>
        </w:rPr>
        <w:t>法定代表人或授权代表：        法定代表人或授权代表：</w:t>
      </w:r>
    </w:p>
    <w:p>
      <w:pPr>
        <w:pStyle w:val="27"/>
        <w:jc w:val="center"/>
        <w:rPr>
          <w:rFonts w:ascii="仿宋" w:hAnsi="仿宋" w:eastAsia="仿宋" w:cs="仿宋"/>
          <w:color w:val="auto"/>
        </w:rPr>
      </w:pPr>
      <w:r>
        <w:rPr>
          <w:rFonts w:hint="eastAsia" w:ascii="仿宋" w:hAnsi="仿宋" w:eastAsia="仿宋" w:cs="仿宋"/>
          <w:color w:val="auto"/>
        </w:rPr>
        <w:t>联系电话：                    联系电话：           签订日期：      年  月  日</w:t>
      </w:r>
    </w:p>
    <w:p>
      <w:pPr>
        <w:pStyle w:val="17"/>
      </w:pPr>
    </w:p>
    <w:p>
      <w:pPr>
        <w:jc w:val="center"/>
        <w:outlineLvl w:val="1"/>
        <w:rPr>
          <w:rFonts w:ascii="仿宋" w:hAnsi="仿宋" w:eastAsia="仿宋" w:cs="仿宋"/>
          <w:b/>
          <w:bCs/>
          <w:sz w:val="32"/>
          <w:szCs w:val="32"/>
        </w:rPr>
      </w:pPr>
      <w:bookmarkStart w:id="312" w:name="_Toc7288"/>
      <w:bookmarkStart w:id="313" w:name="_Toc15131"/>
      <w:bookmarkStart w:id="314" w:name="_Toc19626"/>
      <w:bookmarkStart w:id="315" w:name="_Toc9026"/>
      <w:bookmarkStart w:id="316" w:name="_Toc26721_WPSOffice_Level2"/>
      <w:bookmarkStart w:id="317" w:name="_Toc22702"/>
      <w:bookmarkStart w:id="318" w:name="_Toc20692"/>
      <w:bookmarkStart w:id="319" w:name="_Toc28748"/>
      <w:bookmarkStart w:id="320" w:name="_Toc1978"/>
      <w:bookmarkStart w:id="321" w:name="_Toc6145"/>
      <w:bookmarkStart w:id="322" w:name="_Toc9472"/>
      <w:bookmarkStart w:id="323" w:name="_Toc11969"/>
      <w:bookmarkStart w:id="324" w:name="_Toc17272"/>
      <w:bookmarkStart w:id="325" w:name="_Toc1711"/>
      <w:bookmarkStart w:id="326" w:name="_Toc8133"/>
      <w:bookmarkStart w:id="327" w:name="_Toc22825"/>
    </w:p>
    <w:p>
      <w:pPr>
        <w:jc w:val="center"/>
        <w:outlineLvl w:val="1"/>
        <w:rPr>
          <w:rFonts w:ascii="仿宋" w:hAnsi="仿宋" w:eastAsia="仿宋" w:cs="仿宋"/>
          <w:b/>
          <w:bCs/>
          <w:sz w:val="32"/>
          <w:szCs w:val="32"/>
        </w:rPr>
      </w:pPr>
      <w:bookmarkStart w:id="328" w:name="_Toc8556"/>
      <w:r>
        <w:rPr>
          <w:rFonts w:hint="eastAsia" w:ascii="仿宋" w:hAnsi="仿宋" w:eastAsia="仿宋" w:cs="仿宋"/>
          <w:b/>
          <w:bCs/>
          <w:sz w:val="32"/>
          <w:szCs w:val="32"/>
        </w:rPr>
        <w:t>第三章 项目验收</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ind w:firstLine="482" w:firstLineChars="200"/>
        <w:rPr>
          <w:rFonts w:ascii="仿宋" w:hAnsi="仿宋" w:eastAsia="仿宋" w:cs="仿宋"/>
          <w:b/>
          <w:bCs/>
          <w:sz w:val="24"/>
          <w:szCs w:val="24"/>
        </w:rPr>
      </w:pPr>
      <w:r>
        <w:rPr>
          <w:rFonts w:hint="eastAsia" w:ascii="仿宋" w:hAnsi="仿宋" w:eastAsia="仿宋" w:cs="仿宋"/>
          <w:b/>
          <w:bCs/>
          <w:sz w:val="24"/>
          <w:szCs w:val="24"/>
        </w:rPr>
        <w:t>31、组织验收</w:t>
      </w:r>
    </w:p>
    <w:p>
      <w:pPr>
        <w:ind w:firstLine="480" w:firstLineChars="200"/>
        <w:rPr>
          <w:rFonts w:ascii="仿宋" w:hAnsi="仿宋" w:eastAsia="仿宋" w:cs="仿宋"/>
          <w:bCs/>
          <w:sz w:val="24"/>
          <w:szCs w:val="24"/>
        </w:rPr>
      </w:pPr>
      <w:r>
        <w:rPr>
          <w:rFonts w:hint="eastAsia" w:ascii="仿宋" w:hAnsi="仿宋" w:eastAsia="仿宋" w:cs="仿宋"/>
          <w:bCs/>
          <w:sz w:val="24"/>
          <w:szCs w:val="24"/>
        </w:rPr>
        <w:t xml:space="preserve">31.1  政府采购合同及投标承诺是政府采购项目验收的依据，是采购人和投标人之间的权利和义务。投标人、采购人应按照采购合同的约定，全面履行合同。任何一方当事人在履行合同过程中均不得擅自变更、中止或终止合同。 </w:t>
      </w:r>
    </w:p>
    <w:p>
      <w:pPr>
        <w:ind w:firstLine="480" w:firstLineChars="200"/>
        <w:rPr>
          <w:rFonts w:ascii="仿宋" w:hAnsi="仿宋" w:eastAsia="仿宋" w:cs="仿宋"/>
          <w:bCs/>
          <w:sz w:val="24"/>
          <w:szCs w:val="24"/>
        </w:rPr>
      </w:pPr>
      <w:r>
        <w:rPr>
          <w:rFonts w:hint="eastAsia" w:ascii="仿宋" w:hAnsi="仿宋" w:eastAsia="仿宋" w:cs="仿宋"/>
          <w:bCs/>
          <w:sz w:val="24"/>
          <w:szCs w:val="24"/>
        </w:rPr>
        <w:t>31.2  采购人应当成立验收小组,按照采购合同的约定对投标人履约情况进行验收。验收时,应当按照采购合同的约定对每一项技术、服务、安全标准的履约情况进行确认。 </w:t>
      </w:r>
    </w:p>
    <w:p>
      <w:pPr>
        <w:ind w:firstLine="480" w:firstLineChars="200"/>
        <w:rPr>
          <w:rFonts w:ascii="仿宋" w:hAnsi="仿宋" w:eastAsia="仿宋" w:cs="仿宋"/>
          <w:bCs/>
          <w:sz w:val="24"/>
          <w:szCs w:val="24"/>
        </w:rPr>
      </w:pPr>
      <w:r>
        <w:rPr>
          <w:rFonts w:hint="eastAsia" w:ascii="仿宋" w:hAnsi="仿宋" w:eastAsia="仿宋" w:cs="仿宋"/>
          <w:bCs/>
          <w:sz w:val="24"/>
          <w:szCs w:val="24"/>
        </w:rPr>
        <w:t>31.3 验收结束后,应当出具验收书,列明各项标准的验收情况及项目总体评价,由验收双方共同签署。验收结果应当与采购合同约定的资金支付及履约保证金返还条件挂钩。履约验收的各项资料应当存档备查</w:t>
      </w:r>
    </w:p>
    <w:p>
      <w:pPr>
        <w:ind w:firstLine="480" w:firstLineChars="200"/>
        <w:rPr>
          <w:rFonts w:ascii="仿宋" w:hAnsi="仿宋" w:eastAsia="仿宋" w:cs="仿宋"/>
          <w:bCs/>
          <w:sz w:val="24"/>
          <w:szCs w:val="24"/>
        </w:rPr>
      </w:pPr>
      <w:r>
        <w:rPr>
          <w:rFonts w:hint="eastAsia" w:ascii="仿宋" w:hAnsi="仿宋" w:eastAsia="仿宋" w:cs="仿宋"/>
          <w:bCs/>
          <w:sz w:val="24"/>
          <w:szCs w:val="24"/>
        </w:rPr>
        <w:t>31.4 对于采购人和使用人分离的采购项目,应当邀请实际使用人参与验收。采购人可以邀请参加本项目的其他投标人或第三方专业机构及专家参与验收,相关验收意见作为验收书的参考资料。政府向社会公众提供的公共服务项目,验收时应当邀请服务对象参与并出具意见,验收结果应当向社会公告。 </w:t>
      </w:r>
    </w:p>
    <w:p>
      <w:pPr>
        <w:jc w:val="center"/>
        <w:outlineLvl w:val="0"/>
        <w:rPr>
          <w:rFonts w:ascii="仿宋" w:hAnsi="仿宋" w:eastAsia="仿宋" w:cs="仿宋"/>
          <w:b/>
          <w:bCs/>
          <w:sz w:val="32"/>
          <w:szCs w:val="32"/>
        </w:rPr>
      </w:pPr>
      <w:bookmarkStart w:id="329" w:name="_Toc15421"/>
      <w:r>
        <w:rPr>
          <w:rFonts w:hint="eastAsia" w:ascii="仿宋" w:hAnsi="仿宋" w:eastAsia="仿宋" w:cs="仿宋"/>
          <w:bCs/>
          <w:sz w:val="24"/>
          <w:szCs w:val="24"/>
        </w:rPr>
        <w:br w:type="page"/>
      </w:r>
      <w:bookmarkStart w:id="330" w:name="_Toc2782"/>
      <w:r>
        <w:rPr>
          <w:rFonts w:hint="eastAsia" w:ascii="宋体" w:hAnsi="宋体"/>
          <w:b/>
          <w:sz w:val="36"/>
        </w:rPr>
        <w:t xml:space="preserve">第六部分 </w:t>
      </w:r>
      <w:r>
        <w:rPr>
          <w:rFonts w:hint="eastAsia" w:ascii="宋体" w:hAnsi="宋体"/>
          <w:b/>
          <w:sz w:val="36"/>
          <w:szCs w:val="36"/>
        </w:rPr>
        <w:t>投标文件范本格式</w:t>
      </w:r>
      <w:bookmarkEnd w:id="329"/>
      <w:bookmarkEnd w:id="330"/>
    </w:p>
    <w:p>
      <w:pPr>
        <w:rPr>
          <w:b/>
          <w:bCs/>
        </w:rPr>
      </w:pPr>
    </w:p>
    <w:p>
      <w:pPr>
        <w:pStyle w:val="2"/>
        <w:ind w:firstLine="0" w:firstLineChars="0"/>
        <w:jc w:val="center"/>
        <w:outlineLvl w:val="1"/>
        <w:rPr>
          <w:rFonts w:ascii="仿宋" w:hAnsi="仿宋" w:eastAsia="仿宋" w:cs="仿宋"/>
          <w:sz w:val="32"/>
          <w:szCs w:val="32"/>
        </w:rPr>
      </w:pPr>
      <w:bookmarkStart w:id="331" w:name="_Toc12487"/>
      <w:r>
        <w:rPr>
          <w:rFonts w:hint="eastAsia" w:ascii="仿宋" w:hAnsi="仿宋" w:eastAsia="仿宋" w:cs="仿宋"/>
          <w:b/>
          <w:bCs/>
          <w:sz w:val="32"/>
          <w:szCs w:val="32"/>
        </w:rPr>
        <w:t>（一）投标文件封面</w:t>
      </w:r>
      <w:bookmarkEnd w:id="331"/>
    </w:p>
    <w:tbl>
      <w:tblPr>
        <w:tblStyle w:val="21"/>
        <w:tblW w:w="9120"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4" w:hRule="atLeast"/>
        </w:trPr>
        <w:tc>
          <w:tcPr>
            <w:tcW w:w="9120" w:type="dxa"/>
            <w:tcBorders>
              <w:top w:val="single" w:color="auto" w:sz="4" w:space="0"/>
              <w:left w:val="single" w:color="auto" w:sz="4" w:space="0"/>
              <w:bottom w:val="single" w:color="auto" w:sz="4" w:space="0"/>
              <w:right w:val="single" w:color="auto" w:sz="4" w:space="0"/>
            </w:tcBorders>
          </w:tcPr>
          <w:p>
            <w:pPr>
              <w:pStyle w:val="27"/>
              <w:widowControl/>
              <w:jc w:val="both"/>
              <w:rPr>
                <w:rFonts w:ascii="黑体" w:hAnsi="宋体" w:eastAsia="黑体" w:cs="黑体"/>
                <w:b/>
                <w:color w:val="auto"/>
                <w:sz w:val="48"/>
                <w:szCs w:val="48"/>
              </w:rPr>
            </w:pPr>
          </w:p>
          <w:p>
            <w:pPr>
              <w:pStyle w:val="27"/>
              <w:widowControl/>
              <w:jc w:val="both"/>
              <w:rPr>
                <w:rFonts w:ascii="黑体" w:hAnsi="宋体" w:eastAsia="黑体" w:cs="黑体"/>
                <w:b/>
                <w:color w:val="auto"/>
                <w:sz w:val="48"/>
                <w:szCs w:val="48"/>
              </w:rPr>
            </w:pPr>
            <w:r>
              <w:rPr>
                <w:rFonts w:hint="eastAsia" w:ascii="黑体" w:hAnsi="宋体" w:eastAsia="黑体" w:cs="黑体"/>
                <w:b/>
                <w:color w:val="auto"/>
                <w:sz w:val="48"/>
                <w:szCs w:val="48"/>
              </w:rPr>
              <w:t xml:space="preserve">     </w:t>
            </w:r>
          </w:p>
          <w:p>
            <w:pPr>
              <w:pStyle w:val="27"/>
              <w:widowControl/>
              <w:jc w:val="both"/>
              <w:rPr>
                <w:rFonts w:ascii="黑体" w:hAnsi="宋体" w:eastAsia="黑体" w:cs="黑体"/>
                <w:b/>
                <w:color w:val="auto"/>
                <w:sz w:val="48"/>
                <w:szCs w:val="48"/>
              </w:rPr>
            </w:pPr>
          </w:p>
          <w:p>
            <w:pPr>
              <w:pStyle w:val="27"/>
              <w:widowControl/>
              <w:ind w:firstLine="1446" w:firstLineChars="300"/>
              <w:jc w:val="both"/>
              <w:rPr>
                <w:rFonts w:ascii="黑体" w:hAnsi="宋体" w:eastAsia="黑体" w:cs="黑体"/>
                <w:color w:val="auto"/>
                <w:sz w:val="48"/>
              </w:rPr>
            </w:pPr>
            <w:r>
              <w:rPr>
                <w:rFonts w:hint="eastAsia" w:ascii="黑体" w:hAnsi="宋体" w:eastAsia="黑体" w:cs="黑体"/>
                <w:b/>
                <w:color w:val="auto"/>
                <w:sz w:val="48"/>
                <w:szCs w:val="48"/>
              </w:rPr>
              <w:t xml:space="preserve"> </w:t>
            </w:r>
            <w:r>
              <w:rPr>
                <w:rFonts w:hint="eastAsia" w:ascii="黑体" w:hAnsi="宋体" w:eastAsia="黑体" w:cs="黑体"/>
                <w:b/>
                <w:color w:val="auto"/>
                <w:sz w:val="48"/>
                <w:szCs w:val="48"/>
                <w:u w:val="single"/>
              </w:rPr>
              <w:t xml:space="preserve">                         </w:t>
            </w:r>
            <w:r>
              <w:rPr>
                <w:rFonts w:hint="eastAsia" w:ascii="黑体" w:hAnsi="宋体" w:eastAsia="黑体" w:cs="黑体"/>
                <w:b/>
                <w:color w:val="auto"/>
                <w:sz w:val="48"/>
                <w:szCs w:val="48"/>
              </w:rPr>
              <w:t>项目</w:t>
            </w:r>
          </w:p>
          <w:p>
            <w:pPr>
              <w:pStyle w:val="27"/>
              <w:widowControl/>
              <w:jc w:val="both"/>
              <w:rPr>
                <w:rFonts w:ascii="宋体" w:hAnsi="宋体" w:cs="宋体"/>
                <w:color w:val="auto"/>
                <w:sz w:val="32"/>
              </w:rPr>
            </w:pPr>
            <w:r>
              <w:rPr>
                <w:rFonts w:hint="eastAsia" w:ascii="宋体" w:hAnsi="宋体" w:cs="宋体"/>
                <w:color w:val="auto"/>
                <w:sz w:val="32"/>
              </w:rPr>
              <w:t xml:space="preserve">      </w:t>
            </w:r>
          </w:p>
          <w:p>
            <w:pPr>
              <w:pStyle w:val="27"/>
              <w:widowControl/>
              <w:jc w:val="both"/>
              <w:rPr>
                <w:rFonts w:ascii="宋体" w:hAnsi="宋体" w:cs="宋体"/>
                <w:color w:val="auto"/>
                <w:sz w:val="32"/>
              </w:rPr>
            </w:pPr>
          </w:p>
          <w:p>
            <w:pPr>
              <w:pStyle w:val="27"/>
              <w:widowControl/>
              <w:jc w:val="center"/>
              <w:rPr>
                <w:rFonts w:ascii="黑体" w:hAnsi="华文中宋" w:eastAsia="黑体" w:cs="黑体"/>
                <w:color w:val="auto"/>
                <w:sz w:val="96"/>
              </w:rPr>
            </w:pPr>
            <w:r>
              <w:rPr>
                <w:rFonts w:hint="eastAsia" w:ascii="黑体" w:hAnsi="华文中宋" w:eastAsia="黑体" w:cs="黑体"/>
                <w:color w:val="auto"/>
                <w:sz w:val="96"/>
                <w:szCs w:val="112"/>
              </w:rPr>
              <w:t>投标文件</w:t>
            </w:r>
          </w:p>
          <w:p>
            <w:pPr>
              <w:pStyle w:val="27"/>
              <w:widowControl/>
              <w:jc w:val="both"/>
              <w:rPr>
                <w:rFonts w:ascii="黑体" w:hAnsi="宋体" w:eastAsia="黑体" w:cs="黑体"/>
                <w:color w:val="auto"/>
                <w:sz w:val="32"/>
              </w:rPr>
            </w:pPr>
          </w:p>
          <w:p>
            <w:pPr>
              <w:pStyle w:val="27"/>
              <w:widowControl/>
              <w:jc w:val="both"/>
              <w:rPr>
                <w:rFonts w:ascii="仿宋_GB2312" w:hAnsi="宋体" w:eastAsia="仿宋_GB2312" w:cs="仿宋_GB2312"/>
                <w:b/>
                <w:color w:val="auto"/>
                <w:sz w:val="32"/>
                <w:szCs w:val="31"/>
              </w:rPr>
            </w:pPr>
          </w:p>
          <w:p>
            <w:pPr>
              <w:pStyle w:val="27"/>
              <w:widowControl/>
              <w:ind w:firstLine="1928" w:firstLineChars="600"/>
              <w:jc w:val="both"/>
              <w:rPr>
                <w:rFonts w:ascii="楷体_GB2312" w:hAnsi="宋体" w:eastAsia="楷体_GB2312" w:cs="楷体_GB2312"/>
                <w:b/>
                <w:color w:val="auto"/>
                <w:sz w:val="32"/>
                <w:szCs w:val="31"/>
                <w:u w:val="single"/>
              </w:rPr>
            </w:pPr>
            <w:r>
              <w:rPr>
                <w:rFonts w:hint="eastAsia" w:ascii="楷体_GB2312" w:hAnsi="宋体" w:eastAsia="楷体_GB2312" w:cs="楷体_GB2312"/>
                <w:b/>
                <w:color w:val="auto"/>
                <w:sz w:val="32"/>
                <w:szCs w:val="31"/>
              </w:rPr>
              <w:t>项目名称：</w:t>
            </w:r>
            <w:r>
              <w:rPr>
                <w:rFonts w:hint="eastAsia" w:ascii="楷体_GB2312" w:hAnsi="宋体" w:eastAsia="楷体_GB2312" w:cs="楷体_GB2312"/>
                <w:b/>
                <w:color w:val="auto"/>
                <w:sz w:val="32"/>
                <w:szCs w:val="31"/>
                <w:u w:val="single"/>
              </w:rPr>
              <w:t xml:space="preserve">                       </w:t>
            </w:r>
          </w:p>
          <w:p>
            <w:pPr>
              <w:pStyle w:val="27"/>
              <w:widowControl/>
              <w:ind w:firstLine="1928" w:firstLineChars="600"/>
              <w:jc w:val="both"/>
              <w:rPr>
                <w:rFonts w:ascii="楷体_GB2312" w:hAnsi="宋体" w:eastAsia="楷体_GB2312" w:cs="楷体_GB2312"/>
                <w:b/>
                <w:color w:val="auto"/>
                <w:sz w:val="32"/>
                <w:szCs w:val="31"/>
                <w:u w:val="single"/>
              </w:rPr>
            </w:pPr>
            <w:r>
              <w:rPr>
                <w:rFonts w:hint="eastAsia" w:ascii="仿宋_GB2312" w:hAnsi="宋体" w:eastAsia="仿宋_GB2312" w:cs="仿宋_GB2312"/>
                <w:b/>
                <w:color w:val="auto"/>
                <w:sz w:val="32"/>
                <w:szCs w:val="31"/>
              </w:rPr>
              <w:t>项目编号：</w:t>
            </w:r>
            <w:r>
              <w:rPr>
                <w:rFonts w:hint="eastAsia" w:ascii="仿宋_GB2312" w:hAnsi="宋体" w:eastAsia="仿宋_GB2312" w:cs="仿宋_GB2312"/>
                <w:b/>
                <w:color w:val="auto"/>
                <w:sz w:val="32"/>
                <w:szCs w:val="31"/>
                <w:u w:val="single"/>
              </w:rPr>
              <w:t xml:space="preserve">                       </w:t>
            </w:r>
          </w:p>
          <w:p>
            <w:pPr>
              <w:pStyle w:val="27"/>
              <w:widowControl/>
              <w:ind w:firstLine="1928" w:firstLineChars="600"/>
              <w:jc w:val="both"/>
              <w:rPr>
                <w:rFonts w:ascii="楷体_GB2312" w:hAnsi="宋体" w:eastAsia="楷体_GB2312" w:cs="楷体_GB2312"/>
                <w:color w:val="auto"/>
                <w:sz w:val="32"/>
                <w:szCs w:val="31"/>
              </w:rPr>
            </w:pPr>
            <w:r>
              <w:rPr>
                <w:rFonts w:hint="eastAsia" w:ascii="楷体_GB2312" w:hAnsi="宋体" w:eastAsia="楷体_GB2312" w:cs="楷体_GB2312"/>
                <w:b/>
                <w:color w:val="auto"/>
                <w:sz w:val="32"/>
                <w:szCs w:val="31"/>
              </w:rPr>
              <w:t>投标人名称：</w:t>
            </w:r>
            <w:r>
              <w:rPr>
                <w:rFonts w:hint="eastAsia" w:ascii="楷体_GB2312" w:hAnsi="宋体" w:eastAsia="楷体_GB2312" w:cs="楷体_GB2312"/>
                <w:b/>
                <w:color w:val="auto"/>
                <w:sz w:val="32"/>
                <w:szCs w:val="31"/>
                <w:u w:val="single"/>
              </w:rPr>
              <w:t xml:space="preserve">                     </w:t>
            </w:r>
            <w:r>
              <w:rPr>
                <w:rFonts w:hint="eastAsia" w:ascii="楷体_GB2312" w:hAnsi="宋体" w:eastAsia="楷体_GB2312" w:cs="楷体_GB2312"/>
                <w:color w:val="auto"/>
                <w:sz w:val="32"/>
                <w:szCs w:val="31"/>
              </w:rPr>
              <w:t>（加盖公章）</w:t>
            </w:r>
          </w:p>
          <w:p>
            <w:pPr>
              <w:pStyle w:val="27"/>
              <w:widowControl/>
              <w:ind w:firstLine="1928" w:firstLineChars="600"/>
              <w:jc w:val="both"/>
              <w:rPr>
                <w:rFonts w:ascii="楷体_GB2312" w:hAnsi="宋体" w:eastAsia="楷体_GB2312" w:cs="楷体_GB2312"/>
                <w:b/>
                <w:color w:val="auto"/>
                <w:sz w:val="32"/>
                <w:szCs w:val="31"/>
                <w:u w:val="single"/>
              </w:rPr>
            </w:pPr>
            <w:r>
              <w:rPr>
                <w:rFonts w:hint="eastAsia" w:ascii="楷体_GB2312" w:hAnsi="宋体" w:eastAsia="楷体_GB2312" w:cs="楷体_GB2312"/>
                <w:b/>
                <w:color w:val="auto"/>
                <w:sz w:val="32"/>
                <w:szCs w:val="31"/>
              </w:rPr>
              <w:t>投标人地址：</w:t>
            </w:r>
            <w:r>
              <w:rPr>
                <w:rFonts w:hint="eastAsia" w:ascii="楷体_GB2312" w:hAnsi="宋体" w:eastAsia="楷体_GB2312" w:cs="楷体_GB2312"/>
                <w:b/>
                <w:color w:val="auto"/>
                <w:sz w:val="32"/>
                <w:szCs w:val="31"/>
                <w:u w:val="single"/>
              </w:rPr>
              <w:t xml:space="preserve">                     </w:t>
            </w:r>
          </w:p>
          <w:p>
            <w:pPr>
              <w:pStyle w:val="27"/>
              <w:widowControl/>
              <w:ind w:firstLine="1928" w:firstLineChars="600"/>
              <w:jc w:val="both"/>
              <w:rPr>
                <w:rFonts w:ascii="楷体_GB2312" w:hAnsi="宋体" w:eastAsia="楷体_GB2312" w:cs="楷体_GB2312"/>
                <w:b/>
                <w:color w:val="auto"/>
                <w:sz w:val="32"/>
                <w:szCs w:val="31"/>
                <w:u w:val="single"/>
              </w:rPr>
            </w:pPr>
            <w:r>
              <w:rPr>
                <w:rFonts w:hint="eastAsia" w:ascii="楷体_GB2312" w:hAnsi="宋体" w:eastAsia="楷体_GB2312" w:cs="楷体_GB2312"/>
                <w:b/>
                <w:color w:val="auto"/>
                <w:sz w:val="32"/>
                <w:szCs w:val="31"/>
              </w:rPr>
              <w:t>法人/被授权人：</w:t>
            </w:r>
            <w:r>
              <w:rPr>
                <w:rFonts w:hint="eastAsia" w:ascii="楷体_GB2312" w:hAnsi="宋体" w:eastAsia="楷体_GB2312" w:cs="楷体_GB2312"/>
                <w:b/>
                <w:color w:val="auto"/>
                <w:sz w:val="32"/>
                <w:szCs w:val="31"/>
                <w:u w:val="single"/>
              </w:rPr>
              <w:t xml:space="preserve">                  </w:t>
            </w:r>
          </w:p>
          <w:p>
            <w:pPr>
              <w:pStyle w:val="27"/>
              <w:widowControl/>
              <w:ind w:firstLine="1928" w:firstLineChars="600"/>
              <w:jc w:val="both"/>
              <w:rPr>
                <w:rFonts w:ascii="楷体_GB2312" w:hAnsi="宋体" w:eastAsia="楷体_GB2312" w:cs="楷体_GB2312"/>
                <w:b/>
                <w:color w:val="auto"/>
                <w:sz w:val="32"/>
                <w:szCs w:val="31"/>
                <w:u w:val="single"/>
              </w:rPr>
            </w:pPr>
            <w:r>
              <w:rPr>
                <w:rFonts w:hint="eastAsia" w:ascii="楷体_GB2312" w:hAnsi="宋体" w:eastAsia="楷体_GB2312" w:cs="楷体_GB2312"/>
                <w:b/>
                <w:color w:val="auto"/>
                <w:sz w:val="32"/>
                <w:szCs w:val="31"/>
              </w:rPr>
              <w:t>联系电话：</w:t>
            </w:r>
            <w:r>
              <w:rPr>
                <w:rFonts w:hint="eastAsia" w:ascii="楷体_GB2312" w:hAnsi="宋体" w:eastAsia="楷体_GB2312" w:cs="楷体_GB2312"/>
                <w:b/>
                <w:color w:val="auto"/>
                <w:sz w:val="32"/>
                <w:szCs w:val="31"/>
                <w:u w:val="single"/>
              </w:rPr>
              <w:t xml:space="preserve">                       </w:t>
            </w:r>
          </w:p>
          <w:p>
            <w:pPr>
              <w:pStyle w:val="27"/>
              <w:widowControl/>
              <w:ind w:firstLine="1928" w:firstLineChars="600"/>
              <w:jc w:val="both"/>
              <w:rPr>
                <w:rFonts w:ascii="楷体_GB2312" w:hAnsi="宋体" w:eastAsia="楷体_GB2312" w:cs="楷体_GB2312"/>
                <w:b/>
                <w:color w:val="auto"/>
                <w:sz w:val="32"/>
                <w:szCs w:val="31"/>
                <w:u w:val="single"/>
              </w:rPr>
            </w:pPr>
          </w:p>
          <w:p>
            <w:pPr>
              <w:pStyle w:val="27"/>
              <w:widowControl/>
              <w:ind w:firstLine="3534" w:firstLineChars="1100"/>
              <w:jc w:val="both"/>
              <w:rPr>
                <w:rFonts w:ascii="宋体" w:hAnsi="宋体"/>
                <w:b/>
                <w:color w:val="auto"/>
                <w:sz w:val="36"/>
                <w:szCs w:val="36"/>
              </w:rPr>
            </w:pPr>
            <w:r>
              <w:rPr>
                <w:rFonts w:hint="eastAsia" w:ascii="楷体_GB2312" w:hAnsi="宋体" w:eastAsia="楷体_GB2312" w:cs="楷体_GB2312"/>
                <w:b/>
                <w:color w:val="auto"/>
                <w:sz w:val="32"/>
                <w:szCs w:val="31"/>
              </w:rPr>
              <w:t>年     月      日</w:t>
            </w:r>
          </w:p>
        </w:tc>
      </w:tr>
    </w:tbl>
    <w:p>
      <w:pPr>
        <w:rPr>
          <w:rFonts w:ascii="仿宋" w:hAnsi="仿宋" w:eastAsia="仿宋" w:cs="仿宋"/>
          <w:b/>
          <w:sz w:val="32"/>
          <w:szCs w:val="32"/>
        </w:rPr>
      </w:pPr>
    </w:p>
    <w:p>
      <w:pPr>
        <w:jc w:val="center"/>
        <w:outlineLvl w:val="1"/>
        <w:rPr>
          <w:rFonts w:ascii="仿宋" w:hAnsi="仿宋" w:eastAsia="仿宋" w:cs="仿宋"/>
          <w:b/>
          <w:sz w:val="32"/>
          <w:szCs w:val="32"/>
        </w:rPr>
      </w:pPr>
      <w:bookmarkStart w:id="332" w:name="_Toc889"/>
      <w:r>
        <w:rPr>
          <w:rFonts w:hint="eastAsia" w:ascii="仿宋" w:hAnsi="仿宋" w:eastAsia="仿宋" w:cs="仿宋"/>
          <w:b/>
          <w:sz w:val="32"/>
          <w:szCs w:val="32"/>
        </w:rPr>
        <w:t>（二）投标文件目录</w:t>
      </w:r>
      <w:bookmarkEnd w:id="332"/>
    </w:p>
    <w:p>
      <w:pPr>
        <w:rPr>
          <w:rFonts w:ascii="仿宋" w:hAnsi="仿宋" w:eastAsia="仿宋"/>
          <w:b/>
          <w:sz w:val="24"/>
        </w:rPr>
      </w:pPr>
      <w:r>
        <w:rPr>
          <w:rFonts w:hint="eastAsia" w:ascii="仿宋" w:hAnsi="仿宋" w:eastAsia="仿宋"/>
          <w:b/>
          <w:sz w:val="24"/>
          <w:szCs w:val="24"/>
        </w:rPr>
        <w:t>（请各投标人严格按照以下顺序编制投标文件，同时提交电子投标文件，如未按要求编制及提交电子投标文件的，将影响中标结果）</w:t>
      </w:r>
    </w:p>
    <w:p>
      <w:pPr>
        <w:ind w:firstLine="480" w:firstLineChars="200"/>
        <w:rPr>
          <w:rFonts w:eastAsia="仿宋"/>
        </w:rPr>
      </w:pPr>
      <w:r>
        <w:rPr>
          <w:rFonts w:hint="eastAsia" w:ascii="仿宋" w:hAnsi="仿宋" w:eastAsia="仿宋"/>
          <w:sz w:val="24"/>
        </w:rPr>
        <w:t>1、投标函</w:t>
      </w:r>
    </w:p>
    <w:p>
      <w:pPr>
        <w:ind w:firstLine="480" w:firstLineChars="200"/>
        <w:rPr>
          <w:rFonts w:ascii="仿宋" w:hAnsi="仿宋" w:eastAsia="仿宋"/>
          <w:sz w:val="24"/>
        </w:rPr>
      </w:pPr>
      <w:r>
        <w:rPr>
          <w:rFonts w:hint="eastAsia" w:ascii="仿宋" w:hAnsi="仿宋" w:eastAsia="仿宋"/>
          <w:sz w:val="24"/>
        </w:rPr>
        <w:t>2、法人代表授权书</w:t>
      </w:r>
    </w:p>
    <w:p>
      <w:pPr>
        <w:ind w:firstLine="480" w:firstLineChars="200"/>
        <w:rPr>
          <w:rFonts w:ascii="仿宋" w:hAnsi="仿宋" w:eastAsia="仿宋"/>
          <w:sz w:val="24"/>
        </w:rPr>
      </w:pPr>
      <w:r>
        <w:rPr>
          <w:rFonts w:hint="eastAsia" w:ascii="仿宋" w:hAnsi="仿宋" w:eastAsia="仿宋"/>
          <w:sz w:val="24"/>
        </w:rPr>
        <w:t>3、法人及被授权人《居民身份证》（扫描件）</w:t>
      </w:r>
    </w:p>
    <w:p>
      <w:pPr>
        <w:ind w:firstLine="480" w:firstLineChars="200"/>
        <w:rPr>
          <w:rFonts w:ascii="仿宋" w:hAnsi="仿宋" w:eastAsia="仿宋"/>
          <w:sz w:val="24"/>
        </w:rPr>
      </w:pPr>
      <w:r>
        <w:rPr>
          <w:rFonts w:hint="eastAsia" w:ascii="仿宋" w:hAnsi="仿宋" w:eastAsia="仿宋"/>
          <w:sz w:val="24"/>
        </w:rPr>
        <w:t>4、投标人营业执照副本（扫描件）</w:t>
      </w:r>
    </w:p>
    <w:p>
      <w:pPr>
        <w:ind w:firstLine="480" w:firstLineChars="200"/>
        <w:rPr>
          <w:rFonts w:ascii="仿宋" w:hAnsi="仿宋" w:eastAsia="仿宋"/>
          <w:sz w:val="24"/>
          <w:szCs w:val="24"/>
        </w:rPr>
      </w:pPr>
      <w:r>
        <w:rPr>
          <w:rFonts w:hint="eastAsia" w:ascii="仿宋" w:hAnsi="仿宋" w:eastAsia="仿宋"/>
          <w:sz w:val="24"/>
          <w:szCs w:val="24"/>
        </w:rPr>
        <w:t>5、近一个月财务报表（扫描件）</w:t>
      </w:r>
    </w:p>
    <w:p>
      <w:pPr>
        <w:pStyle w:val="2"/>
        <w:ind w:firstLine="480"/>
        <w:rPr>
          <w:rFonts w:eastAsia="仿宋"/>
        </w:rPr>
      </w:pPr>
      <w:r>
        <w:rPr>
          <w:rFonts w:hint="eastAsia" w:ascii="仿宋" w:hAnsi="仿宋" w:eastAsia="仿宋" w:cs="仿宋"/>
          <w:sz w:val="24"/>
        </w:rPr>
        <w:t>6、具备履行合同所必需的设备和专业技术能力的书面声明</w:t>
      </w:r>
    </w:p>
    <w:p>
      <w:pPr>
        <w:ind w:firstLine="480" w:firstLineChars="200"/>
        <w:rPr>
          <w:rFonts w:ascii="仿宋_GB2312" w:hAnsi="Arial" w:eastAsia="仿宋_GB2312"/>
          <w:sz w:val="24"/>
          <w:szCs w:val="24"/>
        </w:rPr>
      </w:pPr>
      <w:r>
        <w:rPr>
          <w:rFonts w:hint="eastAsia" w:ascii="仿宋" w:hAnsi="仿宋" w:eastAsia="仿宋"/>
          <w:sz w:val="24"/>
          <w:szCs w:val="24"/>
        </w:rPr>
        <w:t>7、税务机关出具的投标人依法纳税证明</w:t>
      </w:r>
      <w:r>
        <w:rPr>
          <w:rFonts w:hint="eastAsia" w:ascii="仿宋" w:hAnsi="仿宋" w:eastAsia="仿宋"/>
          <w:sz w:val="24"/>
        </w:rPr>
        <w:t>（扫描件）</w:t>
      </w:r>
      <w:r>
        <w:rPr>
          <w:rFonts w:hint="eastAsia" w:ascii="仿宋" w:hAnsi="仿宋" w:eastAsia="仿宋"/>
          <w:sz w:val="24"/>
          <w:szCs w:val="24"/>
        </w:rPr>
        <w:t>；</w:t>
      </w:r>
    </w:p>
    <w:p>
      <w:pPr>
        <w:ind w:firstLine="480" w:firstLineChars="200"/>
        <w:rPr>
          <w:rFonts w:ascii="仿宋" w:hAnsi="仿宋" w:eastAsia="仿宋" w:cs="仿宋"/>
          <w:sz w:val="24"/>
          <w:szCs w:val="24"/>
        </w:rPr>
      </w:pPr>
      <w:r>
        <w:rPr>
          <w:rFonts w:hint="eastAsia" w:ascii="仿宋" w:hAnsi="仿宋" w:eastAsia="仿宋"/>
          <w:sz w:val="24"/>
        </w:rPr>
        <w:t>8、</w:t>
      </w:r>
      <w:r>
        <w:rPr>
          <w:rFonts w:hint="eastAsia" w:ascii="仿宋" w:hAnsi="仿宋" w:eastAsia="仿宋" w:cs="仿宋"/>
          <w:sz w:val="24"/>
          <w:szCs w:val="24"/>
        </w:rPr>
        <w:t>社保机构出具的投标人为其员工缴纳社保资金证明</w:t>
      </w:r>
      <w:r>
        <w:rPr>
          <w:rFonts w:hint="eastAsia" w:ascii="仿宋" w:hAnsi="仿宋" w:eastAsia="仿宋"/>
          <w:sz w:val="24"/>
        </w:rPr>
        <w:t>（扫描件）</w:t>
      </w:r>
      <w:r>
        <w:rPr>
          <w:rFonts w:hint="eastAsia" w:ascii="仿宋" w:hAnsi="仿宋" w:eastAsia="仿宋" w:cs="仿宋"/>
          <w:sz w:val="24"/>
          <w:szCs w:val="24"/>
        </w:rPr>
        <w:t>；</w:t>
      </w:r>
    </w:p>
    <w:p>
      <w:pPr>
        <w:ind w:firstLine="480" w:firstLineChars="200"/>
        <w:rPr>
          <w:rFonts w:ascii="仿宋" w:hAnsi="仿宋" w:eastAsia="仿宋"/>
          <w:sz w:val="24"/>
          <w:szCs w:val="24"/>
        </w:rPr>
      </w:pPr>
      <w:r>
        <w:rPr>
          <w:rFonts w:hint="eastAsia" w:ascii="仿宋" w:hAnsi="仿宋" w:eastAsia="仿宋"/>
          <w:sz w:val="24"/>
          <w:szCs w:val="24"/>
        </w:rPr>
        <w:t>9、</w:t>
      </w:r>
      <w:r>
        <w:rPr>
          <w:rFonts w:hint="eastAsia" w:ascii="仿宋" w:hAnsi="仿宋" w:eastAsia="仿宋"/>
          <w:sz w:val="24"/>
        </w:rPr>
        <w:t>无重大违法记录声明函</w:t>
      </w:r>
    </w:p>
    <w:p>
      <w:pPr>
        <w:ind w:firstLine="480" w:firstLineChars="200"/>
        <w:rPr>
          <w:rFonts w:eastAsia="仿宋"/>
        </w:rPr>
      </w:pPr>
      <w:r>
        <w:rPr>
          <w:rFonts w:hint="eastAsia" w:ascii="仿宋" w:hAnsi="仿宋" w:eastAsia="仿宋"/>
          <w:sz w:val="24"/>
        </w:rPr>
        <w:t>10、</w:t>
      </w:r>
      <w:r>
        <w:rPr>
          <w:rFonts w:hint="eastAsia" w:ascii="仿宋" w:hAnsi="仿宋" w:eastAsia="仿宋"/>
          <w:sz w:val="24"/>
          <w:szCs w:val="24"/>
        </w:rPr>
        <w:t>“信用中国”网站（ http://www.creditchina.gov.cn/ ）无违法违规行为的查询纪录（网页截图）；</w:t>
      </w:r>
    </w:p>
    <w:p>
      <w:pPr>
        <w:ind w:firstLine="480" w:firstLineChars="200"/>
        <w:rPr>
          <w:rFonts w:ascii="仿宋" w:hAnsi="仿宋" w:eastAsia="仿宋"/>
          <w:sz w:val="24"/>
        </w:rPr>
      </w:pPr>
      <w:r>
        <w:rPr>
          <w:rFonts w:hint="eastAsia" w:ascii="仿宋" w:hAnsi="仿宋" w:eastAsia="仿宋"/>
          <w:sz w:val="24"/>
        </w:rPr>
        <w:t>12、近三年类似业绩</w:t>
      </w:r>
    </w:p>
    <w:p>
      <w:pPr>
        <w:ind w:firstLine="480" w:firstLineChars="200"/>
        <w:rPr>
          <w:rFonts w:ascii="仿宋" w:hAnsi="仿宋" w:eastAsia="仿宋"/>
          <w:sz w:val="24"/>
        </w:rPr>
      </w:pPr>
      <w:r>
        <w:rPr>
          <w:rFonts w:hint="eastAsia" w:ascii="仿宋" w:hAnsi="仿宋" w:eastAsia="仿宋"/>
          <w:sz w:val="24"/>
        </w:rPr>
        <w:t>13、开标一览表（报价表）</w:t>
      </w:r>
    </w:p>
    <w:p>
      <w:pPr>
        <w:ind w:firstLine="480" w:firstLineChars="200"/>
        <w:rPr>
          <w:rFonts w:ascii="仿宋" w:hAnsi="仿宋" w:eastAsia="仿宋"/>
          <w:sz w:val="24"/>
        </w:rPr>
      </w:pPr>
      <w:r>
        <w:rPr>
          <w:rFonts w:hint="eastAsia" w:ascii="仿宋" w:hAnsi="仿宋" w:eastAsia="仿宋"/>
          <w:sz w:val="24"/>
        </w:rPr>
        <w:t>14、技术参数、功能偏离表</w:t>
      </w:r>
    </w:p>
    <w:p>
      <w:pPr>
        <w:ind w:firstLine="480" w:firstLineChars="200"/>
      </w:pPr>
      <w:r>
        <w:rPr>
          <w:rFonts w:hint="eastAsia" w:ascii="仿宋" w:hAnsi="仿宋" w:eastAsia="仿宋"/>
          <w:sz w:val="24"/>
        </w:rPr>
        <w:t>15、企业实力证明</w:t>
      </w:r>
    </w:p>
    <w:p>
      <w:pPr>
        <w:ind w:firstLine="480" w:firstLineChars="200"/>
        <w:rPr>
          <w:rFonts w:ascii="仿宋" w:hAnsi="仿宋" w:eastAsia="仿宋"/>
          <w:sz w:val="24"/>
        </w:rPr>
      </w:pPr>
      <w:r>
        <w:rPr>
          <w:rFonts w:hint="eastAsia" w:ascii="仿宋" w:hAnsi="仿宋" w:eastAsia="仿宋"/>
          <w:sz w:val="24"/>
          <w:szCs w:val="24"/>
        </w:rPr>
        <w:t>16、</w:t>
      </w:r>
      <w:r>
        <w:rPr>
          <w:rFonts w:hint="eastAsia" w:ascii="仿宋" w:hAnsi="仿宋" w:eastAsia="仿宋"/>
          <w:sz w:val="24"/>
        </w:rPr>
        <w:t>技术方案</w:t>
      </w:r>
    </w:p>
    <w:p>
      <w:pPr>
        <w:ind w:firstLine="480" w:firstLineChars="200"/>
        <w:rPr>
          <w:rFonts w:ascii="仿宋" w:hAnsi="仿宋" w:eastAsia="仿宋"/>
          <w:sz w:val="24"/>
        </w:rPr>
      </w:pPr>
      <w:r>
        <w:rPr>
          <w:rFonts w:hint="eastAsia" w:ascii="仿宋" w:hAnsi="仿宋" w:eastAsia="仿宋"/>
          <w:sz w:val="24"/>
          <w:szCs w:val="24"/>
        </w:rPr>
        <w:t>17、</w:t>
      </w:r>
      <w:r>
        <w:rPr>
          <w:rFonts w:hint="eastAsia" w:ascii="仿宋" w:hAnsi="仿宋" w:eastAsia="仿宋"/>
          <w:sz w:val="24"/>
        </w:rPr>
        <w:t>投标人售后服务机构及服务承诺详述、维修、运输、安装、培训等计划详述；</w:t>
      </w:r>
    </w:p>
    <w:p>
      <w:pPr>
        <w:spacing w:line="440" w:lineRule="exact"/>
        <w:ind w:firstLine="480" w:firstLineChars="200"/>
        <w:rPr>
          <w:rFonts w:ascii="仿宋" w:hAnsi="仿宋" w:eastAsia="仿宋"/>
          <w:sz w:val="24"/>
        </w:rPr>
      </w:pPr>
      <w:r>
        <w:rPr>
          <w:rFonts w:hint="eastAsia" w:ascii="仿宋" w:hAnsi="仿宋" w:eastAsia="仿宋"/>
          <w:sz w:val="24"/>
          <w:szCs w:val="24"/>
        </w:rPr>
        <w:t>18、中小企业声明函（若有请如实填写）</w:t>
      </w:r>
    </w:p>
    <w:p>
      <w:pPr>
        <w:ind w:firstLine="480" w:firstLineChars="200"/>
        <w:rPr>
          <w:rFonts w:ascii="仿宋" w:hAnsi="仿宋" w:eastAsia="仿宋"/>
          <w:sz w:val="24"/>
        </w:rPr>
      </w:pPr>
      <w:r>
        <w:rPr>
          <w:rFonts w:hint="eastAsia" w:ascii="仿宋" w:hAnsi="仿宋" w:eastAsia="仿宋"/>
          <w:sz w:val="24"/>
          <w:szCs w:val="24"/>
        </w:rPr>
        <w:t>19、残疾人福利性单位声明函（若有如实填写）</w:t>
      </w:r>
    </w:p>
    <w:p>
      <w:pPr>
        <w:ind w:firstLine="480" w:firstLineChars="200"/>
        <w:rPr>
          <w:rFonts w:ascii="仿宋" w:hAnsi="仿宋" w:eastAsia="仿宋"/>
          <w:sz w:val="24"/>
          <w:szCs w:val="24"/>
        </w:rPr>
      </w:pPr>
      <w:r>
        <w:rPr>
          <w:rFonts w:hint="eastAsia" w:ascii="仿宋" w:hAnsi="仿宋" w:eastAsia="仿宋"/>
          <w:sz w:val="24"/>
          <w:szCs w:val="24"/>
        </w:rPr>
        <w:t>20、其它有利于投标的资料。</w:t>
      </w:r>
    </w:p>
    <w:p>
      <w:pPr>
        <w:ind w:firstLine="480" w:firstLineChars="200"/>
        <w:rPr>
          <w:rFonts w:ascii="仿宋" w:hAnsi="仿宋" w:eastAsia="仿宋"/>
          <w:sz w:val="24"/>
        </w:rPr>
      </w:pPr>
    </w:p>
    <w:p>
      <w:pPr>
        <w:ind w:firstLine="480" w:firstLineChars="200"/>
        <w:rPr>
          <w:rFonts w:ascii="仿宋" w:hAnsi="仿宋" w:eastAsia="仿宋"/>
          <w:sz w:val="24"/>
        </w:rPr>
      </w:pPr>
    </w:p>
    <w:p>
      <w:pPr>
        <w:pStyle w:val="3"/>
        <w:spacing w:before="0" w:after="0" w:line="380" w:lineRule="exact"/>
        <w:jc w:val="center"/>
        <w:rPr>
          <w:rFonts w:ascii="仿宋" w:hAnsi="仿宋" w:eastAsia="仿宋" w:cs="仿宋"/>
        </w:rPr>
      </w:pPr>
      <w:bookmarkStart w:id="333" w:name="_Toc25343"/>
      <w:bookmarkStart w:id="334" w:name="_Toc6388"/>
      <w:bookmarkStart w:id="335" w:name="_Toc17075"/>
      <w:bookmarkStart w:id="336" w:name="_Toc28586"/>
      <w:bookmarkStart w:id="337" w:name="_Toc8272"/>
      <w:bookmarkStart w:id="338" w:name="_Toc8188"/>
      <w:bookmarkStart w:id="339" w:name="_Toc10287"/>
      <w:bookmarkStart w:id="340" w:name="_Toc7456"/>
      <w:bookmarkStart w:id="341" w:name="_Toc30069"/>
      <w:bookmarkStart w:id="342" w:name="_Toc24890_WPSOffice_Level2"/>
      <w:bookmarkStart w:id="343" w:name="_Toc26804"/>
      <w:bookmarkStart w:id="344" w:name="_Toc14108"/>
      <w:bookmarkStart w:id="345" w:name="_Toc14785"/>
      <w:bookmarkStart w:id="346" w:name="_Toc20900"/>
      <w:bookmarkStart w:id="347" w:name="_Toc16635"/>
      <w:r>
        <w:rPr>
          <w:rFonts w:hint="eastAsia" w:ascii="仿宋" w:hAnsi="仿宋" w:eastAsia="仿宋"/>
          <w:b w:val="0"/>
          <w:bCs w:val="0"/>
          <w:sz w:val="24"/>
          <w:szCs w:val="24"/>
        </w:rPr>
        <w:br w:type="page"/>
      </w:r>
      <w:bookmarkStart w:id="348" w:name="_Toc15502"/>
      <w:r>
        <w:rPr>
          <w:rFonts w:hint="eastAsia" w:ascii="仿宋" w:hAnsi="仿宋" w:eastAsia="仿宋" w:cs="仿宋"/>
        </w:rPr>
        <w:t>（三）投 标 函</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rPr>
          <w:rFonts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lang w:val="en-US" w:eastAsia="zh-CN"/>
        </w:rPr>
        <w:t>伊宁市</w:t>
      </w:r>
      <w:r>
        <w:rPr>
          <w:rFonts w:hint="eastAsia" w:ascii="仿宋" w:hAnsi="仿宋" w:eastAsia="仿宋" w:cs="仿宋"/>
          <w:sz w:val="24"/>
          <w:szCs w:val="24"/>
        </w:rPr>
        <w:t>公共资源交易中心</w:t>
      </w:r>
    </w:p>
    <w:p>
      <w:pPr>
        <w:spacing w:line="380" w:lineRule="exact"/>
        <w:ind w:firstLine="555"/>
        <w:rPr>
          <w:rFonts w:ascii="仿宋" w:hAnsi="仿宋" w:eastAsia="仿宋"/>
          <w:sz w:val="24"/>
        </w:rPr>
      </w:pPr>
      <w:r>
        <w:rPr>
          <w:rFonts w:hint="eastAsia" w:ascii="仿宋" w:hAnsi="仿宋" w:eastAsia="仿宋"/>
          <w:sz w:val="24"/>
        </w:rPr>
        <w:t>根据贵方的</w:t>
      </w:r>
      <w:r>
        <w:rPr>
          <w:rFonts w:hint="eastAsia" w:ascii="仿宋" w:hAnsi="仿宋" w:eastAsia="仿宋"/>
          <w:sz w:val="24"/>
          <w:lang w:val="en-US" w:eastAsia="zh-CN"/>
        </w:rPr>
        <w:t>伊宁市</w:t>
      </w:r>
      <w:r>
        <w:rPr>
          <w:rFonts w:hint="eastAsia" w:ascii="仿宋" w:hAnsi="仿宋" w:eastAsia="仿宋"/>
          <w:sz w:val="24"/>
          <w:u w:val="single"/>
        </w:rPr>
        <w:t xml:space="preserve">                  项目（编号：</w:t>
      </w:r>
      <w:r>
        <w:rPr>
          <w:rFonts w:hint="eastAsia" w:ascii="仿宋" w:hAnsi="仿宋" w:eastAsia="仿宋"/>
          <w:sz w:val="24"/>
          <w:u w:val="single"/>
          <w:lang w:eastAsia="zh-CN"/>
        </w:rPr>
        <w:t>Y</w:t>
      </w:r>
      <w:r>
        <w:rPr>
          <w:rFonts w:hint="eastAsia" w:ascii="仿宋" w:hAnsi="仿宋" w:eastAsia="仿宋"/>
          <w:sz w:val="24"/>
          <w:u w:val="single"/>
          <w:lang w:val="en-US" w:eastAsia="zh-CN"/>
        </w:rPr>
        <w:t>N</w:t>
      </w:r>
      <w:r>
        <w:rPr>
          <w:rFonts w:hint="eastAsia" w:ascii="仿宋" w:hAnsi="仿宋" w:eastAsia="仿宋"/>
          <w:sz w:val="24"/>
          <w:u w:val="single"/>
          <w:lang w:eastAsia="zh-CN"/>
        </w:rPr>
        <w:t>CG-202</w:t>
      </w:r>
      <w:r>
        <w:rPr>
          <w:rFonts w:hint="eastAsia" w:ascii="仿宋" w:hAnsi="仿宋" w:eastAsia="仿宋"/>
          <w:sz w:val="24"/>
          <w:u w:val="single"/>
          <w:lang w:val="en-US" w:eastAsia="zh-CN"/>
        </w:rPr>
        <w:t>4</w:t>
      </w:r>
      <w:r>
        <w:rPr>
          <w:rFonts w:hint="eastAsia" w:ascii="仿宋" w:hAnsi="仿宋" w:eastAsia="仿宋"/>
          <w:sz w:val="24"/>
          <w:u w:val="single"/>
          <w:lang w:eastAsia="zh-CN"/>
        </w:rPr>
        <w:t>-00</w:t>
      </w:r>
      <w:r>
        <w:rPr>
          <w:rFonts w:hint="eastAsia" w:ascii="仿宋" w:hAnsi="仿宋" w:eastAsia="仿宋"/>
          <w:sz w:val="24"/>
          <w:u w:val="single"/>
          <w:lang w:val="en-US" w:eastAsia="zh-CN"/>
        </w:rPr>
        <w:t>3</w:t>
      </w:r>
      <w:r>
        <w:rPr>
          <w:rFonts w:hint="eastAsia" w:ascii="仿宋" w:hAnsi="仿宋" w:eastAsia="仿宋"/>
          <w:sz w:val="24"/>
          <w:u w:val="single"/>
        </w:rPr>
        <w:t>）</w:t>
      </w:r>
      <w:r>
        <w:rPr>
          <w:rFonts w:hint="eastAsia" w:ascii="仿宋" w:hAnsi="仿宋" w:eastAsia="仿宋"/>
          <w:sz w:val="24"/>
        </w:rPr>
        <w:t>采购文件，现正式授权下述签字人______________(姓名)代表我方______________（投标人的全称），全权处理本次项目投标的有关事宜。</w:t>
      </w:r>
    </w:p>
    <w:p>
      <w:pPr>
        <w:spacing w:line="380" w:lineRule="exact"/>
        <w:ind w:firstLine="555"/>
        <w:rPr>
          <w:rFonts w:ascii="仿宋" w:hAnsi="仿宋" w:eastAsia="仿宋"/>
          <w:sz w:val="24"/>
        </w:rPr>
      </w:pPr>
      <w:r>
        <w:rPr>
          <w:rFonts w:hint="eastAsia" w:ascii="仿宋" w:hAnsi="仿宋" w:eastAsia="仿宋"/>
          <w:sz w:val="24"/>
        </w:rPr>
        <w:t>据此函，签字代表宣布并同意如下：</w:t>
      </w:r>
    </w:p>
    <w:p>
      <w:pPr>
        <w:spacing w:line="380" w:lineRule="exact"/>
        <w:ind w:firstLine="555"/>
        <w:rPr>
          <w:rFonts w:ascii="仿宋" w:hAnsi="仿宋" w:eastAsia="仿宋"/>
          <w:sz w:val="24"/>
        </w:rPr>
      </w:pPr>
      <w:r>
        <w:rPr>
          <w:rFonts w:hint="eastAsia" w:ascii="仿宋" w:hAnsi="仿宋" w:eastAsia="仿宋"/>
          <w:sz w:val="24"/>
        </w:rPr>
        <w:t>1、</w:t>
      </w:r>
      <w:r>
        <w:rPr>
          <w:rFonts w:hint="eastAsia" w:ascii="仿宋" w:hAnsi="仿宋" w:eastAsia="仿宋" w:cs="仿宋"/>
          <w:sz w:val="24"/>
          <w:szCs w:val="24"/>
        </w:rPr>
        <w:t>按照采购文件中规定各项要求，我方愿以《开标一览表》所填报价进行投标</w:t>
      </w:r>
      <w:r>
        <w:rPr>
          <w:rFonts w:hint="eastAsia" w:ascii="仿宋" w:hAnsi="仿宋" w:eastAsia="仿宋"/>
          <w:sz w:val="24"/>
        </w:rPr>
        <w:t>。</w:t>
      </w:r>
    </w:p>
    <w:p>
      <w:pPr>
        <w:spacing w:line="380" w:lineRule="exact"/>
        <w:ind w:firstLine="555"/>
        <w:rPr>
          <w:rFonts w:ascii="仿宋" w:hAnsi="仿宋" w:eastAsia="仿宋"/>
          <w:sz w:val="24"/>
        </w:rPr>
      </w:pPr>
      <w:r>
        <w:rPr>
          <w:rFonts w:hint="eastAsia" w:ascii="仿宋" w:hAnsi="仿宋" w:eastAsia="仿宋"/>
          <w:sz w:val="24"/>
        </w:rPr>
        <w:t>2、我方将按招标文件的规定履行合同责任和义务；</w:t>
      </w:r>
    </w:p>
    <w:p>
      <w:pPr>
        <w:spacing w:line="380" w:lineRule="exact"/>
        <w:ind w:firstLine="555"/>
        <w:rPr>
          <w:rFonts w:ascii="仿宋" w:hAnsi="仿宋" w:eastAsia="仿宋"/>
          <w:sz w:val="24"/>
        </w:rPr>
      </w:pPr>
      <w:r>
        <w:rPr>
          <w:rFonts w:hint="eastAsia" w:ascii="仿宋" w:hAnsi="仿宋" w:eastAsia="仿宋"/>
          <w:sz w:val="24"/>
        </w:rPr>
        <w:t>3、我方已详细阅读并理解了采购文件的全部，包括修改文件（如有的话）。我们完全理解并同意放弃对这方面有不明及误解的权利。</w:t>
      </w:r>
    </w:p>
    <w:p>
      <w:pPr>
        <w:spacing w:line="380" w:lineRule="exact"/>
        <w:ind w:firstLine="555"/>
        <w:rPr>
          <w:rFonts w:ascii="仿宋" w:hAnsi="仿宋" w:eastAsia="仿宋"/>
          <w:sz w:val="24"/>
        </w:rPr>
      </w:pPr>
      <w:r>
        <w:rPr>
          <w:rFonts w:hint="eastAsia" w:ascii="仿宋" w:hAnsi="仿宋" w:eastAsia="仿宋"/>
          <w:sz w:val="24"/>
        </w:rPr>
        <w:t>4、我方同意本投标有效期自开标之日起</w:t>
      </w:r>
      <w:r>
        <w:rPr>
          <w:rFonts w:hint="eastAsia" w:ascii="仿宋" w:hAnsi="仿宋" w:eastAsia="仿宋"/>
          <w:sz w:val="24"/>
          <w:u w:val="single"/>
        </w:rPr>
        <w:t>90</w:t>
      </w:r>
      <w:r>
        <w:rPr>
          <w:rFonts w:hint="eastAsia" w:ascii="仿宋" w:hAnsi="仿宋" w:eastAsia="仿宋"/>
          <w:sz w:val="24"/>
        </w:rPr>
        <w:t>个日历日。</w:t>
      </w:r>
    </w:p>
    <w:p>
      <w:pPr>
        <w:spacing w:line="380" w:lineRule="exact"/>
        <w:ind w:firstLine="555"/>
        <w:rPr>
          <w:rFonts w:ascii="仿宋" w:hAnsi="仿宋" w:eastAsia="仿宋"/>
          <w:sz w:val="24"/>
        </w:rPr>
      </w:pPr>
      <w:r>
        <w:rPr>
          <w:rFonts w:hint="eastAsia" w:ascii="仿宋" w:hAnsi="仿宋" w:eastAsia="仿宋"/>
          <w:sz w:val="24"/>
        </w:rPr>
        <w:t>5、我方如果在投标有效期内撤回投标，同意投标保证金将被贵方没收。</w:t>
      </w:r>
    </w:p>
    <w:p>
      <w:pPr>
        <w:spacing w:line="380" w:lineRule="exact"/>
        <w:ind w:firstLine="555"/>
        <w:rPr>
          <w:rFonts w:ascii="仿宋" w:hAnsi="仿宋" w:eastAsia="仿宋"/>
          <w:sz w:val="24"/>
        </w:rPr>
      </w:pPr>
      <w:r>
        <w:rPr>
          <w:rFonts w:hint="eastAsia" w:ascii="仿宋" w:hAnsi="仿宋" w:eastAsia="仿宋"/>
          <w:sz w:val="24"/>
        </w:rPr>
        <w:t>6、我方同意提供按照贵方可能要求的与其投标有关的一切数据或资料，完全理解贵方不一定接受最低价的投标或收到的任何投标的约定。</w:t>
      </w:r>
    </w:p>
    <w:p>
      <w:pPr>
        <w:spacing w:line="380" w:lineRule="exact"/>
        <w:ind w:firstLine="570"/>
        <w:rPr>
          <w:rFonts w:ascii="仿宋" w:hAnsi="仿宋" w:eastAsia="仿宋"/>
          <w:sz w:val="24"/>
        </w:rPr>
      </w:pPr>
      <w:r>
        <w:rPr>
          <w:rFonts w:hint="eastAsia" w:ascii="仿宋" w:hAnsi="仿宋" w:eastAsia="仿宋"/>
          <w:sz w:val="24"/>
        </w:rPr>
        <w:t>7、与本投标有关的一切正式往来信函请寄：</w:t>
      </w:r>
    </w:p>
    <w:p>
      <w:pPr>
        <w:spacing w:line="380" w:lineRule="exact"/>
        <w:ind w:firstLine="280"/>
        <w:rPr>
          <w:rFonts w:ascii="仿宋" w:hAnsi="仿宋" w:eastAsia="仿宋"/>
          <w:sz w:val="24"/>
        </w:rPr>
      </w:pPr>
      <w:r>
        <w:rPr>
          <w:rFonts w:hint="eastAsia" w:ascii="仿宋" w:hAnsi="仿宋" w:eastAsia="仿宋"/>
          <w:sz w:val="24"/>
        </w:rPr>
        <w:t>地　　　　　 址：</w:t>
      </w:r>
      <w:r>
        <w:rPr>
          <w:rFonts w:hint="eastAsia" w:ascii="仿宋" w:hAnsi="仿宋" w:eastAsia="仿宋"/>
          <w:sz w:val="24"/>
          <w:u w:val="single"/>
        </w:rPr>
        <w:t>　　　　　　　　    　　</w:t>
      </w:r>
      <w:r>
        <w:rPr>
          <w:rFonts w:hint="eastAsia" w:ascii="仿宋" w:hAnsi="仿宋" w:eastAsia="仿宋"/>
          <w:sz w:val="24"/>
        </w:rPr>
        <w:t>邮编：</w:t>
      </w:r>
      <w:r>
        <w:rPr>
          <w:rFonts w:hint="eastAsia" w:ascii="仿宋" w:hAnsi="仿宋" w:eastAsia="仿宋"/>
          <w:sz w:val="24"/>
          <w:u w:val="single"/>
        </w:rPr>
        <w:t>　　　　   　　　　　</w:t>
      </w:r>
    </w:p>
    <w:p>
      <w:pPr>
        <w:spacing w:line="380" w:lineRule="exact"/>
        <w:rPr>
          <w:rFonts w:ascii="仿宋" w:hAnsi="仿宋" w:eastAsia="仿宋"/>
          <w:sz w:val="24"/>
        </w:rPr>
      </w:pPr>
      <w:r>
        <w:rPr>
          <w:rFonts w:hint="eastAsia" w:ascii="仿宋" w:hAnsi="仿宋" w:eastAsia="仿宋"/>
          <w:sz w:val="24"/>
        </w:rPr>
        <w:t>　电　　　　　 话：</w:t>
      </w:r>
      <w:r>
        <w:rPr>
          <w:rFonts w:hint="eastAsia" w:ascii="仿宋" w:hAnsi="仿宋" w:eastAsia="仿宋"/>
          <w:sz w:val="24"/>
          <w:u w:val="single"/>
        </w:rPr>
        <w:t xml:space="preserve">　　　　　　　　　　    </w:t>
      </w:r>
      <w:r>
        <w:rPr>
          <w:rFonts w:hint="eastAsia" w:ascii="仿宋" w:hAnsi="仿宋" w:eastAsia="仿宋"/>
          <w:sz w:val="24"/>
        </w:rPr>
        <w:t>传真：</w:t>
      </w:r>
      <w:r>
        <w:rPr>
          <w:rFonts w:hint="eastAsia" w:ascii="仿宋" w:hAnsi="仿宋" w:eastAsia="仿宋"/>
          <w:sz w:val="24"/>
          <w:u w:val="single"/>
        </w:rPr>
        <w:t>　   　　　　　　　　</w:t>
      </w:r>
    </w:p>
    <w:p>
      <w:pPr>
        <w:spacing w:line="380" w:lineRule="exact"/>
        <w:rPr>
          <w:rFonts w:ascii="仿宋" w:hAnsi="仿宋" w:eastAsia="仿宋"/>
          <w:sz w:val="24"/>
        </w:rPr>
      </w:pPr>
      <w:r>
        <w:rPr>
          <w:rFonts w:hint="eastAsia" w:ascii="仿宋" w:hAnsi="仿宋" w:eastAsia="仿宋"/>
          <w:sz w:val="24"/>
        </w:rPr>
        <w:t>　投标人代表签字：</w:t>
      </w:r>
      <w:r>
        <w:rPr>
          <w:rFonts w:hint="eastAsia" w:ascii="仿宋" w:hAnsi="仿宋" w:eastAsia="仿宋"/>
          <w:sz w:val="24"/>
          <w:u w:val="single"/>
        </w:rPr>
        <w:t>　　　　　　　　　　　　　</w:t>
      </w:r>
    </w:p>
    <w:p>
      <w:pPr>
        <w:spacing w:line="380" w:lineRule="exact"/>
        <w:rPr>
          <w:rFonts w:ascii="仿宋" w:hAnsi="仿宋" w:eastAsia="仿宋"/>
          <w:sz w:val="24"/>
        </w:rPr>
      </w:pPr>
      <w:r>
        <w:rPr>
          <w:rFonts w:hint="eastAsia" w:ascii="仿宋" w:hAnsi="仿宋" w:eastAsia="仿宋"/>
          <w:sz w:val="24"/>
        </w:rPr>
        <w:t>　投 标 人 名 称：</w:t>
      </w:r>
      <w:r>
        <w:rPr>
          <w:rFonts w:hint="eastAsia" w:ascii="仿宋" w:hAnsi="仿宋" w:eastAsia="仿宋"/>
          <w:sz w:val="24"/>
          <w:u w:val="single"/>
        </w:rPr>
        <w:t>　      　　　　　　　　　</w:t>
      </w:r>
    </w:p>
    <w:p>
      <w:pPr>
        <w:spacing w:line="380" w:lineRule="exact"/>
        <w:rPr>
          <w:rFonts w:ascii="仿宋" w:hAnsi="仿宋" w:eastAsia="仿宋"/>
          <w:sz w:val="24"/>
        </w:rPr>
      </w:pPr>
      <w:r>
        <w:rPr>
          <w:rFonts w:hint="eastAsia" w:ascii="仿宋" w:hAnsi="仿宋" w:eastAsia="仿宋"/>
          <w:sz w:val="24"/>
        </w:rPr>
        <w:t>　公          章：</w:t>
      </w:r>
      <w:r>
        <w:rPr>
          <w:rFonts w:hint="eastAsia" w:ascii="仿宋" w:hAnsi="仿宋" w:eastAsia="仿宋"/>
          <w:sz w:val="24"/>
          <w:u w:val="single"/>
        </w:rPr>
        <w:t>　　　　　　　　　　　　　</w:t>
      </w:r>
    </w:p>
    <w:p>
      <w:pPr>
        <w:spacing w:line="380" w:lineRule="exact"/>
        <w:rPr>
          <w:rFonts w:ascii="仿宋" w:hAnsi="仿宋" w:eastAsia="仿宋"/>
          <w:sz w:val="24"/>
        </w:rPr>
      </w:pPr>
      <w:r>
        <w:rPr>
          <w:rFonts w:hint="eastAsia" w:ascii="仿宋" w:hAnsi="仿宋" w:eastAsia="仿宋"/>
          <w:sz w:val="24"/>
        </w:rPr>
        <w:t>　　　　　　　　　　　　　　　　　　　　　　　20</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ind w:left="239" w:leftChars="114" w:firstLine="420" w:firstLineChars="200"/>
        <w:rPr>
          <w:rFonts w:ascii="仿宋" w:hAnsi="仿宋" w:eastAsia="仿宋" w:cs="仿宋"/>
        </w:rPr>
      </w:pPr>
      <w:bookmarkStart w:id="349" w:name="_Toc6285"/>
      <w:bookmarkStart w:id="350" w:name="_Toc16120"/>
      <w:bookmarkStart w:id="351" w:name="_Toc29287"/>
      <w:bookmarkStart w:id="352" w:name="_Toc7715"/>
      <w:bookmarkStart w:id="353" w:name="_Toc28248"/>
      <w:bookmarkStart w:id="354" w:name="_Toc6620"/>
      <w:bookmarkStart w:id="355" w:name="_Toc29788"/>
      <w:bookmarkStart w:id="356" w:name="_Toc28466"/>
      <w:bookmarkStart w:id="357" w:name="_Toc15451"/>
      <w:bookmarkStart w:id="358" w:name="_Toc15338"/>
      <w:bookmarkStart w:id="359" w:name="_Toc16512"/>
      <w:bookmarkStart w:id="360" w:name="_Toc25806"/>
      <w:bookmarkStart w:id="361" w:name="_Toc20639"/>
      <w:bookmarkStart w:id="362" w:name="_Toc13391"/>
    </w:p>
    <w:p>
      <w:pPr>
        <w:pStyle w:val="3"/>
        <w:spacing w:line="240" w:lineRule="auto"/>
        <w:jc w:val="center"/>
        <w:rPr>
          <w:rFonts w:ascii="仿宋" w:hAnsi="仿宋" w:eastAsia="仿宋" w:cs="仿宋"/>
        </w:rPr>
      </w:pPr>
      <w:bookmarkStart w:id="363" w:name="_Toc29301_WPSOffice_Level2"/>
      <w:bookmarkStart w:id="364" w:name="_Toc17027"/>
      <w:r>
        <w:rPr>
          <w:rFonts w:hint="eastAsia" w:ascii="仿宋" w:hAnsi="仿宋" w:eastAsia="仿宋" w:cs="仿宋"/>
        </w:rPr>
        <w:t>（四）</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Start w:id="365" w:name="_Toc6509"/>
      <w:bookmarkStart w:id="366" w:name="_Toc3640"/>
      <w:bookmarkStart w:id="367" w:name="_Toc10673"/>
      <w:bookmarkStart w:id="368" w:name="_Toc10792"/>
      <w:bookmarkStart w:id="369" w:name="_Toc913"/>
      <w:bookmarkStart w:id="370" w:name="_Toc9032"/>
      <w:bookmarkStart w:id="371" w:name="_Toc13542"/>
      <w:bookmarkStart w:id="372" w:name="_Toc10815"/>
      <w:bookmarkStart w:id="373" w:name="_Toc28992"/>
      <w:bookmarkStart w:id="374" w:name="_Toc28959"/>
      <w:bookmarkStart w:id="375" w:name="_Toc16155"/>
      <w:bookmarkStart w:id="376" w:name="_Toc17429"/>
      <w:bookmarkStart w:id="377" w:name="_Toc8441"/>
      <w:bookmarkStart w:id="378" w:name="_Toc22678_WPSOffice_Level2"/>
      <w:bookmarkStart w:id="379" w:name="_Toc17568"/>
      <w:r>
        <w:rPr>
          <w:rFonts w:hint="eastAsia" w:ascii="仿宋" w:hAnsi="仿宋" w:eastAsia="仿宋" w:cs="仿宋"/>
        </w:rPr>
        <w:t>法人代表授权书</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ind w:left="239" w:leftChars="114" w:firstLine="480" w:firstLineChars="200"/>
        <w:rPr>
          <w:rFonts w:ascii="仿宋" w:hAnsi="仿宋" w:eastAsia="仿宋" w:cs="仿宋"/>
          <w:sz w:val="24"/>
          <w:szCs w:val="24"/>
        </w:rPr>
      </w:pPr>
      <w:r>
        <w:rPr>
          <w:rFonts w:hint="eastAsia" w:ascii="仿宋" w:hAnsi="仿宋" w:eastAsia="仿宋" w:cs="仿宋"/>
          <w:sz w:val="24"/>
          <w:szCs w:val="24"/>
        </w:rPr>
        <w:t>本授权书声明:我（</w:t>
      </w:r>
      <w:r>
        <w:rPr>
          <w:rFonts w:hint="eastAsia" w:ascii="仿宋" w:hAnsi="仿宋" w:eastAsia="仿宋" w:cs="仿宋"/>
          <w:sz w:val="24"/>
          <w:szCs w:val="24"/>
          <w:u w:val="single"/>
        </w:rPr>
        <w:t xml:space="preserve">姓名）           </w:t>
      </w:r>
      <w:r>
        <w:rPr>
          <w:rFonts w:hint="eastAsia" w:ascii="仿宋" w:hAnsi="仿宋" w:eastAsia="仿宋" w:cs="仿宋"/>
          <w:sz w:val="24"/>
          <w:szCs w:val="24"/>
        </w:rPr>
        <w:t>系</w:t>
      </w:r>
      <w:r>
        <w:rPr>
          <w:rFonts w:hint="eastAsia" w:ascii="仿宋" w:hAnsi="仿宋" w:eastAsia="仿宋"/>
          <w:sz w:val="24"/>
        </w:rPr>
        <w:t>注册于</w:t>
      </w:r>
      <w:r>
        <w:rPr>
          <w:rFonts w:hint="eastAsia" w:ascii="仿宋" w:hAnsi="仿宋" w:eastAsia="仿宋"/>
          <w:sz w:val="24"/>
          <w:u w:val="single"/>
        </w:rPr>
        <w:t xml:space="preserve">（地区的名称）             </w:t>
      </w:r>
      <w:r>
        <w:rPr>
          <w:rFonts w:hint="eastAsia" w:ascii="仿宋" w:hAnsi="仿宋" w:eastAsia="仿宋" w:cs="仿宋"/>
          <w:sz w:val="24"/>
          <w:szCs w:val="24"/>
          <w:u w:val="single"/>
        </w:rPr>
        <w:t xml:space="preserve">（投标人名称）                                 </w:t>
      </w:r>
      <w:r>
        <w:rPr>
          <w:rFonts w:hint="eastAsia" w:ascii="仿宋" w:hAnsi="仿宋" w:eastAsia="仿宋" w:cs="仿宋"/>
          <w:sz w:val="24"/>
          <w:szCs w:val="24"/>
        </w:rPr>
        <w:t>的法定代表人，现授权（</w:t>
      </w:r>
      <w:r>
        <w:rPr>
          <w:rFonts w:hint="eastAsia" w:ascii="仿宋" w:hAnsi="仿宋" w:eastAsia="仿宋" w:cs="仿宋"/>
          <w:sz w:val="24"/>
          <w:szCs w:val="24"/>
          <w:u w:val="single"/>
        </w:rPr>
        <w:t xml:space="preserve">姓名）       </w:t>
      </w:r>
      <w:r>
        <w:rPr>
          <w:rFonts w:hint="eastAsia" w:ascii="仿宋" w:hAnsi="仿宋" w:eastAsia="仿宋" w:cs="仿宋"/>
          <w:sz w:val="24"/>
          <w:szCs w:val="24"/>
        </w:rPr>
        <w:t>为我公司被授权人，以本公司的名义参加</w:t>
      </w:r>
      <w:r>
        <w:rPr>
          <w:rFonts w:hint="eastAsia" w:ascii="仿宋" w:hAnsi="仿宋" w:eastAsia="仿宋" w:cs="仿宋"/>
          <w:sz w:val="24"/>
          <w:szCs w:val="24"/>
          <w:u w:val="single"/>
        </w:rPr>
        <w:t>（采购单位名称）                    （项目名称）               （文件编号）【</w:t>
      </w:r>
      <w:r>
        <w:rPr>
          <w:rFonts w:hint="eastAsia" w:ascii="仿宋" w:hAnsi="仿宋" w:eastAsia="仿宋"/>
          <w:sz w:val="24"/>
          <w:u w:val="single"/>
          <w:lang w:eastAsia="zh-CN"/>
        </w:rPr>
        <w:t>Y</w:t>
      </w:r>
      <w:r>
        <w:rPr>
          <w:rFonts w:hint="eastAsia" w:ascii="仿宋" w:hAnsi="仿宋" w:eastAsia="仿宋"/>
          <w:sz w:val="24"/>
          <w:u w:val="single"/>
          <w:lang w:val="en-US" w:eastAsia="zh-CN"/>
        </w:rPr>
        <w:t>N</w:t>
      </w:r>
      <w:r>
        <w:rPr>
          <w:rFonts w:hint="eastAsia" w:ascii="仿宋" w:hAnsi="仿宋" w:eastAsia="仿宋"/>
          <w:sz w:val="24"/>
          <w:u w:val="single"/>
          <w:lang w:eastAsia="zh-CN"/>
        </w:rPr>
        <w:t>CG-202</w:t>
      </w:r>
      <w:r>
        <w:rPr>
          <w:rFonts w:hint="eastAsia" w:ascii="仿宋" w:hAnsi="仿宋" w:eastAsia="仿宋"/>
          <w:sz w:val="24"/>
          <w:u w:val="single"/>
          <w:lang w:val="en-US" w:eastAsia="zh-CN"/>
        </w:rPr>
        <w:t>4</w:t>
      </w:r>
      <w:r>
        <w:rPr>
          <w:rFonts w:hint="eastAsia" w:ascii="仿宋" w:hAnsi="仿宋" w:eastAsia="仿宋"/>
          <w:sz w:val="24"/>
          <w:u w:val="single"/>
          <w:lang w:eastAsia="zh-CN"/>
        </w:rPr>
        <w:t>-00</w:t>
      </w:r>
      <w:r>
        <w:rPr>
          <w:rFonts w:hint="eastAsia" w:ascii="仿宋" w:hAnsi="仿宋" w:eastAsia="仿宋"/>
          <w:sz w:val="24"/>
          <w:u w:val="single"/>
          <w:lang w:val="en-US" w:eastAsia="zh-CN"/>
        </w:rPr>
        <w:t>3</w:t>
      </w:r>
      <w:r>
        <w:rPr>
          <w:rFonts w:hint="eastAsia" w:ascii="仿宋" w:hAnsi="仿宋" w:eastAsia="仿宋" w:cs="仿宋"/>
          <w:sz w:val="24"/>
          <w:szCs w:val="24"/>
          <w:u w:val="single"/>
        </w:rPr>
        <w:t>】</w:t>
      </w:r>
      <w:r>
        <w:rPr>
          <w:rFonts w:hint="eastAsia" w:ascii="仿宋" w:hAnsi="仿宋" w:eastAsia="仿宋" w:cs="仿宋"/>
          <w:sz w:val="24"/>
          <w:szCs w:val="24"/>
        </w:rPr>
        <w:t>的政府采购招标活动。被授权人在本次政府采购招标过程中所签署的一切文件和处理与之有关的一切事务,我均予以承认。</w:t>
      </w:r>
    </w:p>
    <w:p>
      <w:pPr>
        <w:ind w:firstLine="480" w:firstLineChars="200"/>
        <w:rPr>
          <w:rFonts w:ascii="仿宋" w:hAnsi="仿宋" w:eastAsia="仿宋" w:cs="仿宋"/>
          <w:sz w:val="24"/>
          <w:szCs w:val="24"/>
        </w:rPr>
      </w:pPr>
      <w:r>
        <w:rPr>
          <w:rFonts w:hint="eastAsia" w:ascii="仿宋" w:hAnsi="仿宋" w:eastAsia="仿宋" w:cs="仿宋"/>
          <w:sz w:val="24"/>
          <w:szCs w:val="24"/>
        </w:rPr>
        <w:t>本授权书于20</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日签字生效，被授权人无转让权,特此授权。</w:t>
      </w:r>
    </w:p>
    <w:p>
      <w:pPr>
        <w:ind w:firstLine="482"/>
        <w:rPr>
          <w:rFonts w:ascii="仿宋" w:hAnsi="仿宋" w:eastAsia="仿宋" w:cs="仿宋"/>
          <w:sz w:val="24"/>
          <w:szCs w:val="24"/>
        </w:rPr>
      </w:pPr>
      <w:r>
        <w:rPr>
          <w:rFonts w:hint="eastAsia" w:ascii="仿宋" w:hAnsi="仿宋" w:eastAsia="仿宋" w:cs="仿宋"/>
          <w:sz w:val="24"/>
          <w:szCs w:val="24"/>
        </w:rPr>
        <w:t>法人代表签字：</w:t>
      </w:r>
      <w:r>
        <w:rPr>
          <w:rFonts w:hint="eastAsia" w:ascii="仿宋" w:hAnsi="仿宋" w:eastAsia="仿宋" w:cs="仿宋"/>
          <w:sz w:val="24"/>
          <w:szCs w:val="24"/>
          <w:u w:val="single"/>
        </w:rPr>
        <w:t>　　　　　　　　　　　</w:t>
      </w:r>
      <w:r>
        <w:rPr>
          <w:rFonts w:hint="eastAsia" w:ascii="仿宋" w:hAnsi="仿宋" w:eastAsia="仿宋" w:cs="仿宋"/>
          <w:sz w:val="24"/>
          <w:szCs w:val="24"/>
        </w:rPr>
        <w:t>　联系电话：</w:t>
      </w:r>
      <w:r>
        <w:rPr>
          <w:rFonts w:hint="eastAsia" w:ascii="仿宋" w:hAnsi="仿宋" w:eastAsia="仿宋" w:cs="仿宋"/>
          <w:sz w:val="24"/>
          <w:szCs w:val="24"/>
          <w:u w:val="single"/>
        </w:rPr>
        <w:t>　               　</w:t>
      </w:r>
    </w:p>
    <w:p>
      <w:pPr>
        <w:ind w:firstLine="482"/>
        <w:rPr>
          <w:rFonts w:ascii="仿宋" w:hAnsi="仿宋" w:eastAsia="仿宋" w:cs="仿宋"/>
          <w:sz w:val="24"/>
          <w:szCs w:val="24"/>
        </w:rPr>
      </w:pPr>
      <w:r>
        <w:rPr>
          <w:rFonts w:hint="eastAsia" w:ascii="仿宋" w:hAnsi="仿宋" w:eastAsia="仿宋" w:cs="仿宋"/>
          <w:sz w:val="24"/>
          <w:szCs w:val="24"/>
        </w:rPr>
        <w:t>被授权人签字：</w:t>
      </w:r>
      <w:r>
        <w:rPr>
          <w:rFonts w:hint="eastAsia" w:ascii="仿宋" w:hAnsi="仿宋" w:eastAsia="仿宋" w:cs="仿宋"/>
          <w:sz w:val="24"/>
          <w:szCs w:val="24"/>
          <w:u w:val="single"/>
        </w:rPr>
        <w:t>　　　　　　　　　　　</w:t>
      </w:r>
      <w:r>
        <w:rPr>
          <w:rFonts w:hint="eastAsia" w:ascii="仿宋" w:hAnsi="仿宋" w:eastAsia="仿宋" w:cs="仿宋"/>
          <w:sz w:val="24"/>
          <w:szCs w:val="24"/>
        </w:rPr>
        <w:t>　联系电话：</w:t>
      </w:r>
      <w:r>
        <w:rPr>
          <w:rFonts w:hint="eastAsia" w:ascii="仿宋" w:hAnsi="仿宋" w:eastAsia="仿宋" w:cs="仿宋"/>
          <w:sz w:val="24"/>
          <w:szCs w:val="24"/>
          <w:u w:val="single"/>
        </w:rPr>
        <w:t xml:space="preserve">             　　　</w:t>
      </w:r>
    </w:p>
    <w:p>
      <w:pPr>
        <w:ind w:firstLine="482"/>
        <w:rPr>
          <w:rFonts w:ascii="仿宋" w:hAnsi="仿宋" w:eastAsia="仿宋" w:cs="仿宋"/>
          <w:sz w:val="24"/>
          <w:szCs w:val="24"/>
        </w:rPr>
      </w:pPr>
      <w:r>
        <w:rPr>
          <w:rFonts w:hint="eastAsia" w:ascii="仿宋" w:hAnsi="仿宋" w:eastAsia="仿宋" w:cs="仿宋"/>
          <w:sz w:val="24"/>
          <w:szCs w:val="24"/>
        </w:rPr>
        <w:t>公       章：</w:t>
      </w:r>
      <w:r>
        <w:rPr>
          <w:rFonts w:hint="eastAsia" w:ascii="仿宋" w:hAnsi="仿宋" w:eastAsia="仿宋" w:cs="仿宋"/>
          <w:sz w:val="24"/>
          <w:szCs w:val="24"/>
          <w:u w:val="single"/>
        </w:rPr>
        <w:t xml:space="preserve">                              </w:t>
      </w:r>
    </w:p>
    <w:p>
      <w:pPr>
        <w:ind w:firstLine="482"/>
        <w:rPr>
          <w:rFonts w:ascii="仿宋" w:hAnsi="仿宋" w:eastAsia="仿宋" w:cs="仿宋"/>
          <w:sz w:val="24"/>
          <w:szCs w:val="24"/>
        </w:rPr>
      </w:pPr>
    </w:p>
    <w:p>
      <w:pPr>
        <w:ind w:firstLine="480"/>
        <w:rPr>
          <w:rFonts w:ascii="仿宋" w:hAnsi="仿宋" w:eastAsia="仿宋" w:cs="仿宋"/>
          <w:sz w:val="24"/>
          <w:szCs w:val="24"/>
          <w:u w:val="single"/>
        </w:rPr>
      </w:pPr>
      <w:r>
        <w:rPr>
          <w:rFonts w:hint="eastAsia" w:ascii="仿宋" w:hAnsi="仿宋" w:eastAsia="仿宋" w:cs="仿宋"/>
          <w:sz w:val="24"/>
          <w:szCs w:val="24"/>
        </w:rPr>
        <w:t>　　　　　　　　　　　　　　　　　授权日期：20</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p>
      <w:pPr>
        <w:rPr>
          <w:rFonts w:ascii="仿宋" w:hAnsi="仿宋" w:eastAsia="仿宋"/>
        </w:rPr>
      </w:pPr>
      <w:r>
        <w:rPr>
          <w:rFonts w:hint="eastAsia" w:ascii="仿宋" w:hAnsi="仿宋" w:eastAsia="仿宋"/>
          <w:b/>
          <w:sz w:val="24"/>
        </w:rPr>
        <w:t>注：法定代表人亲自参加采购活动的，可不提供此项证明文件。</w:t>
      </w:r>
      <w:r>
        <w:rPr>
          <w:rFonts w:hint="eastAsia" w:ascii="仿宋" w:hAnsi="仿宋" w:eastAsia="仿宋"/>
        </w:rPr>
        <w:t xml:space="preserve">  </w:t>
      </w:r>
    </w:p>
    <w:p>
      <w:pPr>
        <w:ind w:firstLine="482"/>
        <w:rPr>
          <w:rFonts w:ascii="仿宋" w:hAnsi="仿宋" w:eastAsia="仿宋"/>
        </w:rPr>
      </w:pPr>
      <w:r>
        <w:rPr>
          <w:rFonts w:hint="eastAsia" w:ascii="仿宋" w:hAnsi="仿宋" w:eastAsia="仿宋"/>
        </w:rPr>
        <w:t xml:space="preserve">  </w:t>
      </w:r>
    </w:p>
    <w:p>
      <w:pPr>
        <w:spacing w:line="380" w:lineRule="exact"/>
        <w:jc w:val="center"/>
        <w:rPr>
          <w:rFonts w:ascii="仿宋" w:hAnsi="仿宋" w:eastAsia="仿宋"/>
        </w:rPr>
      </w:pPr>
      <w:r>
        <w:rPr>
          <w:rFonts w:hint="eastAsia" w:ascii="宋体" w:hAnsi="宋体" w:cs="宋体"/>
          <w:b/>
          <w:bCs/>
          <w:sz w:val="28"/>
          <w:szCs w:val="28"/>
        </w:rPr>
        <w:t>法定代表人身份证复印件</w:t>
      </w:r>
    </w:p>
    <w:tbl>
      <w:tblPr>
        <w:tblStyle w:val="21"/>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trPr>
        <w:tc>
          <w:tcPr>
            <w:tcW w:w="4643" w:type="dxa"/>
            <w:vAlign w:val="center"/>
          </w:tcPr>
          <w:p>
            <w:pPr>
              <w:spacing w:line="380" w:lineRule="exact"/>
              <w:jc w:val="center"/>
              <w:rPr>
                <w:rFonts w:ascii="仿宋" w:hAnsi="仿宋" w:eastAsia="仿宋"/>
                <w:b/>
                <w:bCs/>
                <w:sz w:val="28"/>
                <w:szCs w:val="28"/>
              </w:rPr>
            </w:pPr>
            <w:r>
              <w:rPr>
                <w:rFonts w:hint="eastAsia" w:ascii="仿宋" w:hAnsi="仿宋" w:eastAsia="仿宋"/>
                <w:b/>
                <w:bCs/>
                <w:sz w:val="28"/>
                <w:szCs w:val="28"/>
              </w:rPr>
              <w:t xml:space="preserve">正面 </w:t>
            </w:r>
          </w:p>
        </w:tc>
        <w:tc>
          <w:tcPr>
            <w:tcW w:w="4815" w:type="dxa"/>
            <w:vAlign w:val="center"/>
          </w:tcPr>
          <w:p>
            <w:pPr>
              <w:spacing w:line="380" w:lineRule="exact"/>
              <w:jc w:val="center"/>
              <w:rPr>
                <w:rFonts w:ascii="仿宋" w:hAnsi="仿宋" w:eastAsia="仿宋"/>
                <w:b/>
                <w:bCs/>
                <w:sz w:val="28"/>
                <w:szCs w:val="28"/>
              </w:rPr>
            </w:pPr>
            <w:r>
              <w:rPr>
                <w:rFonts w:hint="eastAsia" w:ascii="仿宋" w:hAnsi="仿宋" w:eastAsia="仿宋"/>
                <w:b/>
                <w:bCs/>
                <w:sz w:val="28"/>
                <w:szCs w:val="28"/>
              </w:rPr>
              <w:t xml:space="preserve">背面 </w:t>
            </w:r>
          </w:p>
        </w:tc>
      </w:tr>
    </w:tbl>
    <w:p>
      <w:pPr>
        <w:spacing w:line="380" w:lineRule="exact"/>
        <w:jc w:val="center"/>
        <w:rPr>
          <w:rFonts w:ascii="宋体" w:hAnsi="宋体" w:cs="宋体"/>
          <w:b/>
          <w:bCs/>
          <w:sz w:val="28"/>
          <w:szCs w:val="28"/>
        </w:rPr>
      </w:pPr>
      <w:r>
        <w:rPr>
          <w:rFonts w:hint="eastAsia" w:ascii="宋体" w:hAnsi="宋体" w:cs="宋体"/>
          <w:b/>
          <w:bCs/>
          <w:sz w:val="28"/>
          <w:szCs w:val="28"/>
        </w:rPr>
        <w:t>被授权人身份证复印件</w:t>
      </w:r>
    </w:p>
    <w:tbl>
      <w:tblPr>
        <w:tblStyle w:val="21"/>
        <w:tblW w:w="9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3"/>
        <w:gridCol w:w="4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5" w:hRule="atLeast"/>
        </w:trPr>
        <w:tc>
          <w:tcPr>
            <w:tcW w:w="4613" w:type="dxa"/>
            <w:vAlign w:val="center"/>
          </w:tcPr>
          <w:p>
            <w:pPr>
              <w:spacing w:line="380" w:lineRule="exact"/>
              <w:jc w:val="center"/>
              <w:rPr>
                <w:rFonts w:ascii="仿宋" w:hAnsi="仿宋" w:eastAsia="仿宋"/>
                <w:b/>
                <w:bCs/>
                <w:sz w:val="28"/>
                <w:szCs w:val="28"/>
              </w:rPr>
            </w:pPr>
            <w:r>
              <w:rPr>
                <w:rFonts w:hint="eastAsia" w:ascii="仿宋" w:hAnsi="仿宋" w:eastAsia="仿宋"/>
                <w:b/>
                <w:bCs/>
                <w:sz w:val="28"/>
                <w:szCs w:val="28"/>
              </w:rPr>
              <w:t xml:space="preserve">正面 </w:t>
            </w:r>
          </w:p>
        </w:tc>
        <w:tc>
          <w:tcPr>
            <w:tcW w:w="4950" w:type="dxa"/>
            <w:vAlign w:val="center"/>
          </w:tcPr>
          <w:p>
            <w:pPr>
              <w:spacing w:line="380" w:lineRule="exact"/>
              <w:jc w:val="center"/>
              <w:rPr>
                <w:rFonts w:ascii="仿宋" w:hAnsi="仿宋" w:eastAsia="仿宋"/>
                <w:b/>
                <w:bCs/>
                <w:sz w:val="28"/>
                <w:szCs w:val="28"/>
              </w:rPr>
            </w:pPr>
            <w:r>
              <w:rPr>
                <w:rFonts w:hint="eastAsia" w:ascii="仿宋" w:hAnsi="仿宋" w:eastAsia="仿宋"/>
                <w:b/>
                <w:bCs/>
                <w:sz w:val="28"/>
                <w:szCs w:val="28"/>
              </w:rPr>
              <w:t xml:space="preserve">背面 </w:t>
            </w:r>
          </w:p>
        </w:tc>
      </w:tr>
    </w:tbl>
    <w:p>
      <w:pPr>
        <w:pStyle w:val="3"/>
        <w:jc w:val="center"/>
        <w:rPr>
          <w:rFonts w:ascii="仿宋" w:hAnsi="仿宋" w:eastAsia="仿宋" w:cs="仿宋"/>
        </w:rPr>
      </w:pPr>
      <w:bookmarkStart w:id="380" w:name="_Toc12866"/>
      <w:bookmarkStart w:id="381" w:name="_Toc9107"/>
      <w:bookmarkStart w:id="382" w:name="_Toc17248"/>
      <w:bookmarkStart w:id="383" w:name="_Toc27024"/>
      <w:bookmarkStart w:id="384" w:name="_Toc18894"/>
      <w:bookmarkStart w:id="385" w:name="_Toc13738_WPSOffice_Level2"/>
      <w:bookmarkStart w:id="386" w:name="_Toc31120"/>
      <w:bookmarkStart w:id="387" w:name="_Toc27144"/>
      <w:bookmarkStart w:id="388" w:name="_Toc5285"/>
      <w:bookmarkStart w:id="389" w:name="_Toc21239"/>
      <w:bookmarkStart w:id="390" w:name="_Toc2380"/>
      <w:bookmarkStart w:id="391" w:name="_Toc23835"/>
      <w:bookmarkStart w:id="392" w:name="_Toc31819"/>
      <w:bookmarkStart w:id="393" w:name="_Toc29612"/>
      <w:bookmarkStart w:id="394" w:name="_Toc14188"/>
    </w:p>
    <w:p>
      <w:pPr>
        <w:pStyle w:val="3"/>
        <w:jc w:val="center"/>
        <w:rPr>
          <w:rFonts w:ascii="仿宋" w:hAnsi="仿宋" w:eastAsia="仿宋" w:cs="仿宋"/>
        </w:rPr>
      </w:pPr>
      <w:bookmarkStart w:id="395" w:name="_Toc3833"/>
      <w:r>
        <w:rPr>
          <w:rFonts w:hint="eastAsia" w:ascii="仿宋" w:hAnsi="仿宋" w:eastAsia="仿宋" w:cs="仿宋"/>
        </w:rPr>
        <w:t>（五）</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Start w:id="396" w:name="_Toc21326"/>
      <w:r>
        <w:rPr>
          <w:rFonts w:hint="eastAsia" w:ascii="仿宋" w:hAnsi="仿宋" w:eastAsia="仿宋" w:cs="仿宋"/>
        </w:rPr>
        <w:t>开标一览表</w:t>
      </w:r>
      <w:bookmarkEnd w:id="395"/>
      <w:bookmarkEnd w:id="396"/>
    </w:p>
    <w:p>
      <w:pPr>
        <w:pStyle w:val="27"/>
        <w:spacing w:line="320" w:lineRule="exact"/>
        <w:jc w:val="both"/>
        <w:rPr>
          <w:rFonts w:hint="eastAsia" w:ascii="仿宋" w:hAnsi="仿宋" w:eastAsia="仿宋"/>
          <w:b/>
          <w:bCs/>
          <w:color w:val="auto"/>
          <w:lang w:eastAsia="zh-CN"/>
        </w:rPr>
      </w:pPr>
      <w:r>
        <w:rPr>
          <w:rFonts w:hint="eastAsia" w:ascii="仿宋" w:hAnsi="仿宋" w:eastAsia="仿宋"/>
          <w:b/>
          <w:bCs/>
          <w:color w:val="auto"/>
        </w:rPr>
        <w:t>投标人名称（公章）：                        招标文件编号：</w:t>
      </w:r>
      <w:r>
        <w:rPr>
          <w:rFonts w:hint="eastAsia" w:ascii="仿宋" w:hAnsi="仿宋" w:eastAsia="仿宋"/>
          <w:sz w:val="24"/>
          <w:u w:val="single"/>
          <w:lang w:eastAsia="zh-CN"/>
        </w:rPr>
        <w:t>Y</w:t>
      </w:r>
      <w:r>
        <w:rPr>
          <w:rFonts w:hint="eastAsia" w:ascii="仿宋" w:hAnsi="仿宋" w:eastAsia="仿宋"/>
          <w:sz w:val="24"/>
          <w:u w:val="single"/>
          <w:lang w:val="en-US" w:eastAsia="zh-CN"/>
        </w:rPr>
        <w:t>N</w:t>
      </w:r>
      <w:r>
        <w:rPr>
          <w:rFonts w:hint="eastAsia" w:ascii="仿宋" w:hAnsi="仿宋" w:eastAsia="仿宋"/>
          <w:sz w:val="24"/>
          <w:u w:val="single"/>
          <w:lang w:eastAsia="zh-CN"/>
        </w:rPr>
        <w:t>CG-202</w:t>
      </w:r>
      <w:r>
        <w:rPr>
          <w:rFonts w:hint="eastAsia" w:ascii="仿宋" w:hAnsi="仿宋" w:eastAsia="仿宋"/>
          <w:sz w:val="24"/>
          <w:u w:val="single"/>
          <w:lang w:val="en-US" w:eastAsia="zh-CN"/>
        </w:rPr>
        <w:t>4</w:t>
      </w:r>
      <w:r>
        <w:rPr>
          <w:rFonts w:hint="eastAsia" w:ascii="仿宋" w:hAnsi="仿宋" w:eastAsia="仿宋"/>
          <w:sz w:val="24"/>
          <w:u w:val="single"/>
          <w:lang w:eastAsia="zh-CN"/>
        </w:rPr>
        <w:t>-00</w:t>
      </w:r>
      <w:r>
        <w:rPr>
          <w:rFonts w:hint="eastAsia" w:ascii="仿宋" w:hAnsi="仿宋" w:eastAsia="仿宋"/>
          <w:sz w:val="24"/>
          <w:u w:val="single"/>
          <w:lang w:val="en-US" w:eastAsia="zh-CN"/>
        </w:rPr>
        <w:t>3</w:t>
      </w:r>
    </w:p>
    <w:tbl>
      <w:tblPr>
        <w:tblStyle w:val="21"/>
        <w:tblW w:w="90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216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0" w:type="dxa"/>
            <w:vAlign w:val="center"/>
          </w:tcPr>
          <w:p>
            <w:pPr>
              <w:pStyle w:val="27"/>
              <w:tabs>
                <w:tab w:val="left" w:pos="4032"/>
              </w:tabs>
              <w:spacing w:line="320" w:lineRule="exact"/>
              <w:ind w:right="-743" w:rightChars="-354"/>
              <w:rPr>
                <w:rFonts w:ascii="仿宋" w:hAnsi="仿宋" w:eastAsia="仿宋"/>
                <w:color w:val="auto"/>
              </w:rPr>
            </w:pPr>
            <w:r>
              <w:rPr>
                <w:rFonts w:hint="eastAsia" w:ascii="仿宋" w:hAnsi="仿宋" w:eastAsia="仿宋"/>
                <w:color w:val="auto"/>
              </w:rPr>
              <w:t>标段</w:t>
            </w:r>
          </w:p>
        </w:tc>
        <w:tc>
          <w:tcPr>
            <w:tcW w:w="2160" w:type="dxa"/>
            <w:vAlign w:val="center"/>
          </w:tcPr>
          <w:p>
            <w:pPr>
              <w:pStyle w:val="27"/>
              <w:tabs>
                <w:tab w:val="left" w:pos="4032"/>
              </w:tabs>
              <w:spacing w:line="320" w:lineRule="exact"/>
              <w:ind w:left="-128" w:leftChars="-422" w:right="-743" w:rightChars="-354" w:hanging="758" w:hangingChars="316"/>
              <w:jc w:val="center"/>
              <w:rPr>
                <w:rFonts w:ascii="仿宋" w:hAnsi="仿宋" w:eastAsia="仿宋"/>
                <w:color w:val="auto"/>
              </w:rPr>
            </w:pPr>
            <w:r>
              <w:rPr>
                <w:rFonts w:hint="eastAsia" w:ascii="仿宋" w:hAnsi="仿宋" w:eastAsia="仿宋"/>
                <w:color w:val="auto"/>
              </w:rPr>
              <w:t>项目名称</w:t>
            </w:r>
          </w:p>
        </w:tc>
        <w:tc>
          <w:tcPr>
            <w:tcW w:w="2160" w:type="dxa"/>
            <w:vAlign w:val="center"/>
          </w:tcPr>
          <w:p>
            <w:pPr>
              <w:pStyle w:val="27"/>
              <w:spacing w:line="320" w:lineRule="exact"/>
              <w:ind w:left="-342" w:right="-354"/>
              <w:jc w:val="center"/>
              <w:rPr>
                <w:rFonts w:ascii="仿宋" w:hAnsi="仿宋" w:eastAsia="仿宋"/>
                <w:color w:val="auto"/>
              </w:rPr>
            </w:pPr>
            <w:r>
              <w:rPr>
                <w:rFonts w:hint="eastAsia" w:ascii="仿宋" w:hAnsi="仿宋" w:eastAsia="仿宋"/>
                <w:color w:val="auto"/>
              </w:rPr>
              <w:t>投标报价（万元）</w:t>
            </w:r>
          </w:p>
        </w:tc>
        <w:tc>
          <w:tcPr>
            <w:tcW w:w="1980" w:type="dxa"/>
            <w:vAlign w:val="center"/>
          </w:tcPr>
          <w:p>
            <w:pPr>
              <w:pStyle w:val="27"/>
              <w:spacing w:line="320" w:lineRule="exact"/>
              <w:ind w:right="-354"/>
              <w:jc w:val="center"/>
              <w:rPr>
                <w:rFonts w:ascii="仿宋" w:hAnsi="仿宋" w:eastAsia="仿宋"/>
                <w:color w:val="auto"/>
              </w:rPr>
            </w:pPr>
            <w:r>
              <w:rPr>
                <w:rFonts w:hint="eastAsia" w:ascii="仿宋" w:hAnsi="仿宋" w:eastAsia="仿宋"/>
                <w:color w:val="auto"/>
              </w:rPr>
              <w:t>供货期限</w:t>
            </w:r>
          </w:p>
        </w:tc>
        <w:tc>
          <w:tcPr>
            <w:tcW w:w="1980" w:type="dxa"/>
            <w:vAlign w:val="center"/>
          </w:tcPr>
          <w:p>
            <w:pPr>
              <w:pStyle w:val="27"/>
              <w:spacing w:line="320" w:lineRule="exact"/>
              <w:ind w:right="-354" w:firstLine="720" w:firstLineChars="300"/>
              <w:rPr>
                <w:rFonts w:ascii="仿宋" w:hAnsi="仿宋" w:eastAsia="仿宋"/>
                <w:color w:val="auto"/>
              </w:rPr>
            </w:pPr>
            <w:r>
              <w:rPr>
                <w:rFonts w:hint="eastAsia" w:ascii="仿宋" w:hAnsi="仿宋" w:eastAsia="仿宋"/>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720" w:type="dxa"/>
            <w:vAlign w:val="center"/>
          </w:tcPr>
          <w:p>
            <w:pPr>
              <w:pStyle w:val="27"/>
              <w:tabs>
                <w:tab w:val="left" w:pos="4032"/>
              </w:tabs>
              <w:spacing w:line="320" w:lineRule="exact"/>
              <w:ind w:right="-354"/>
              <w:rPr>
                <w:rFonts w:ascii="仿宋" w:hAnsi="仿宋" w:eastAsia="仿宋"/>
                <w:color w:val="auto"/>
                <w:sz w:val="21"/>
              </w:rPr>
            </w:pPr>
          </w:p>
        </w:tc>
        <w:tc>
          <w:tcPr>
            <w:tcW w:w="2160" w:type="dxa"/>
            <w:vAlign w:val="center"/>
          </w:tcPr>
          <w:p>
            <w:pPr>
              <w:pStyle w:val="27"/>
              <w:tabs>
                <w:tab w:val="left" w:pos="4032"/>
              </w:tabs>
              <w:spacing w:line="320" w:lineRule="exact"/>
              <w:ind w:left="-342" w:right="-354"/>
              <w:jc w:val="center"/>
              <w:rPr>
                <w:rFonts w:ascii="仿宋" w:hAnsi="仿宋" w:eastAsia="仿宋"/>
                <w:color w:val="auto"/>
                <w:sz w:val="21"/>
              </w:rPr>
            </w:pPr>
          </w:p>
        </w:tc>
        <w:tc>
          <w:tcPr>
            <w:tcW w:w="2160" w:type="dxa"/>
            <w:vAlign w:val="center"/>
          </w:tcPr>
          <w:p>
            <w:pPr>
              <w:pStyle w:val="27"/>
              <w:spacing w:line="320" w:lineRule="exact"/>
              <w:ind w:left="-342" w:right="-354"/>
              <w:jc w:val="center"/>
              <w:rPr>
                <w:rFonts w:ascii="仿宋" w:hAnsi="仿宋" w:eastAsia="仿宋"/>
                <w:color w:val="auto"/>
                <w:sz w:val="21"/>
              </w:rPr>
            </w:pPr>
          </w:p>
        </w:tc>
        <w:tc>
          <w:tcPr>
            <w:tcW w:w="1980" w:type="dxa"/>
          </w:tcPr>
          <w:p>
            <w:pPr>
              <w:pStyle w:val="27"/>
              <w:spacing w:line="320" w:lineRule="exact"/>
              <w:ind w:left="-342" w:right="-354"/>
              <w:jc w:val="center"/>
              <w:rPr>
                <w:rFonts w:ascii="仿宋" w:hAnsi="仿宋" w:eastAsia="仿宋"/>
                <w:color w:val="auto"/>
                <w:sz w:val="21"/>
              </w:rPr>
            </w:pPr>
          </w:p>
        </w:tc>
        <w:tc>
          <w:tcPr>
            <w:tcW w:w="1980" w:type="dxa"/>
            <w:vAlign w:val="center"/>
          </w:tcPr>
          <w:p>
            <w:pPr>
              <w:pStyle w:val="27"/>
              <w:spacing w:line="320" w:lineRule="exact"/>
              <w:ind w:left="-342" w:right="-354"/>
              <w:jc w:val="center"/>
              <w:rPr>
                <w:rFonts w:ascii="仿宋" w:hAnsi="仿宋" w:eastAsia="仿宋"/>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720" w:type="dxa"/>
            <w:vAlign w:val="center"/>
          </w:tcPr>
          <w:p>
            <w:pPr>
              <w:pStyle w:val="27"/>
              <w:tabs>
                <w:tab w:val="left" w:pos="4032"/>
              </w:tabs>
              <w:spacing w:line="320" w:lineRule="exact"/>
              <w:ind w:right="-354"/>
              <w:rPr>
                <w:rFonts w:ascii="仿宋" w:hAnsi="仿宋" w:eastAsia="仿宋"/>
                <w:color w:val="auto"/>
                <w:sz w:val="21"/>
              </w:rPr>
            </w:pPr>
          </w:p>
        </w:tc>
        <w:tc>
          <w:tcPr>
            <w:tcW w:w="2160" w:type="dxa"/>
            <w:vAlign w:val="center"/>
          </w:tcPr>
          <w:p>
            <w:pPr>
              <w:pStyle w:val="27"/>
              <w:tabs>
                <w:tab w:val="left" w:pos="4032"/>
              </w:tabs>
              <w:spacing w:line="320" w:lineRule="exact"/>
              <w:ind w:left="-342" w:right="-354"/>
              <w:jc w:val="center"/>
              <w:rPr>
                <w:rFonts w:ascii="仿宋" w:hAnsi="仿宋" w:eastAsia="仿宋"/>
                <w:color w:val="auto"/>
                <w:sz w:val="21"/>
              </w:rPr>
            </w:pPr>
          </w:p>
        </w:tc>
        <w:tc>
          <w:tcPr>
            <w:tcW w:w="2160" w:type="dxa"/>
            <w:vAlign w:val="center"/>
          </w:tcPr>
          <w:p>
            <w:pPr>
              <w:pStyle w:val="27"/>
              <w:spacing w:line="320" w:lineRule="exact"/>
              <w:ind w:left="-342" w:right="-354"/>
              <w:jc w:val="center"/>
              <w:rPr>
                <w:rFonts w:ascii="仿宋" w:hAnsi="仿宋" w:eastAsia="仿宋"/>
                <w:color w:val="auto"/>
                <w:sz w:val="21"/>
              </w:rPr>
            </w:pPr>
          </w:p>
        </w:tc>
        <w:tc>
          <w:tcPr>
            <w:tcW w:w="1980" w:type="dxa"/>
          </w:tcPr>
          <w:p>
            <w:pPr>
              <w:pStyle w:val="27"/>
              <w:spacing w:line="320" w:lineRule="exact"/>
              <w:ind w:left="-342" w:right="-354"/>
              <w:jc w:val="center"/>
              <w:rPr>
                <w:rFonts w:ascii="仿宋" w:hAnsi="仿宋" w:eastAsia="仿宋"/>
                <w:color w:val="auto"/>
                <w:sz w:val="21"/>
              </w:rPr>
            </w:pPr>
          </w:p>
        </w:tc>
        <w:tc>
          <w:tcPr>
            <w:tcW w:w="1980" w:type="dxa"/>
            <w:vAlign w:val="center"/>
          </w:tcPr>
          <w:p>
            <w:pPr>
              <w:pStyle w:val="27"/>
              <w:spacing w:line="320" w:lineRule="exact"/>
              <w:ind w:left="-342" w:right="-354"/>
              <w:jc w:val="center"/>
              <w:rPr>
                <w:rFonts w:ascii="仿宋" w:hAnsi="仿宋" w:eastAsia="仿宋"/>
                <w:color w:val="auto"/>
                <w:sz w:val="21"/>
              </w:rPr>
            </w:pPr>
          </w:p>
        </w:tc>
      </w:tr>
    </w:tbl>
    <w:p>
      <w:pPr>
        <w:pStyle w:val="27"/>
        <w:spacing w:line="320" w:lineRule="exact"/>
        <w:rPr>
          <w:color w:val="auto"/>
        </w:rPr>
      </w:pPr>
      <w:r>
        <w:rPr>
          <w:rFonts w:hint="eastAsia" w:ascii="仿宋" w:hAnsi="仿宋" w:eastAsia="仿宋"/>
          <w:color w:val="auto"/>
        </w:rPr>
        <w:t xml:space="preserve"> 投标人授权代表签字：</w:t>
      </w:r>
    </w:p>
    <w:p>
      <w:pPr>
        <w:pStyle w:val="3"/>
        <w:jc w:val="center"/>
        <w:rPr>
          <w:rFonts w:ascii="仿宋" w:hAnsi="仿宋" w:eastAsia="仿宋" w:cs="仿宋"/>
        </w:rPr>
      </w:pPr>
      <w:bookmarkStart w:id="397" w:name="_Toc14192"/>
    </w:p>
    <w:p>
      <w:pPr>
        <w:pStyle w:val="3"/>
        <w:jc w:val="center"/>
        <w:rPr>
          <w:rFonts w:ascii="仿宋" w:hAnsi="仿宋" w:eastAsia="仿宋"/>
          <w:sz w:val="24"/>
        </w:rPr>
      </w:pPr>
      <w:bookmarkStart w:id="398" w:name="_Toc30922"/>
      <w:r>
        <w:rPr>
          <w:rFonts w:hint="eastAsia" w:ascii="仿宋" w:hAnsi="仿宋" w:eastAsia="仿宋" w:cs="仿宋"/>
        </w:rPr>
        <w:t>（六）报价明细表</w:t>
      </w:r>
      <w:bookmarkEnd w:id="397"/>
      <w:bookmarkEnd w:id="398"/>
    </w:p>
    <w:p>
      <w:pPr>
        <w:spacing w:line="320" w:lineRule="exact"/>
        <w:rPr>
          <w:rFonts w:hint="eastAsia" w:ascii="仿宋" w:hAnsi="仿宋" w:eastAsia="仿宋"/>
          <w:b/>
          <w:bCs/>
          <w:sz w:val="24"/>
          <w:szCs w:val="24"/>
          <w:u w:val="single"/>
          <w:lang w:eastAsia="zh-CN"/>
        </w:rPr>
      </w:pPr>
      <w:r>
        <w:rPr>
          <w:rFonts w:hint="eastAsia" w:ascii="仿宋" w:hAnsi="仿宋" w:eastAsia="仿宋"/>
          <w:b/>
          <w:bCs/>
          <w:sz w:val="24"/>
        </w:rPr>
        <w:t xml:space="preserve">投标人名称（公章）                     </w:t>
      </w:r>
      <w:r>
        <w:rPr>
          <w:rFonts w:hint="eastAsia" w:ascii="仿宋" w:hAnsi="仿宋" w:eastAsia="仿宋"/>
          <w:b/>
          <w:bCs/>
          <w:sz w:val="24"/>
          <w:szCs w:val="24"/>
        </w:rPr>
        <w:t xml:space="preserve">    招标文件编号：</w:t>
      </w:r>
      <w:r>
        <w:rPr>
          <w:rFonts w:hint="eastAsia" w:ascii="仿宋" w:hAnsi="仿宋" w:eastAsia="仿宋"/>
          <w:sz w:val="24"/>
          <w:u w:val="single"/>
          <w:lang w:eastAsia="zh-CN"/>
        </w:rPr>
        <w:t>Y</w:t>
      </w:r>
      <w:r>
        <w:rPr>
          <w:rFonts w:hint="eastAsia" w:ascii="仿宋" w:hAnsi="仿宋" w:eastAsia="仿宋"/>
          <w:sz w:val="24"/>
          <w:u w:val="single"/>
          <w:lang w:val="en-US" w:eastAsia="zh-CN"/>
        </w:rPr>
        <w:t>N</w:t>
      </w:r>
      <w:r>
        <w:rPr>
          <w:rFonts w:hint="eastAsia" w:ascii="仿宋" w:hAnsi="仿宋" w:eastAsia="仿宋"/>
          <w:sz w:val="24"/>
          <w:u w:val="single"/>
          <w:lang w:eastAsia="zh-CN"/>
        </w:rPr>
        <w:t>CG-202</w:t>
      </w:r>
      <w:r>
        <w:rPr>
          <w:rFonts w:hint="eastAsia" w:ascii="仿宋" w:hAnsi="仿宋" w:eastAsia="仿宋"/>
          <w:sz w:val="24"/>
          <w:u w:val="single"/>
          <w:lang w:val="en-US" w:eastAsia="zh-CN"/>
        </w:rPr>
        <w:t>4</w:t>
      </w:r>
      <w:r>
        <w:rPr>
          <w:rFonts w:hint="eastAsia" w:ascii="仿宋" w:hAnsi="仿宋" w:eastAsia="仿宋"/>
          <w:sz w:val="24"/>
          <w:u w:val="single"/>
          <w:lang w:eastAsia="zh-CN"/>
        </w:rPr>
        <w:t>-00</w:t>
      </w:r>
      <w:r>
        <w:rPr>
          <w:rFonts w:hint="eastAsia" w:ascii="仿宋" w:hAnsi="仿宋" w:eastAsia="仿宋"/>
          <w:sz w:val="24"/>
          <w:u w:val="single"/>
          <w:lang w:val="en-US" w:eastAsia="zh-CN"/>
        </w:rPr>
        <w:t>3</w:t>
      </w:r>
    </w:p>
    <w:tbl>
      <w:tblPr>
        <w:tblStyle w:val="21"/>
        <w:tblW w:w="9169"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620"/>
        <w:gridCol w:w="1440"/>
        <w:gridCol w:w="1800"/>
        <w:gridCol w:w="1260"/>
        <w:gridCol w:w="124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75" w:type="dxa"/>
            <w:vAlign w:val="center"/>
          </w:tcPr>
          <w:p>
            <w:pPr>
              <w:spacing w:line="320" w:lineRule="exact"/>
              <w:jc w:val="center"/>
              <w:rPr>
                <w:rFonts w:ascii="仿宋" w:hAnsi="仿宋" w:eastAsia="仿宋"/>
                <w:szCs w:val="21"/>
              </w:rPr>
            </w:pPr>
            <w:r>
              <w:rPr>
                <w:rFonts w:hint="eastAsia" w:ascii="仿宋" w:hAnsi="仿宋" w:eastAsia="仿宋"/>
                <w:szCs w:val="21"/>
              </w:rPr>
              <w:t>序号</w:t>
            </w:r>
          </w:p>
        </w:tc>
        <w:tc>
          <w:tcPr>
            <w:tcW w:w="1620" w:type="dxa"/>
            <w:vAlign w:val="center"/>
          </w:tcPr>
          <w:p>
            <w:pPr>
              <w:spacing w:line="320" w:lineRule="exact"/>
              <w:jc w:val="center"/>
              <w:rPr>
                <w:rFonts w:ascii="仿宋" w:hAnsi="仿宋" w:eastAsia="仿宋"/>
                <w:sz w:val="24"/>
              </w:rPr>
            </w:pPr>
            <w:r>
              <w:rPr>
                <w:rFonts w:hint="eastAsia" w:ascii="仿宋" w:hAnsi="仿宋" w:eastAsia="仿宋"/>
                <w:sz w:val="24"/>
              </w:rPr>
              <w:t>产品名称</w:t>
            </w:r>
          </w:p>
        </w:tc>
        <w:tc>
          <w:tcPr>
            <w:tcW w:w="1440" w:type="dxa"/>
            <w:vAlign w:val="center"/>
          </w:tcPr>
          <w:p>
            <w:pPr>
              <w:spacing w:line="320" w:lineRule="exact"/>
              <w:jc w:val="center"/>
              <w:rPr>
                <w:rFonts w:ascii="仿宋" w:hAnsi="仿宋" w:eastAsia="仿宋"/>
                <w:sz w:val="24"/>
              </w:rPr>
            </w:pPr>
            <w:r>
              <w:rPr>
                <w:rFonts w:hint="eastAsia" w:ascii="仿宋" w:hAnsi="仿宋" w:eastAsia="仿宋"/>
                <w:sz w:val="24"/>
              </w:rPr>
              <w:t>规格型号</w:t>
            </w:r>
          </w:p>
        </w:tc>
        <w:tc>
          <w:tcPr>
            <w:tcW w:w="1800" w:type="dxa"/>
            <w:vAlign w:val="center"/>
          </w:tcPr>
          <w:p>
            <w:pPr>
              <w:spacing w:line="320" w:lineRule="exact"/>
              <w:jc w:val="center"/>
              <w:rPr>
                <w:rFonts w:ascii="仿宋" w:hAnsi="仿宋" w:eastAsia="仿宋"/>
                <w:sz w:val="24"/>
              </w:rPr>
            </w:pPr>
            <w:r>
              <w:rPr>
                <w:rFonts w:hint="eastAsia" w:ascii="仿宋" w:hAnsi="仿宋" w:eastAsia="仿宋"/>
                <w:sz w:val="24"/>
              </w:rPr>
              <w:t>制造商</w:t>
            </w:r>
          </w:p>
        </w:tc>
        <w:tc>
          <w:tcPr>
            <w:tcW w:w="1260" w:type="dxa"/>
            <w:vAlign w:val="center"/>
          </w:tcPr>
          <w:p>
            <w:pPr>
              <w:spacing w:line="320" w:lineRule="exact"/>
              <w:jc w:val="center"/>
              <w:rPr>
                <w:rFonts w:ascii="仿宋" w:hAnsi="仿宋" w:eastAsia="仿宋"/>
                <w:sz w:val="24"/>
              </w:rPr>
            </w:pPr>
            <w:r>
              <w:rPr>
                <w:rFonts w:hint="eastAsia" w:ascii="仿宋" w:hAnsi="仿宋" w:eastAsia="仿宋"/>
                <w:sz w:val="24"/>
              </w:rPr>
              <w:t>数量</w:t>
            </w:r>
          </w:p>
        </w:tc>
        <w:tc>
          <w:tcPr>
            <w:tcW w:w="1240" w:type="dxa"/>
            <w:vAlign w:val="center"/>
          </w:tcPr>
          <w:p>
            <w:pPr>
              <w:spacing w:line="320" w:lineRule="exact"/>
              <w:jc w:val="center"/>
              <w:rPr>
                <w:rFonts w:ascii="仿宋" w:hAnsi="仿宋" w:eastAsia="仿宋"/>
                <w:sz w:val="24"/>
              </w:rPr>
            </w:pPr>
            <w:r>
              <w:rPr>
                <w:rFonts w:hint="eastAsia" w:ascii="仿宋" w:hAnsi="仿宋" w:eastAsia="仿宋"/>
                <w:sz w:val="24"/>
              </w:rPr>
              <w:t>单价</w:t>
            </w:r>
          </w:p>
        </w:tc>
        <w:tc>
          <w:tcPr>
            <w:tcW w:w="1134" w:type="dxa"/>
            <w:vAlign w:val="center"/>
          </w:tcPr>
          <w:p>
            <w:pPr>
              <w:spacing w:line="320" w:lineRule="exact"/>
              <w:jc w:val="center"/>
              <w:rPr>
                <w:rFonts w:ascii="仿宋" w:hAnsi="仿宋" w:eastAsia="仿宋"/>
                <w:sz w:val="24"/>
              </w:rPr>
            </w:pPr>
            <w:r>
              <w:rPr>
                <w:rFonts w:hint="eastAsia" w:ascii="仿宋" w:hAnsi="仿宋" w:eastAsia="仿宋"/>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0" w:hRule="atLeast"/>
        </w:trPr>
        <w:tc>
          <w:tcPr>
            <w:tcW w:w="675" w:type="dxa"/>
          </w:tcPr>
          <w:p>
            <w:pPr>
              <w:spacing w:line="320" w:lineRule="exact"/>
              <w:rPr>
                <w:rFonts w:ascii="仿宋" w:hAnsi="仿宋" w:eastAsia="仿宋"/>
                <w:sz w:val="18"/>
                <w:szCs w:val="18"/>
              </w:rPr>
            </w:pPr>
          </w:p>
        </w:tc>
        <w:tc>
          <w:tcPr>
            <w:tcW w:w="1620" w:type="dxa"/>
          </w:tcPr>
          <w:p>
            <w:pPr>
              <w:spacing w:line="320" w:lineRule="exact"/>
              <w:rPr>
                <w:rFonts w:ascii="仿宋" w:hAnsi="仿宋" w:eastAsia="仿宋"/>
                <w:sz w:val="24"/>
              </w:rPr>
            </w:pPr>
          </w:p>
        </w:tc>
        <w:tc>
          <w:tcPr>
            <w:tcW w:w="1440" w:type="dxa"/>
          </w:tcPr>
          <w:p>
            <w:pPr>
              <w:spacing w:line="320" w:lineRule="exact"/>
              <w:rPr>
                <w:rFonts w:ascii="仿宋" w:hAnsi="仿宋" w:eastAsia="仿宋"/>
                <w:sz w:val="24"/>
              </w:rPr>
            </w:pPr>
          </w:p>
        </w:tc>
        <w:tc>
          <w:tcPr>
            <w:tcW w:w="1800" w:type="dxa"/>
          </w:tcPr>
          <w:p>
            <w:pPr>
              <w:spacing w:line="320" w:lineRule="exact"/>
              <w:rPr>
                <w:rFonts w:ascii="仿宋" w:hAnsi="仿宋" w:eastAsia="仿宋"/>
                <w:sz w:val="24"/>
              </w:rPr>
            </w:pPr>
          </w:p>
        </w:tc>
        <w:tc>
          <w:tcPr>
            <w:tcW w:w="1260" w:type="dxa"/>
          </w:tcPr>
          <w:p>
            <w:pPr>
              <w:spacing w:line="320" w:lineRule="exact"/>
              <w:rPr>
                <w:rFonts w:ascii="仿宋" w:hAnsi="仿宋" w:eastAsia="仿宋"/>
                <w:sz w:val="24"/>
              </w:rPr>
            </w:pPr>
          </w:p>
        </w:tc>
        <w:tc>
          <w:tcPr>
            <w:tcW w:w="1240" w:type="dxa"/>
          </w:tcPr>
          <w:p>
            <w:pPr>
              <w:spacing w:line="320" w:lineRule="exact"/>
              <w:rPr>
                <w:rFonts w:ascii="仿宋" w:hAnsi="仿宋" w:eastAsia="仿宋"/>
                <w:sz w:val="24"/>
              </w:rPr>
            </w:pPr>
          </w:p>
        </w:tc>
        <w:tc>
          <w:tcPr>
            <w:tcW w:w="1134" w:type="dxa"/>
          </w:tcPr>
          <w:p>
            <w:pPr>
              <w:spacing w:line="3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675" w:type="dxa"/>
          </w:tcPr>
          <w:p>
            <w:pPr>
              <w:spacing w:line="320" w:lineRule="exact"/>
              <w:rPr>
                <w:rFonts w:ascii="仿宋" w:hAnsi="仿宋" w:eastAsia="仿宋"/>
                <w:sz w:val="18"/>
                <w:szCs w:val="18"/>
              </w:rPr>
            </w:pPr>
          </w:p>
        </w:tc>
        <w:tc>
          <w:tcPr>
            <w:tcW w:w="1620" w:type="dxa"/>
          </w:tcPr>
          <w:p>
            <w:pPr>
              <w:spacing w:line="320" w:lineRule="exact"/>
              <w:rPr>
                <w:rFonts w:ascii="仿宋" w:hAnsi="仿宋" w:eastAsia="仿宋"/>
                <w:sz w:val="24"/>
              </w:rPr>
            </w:pPr>
          </w:p>
        </w:tc>
        <w:tc>
          <w:tcPr>
            <w:tcW w:w="1440" w:type="dxa"/>
          </w:tcPr>
          <w:p>
            <w:pPr>
              <w:spacing w:line="320" w:lineRule="exact"/>
              <w:rPr>
                <w:rFonts w:ascii="仿宋" w:hAnsi="仿宋" w:eastAsia="仿宋"/>
                <w:sz w:val="24"/>
              </w:rPr>
            </w:pPr>
          </w:p>
        </w:tc>
        <w:tc>
          <w:tcPr>
            <w:tcW w:w="1800" w:type="dxa"/>
          </w:tcPr>
          <w:p>
            <w:pPr>
              <w:spacing w:line="320" w:lineRule="exact"/>
              <w:rPr>
                <w:rFonts w:ascii="仿宋" w:hAnsi="仿宋" w:eastAsia="仿宋"/>
                <w:sz w:val="24"/>
              </w:rPr>
            </w:pPr>
          </w:p>
        </w:tc>
        <w:tc>
          <w:tcPr>
            <w:tcW w:w="1260" w:type="dxa"/>
          </w:tcPr>
          <w:p>
            <w:pPr>
              <w:spacing w:line="320" w:lineRule="exact"/>
              <w:rPr>
                <w:rFonts w:ascii="仿宋" w:hAnsi="仿宋" w:eastAsia="仿宋"/>
                <w:sz w:val="24"/>
              </w:rPr>
            </w:pPr>
          </w:p>
        </w:tc>
        <w:tc>
          <w:tcPr>
            <w:tcW w:w="1240" w:type="dxa"/>
          </w:tcPr>
          <w:p>
            <w:pPr>
              <w:spacing w:line="320" w:lineRule="exact"/>
              <w:rPr>
                <w:rFonts w:ascii="仿宋" w:hAnsi="仿宋" w:eastAsia="仿宋"/>
                <w:sz w:val="24"/>
              </w:rPr>
            </w:pPr>
          </w:p>
        </w:tc>
        <w:tc>
          <w:tcPr>
            <w:tcW w:w="1134" w:type="dxa"/>
          </w:tcPr>
          <w:p>
            <w:pPr>
              <w:spacing w:line="320" w:lineRule="exact"/>
              <w:rPr>
                <w:rFonts w:ascii="仿宋" w:hAnsi="仿宋" w:eastAsia="仿宋"/>
                <w:sz w:val="24"/>
              </w:rPr>
            </w:pPr>
          </w:p>
        </w:tc>
      </w:tr>
    </w:tbl>
    <w:p>
      <w:pPr>
        <w:spacing w:line="320" w:lineRule="exact"/>
        <w:rPr>
          <w:rFonts w:ascii="仿宋" w:hAnsi="仿宋" w:eastAsia="仿宋"/>
          <w:sz w:val="24"/>
        </w:rPr>
      </w:pPr>
      <w:r>
        <w:rPr>
          <w:rFonts w:hint="eastAsia" w:ascii="仿宋" w:hAnsi="仿宋" w:eastAsia="仿宋"/>
          <w:sz w:val="24"/>
        </w:rPr>
        <w:t>此表可向下延伸</w:t>
      </w:r>
    </w:p>
    <w:p>
      <w:pPr>
        <w:pStyle w:val="27"/>
        <w:spacing w:line="320" w:lineRule="exact"/>
        <w:rPr>
          <w:rFonts w:ascii="仿宋" w:hAnsi="仿宋" w:eastAsia="仿宋"/>
          <w:color w:val="auto"/>
        </w:rPr>
      </w:pPr>
      <w:r>
        <w:rPr>
          <w:rFonts w:hint="eastAsia" w:ascii="仿宋" w:hAnsi="仿宋" w:eastAsia="仿宋"/>
          <w:color w:val="auto"/>
        </w:rPr>
        <w:t xml:space="preserve"> 投标人授权代表签字：</w:t>
      </w:r>
    </w:p>
    <w:p>
      <w:pPr>
        <w:pStyle w:val="27"/>
        <w:rPr>
          <w:rFonts w:ascii="仿宋" w:hAnsi="仿宋" w:eastAsia="仿宋"/>
          <w:color w:val="auto"/>
        </w:rPr>
      </w:pPr>
    </w:p>
    <w:p>
      <w:pPr>
        <w:pStyle w:val="3"/>
        <w:spacing w:line="240" w:lineRule="auto"/>
        <w:jc w:val="center"/>
        <w:rPr>
          <w:rFonts w:ascii="仿宋" w:hAnsi="仿宋" w:eastAsia="仿宋"/>
          <w:sz w:val="24"/>
        </w:rPr>
      </w:pPr>
      <w:bookmarkStart w:id="399" w:name="_Toc4564"/>
      <w:bookmarkStart w:id="400" w:name="_Toc20274"/>
      <w:bookmarkStart w:id="401" w:name="_Toc17736"/>
      <w:bookmarkStart w:id="402" w:name="_Toc22349"/>
      <w:bookmarkStart w:id="403" w:name="_Toc8728"/>
      <w:bookmarkStart w:id="404" w:name="_Toc3339"/>
      <w:bookmarkStart w:id="405" w:name="_Toc2509"/>
      <w:bookmarkStart w:id="406" w:name="_Toc8972"/>
      <w:bookmarkStart w:id="407" w:name="_Toc18576"/>
      <w:bookmarkStart w:id="408" w:name="_Toc2882"/>
      <w:bookmarkStart w:id="409" w:name="_Toc6453_WPSOffice_Level2"/>
      <w:bookmarkStart w:id="410" w:name="_Toc7997"/>
      <w:bookmarkStart w:id="411" w:name="_Toc19355"/>
      <w:bookmarkStart w:id="412" w:name="_Toc24493"/>
      <w:bookmarkStart w:id="413" w:name="_Toc7502"/>
      <w:bookmarkStart w:id="414" w:name="_Toc28734"/>
      <w:r>
        <w:rPr>
          <w:rFonts w:hint="eastAsia" w:ascii="仿宋" w:hAnsi="仿宋" w:eastAsia="仿宋" w:cs="仿宋"/>
        </w:rPr>
        <w:t>（七）技术参数、功能偏离表</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rPr>
          <w:rFonts w:hint="eastAsia" w:ascii="仿宋" w:hAnsi="仿宋" w:eastAsia="仿宋"/>
          <w:sz w:val="24"/>
          <w:szCs w:val="24"/>
          <w:u w:val="single"/>
          <w:lang w:eastAsia="zh-CN"/>
        </w:rPr>
      </w:pPr>
      <w:r>
        <w:rPr>
          <w:rFonts w:hint="eastAsia" w:ascii="仿宋" w:hAnsi="仿宋" w:eastAsia="仿宋"/>
          <w:b/>
          <w:bCs/>
          <w:sz w:val="24"/>
        </w:rPr>
        <w:t xml:space="preserve">投标人名称（公章）：                         </w:t>
      </w:r>
      <w:r>
        <w:rPr>
          <w:rFonts w:hint="eastAsia" w:ascii="仿宋" w:hAnsi="仿宋" w:eastAsia="仿宋"/>
          <w:b/>
          <w:bCs/>
          <w:sz w:val="24"/>
          <w:szCs w:val="24"/>
        </w:rPr>
        <w:t>招标文件编号：</w:t>
      </w:r>
      <w:r>
        <w:rPr>
          <w:rFonts w:hint="eastAsia" w:ascii="仿宋" w:hAnsi="仿宋" w:eastAsia="仿宋"/>
          <w:sz w:val="24"/>
          <w:u w:val="single"/>
          <w:lang w:eastAsia="zh-CN"/>
        </w:rPr>
        <w:t>Y</w:t>
      </w:r>
      <w:r>
        <w:rPr>
          <w:rFonts w:hint="eastAsia" w:ascii="仿宋" w:hAnsi="仿宋" w:eastAsia="仿宋"/>
          <w:sz w:val="24"/>
          <w:u w:val="single"/>
          <w:lang w:val="en-US" w:eastAsia="zh-CN"/>
        </w:rPr>
        <w:t>N</w:t>
      </w:r>
      <w:r>
        <w:rPr>
          <w:rFonts w:hint="eastAsia" w:ascii="仿宋" w:hAnsi="仿宋" w:eastAsia="仿宋"/>
          <w:sz w:val="24"/>
          <w:u w:val="single"/>
          <w:lang w:eastAsia="zh-CN"/>
        </w:rPr>
        <w:t>CG-202</w:t>
      </w:r>
      <w:r>
        <w:rPr>
          <w:rFonts w:hint="eastAsia" w:ascii="仿宋" w:hAnsi="仿宋" w:eastAsia="仿宋"/>
          <w:sz w:val="24"/>
          <w:u w:val="single"/>
          <w:lang w:val="en-US" w:eastAsia="zh-CN"/>
        </w:rPr>
        <w:t>4</w:t>
      </w:r>
      <w:r>
        <w:rPr>
          <w:rFonts w:hint="eastAsia" w:ascii="仿宋" w:hAnsi="仿宋" w:eastAsia="仿宋"/>
          <w:sz w:val="24"/>
          <w:u w:val="single"/>
          <w:lang w:eastAsia="zh-CN"/>
        </w:rPr>
        <w:t>-00</w:t>
      </w:r>
      <w:r>
        <w:rPr>
          <w:rFonts w:hint="eastAsia" w:ascii="仿宋" w:hAnsi="仿宋" w:eastAsia="仿宋"/>
          <w:sz w:val="24"/>
          <w:u w:val="single"/>
          <w:lang w:val="en-US" w:eastAsia="zh-CN"/>
        </w:rPr>
        <w:t>3</w:t>
      </w:r>
    </w:p>
    <w:tbl>
      <w:tblPr>
        <w:tblStyle w:val="21"/>
        <w:tblW w:w="9169"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30"/>
        <w:gridCol w:w="2250"/>
        <w:gridCol w:w="1793"/>
        <w:gridCol w:w="158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75" w:type="dxa"/>
            <w:vAlign w:val="center"/>
          </w:tcPr>
          <w:p>
            <w:pPr>
              <w:jc w:val="center"/>
              <w:rPr>
                <w:rFonts w:ascii="仿宋" w:hAnsi="仿宋" w:eastAsia="仿宋"/>
                <w:b/>
                <w:bCs/>
                <w:sz w:val="24"/>
              </w:rPr>
            </w:pPr>
            <w:r>
              <w:rPr>
                <w:rFonts w:hint="eastAsia" w:ascii="仿宋" w:hAnsi="仿宋" w:eastAsia="仿宋"/>
                <w:b/>
                <w:bCs/>
                <w:sz w:val="24"/>
              </w:rPr>
              <w:t>序号</w:t>
            </w:r>
          </w:p>
        </w:tc>
        <w:tc>
          <w:tcPr>
            <w:tcW w:w="1730" w:type="dxa"/>
            <w:vAlign w:val="center"/>
          </w:tcPr>
          <w:p>
            <w:pPr>
              <w:jc w:val="center"/>
              <w:rPr>
                <w:rFonts w:ascii="仿宋" w:hAnsi="仿宋" w:eastAsia="仿宋"/>
                <w:b/>
                <w:bCs/>
                <w:sz w:val="24"/>
              </w:rPr>
            </w:pPr>
            <w:r>
              <w:rPr>
                <w:rFonts w:hint="eastAsia" w:ascii="仿宋" w:hAnsi="仿宋" w:eastAsia="仿宋"/>
                <w:b/>
                <w:bCs/>
                <w:sz w:val="24"/>
              </w:rPr>
              <w:t>投标产品名称</w:t>
            </w:r>
          </w:p>
        </w:tc>
        <w:tc>
          <w:tcPr>
            <w:tcW w:w="2250" w:type="dxa"/>
            <w:vAlign w:val="center"/>
          </w:tcPr>
          <w:p>
            <w:pPr>
              <w:jc w:val="center"/>
              <w:rPr>
                <w:rFonts w:ascii="仿宋" w:hAnsi="仿宋" w:eastAsia="仿宋"/>
                <w:b/>
                <w:bCs/>
                <w:sz w:val="24"/>
              </w:rPr>
            </w:pPr>
            <w:r>
              <w:rPr>
                <w:rFonts w:hint="eastAsia" w:ascii="仿宋" w:hAnsi="仿宋" w:eastAsia="仿宋"/>
                <w:b/>
                <w:bCs/>
                <w:sz w:val="24"/>
              </w:rPr>
              <w:t>招标技术参数</w:t>
            </w:r>
          </w:p>
        </w:tc>
        <w:tc>
          <w:tcPr>
            <w:tcW w:w="1793" w:type="dxa"/>
            <w:vAlign w:val="center"/>
          </w:tcPr>
          <w:p>
            <w:pPr>
              <w:jc w:val="center"/>
              <w:rPr>
                <w:rFonts w:ascii="仿宋" w:hAnsi="仿宋" w:eastAsia="仿宋"/>
                <w:b/>
                <w:bCs/>
                <w:sz w:val="24"/>
              </w:rPr>
            </w:pPr>
            <w:r>
              <w:rPr>
                <w:rFonts w:hint="eastAsia" w:ascii="仿宋" w:hAnsi="仿宋" w:eastAsia="仿宋"/>
                <w:b/>
                <w:bCs/>
                <w:sz w:val="24"/>
              </w:rPr>
              <w:t>投标技术参数</w:t>
            </w:r>
          </w:p>
        </w:tc>
        <w:tc>
          <w:tcPr>
            <w:tcW w:w="1587" w:type="dxa"/>
            <w:vAlign w:val="center"/>
          </w:tcPr>
          <w:p>
            <w:pPr>
              <w:jc w:val="center"/>
              <w:rPr>
                <w:rFonts w:ascii="仿宋" w:hAnsi="仿宋" w:eastAsia="仿宋"/>
                <w:b/>
                <w:bCs/>
                <w:sz w:val="24"/>
              </w:rPr>
            </w:pPr>
            <w:r>
              <w:rPr>
                <w:rFonts w:hint="eastAsia" w:ascii="仿宋" w:hAnsi="仿宋" w:eastAsia="仿宋"/>
                <w:b/>
                <w:bCs/>
                <w:sz w:val="24"/>
              </w:rPr>
              <w:t>偏离</w:t>
            </w:r>
          </w:p>
          <w:p>
            <w:pPr>
              <w:jc w:val="center"/>
              <w:rPr>
                <w:rFonts w:ascii="仿宋" w:hAnsi="仿宋" w:eastAsia="仿宋"/>
                <w:b/>
                <w:bCs/>
                <w:sz w:val="24"/>
              </w:rPr>
            </w:pPr>
            <w:r>
              <w:rPr>
                <w:rFonts w:hint="eastAsia" w:ascii="仿宋" w:hAnsi="仿宋" w:eastAsia="仿宋"/>
                <w:b/>
                <w:bCs/>
                <w:sz w:val="24"/>
              </w:rPr>
              <w:t>（正/无/负）</w:t>
            </w:r>
          </w:p>
        </w:tc>
        <w:tc>
          <w:tcPr>
            <w:tcW w:w="1134" w:type="dxa"/>
            <w:vAlign w:val="center"/>
          </w:tcPr>
          <w:p>
            <w:pPr>
              <w:jc w:val="center"/>
              <w:rPr>
                <w:rFonts w:ascii="仿宋" w:hAnsi="仿宋" w:eastAsia="仿宋"/>
                <w:b/>
                <w:bCs/>
                <w:sz w:val="24"/>
              </w:rPr>
            </w:pPr>
            <w:r>
              <w:rPr>
                <w:rFonts w:hint="eastAsia" w:ascii="仿宋" w:hAnsi="仿宋" w:eastAsia="仿宋"/>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675" w:type="dxa"/>
          </w:tcPr>
          <w:p>
            <w:pPr>
              <w:rPr>
                <w:rFonts w:ascii="仿宋" w:hAnsi="仿宋" w:eastAsia="仿宋"/>
                <w:sz w:val="24"/>
              </w:rPr>
            </w:pPr>
            <w:r>
              <w:rPr>
                <w:rFonts w:hint="eastAsia" w:ascii="仿宋" w:hAnsi="仿宋" w:eastAsia="仿宋"/>
                <w:sz w:val="24"/>
              </w:rPr>
              <w:t>1</w:t>
            </w:r>
          </w:p>
        </w:tc>
        <w:tc>
          <w:tcPr>
            <w:tcW w:w="1730" w:type="dxa"/>
          </w:tcPr>
          <w:p>
            <w:pPr>
              <w:rPr>
                <w:rFonts w:ascii="仿宋" w:hAnsi="仿宋" w:eastAsia="仿宋"/>
                <w:sz w:val="24"/>
              </w:rPr>
            </w:pPr>
          </w:p>
        </w:tc>
        <w:tc>
          <w:tcPr>
            <w:tcW w:w="2250" w:type="dxa"/>
          </w:tcPr>
          <w:p>
            <w:pPr>
              <w:rPr>
                <w:rFonts w:ascii="仿宋" w:hAnsi="仿宋" w:eastAsia="仿宋"/>
                <w:sz w:val="24"/>
              </w:rPr>
            </w:pPr>
          </w:p>
        </w:tc>
        <w:tc>
          <w:tcPr>
            <w:tcW w:w="1793" w:type="dxa"/>
          </w:tcPr>
          <w:p>
            <w:pPr>
              <w:rPr>
                <w:rFonts w:ascii="仿宋" w:hAnsi="仿宋" w:eastAsia="仿宋"/>
                <w:sz w:val="24"/>
              </w:rPr>
            </w:pPr>
          </w:p>
        </w:tc>
        <w:tc>
          <w:tcPr>
            <w:tcW w:w="1587" w:type="dxa"/>
          </w:tcPr>
          <w:p>
            <w:pPr>
              <w:rPr>
                <w:rFonts w:ascii="仿宋" w:hAnsi="仿宋" w:eastAsia="仿宋"/>
                <w:sz w:val="24"/>
              </w:rPr>
            </w:pPr>
          </w:p>
        </w:tc>
        <w:tc>
          <w:tcPr>
            <w:tcW w:w="1134"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675" w:type="dxa"/>
          </w:tcPr>
          <w:p>
            <w:pPr>
              <w:rPr>
                <w:rFonts w:ascii="仿宋" w:hAnsi="仿宋" w:eastAsia="仿宋"/>
                <w:sz w:val="24"/>
              </w:rPr>
            </w:pPr>
            <w:r>
              <w:rPr>
                <w:rFonts w:hint="eastAsia" w:ascii="仿宋" w:hAnsi="仿宋" w:eastAsia="仿宋"/>
                <w:sz w:val="24"/>
              </w:rPr>
              <w:t>2</w:t>
            </w:r>
          </w:p>
        </w:tc>
        <w:tc>
          <w:tcPr>
            <w:tcW w:w="1730" w:type="dxa"/>
          </w:tcPr>
          <w:p>
            <w:pPr>
              <w:rPr>
                <w:rFonts w:ascii="仿宋" w:hAnsi="仿宋" w:eastAsia="仿宋"/>
                <w:sz w:val="24"/>
              </w:rPr>
            </w:pPr>
          </w:p>
        </w:tc>
        <w:tc>
          <w:tcPr>
            <w:tcW w:w="2250" w:type="dxa"/>
          </w:tcPr>
          <w:p>
            <w:pPr>
              <w:rPr>
                <w:rFonts w:ascii="仿宋" w:hAnsi="仿宋" w:eastAsia="仿宋"/>
                <w:sz w:val="24"/>
              </w:rPr>
            </w:pPr>
          </w:p>
        </w:tc>
        <w:tc>
          <w:tcPr>
            <w:tcW w:w="1793" w:type="dxa"/>
          </w:tcPr>
          <w:p>
            <w:pPr>
              <w:rPr>
                <w:rFonts w:ascii="仿宋" w:hAnsi="仿宋" w:eastAsia="仿宋"/>
                <w:sz w:val="24"/>
              </w:rPr>
            </w:pPr>
          </w:p>
        </w:tc>
        <w:tc>
          <w:tcPr>
            <w:tcW w:w="1587" w:type="dxa"/>
          </w:tcPr>
          <w:p>
            <w:pPr>
              <w:rPr>
                <w:rFonts w:ascii="仿宋" w:hAnsi="仿宋" w:eastAsia="仿宋"/>
                <w:sz w:val="24"/>
              </w:rPr>
            </w:pPr>
          </w:p>
        </w:tc>
        <w:tc>
          <w:tcPr>
            <w:tcW w:w="1134" w:type="dxa"/>
          </w:tcPr>
          <w:p>
            <w:pPr>
              <w:rPr>
                <w:rFonts w:ascii="仿宋" w:hAnsi="仿宋" w:eastAsia="仿宋"/>
                <w:sz w:val="24"/>
              </w:rPr>
            </w:pPr>
          </w:p>
        </w:tc>
      </w:tr>
    </w:tbl>
    <w:p>
      <w:pPr>
        <w:pStyle w:val="27"/>
        <w:rPr>
          <w:rFonts w:ascii="仿宋" w:hAnsi="仿宋" w:eastAsia="仿宋" w:cs="仿宋"/>
          <w:color w:val="auto"/>
        </w:rPr>
      </w:pPr>
      <w:r>
        <w:rPr>
          <w:rFonts w:hint="eastAsia" w:ascii="仿宋" w:hAnsi="仿宋" w:eastAsia="仿宋"/>
          <w:color w:val="auto"/>
        </w:rPr>
        <w:t>投标人授权代表签字：</w:t>
      </w:r>
    </w:p>
    <w:p>
      <w:pPr>
        <w:rPr>
          <w:rFonts w:ascii="仿宋" w:hAnsi="仿宋" w:eastAsia="仿宋" w:cs="仿宋"/>
        </w:rPr>
      </w:pPr>
      <w:r>
        <w:rPr>
          <w:rFonts w:hint="eastAsia" w:ascii="仿宋" w:hAnsi="仿宋" w:eastAsia="仿宋"/>
          <w:b/>
          <w:bCs/>
          <w:sz w:val="24"/>
        </w:rPr>
        <w:t>注：投标人必须按所投产品的真实技术参数逐条对应填写（官方宣传彩图），若复制粘贴招标参数，按无效标处理。此表可延伸。</w:t>
      </w:r>
    </w:p>
    <w:p>
      <w:pPr>
        <w:pStyle w:val="3"/>
        <w:spacing w:line="240" w:lineRule="auto"/>
        <w:jc w:val="center"/>
        <w:rPr>
          <w:rFonts w:ascii="仿宋" w:hAnsi="仿宋" w:eastAsia="仿宋" w:cs="仿宋"/>
        </w:rPr>
      </w:pPr>
      <w:bookmarkStart w:id="415" w:name="_Toc17074_WPSOffice_Level2"/>
      <w:bookmarkStart w:id="416" w:name="_Toc19905"/>
      <w:bookmarkStart w:id="417" w:name="_Toc3818"/>
      <w:bookmarkStart w:id="418" w:name="_Toc7436"/>
      <w:bookmarkStart w:id="419" w:name="_Toc9126"/>
      <w:bookmarkStart w:id="420" w:name="_Toc2346"/>
      <w:bookmarkStart w:id="421" w:name="_Toc30957"/>
      <w:bookmarkStart w:id="422" w:name="_Toc30221"/>
      <w:bookmarkStart w:id="423" w:name="_Toc12616"/>
      <w:bookmarkStart w:id="424" w:name="_Toc17175"/>
      <w:bookmarkStart w:id="425" w:name="_Toc23165"/>
      <w:bookmarkStart w:id="426" w:name="_Toc23174"/>
      <w:bookmarkStart w:id="427" w:name="_Toc22103"/>
      <w:bookmarkStart w:id="428" w:name="_Toc10414"/>
      <w:bookmarkStart w:id="429" w:name="_Toc26211"/>
    </w:p>
    <w:p>
      <w:pPr>
        <w:pStyle w:val="3"/>
        <w:spacing w:line="240" w:lineRule="auto"/>
        <w:jc w:val="center"/>
        <w:rPr>
          <w:rFonts w:ascii="仿宋" w:hAnsi="仿宋" w:eastAsia="仿宋" w:cs="仿宋"/>
        </w:rPr>
      </w:pPr>
      <w:bookmarkStart w:id="430" w:name="_Toc19480"/>
      <w:r>
        <w:rPr>
          <w:rFonts w:hint="eastAsia" w:ascii="仿宋" w:hAnsi="仿宋" w:eastAsia="仿宋" w:cs="仿宋"/>
        </w:rPr>
        <w:t>（八）近三年类似业绩表</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rPr>
          <w:rFonts w:hint="eastAsia" w:ascii="仿宋" w:hAnsi="仿宋" w:eastAsia="仿宋"/>
          <w:sz w:val="24"/>
          <w:u w:val="single"/>
          <w:lang w:eastAsia="zh-CN"/>
        </w:rPr>
      </w:pPr>
      <w:r>
        <w:rPr>
          <w:rFonts w:hint="eastAsia" w:ascii="仿宋" w:hAnsi="仿宋" w:eastAsia="仿宋"/>
          <w:b/>
          <w:sz w:val="24"/>
        </w:rPr>
        <w:t>投标人名称（公章）：</w:t>
      </w:r>
      <w:r>
        <w:rPr>
          <w:rFonts w:hint="eastAsia" w:ascii="仿宋" w:hAnsi="仿宋" w:eastAsia="仿宋"/>
          <w:sz w:val="24"/>
        </w:rPr>
        <w:t xml:space="preserve">                         </w:t>
      </w:r>
      <w:r>
        <w:rPr>
          <w:rFonts w:hint="eastAsia" w:ascii="仿宋" w:hAnsi="仿宋" w:eastAsia="仿宋"/>
          <w:b/>
          <w:bCs/>
          <w:sz w:val="24"/>
          <w:szCs w:val="24"/>
        </w:rPr>
        <w:t>招标文件编号：</w:t>
      </w:r>
      <w:r>
        <w:rPr>
          <w:rFonts w:hint="eastAsia" w:ascii="仿宋" w:hAnsi="仿宋" w:eastAsia="仿宋"/>
          <w:sz w:val="24"/>
          <w:u w:val="single"/>
          <w:lang w:eastAsia="zh-CN"/>
        </w:rPr>
        <w:t>Y</w:t>
      </w:r>
      <w:r>
        <w:rPr>
          <w:rFonts w:hint="eastAsia" w:ascii="仿宋" w:hAnsi="仿宋" w:eastAsia="仿宋"/>
          <w:sz w:val="24"/>
          <w:u w:val="single"/>
          <w:lang w:val="en-US" w:eastAsia="zh-CN"/>
        </w:rPr>
        <w:t>N</w:t>
      </w:r>
      <w:r>
        <w:rPr>
          <w:rFonts w:hint="eastAsia" w:ascii="仿宋" w:hAnsi="仿宋" w:eastAsia="仿宋"/>
          <w:sz w:val="24"/>
          <w:u w:val="single"/>
          <w:lang w:eastAsia="zh-CN"/>
        </w:rPr>
        <w:t>CG-202</w:t>
      </w:r>
      <w:r>
        <w:rPr>
          <w:rFonts w:hint="eastAsia" w:ascii="仿宋" w:hAnsi="仿宋" w:eastAsia="仿宋"/>
          <w:sz w:val="24"/>
          <w:u w:val="single"/>
          <w:lang w:val="en-US" w:eastAsia="zh-CN"/>
        </w:rPr>
        <w:t>4</w:t>
      </w:r>
      <w:r>
        <w:rPr>
          <w:rFonts w:hint="eastAsia" w:ascii="仿宋" w:hAnsi="仿宋" w:eastAsia="仿宋"/>
          <w:sz w:val="24"/>
          <w:u w:val="single"/>
          <w:lang w:eastAsia="zh-CN"/>
        </w:rPr>
        <w:t>-00</w:t>
      </w:r>
      <w:r>
        <w:rPr>
          <w:rFonts w:hint="eastAsia" w:ascii="仿宋" w:hAnsi="仿宋" w:eastAsia="仿宋"/>
          <w:sz w:val="24"/>
          <w:u w:val="single"/>
          <w:lang w:val="en-US" w:eastAsia="zh-CN"/>
        </w:rPr>
        <w:t>3</w:t>
      </w:r>
    </w:p>
    <w:tbl>
      <w:tblPr>
        <w:tblStyle w:val="21"/>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2345"/>
        <w:gridCol w:w="1725"/>
        <w:gridCol w:w="2175"/>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966" w:type="dxa"/>
            <w:vAlign w:val="center"/>
          </w:tcPr>
          <w:p>
            <w:pPr>
              <w:pStyle w:val="34"/>
              <w:jc w:val="center"/>
              <w:rPr>
                <w:rFonts w:ascii="仿宋" w:hAnsi="仿宋" w:eastAsia="仿宋"/>
                <w:b/>
                <w:bCs/>
                <w:color w:val="auto"/>
              </w:rPr>
            </w:pPr>
            <w:r>
              <w:rPr>
                <w:rFonts w:hint="eastAsia" w:ascii="仿宋" w:hAnsi="仿宋" w:eastAsia="仿宋"/>
                <w:b/>
                <w:bCs/>
                <w:color w:val="auto"/>
              </w:rPr>
              <w:t>地　　区</w:t>
            </w:r>
          </w:p>
        </w:tc>
        <w:tc>
          <w:tcPr>
            <w:tcW w:w="2345" w:type="dxa"/>
            <w:vAlign w:val="center"/>
          </w:tcPr>
          <w:p>
            <w:pPr>
              <w:pStyle w:val="34"/>
              <w:ind w:right="-107" w:rightChars="-51"/>
              <w:jc w:val="center"/>
              <w:rPr>
                <w:rFonts w:ascii="仿宋" w:hAnsi="仿宋" w:eastAsia="仿宋"/>
                <w:b/>
                <w:bCs/>
                <w:color w:val="auto"/>
              </w:rPr>
            </w:pPr>
            <w:r>
              <w:rPr>
                <w:rFonts w:hint="eastAsia" w:ascii="仿宋" w:hAnsi="仿宋" w:eastAsia="仿宋"/>
                <w:b/>
                <w:bCs/>
                <w:color w:val="auto"/>
              </w:rPr>
              <w:t>项目名称</w:t>
            </w:r>
          </w:p>
        </w:tc>
        <w:tc>
          <w:tcPr>
            <w:tcW w:w="1725" w:type="dxa"/>
            <w:vAlign w:val="center"/>
          </w:tcPr>
          <w:p>
            <w:pPr>
              <w:pStyle w:val="34"/>
              <w:jc w:val="center"/>
              <w:rPr>
                <w:rFonts w:ascii="仿宋" w:hAnsi="仿宋" w:eastAsia="仿宋"/>
                <w:b/>
                <w:bCs/>
                <w:color w:val="auto"/>
              </w:rPr>
            </w:pPr>
            <w:r>
              <w:rPr>
                <w:rFonts w:hint="eastAsia" w:ascii="仿宋" w:hAnsi="仿宋" w:eastAsia="仿宋"/>
                <w:b/>
                <w:bCs/>
                <w:color w:val="auto"/>
              </w:rPr>
              <w:t>中标（成交）</w:t>
            </w:r>
          </w:p>
          <w:p>
            <w:pPr>
              <w:pStyle w:val="34"/>
              <w:jc w:val="center"/>
              <w:rPr>
                <w:rFonts w:ascii="仿宋" w:hAnsi="仿宋" w:eastAsia="仿宋"/>
                <w:b/>
                <w:bCs/>
                <w:color w:val="auto"/>
              </w:rPr>
            </w:pPr>
            <w:r>
              <w:rPr>
                <w:rFonts w:hint="eastAsia" w:ascii="仿宋" w:hAnsi="仿宋" w:eastAsia="仿宋"/>
                <w:b/>
                <w:bCs/>
                <w:color w:val="auto"/>
              </w:rPr>
              <w:t>金额（万元）</w:t>
            </w:r>
          </w:p>
        </w:tc>
        <w:tc>
          <w:tcPr>
            <w:tcW w:w="2175" w:type="dxa"/>
            <w:vAlign w:val="center"/>
          </w:tcPr>
          <w:p>
            <w:pPr>
              <w:pStyle w:val="34"/>
              <w:jc w:val="center"/>
              <w:rPr>
                <w:rFonts w:ascii="仿宋" w:hAnsi="仿宋" w:eastAsia="仿宋"/>
                <w:b/>
                <w:bCs/>
                <w:color w:val="auto"/>
              </w:rPr>
            </w:pPr>
            <w:r>
              <w:rPr>
                <w:rFonts w:hint="eastAsia" w:ascii="仿宋" w:hAnsi="仿宋" w:eastAsia="仿宋"/>
                <w:b/>
                <w:bCs/>
                <w:color w:val="auto"/>
              </w:rPr>
              <w:t>验收结果</w:t>
            </w:r>
          </w:p>
        </w:tc>
        <w:tc>
          <w:tcPr>
            <w:tcW w:w="969" w:type="dxa"/>
            <w:vAlign w:val="center"/>
          </w:tcPr>
          <w:p>
            <w:pPr>
              <w:pStyle w:val="34"/>
              <w:jc w:val="center"/>
              <w:rPr>
                <w:rFonts w:ascii="仿宋" w:hAnsi="仿宋" w:eastAsia="仿宋"/>
                <w:b/>
                <w:bCs/>
                <w:color w:val="auto"/>
              </w:rPr>
            </w:pPr>
            <w:r>
              <w:rPr>
                <w:rFonts w:hint="eastAsia" w:ascii="仿宋" w:hAnsi="仿宋" w:eastAsia="仿宋"/>
                <w:b/>
                <w:bCs/>
                <w:color w:val="auto"/>
              </w:rPr>
              <w:t>备</w:t>
            </w:r>
            <w:r>
              <w:rPr>
                <w:rFonts w:ascii="仿宋" w:hAnsi="仿宋" w:eastAsia="仿宋"/>
                <w:b/>
                <w:bCs/>
                <w:color w:val="auto"/>
              </w:rPr>
              <w:t xml:space="preserve"> </w:t>
            </w:r>
            <w:r>
              <w:rPr>
                <w:rFonts w:hint="eastAsia" w:ascii="仿宋" w:hAnsi="仿宋" w:eastAsia="仿宋"/>
                <w:b/>
                <w:bCs/>
                <w:color w:val="auto"/>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966" w:type="dxa"/>
          </w:tcPr>
          <w:p>
            <w:pPr>
              <w:rPr>
                <w:rFonts w:ascii="仿宋" w:hAnsi="仿宋" w:eastAsia="仿宋"/>
                <w:sz w:val="24"/>
              </w:rPr>
            </w:pPr>
          </w:p>
        </w:tc>
        <w:tc>
          <w:tcPr>
            <w:tcW w:w="2345" w:type="dxa"/>
          </w:tcPr>
          <w:p>
            <w:pPr>
              <w:rPr>
                <w:rFonts w:ascii="仿宋" w:hAnsi="仿宋" w:eastAsia="仿宋"/>
                <w:sz w:val="24"/>
              </w:rPr>
            </w:pPr>
          </w:p>
        </w:tc>
        <w:tc>
          <w:tcPr>
            <w:tcW w:w="1725" w:type="dxa"/>
          </w:tcPr>
          <w:p>
            <w:pPr>
              <w:rPr>
                <w:rFonts w:ascii="仿宋" w:hAnsi="仿宋" w:eastAsia="仿宋"/>
                <w:sz w:val="24"/>
              </w:rPr>
            </w:pPr>
          </w:p>
        </w:tc>
        <w:tc>
          <w:tcPr>
            <w:tcW w:w="2175" w:type="dxa"/>
          </w:tcPr>
          <w:p>
            <w:pPr>
              <w:rPr>
                <w:rFonts w:ascii="仿宋" w:hAnsi="仿宋" w:eastAsia="仿宋"/>
                <w:sz w:val="24"/>
              </w:rPr>
            </w:pPr>
          </w:p>
        </w:tc>
        <w:tc>
          <w:tcPr>
            <w:tcW w:w="969"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966" w:type="dxa"/>
          </w:tcPr>
          <w:p>
            <w:pPr>
              <w:rPr>
                <w:rFonts w:ascii="仿宋" w:hAnsi="仿宋" w:eastAsia="仿宋"/>
                <w:sz w:val="24"/>
              </w:rPr>
            </w:pPr>
          </w:p>
        </w:tc>
        <w:tc>
          <w:tcPr>
            <w:tcW w:w="2345" w:type="dxa"/>
          </w:tcPr>
          <w:p>
            <w:pPr>
              <w:rPr>
                <w:rFonts w:ascii="仿宋" w:hAnsi="仿宋" w:eastAsia="仿宋"/>
                <w:sz w:val="24"/>
              </w:rPr>
            </w:pPr>
          </w:p>
        </w:tc>
        <w:tc>
          <w:tcPr>
            <w:tcW w:w="1725" w:type="dxa"/>
          </w:tcPr>
          <w:p>
            <w:pPr>
              <w:rPr>
                <w:rFonts w:ascii="仿宋" w:hAnsi="仿宋" w:eastAsia="仿宋"/>
                <w:sz w:val="24"/>
              </w:rPr>
            </w:pPr>
          </w:p>
        </w:tc>
        <w:tc>
          <w:tcPr>
            <w:tcW w:w="2175" w:type="dxa"/>
          </w:tcPr>
          <w:p>
            <w:pPr>
              <w:rPr>
                <w:rFonts w:ascii="仿宋" w:hAnsi="仿宋" w:eastAsia="仿宋"/>
                <w:sz w:val="24"/>
              </w:rPr>
            </w:pPr>
          </w:p>
        </w:tc>
        <w:tc>
          <w:tcPr>
            <w:tcW w:w="969" w:type="dxa"/>
          </w:tcPr>
          <w:p>
            <w:pPr>
              <w:rPr>
                <w:rFonts w:ascii="仿宋" w:hAnsi="仿宋" w:eastAsia="仿宋"/>
                <w:sz w:val="24"/>
              </w:rPr>
            </w:pPr>
          </w:p>
        </w:tc>
      </w:tr>
    </w:tbl>
    <w:p>
      <w:pPr>
        <w:pStyle w:val="27"/>
        <w:rPr>
          <w:rFonts w:ascii="仿宋" w:hAnsi="仿宋" w:eastAsia="仿宋" w:cs="仿宋"/>
          <w:color w:val="auto"/>
        </w:rPr>
      </w:pPr>
      <w:r>
        <w:rPr>
          <w:rFonts w:hint="eastAsia" w:ascii="仿宋" w:hAnsi="仿宋" w:eastAsia="仿宋"/>
          <w:color w:val="auto"/>
        </w:rPr>
        <w:t>投标人授权代表签字：</w:t>
      </w:r>
    </w:p>
    <w:p>
      <w:pPr>
        <w:rPr>
          <w:rFonts w:ascii="仿宋" w:hAnsi="仿宋" w:eastAsia="仿宋"/>
          <w:b/>
          <w:bCs/>
          <w:sz w:val="24"/>
          <w:szCs w:val="24"/>
        </w:rPr>
      </w:pPr>
      <w:r>
        <w:rPr>
          <w:rFonts w:hint="eastAsia" w:ascii="仿宋" w:hAnsi="仿宋" w:eastAsia="仿宋"/>
          <w:b/>
          <w:bCs/>
          <w:sz w:val="24"/>
          <w:szCs w:val="24"/>
        </w:rPr>
        <w:t>以中标通知书或合同为准。此表可向下延伸。</w:t>
      </w:r>
    </w:p>
    <w:p>
      <w:bookmarkStart w:id="431" w:name="_Toc19247"/>
      <w:bookmarkStart w:id="432" w:name="_Toc21899"/>
      <w:bookmarkStart w:id="433" w:name="_Toc17340"/>
      <w:bookmarkStart w:id="434" w:name="_Toc288"/>
      <w:bookmarkStart w:id="435" w:name="_Toc1365"/>
      <w:bookmarkStart w:id="436" w:name="_Toc5115"/>
      <w:bookmarkStart w:id="437" w:name="_Toc22369"/>
      <w:bookmarkStart w:id="438" w:name="_Toc5813"/>
      <w:bookmarkStart w:id="439" w:name="_Toc531"/>
      <w:bookmarkStart w:id="440" w:name="_Toc25174"/>
      <w:bookmarkStart w:id="441" w:name="_Toc27671"/>
      <w:bookmarkStart w:id="442" w:name="_Toc8343"/>
      <w:bookmarkStart w:id="443" w:name="_Toc29509"/>
      <w:bookmarkStart w:id="444" w:name="_Toc32375"/>
    </w:p>
    <w:p>
      <w:pPr>
        <w:pStyle w:val="2"/>
        <w:ind w:firstLine="602"/>
        <w:jc w:val="center"/>
        <w:rPr>
          <w:rFonts w:ascii="黑体" w:hAnsi="宋体" w:eastAsia="黑体"/>
          <w:b/>
          <w:bCs/>
          <w:sz w:val="30"/>
          <w:szCs w:val="30"/>
        </w:rPr>
      </w:pPr>
      <w:bookmarkStart w:id="445" w:name="_Toc16433"/>
      <w:bookmarkStart w:id="446" w:name="_Toc20022"/>
      <w:bookmarkStart w:id="447" w:name="_Toc4157"/>
      <w:bookmarkStart w:id="448" w:name="_Toc1949_WPSOffice_Level2"/>
      <w:bookmarkStart w:id="449" w:name="_Toc14140"/>
      <w:bookmarkStart w:id="450" w:name="_Toc22223"/>
      <w:bookmarkStart w:id="451" w:name="_Toc4967"/>
      <w:bookmarkStart w:id="452" w:name="_Toc810"/>
      <w:bookmarkStart w:id="453" w:name="_Toc4191"/>
      <w:bookmarkStart w:id="454" w:name="_Toc7455"/>
      <w:bookmarkStart w:id="455" w:name="_Toc7713"/>
      <w:bookmarkStart w:id="456" w:name="_Toc23576"/>
      <w:bookmarkStart w:id="457" w:name="_Toc18636"/>
      <w:bookmarkStart w:id="458" w:name="_Toc9987"/>
      <w:bookmarkStart w:id="459" w:name="_Toc14921"/>
      <w:bookmarkStart w:id="460" w:name="_Toc24703"/>
      <w:bookmarkStart w:id="461" w:name="_Toc23141"/>
    </w:p>
    <w:p>
      <w:pPr>
        <w:pStyle w:val="2"/>
        <w:ind w:firstLine="0" w:firstLineChars="0"/>
        <w:jc w:val="center"/>
        <w:rPr>
          <w:rFonts w:ascii="仿宋" w:hAnsi="仿宋" w:eastAsia="仿宋" w:cs="仿宋"/>
          <w:b/>
          <w:bCs/>
          <w:sz w:val="32"/>
          <w:szCs w:val="32"/>
        </w:rPr>
      </w:pPr>
      <w:r>
        <w:rPr>
          <w:rFonts w:hint="eastAsia" w:ascii="仿宋" w:hAnsi="仿宋" w:eastAsia="仿宋" w:cs="仿宋"/>
          <w:b/>
          <w:bCs/>
          <w:sz w:val="32"/>
          <w:szCs w:val="32"/>
        </w:rPr>
        <w:t>（九）具备履行合同所必需的设备和专业技术能力的书面声明</w:t>
      </w:r>
    </w:p>
    <w:p>
      <w:pPr>
        <w:pStyle w:val="2"/>
        <w:spacing w:line="600" w:lineRule="exact"/>
        <w:ind w:firstLine="602"/>
        <w:jc w:val="center"/>
        <w:rPr>
          <w:rFonts w:ascii="黑体" w:hAnsi="宋体" w:eastAsia="黑体"/>
          <w:b/>
          <w:bCs/>
          <w:sz w:val="30"/>
          <w:szCs w:val="30"/>
        </w:rPr>
      </w:pPr>
    </w:p>
    <w:p>
      <w:pPr>
        <w:spacing w:before="166" w:beforeLines="50" w:after="166" w:afterLines="50" w:line="300" w:lineRule="auto"/>
        <w:ind w:firstLine="492"/>
        <w:rPr>
          <w:rFonts w:ascii="仿宋" w:hAnsi="仿宋" w:eastAsia="仿宋" w:cs="仿宋"/>
          <w:bCs/>
          <w:sz w:val="24"/>
          <w:szCs w:val="24"/>
        </w:rPr>
      </w:pPr>
      <w:r>
        <w:rPr>
          <w:rFonts w:hint="eastAsia" w:ascii="仿宋" w:hAnsi="仿宋" w:eastAsia="仿宋" w:cs="仿宋"/>
          <w:bCs/>
          <w:sz w:val="24"/>
          <w:szCs w:val="24"/>
        </w:rPr>
        <w:t>我单位郑重声明：我单位具备履行本项采购合同所必需的设备和专业技术能力，为履行本项采购合同我公司具备如下主要设备和主要专业技术能力：</w:t>
      </w:r>
    </w:p>
    <w:p>
      <w:pPr>
        <w:spacing w:before="166" w:beforeLines="50" w:after="166" w:afterLines="50" w:line="300" w:lineRule="auto"/>
        <w:ind w:firstLine="492"/>
        <w:rPr>
          <w:rFonts w:ascii="仿宋" w:hAnsi="仿宋" w:eastAsia="仿宋" w:cs="仿宋"/>
          <w:bCs/>
          <w:sz w:val="24"/>
          <w:szCs w:val="24"/>
        </w:rPr>
      </w:pPr>
      <w:r>
        <w:rPr>
          <w:rFonts w:hint="eastAsia" w:ascii="仿宋" w:hAnsi="仿宋" w:eastAsia="仿宋" w:cs="仿宋"/>
          <w:bCs/>
          <w:sz w:val="24"/>
          <w:szCs w:val="24"/>
        </w:rPr>
        <w:t>主要设备有：</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w:t>
      </w:r>
    </w:p>
    <w:p>
      <w:pPr>
        <w:spacing w:before="166" w:beforeLines="50" w:after="166" w:afterLines="50" w:line="300" w:lineRule="auto"/>
        <w:ind w:firstLine="492"/>
        <w:rPr>
          <w:rFonts w:ascii="仿宋" w:hAnsi="仿宋" w:eastAsia="仿宋" w:cs="仿宋"/>
          <w:bCs/>
          <w:sz w:val="24"/>
          <w:szCs w:val="24"/>
        </w:rPr>
      </w:pPr>
      <w:r>
        <w:rPr>
          <w:rFonts w:hint="eastAsia" w:ascii="仿宋" w:hAnsi="仿宋" w:eastAsia="仿宋" w:cs="仿宋"/>
          <w:bCs/>
          <w:sz w:val="24"/>
          <w:szCs w:val="24"/>
        </w:rPr>
        <w:t>主要专业技术能力有：</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w:t>
      </w:r>
    </w:p>
    <w:p>
      <w:pPr>
        <w:pStyle w:val="36"/>
        <w:spacing w:before="166" w:beforeLines="50" w:after="166" w:afterLines="50" w:line="300" w:lineRule="auto"/>
        <w:ind w:left="5760" w:leftChars="2400" w:hanging="720" w:hangingChars="300"/>
        <w:rPr>
          <w:rFonts w:ascii="仿宋" w:hAnsi="仿宋" w:eastAsia="仿宋" w:cs="仿宋"/>
          <w:bCs/>
          <w:sz w:val="24"/>
          <w:szCs w:val="24"/>
        </w:rPr>
      </w:pPr>
      <w:r>
        <w:rPr>
          <w:rFonts w:hint="eastAsia" w:ascii="仿宋" w:hAnsi="仿宋" w:eastAsia="仿宋" w:cs="仿宋"/>
          <w:bCs/>
        </w:rPr>
        <w:t xml:space="preserve">                                     </w:t>
      </w:r>
      <w:r>
        <w:rPr>
          <w:rFonts w:hint="eastAsia" w:ascii="仿宋" w:hAnsi="仿宋" w:eastAsia="仿宋" w:cs="仿宋"/>
          <w:kern w:val="2"/>
        </w:rPr>
        <w:t>投标人名称（盖章）：</w:t>
      </w:r>
      <w:r>
        <w:rPr>
          <w:rFonts w:hint="eastAsia" w:ascii="仿宋" w:hAnsi="仿宋" w:eastAsia="仿宋" w:cs="仿宋"/>
          <w:sz w:val="24"/>
          <w:szCs w:val="24"/>
        </w:rPr>
        <w:t>______年____月____日</w:t>
      </w:r>
    </w:p>
    <w:p>
      <w:pPr>
        <w:ind w:firstLine="4620" w:firstLineChars="2200"/>
      </w:pPr>
      <w:r>
        <w:rPr>
          <w:rFonts w:hint="eastAsia"/>
        </w:rPr>
        <w:t xml:space="preserve">      </w:t>
      </w:r>
    </w:p>
    <w:p>
      <w:pPr>
        <w:jc w:val="center"/>
        <w:outlineLvl w:val="1"/>
        <w:rPr>
          <w:rFonts w:ascii="仿宋" w:hAnsi="仿宋" w:eastAsia="仿宋" w:cs="仿宋"/>
          <w:b/>
          <w:bCs/>
          <w:sz w:val="32"/>
          <w:szCs w:val="32"/>
        </w:rPr>
      </w:pPr>
      <w:bookmarkStart w:id="462" w:name="_Toc25082"/>
      <w:r>
        <w:rPr>
          <w:rFonts w:hint="eastAsia" w:ascii="仿宋" w:hAnsi="仿宋" w:eastAsia="仿宋" w:cs="仿宋"/>
          <w:b/>
          <w:bCs/>
          <w:sz w:val="32"/>
          <w:szCs w:val="32"/>
        </w:rPr>
        <w:t>（十）无重大违法记录声明函</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sz w:val="24"/>
          <w:szCs w:val="24"/>
          <w:lang w:val="en-US" w:eastAsia="zh-CN"/>
        </w:rPr>
        <w:t>伊宁市</w:t>
      </w:r>
      <w:r>
        <w:rPr>
          <w:rFonts w:hint="eastAsia" w:ascii="仿宋" w:hAnsi="仿宋" w:eastAsia="仿宋"/>
          <w:sz w:val="24"/>
          <w:szCs w:val="24"/>
        </w:rPr>
        <w:t>公共资源交易中心：</w:t>
      </w:r>
    </w:p>
    <w:p>
      <w:pPr>
        <w:rPr>
          <w:rFonts w:ascii="仿宋" w:hAnsi="仿宋" w:eastAsia="仿宋"/>
          <w:sz w:val="24"/>
          <w:szCs w:val="24"/>
        </w:rPr>
      </w:pPr>
      <w:r>
        <w:rPr>
          <w:rFonts w:hint="eastAsia" w:ascii="仿宋" w:hAnsi="仿宋" w:eastAsia="仿宋"/>
          <w:sz w:val="24"/>
          <w:szCs w:val="24"/>
        </w:rPr>
        <w:t xml:space="preserve">     我公司自愿参与招标文件编号为</w:t>
      </w:r>
      <w:r>
        <w:rPr>
          <w:rFonts w:hint="eastAsia" w:ascii="仿宋" w:hAnsi="仿宋" w:eastAsia="仿宋"/>
          <w:sz w:val="24"/>
          <w:szCs w:val="24"/>
          <w:u w:val="single"/>
        </w:rPr>
        <w:t xml:space="preserve">          </w:t>
      </w:r>
      <w:r>
        <w:rPr>
          <w:rFonts w:hint="eastAsia" w:ascii="仿宋" w:hAnsi="仿宋" w:eastAsia="仿宋"/>
          <w:sz w:val="24"/>
          <w:szCs w:val="24"/>
        </w:rPr>
        <w:t>项目的政府采购活动，我公司郑重声明：我方参加本次政府采购招标活动前三年内，在经营活动中无重大违法记录</w:t>
      </w:r>
      <w:r>
        <w:rPr>
          <w:rFonts w:hint="eastAsia" w:ascii="仿宋" w:hAnsi="仿宋" w:eastAsia="仿宋" w:cs="仿宋"/>
          <w:sz w:val="24"/>
          <w:szCs w:val="24"/>
        </w:rPr>
        <w:t>（</w:t>
      </w:r>
      <w:r>
        <w:rPr>
          <w:rFonts w:hint="eastAsia" w:ascii="仿宋" w:hAnsi="仿宋" w:eastAsia="仿宋" w:cs="仿宋"/>
          <w:b/>
          <w:bCs/>
          <w:sz w:val="24"/>
          <w:szCs w:val="24"/>
        </w:rPr>
        <w:t>重大违法记录是指供应商因违法经营受到刑事处罚或者责令停产停业、吊销许可证或者营业执照、200万元以上的罚款等行政处罚</w:t>
      </w:r>
      <w:r>
        <w:rPr>
          <w:rFonts w:hint="eastAsia" w:ascii="仿宋" w:hAnsi="仿宋" w:eastAsia="仿宋" w:cs="仿宋"/>
          <w:sz w:val="24"/>
          <w:szCs w:val="24"/>
        </w:rPr>
        <w:t>）</w:t>
      </w:r>
      <w:r>
        <w:rPr>
          <w:rFonts w:hint="eastAsia" w:ascii="仿宋" w:hAnsi="仿宋" w:eastAsia="仿宋"/>
          <w:sz w:val="24"/>
          <w:szCs w:val="24"/>
        </w:rPr>
        <w:t>，具备《中华人民共和国政府采购法》和《中华人民共和国政府采购法实施条例》中规定的投标供应商资格条件。我方对此声明负全部法律责任。</w:t>
      </w:r>
    </w:p>
    <w:p>
      <w:pPr>
        <w:rPr>
          <w:rFonts w:ascii="仿宋" w:hAnsi="仿宋" w:eastAsia="仿宋"/>
          <w:sz w:val="24"/>
          <w:szCs w:val="24"/>
        </w:rPr>
      </w:pPr>
      <w:r>
        <w:rPr>
          <w:rFonts w:hint="eastAsia" w:ascii="仿宋" w:hAnsi="仿宋" w:eastAsia="仿宋"/>
          <w:sz w:val="24"/>
          <w:szCs w:val="24"/>
        </w:rPr>
        <w:t xml:space="preserve">     特此声明。</w:t>
      </w:r>
    </w:p>
    <w:p>
      <w:pPr>
        <w:ind w:firstLine="4086" w:firstLineChars="1696"/>
        <w:rPr>
          <w:rFonts w:ascii="仿宋" w:hAnsi="仿宋" w:eastAsia="仿宋" w:cs="仿宋"/>
          <w:b/>
          <w:bCs/>
          <w:sz w:val="24"/>
          <w:szCs w:val="24"/>
        </w:rPr>
      </w:pPr>
      <w:r>
        <w:rPr>
          <w:rFonts w:hint="eastAsia" w:ascii="仿宋" w:hAnsi="仿宋" w:eastAsia="仿宋" w:cs="仿宋"/>
          <w:b/>
          <w:bCs/>
          <w:sz w:val="24"/>
          <w:szCs w:val="24"/>
        </w:rPr>
        <w:t>投标人名称:(盖章)</w:t>
      </w:r>
    </w:p>
    <w:p>
      <w:pPr>
        <w:ind w:firstLine="2882" w:firstLineChars="1196"/>
        <w:rPr>
          <w:rFonts w:ascii="仿宋" w:hAnsi="仿宋" w:eastAsia="仿宋" w:cs="仿宋"/>
          <w:b/>
          <w:bCs/>
          <w:sz w:val="24"/>
          <w:szCs w:val="24"/>
        </w:rPr>
      </w:pPr>
      <w:r>
        <w:rPr>
          <w:rFonts w:hint="eastAsia" w:ascii="仿宋" w:hAnsi="仿宋" w:eastAsia="仿宋" w:cs="仿宋"/>
          <w:b/>
          <w:bCs/>
          <w:sz w:val="24"/>
          <w:szCs w:val="24"/>
        </w:rPr>
        <w:t>法人代表或授权委托人:(签字）</w:t>
      </w:r>
    </w:p>
    <w:p>
      <w:pPr>
        <w:ind w:firstLine="5301" w:firstLineChars="2200"/>
      </w:pPr>
      <w:r>
        <w:rPr>
          <w:rFonts w:hint="eastAsia" w:ascii="仿宋" w:hAnsi="仿宋" w:eastAsia="仿宋" w:cs="仿宋"/>
          <w:b/>
          <w:bCs/>
          <w:sz w:val="24"/>
          <w:szCs w:val="24"/>
        </w:rPr>
        <w:t>年   月   日</w:t>
      </w:r>
      <w:bookmarkStart w:id="463" w:name="_Toc29513"/>
      <w:bookmarkStart w:id="464" w:name="_Toc10015_WPSOffice_Level2"/>
      <w:bookmarkStart w:id="465" w:name="_Toc30775"/>
    </w:p>
    <w:p>
      <w:pPr>
        <w:jc w:val="center"/>
        <w:outlineLvl w:val="1"/>
        <w:rPr>
          <w:rFonts w:ascii="仿宋" w:hAnsi="仿宋" w:eastAsia="仿宋" w:cs="仿宋"/>
          <w:b/>
          <w:bCs/>
          <w:sz w:val="32"/>
          <w:szCs w:val="32"/>
        </w:rPr>
      </w:pPr>
    </w:p>
    <w:p>
      <w:pPr>
        <w:pStyle w:val="20"/>
      </w:pPr>
    </w:p>
    <w:p>
      <w:pPr>
        <w:jc w:val="center"/>
        <w:outlineLvl w:val="1"/>
        <w:rPr>
          <w:rFonts w:ascii="仿宋" w:hAnsi="仿宋" w:eastAsia="仿宋" w:cs="仿宋"/>
          <w:b/>
          <w:bCs/>
          <w:sz w:val="32"/>
          <w:szCs w:val="32"/>
        </w:rPr>
      </w:pPr>
      <w:bookmarkStart w:id="466" w:name="_Toc5062"/>
      <w:r>
        <w:rPr>
          <w:rFonts w:hint="eastAsia" w:ascii="仿宋" w:hAnsi="仿宋" w:eastAsia="仿宋" w:cs="仿宋"/>
          <w:b/>
          <w:bCs/>
          <w:sz w:val="32"/>
          <w:szCs w:val="32"/>
        </w:rPr>
        <w:t>（十一）政府采购诚信承诺书</w:t>
      </w:r>
      <w:bookmarkEnd w:id="463"/>
      <w:bookmarkEnd w:id="464"/>
      <w:bookmarkEnd w:id="465"/>
      <w:bookmarkEnd w:id="466"/>
    </w:p>
    <w:p>
      <w:pPr>
        <w:rPr>
          <w:rFonts w:hint="eastAsia" w:ascii="仿宋" w:hAnsi="仿宋" w:eastAsia="仿宋" w:cs="仿宋"/>
          <w:sz w:val="24"/>
          <w:szCs w:val="24"/>
        </w:rPr>
      </w:pPr>
      <w:r>
        <w:rPr>
          <w:rFonts w:hint="eastAsia" w:ascii="仿宋" w:hAnsi="仿宋" w:eastAsia="仿宋" w:cs="仿宋"/>
          <w:sz w:val="24"/>
          <w:szCs w:val="24"/>
          <w:lang w:val="en-US" w:eastAsia="zh-CN"/>
        </w:rPr>
        <w:t>伊宁市</w:t>
      </w:r>
      <w:r>
        <w:rPr>
          <w:rFonts w:hint="eastAsia" w:ascii="仿宋" w:hAnsi="仿宋" w:eastAsia="仿宋" w:cs="仿宋"/>
          <w:sz w:val="24"/>
          <w:szCs w:val="24"/>
        </w:rPr>
        <w:t>公共资源交易中心:</w:t>
      </w:r>
    </w:p>
    <w:p>
      <w:pPr>
        <w:ind w:firstLine="480" w:firstLineChars="200"/>
        <w:rPr>
          <w:rFonts w:ascii="仿宋" w:hAnsi="仿宋" w:eastAsia="仿宋" w:cs="仿宋"/>
          <w:sz w:val="24"/>
          <w:szCs w:val="24"/>
        </w:rPr>
      </w:pPr>
      <w:r>
        <w:rPr>
          <w:rFonts w:hint="eastAsia" w:ascii="仿宋" w:hAnsi="仿宋" w:eastAsia="仿宋" w:cs="仿宋"/>
          <w:sz w:val="24"/>
          <w:szCs w:val="24"/>
        </w:rPr>
        <w:t>我公司自愿参与贵单位的</w:t>
      </w:r>
      <w:r>
        <w:rPr>
          <w:rFonts w:hint="eastAsia" w:ascii="仿宋" w:hAnsi="仿宋" w:eastAsia="仿宋" w:cs="仿宋"/>
          <w:sz w:val="24"/>
          <w:szCs w:val="24"/>
          <w:u w:val="single"/>
        </w:rPr>
        <w:t xml:space="preserve">                  </w:t>
      </w:r>
      <w:r>
        <w:rPr>
          <w:rFonts w:hint="eastAsia" w:ascii="仿宋" w:hAnsi="仿宋" w:eastAsia="仿宋" w:cs="仿宋"/>
          <w:sz w:val="24"/>
          <w:szCs w:val="24"/>
        </w:rPr>
        <w:t>项目政府采购活动,严格遵守《中华人民共和国政府采购法》等相关法律法规的规定,坚守公平竞争,并无条件地遵守本次采购活动各项规定。我们郑重承诺：如果在本次招标活动中有以下情形的,愿接受政府采购监管等部门给予相关处罚并承担法律责任。</w:t>
      </w:r>
    </w:p>
    <w:p>
      <w:pPr>
        <w:ind w:firstLine="480" w:firstLineChars="200"/>
        <w:rPr>
          <w:rFonts w:ascii="仿宋" w:hAnsi="仿宋" w:eastAsia="仿宋" w:cs="仿宋"/>
          <w:sz w:val="24"/>
          <w:szCs w:val="24"/>
        </w:rPr>
      </w:pPr>
      <w:r>
        <w:rPr>
          <w:rFonts w:hint="eastAsia" w:ascii="仿宋" w:hAnsi="仿宋" w:eastAsia="仿宋" w:cs="仿宋"/>
          <w:sz w:val="24"/>
          <w:szCs w:val="24"/>
        </w:rPr>
        <w:t>(一)提供虚假材料谋取中标的;</w:t>
      </w:r>
    </w:p>
    <w:p>
      <w:pPr>
        <w:ind w:firstLine="480" w:firstLineChars="200"/>
        <w:rPr>
          <w:rFonts w:ascii="仿宋" w:hAnsi="仿宋" w:eastAsia="仿宋" w:cs="仿宋"/>
          <w:sz w:val="24"/>
          <w:szCs w:val="24"/>
        </w:rPr>
      </w:pPr>
      <w:r>
        <w:rPr>
          <w:rFonts w:hint="eastAsia" w:ascii="仿宋" w:hAnsi="仿宋" w:eastAsia="仿宋" w:cs="仿宋"/>
          <w:sz w:val="24"/>
          <w:szCs w:val="24"/>
        </w:rPr>
        <w:t>(二)釆取不正当手段语毁、排挤其他供应商的；</w:t>
      </w:r>
    </w:p>
    <w:p>
      <w:pPr>
        <w:ind w:firstLine="480" w:firstLineChars="200"/>
        <w:rPr>
          <w:rFonts w:ascii="仿宋" w:hAnsi="仿宋" w:eastAsia="仿宋" w:cs="仿宋"/>
          <w:sz w:val="24"/>
          <w:szCs w:val="24"/>
        </w:rPr>
      </w:pPr>
      <w:r>
        <w:rPr>
          <w:rFonts w:hint="eastAsia" w:ascii="仿宋" w:hAnsi="仿宋" w:eastAsia="仿宋" w:cs="仿宋"/>
          <w:sz w:val="24"/>
          <w:szCs w:val="24"/>
        </w:rPr>
        <w:t>(三)与招标采购单位、其他投标人恶意串通的；</w:t>
      </w:r>
    </w:p>
    <w:p>
      <w:pPr>
        <w:ind w:firstLine="480" w:firstLineChars="200"/>
        <w:rPr>
          <w:rFonts w:ascii="仿宋" w:hAnsi="仿宋" w:eastAsia="仿宋" w:cs="仿宋"/>
          <w:sz w:val="24"/>
          <w:szCs w:val="24"/>
        </w:rPr>
      </w:pPr>
      <w:r>
        <w:rPr>
          <w:rFonts w:hint="eastAsia" w:ascii="仿宋" w:hAnsi="仿宋" w:eastAsia="仿宋" w:cs="仿宋"/>
          <w:sz w:val="24"/>
          <w:szCs w:val="24"/>
        </w:rPr>
        <w:t>(四)向招标采购单位或提供其他不正当利益的；</w:t>
      </w:r>
    </w:p>
    <w:p>
      <w:pPr>
        <w:ind w:firstLine="480" w:firstLineChars="200"/>
        <w:rPr>
          <w:rFonts w:ascii="仿宋" w:hAnsi="仿宋" w:eastAsia="仿宋" w:cs="仿宋"/>
          <w:sz w:val="24"/>
          <w:szCs w:val="24"/>
        </w:rPr>
      </w:pPr>
      <w:r>
        <w:rPr>
          <w:rFonts w:hint="eastAsia" w:ascii="仿宋" w:hAnsi="仿宋" w:eastAsia="仿宋" w:cs="仿宋"/>
          <w:sz w:val="24"/>
          <w:szCs w:val="24"/>
        </w:rPr>
        <w:t>(五)在招标过程中与招标采购单位进行协商谈判、不按照招标文件和投标文件的内容订立合同,或者与采购人另立背离合同实质性内容协议的；</w:t>
      </w:r>
    </w:p>
    <w:p>
      <w:pPr>
        <w:ind w:firstLine="480" w:firstLineChars="200"/>
        <w:rPr>
          <w:rFonts w:ascii="仿宋" w:hAnsi="仿宋" w:eastAsia="仿宋" w:cs="仿宋"/>
          <w:sz w:val="24"/>
          <w:szCs w:val="24"/>
        </w:rPr>
      </w:pPr>
      <w:r>
        <w:rPr>
          <w:rFonts w:hint="eastAsia" w:ascii="仿宋" w:hAnsi="仿宋" w:eastAsia="仿宋" w:cs="仿宋"/>
          <w:sz w:val="24"/>
          <w:szCs w:val="24"/>
        </w:rPr>
        <w:t>(六)开标后擅自撤销投标或离开招标现场,影响招标继绩进行的；</w:t>
      </w:r>
    </w:p>
    <w:p>
      <w:pPr>
        <w:ind w:firstLine="480" w:firstLineChars="200"/>
        <w:rPr>
          <w:rFonts w:ascii="仿宋" w:hAnsi="仿宋" w:eastAsia="仿宋" w:cs="仿宋"/>
          <w:sz w:val="24"/>
          <w:szCs w:val="24"/>
        </w:rPr>
      </w:pPr>
      <w:r>
        <w:rPr>
          <w:rFonts w:hint="eastAsia" w:ascii="仿宋" w:hAnsi="仿宋" w:eastAsia="仿宋" w:cs="仿宋"/>
          <w:sz w:val="24"/>
          <w:szCs w:val="24"/>
        </w:rPr>
        <w:t>(七)中标后无正当理由,在规定时间内不与采购单位签订合同的；</w:t>
      </w:r>
    </w:p>
    <w:p>
      <w:pPr>
        <w:ind w:firstLine="480" w:firstLineChars="200"/>
        <w:rPr>
          <w:rFonts w:ascii="仿宋" w:hAnsi="仿宋" w:eastAsia="仿宋" w:cs="仿宋"/>
          <w:sz w:val="24"/>
          <w:szCs w:val="24"/>
        </w:rPr>
      </w:pPr>
      <w:r>
        <w:rPr>
          <w:rFonts w:hint="eastAsia" w:ascii="仿宋" w:hAnsi="仿宋" w:eastAsia="仿宋" w:cs="仿宋"/>
          <w:sz w:val="24"/>
          <w:szCs w:val="24"/>
        </w:rPr>
        <w:t>(八)将中标项目转让给他人或非法分包他人的；</w:t>
      </w:r>
    </w:p>
    <w:p>
      <w:pPr>
        <w:ind w:firstLine="480" w:firstLineChars="200"/>
        <w:rPr>
          <w:rFonts w:ascii="仿宋" w:hAnsi="仿宋" w:eastAsia="仿宋" w:cs="仿宋"/>
          <w:sz w:val="24"/>
          <w:szCs w:val="24"/>
        </w:rPr>
      </w:pPr>
      <w:r>
        <w:rPr>
          <w:rFonts w:hint="eastAsia" w:ascii="仿宋" w:hAnsi="仿宋" w:eastAsia="仿宋" w:cs="仿宋"/>
          <w:sz w:val="24"/>
          <w:szCs w:val="24"/>
        </w:rPr>
        <w:t>(九)无正当理由,拒绝履行合同义务的;</w:t>
      </w:r>
    </w:p>
    <w:p>
      <w:pPr>
        <w:ind w:firstLine="480" w:firstLineChars="200"/>
        <w:rPr>
          <w:rFonts w:ascii="仿宋" w:hAnsi="仿宋" w:eastAsia="仿宋" w:cs="仿宋"/>
          <w:sz w:val="24"/>
          <w:szCs w:val="24"/>
        </w:rPr>
      </w:pPr>
      <w:r>
        <w:rPr>
          <w:rFonts w:hint="eastAsia" w:ascii="仿宋" w:hAnsi="仿宋" w:eastAsia="仿宋" w:cs="仿宋"/>
          <w:sz w:val="24"/>
          <w:szCs w:val="24"/>
        </w:rPr>
        <w:t>(十)无正当理由放弃中标(成交)项目的;</w:t>
      </w:r>
    </w:p>
    <w:p>
      <w:pPr>
        <w:ind w:firstLine="480" w:firstLineChars="200"/>
        <w:rPr>
          <w:rFonts w:ascii="仿宋" w:hAnsi="仿宋" w:eastAsia="仿宋" w:cs="仿宋"/>
          <w:sz w:val="24"/>
          <w:szCs w:val="24"/>
        </w:rPr>
      </w:pPr>
      <w:r>
        <w:rPr>
          <w:rFonts w:hint="eastAsia" w:ascii="仿宋" w:hAnsi="仿宋" w:eastAsia="仿宋" w:cs="仿宋"/>
          <w:sz w:val="24"/>
          <w:szCs w:val="24"/>
        </w:rPr>
        <w:t>(十—)擅自或与采购入串通或接受采购人要求,在约合同中通过减少服务数量,更换品牌，降低配置、技术要求、质量和服务标准等,却仍按原合同进行虛假验收或终止政府采购合同的；</w:t>
      </w:r>
    </w:p>
    <w:p>
      <w:pPr>
        <w:ind w:firstLine="480" w:firstLineChars="200"/>
        <w:rPr>
          <w:rFonts w:ascii="仿宋" w:hAnsi="仿宋" w:eastAsia="仿宋" w:cs="仿宋"/>
          <w:sz w:val="24"/>
          <w:szCs w:val="24"/>
        </w:rPr>
      </w:pPr>
      <w:r>
        <w:rPr>
          <w:rFonts w:hint="eastAsia" w:ascii="仿宋" w:hAnsi="仿宋" w:eastAsia="仿宋" w:cs="仿宋"/>
          <w:sz w:val="24"/>
          <w:szCs w:val="24"/>
        </w:rPr>
        <w:t>(十二)与采购人串通,对尚未履约完毕的釆购项目出具虚假验收报告的;</w:t>
      </w:r>
    </w:p>
    <w:p>
      <w:pPr>
        <w:ind w:firstLine="480" w:firstLineChars="200"/>
        <w:rPr>
          <w:rFonts w:ascii="仿宋" w:hAnsi="仿宋" w:eastAsia="仿宋" w:cs="仿宋"/>
          <w:sz w:val="24"/>
          <w:szCs w:val="24"/>
        </w:rPr>
      </w:pPr>
      <w:r>
        <w:rPr>
          <w:rFonts w:hint="eastAsia" w:ascii="仿宋" w:hAnsi="仿宋" w:eastAsia="仿宋" w:cs="仿宋"/>
          <w:sz w:val="24"/>
          <w:szCs w:val="24"/>
        </w:rPr>
        <w:t>(十三)无不可抗力因素,拒绝提供售后服务、售后服务态度恶劣、故意提高维修配件价格(高于市场平均价)的;</w:t>
      </w:r>
    </w:p>
    <w:p>
      <w:pPr>
        <w:ind w:firstLine="480" w:firstLineChars="200"/>
        <w:rPr>
          <w:rFonts w:ascii="仿宋" w:hAnsi="仿宋" w:eastAsia="仿宋" w:cs="仿宋"/>
          <w:sz w:val="24"/>
          <w:szCs w:val="24"/>
        </w:rPr>
      </w:pPr>
      <w:r>
        <w:rPr>
          <w:rFonts w:hint="eastAsia" w:ascii="仿宋" w:hAnsi="仿宋" w:eastAsia="仿宋" w:cs="仿宋"/>
          <w:sz w:val="24"/>
          <w:szCs w:val="24"/>
        </w:rPr>
        <w:t>(十四)开标后对招标文件的相关内容再进行质疑的;</w:t>
      </w:r>
    </w:p>
    <w:p>
      <w:pPr>
        <w:ind w:firstLine="480" w:firstLineChars="200"/>
        <w:rPr>
          <w:rFonts w:ascii="仿宋" w:hAnsi="仿宋" w:eastAsia="仿宋" w:cs="仿宋"/>
          <w:sz w:val="24"/>
          <w:szCs w:val="24"/>
        </w:rPr>
      </w:pPr>
      <w:r>
        <w:rPr>
          <w:rFonts w:hint="eastAsia" w:ascii="仿宋" w:hAnsi="仿宋" w:eastAsia="仿宋" w:cs="仿宋"/>
          <w:sz w:val="24"/>
          <w:szCs w:val="24"/>
        </w:rPr>
        <w:t>(十五)质疑经查无实据的、捏造事实或者提供虚假质疑材料的；</w:t>
      </w:r>
    </w:p>
    <w:p>
      <w:pPr>
        <w:ind w:firstLine="480" w:firstLineChars="200"/>
        <w:rPr>
          <w:rFonts w:ascii="仿宋" w:hAnsi="仿宋" w:eastAsia="仿宋" w:cs="仿宋"/>
          <w:sz w:val="24"/>
          <w:szCs w:val="24"/>
        </w:rPr>
      </w:pPr>
      <w:r>
        <w:rPr>
          <w:rFonts w:hint="eastAsia" w:ascii="仿宋" w:hAnsi="仿宋" w:eastAsia="仿宋" w:cs="仿宋"/>
          <w:sz w:val="24"/>
          <w:szCs w:val="24"/>
        </w:rPr>
        <w:t>(十六)拒绝有关部门监督检查或者提供虚假情况的;</w:t>
      </w:r>
    </w:p>
    <w:p>
      <w:pPr>
        <w:ind w:firstLine="480" w:firstLineChars="200"/>
        <w:rPr>
          <w:rFonts w:ascii="仿宋" w:hAnsi="仿宋" w:eastAsia="仿宋" w:cs="仿宋"/>
          <w:sz w:val="24"/>
          <w:szCs w:val="24"/>
        </w:rPr>
      </w:pPr>
      <w:r>
        <w:rPr>
          <w:rFonts w:hint="eastAsia" w:ascii="仿宋" w:hAnsi="仿宋" w:eastAsia="仿宋" w:cs="仿宋"/>
          <w:sz w:val="24"/>
          <w:szCs w:val="24"/>
        </w:rPr>
        <w:t>(十七)财政、监察部门认定的其他不诚信行为。</w:t>
      </w:r>
    </w:p>
    <w:p>
      <w:pPr>
        <w:rPr>
          <w:rFonts w:ascii="仿宋" w:hAnsi="仿宋" w:eastAsia="仿宋" w:cs="仿宋"/>
          <w:b/>
          <w:bCs/>
          <w:sz w:val="24"/>
          <w:szCs w:val="24"/>
        </w:rPr>
      </w:pPr>
    </w:p>
    <w:p>
      <w:pPr>
        <w:pStyle w:val="20"/>
      </w:pPr>
    </w:p>
    <w:p>
      <w:pPr>
        <w:ind w:firstLine="3855" w:firstLineChars="1600"/>
        <w:rPr>
          <w:rFonts w:ascii="仿宋" w:hAnsi="仿宋" w:eastAsia="仿宋" w:cs="仿宋"/>
          <w:b/>
          <w:bCs/>
          <w:sz w:val="24"/>
          <w:szCs w:val="24"/>
        </w:rPr>
      </w:pPr>
      <w:r>
        <w:rPr>
          <w:rFonts w:hint="eastAsia" w:ascii="仿宋" w:hAnsi="仿宋" w:eastAsia="仿宋" w:cs="仿宋"/>
          <w:b/>
          <w:bCs/>
          <w:sz w:val="24"/>
          <w:szCs w:val="24"/>
        </w:rPr>
        <w:t>公司名称:(盖章)</w:t>
      </w:r>
    </w:p>
    <w:p>
      <w:pPr>
        <w:ind w:firstLine="2409" w:firstLineChars="1000"/>
        <w:rPr>
          <w:rFonts w:ascii="仿宋" w:hAnsi="仿宋" w:eastAsia="仿宋" w:cs="仿宋"/>
          <w:b/>
          <w:bCs/>
          <w:sz w:val="24"/>
          <w:szCs w:val="24"/>
        </w:rPr>
      </w:pPr>
      <w:r>
        <w:rPr>
          <w:rFonts w:hint="eastAsia" w:ascii="仿宋" w:hAnsi="仿宋" w:eastAsia="仿宋" w:cs="仿宋"/>
          <w:b/>
          <w:bCs/>
          <w:sz w:val="24"/>
          <w:szCs w:val="24"/>
        </w:rPr>
        <w:t>法人代表或授权委托人:(签字）</w:t>
      </w:r>
    </w:p>
    <w:p>
      <w:pPr>
        <w:ind w:firstLine="5301" w:firstLineChars="2200"/>
        <w:rPr>
          <w:rFonts w:ascii="仿宋" w:hAnsi="仿宋" w:eastAsia="仿宋" w:cs="仿宋"/>
          <w:b/>
          <w:bCs/>
          <w:sz w:val="24"/>
          <w:szCs w:val="24"/>
        </w:rPr>
      </w:pPr>
      <w:r>
        <w:rPr>
          <w:rFonts w:hint="eastAsia" w:ascii="仿宋" w:hAnsi="仿宋" w:eastAsia="仿宋" w:cs="仿宋"/>
          <w:b/>
          <w:bCs/>
          <w:sz w:val="24"/>
          <w:szCs w:val="24"/>
        </w:rPr>
        <w:t>年   月   日</w:t>
      </w:r>
    </w:p>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Pr>
        <w:widowControl/>
        <w:spacing w:line="400" w:lineRule="exact"/>
        <w:jc w:val="center"/>
        <w:rPr>
          <w:rFonts w:ascii="黑体" w:hAnsi="黑体" w:eastAsia="黑体"/>
          <w:b/>
          <w:sz w:val="32"/>
          <w:szCs w:val="32"/>
        </w:rPr>
      </w:pPr>
      <w:r>
        <w:rPr>
          <w:rFonts w:hint="eastAsia" w:ascii="黑体" w:hAnsi="黑体" w:eastAsia="黑体"/>
          <w:b/>
          <w:sz w:val="32"/>
          <w:szCs w:val="32"/>
        </w:rPr>
        <w:t xml:space="preserve"> </w:t>
      </w:r>
    </w:p>
    <w:p>
      <w:pPr>
        <w:widowControl/>
        <w:spacing w:line="400" w:lineRule="exact"/>
        <w:jc w:val="center"/>
        <w:rPr>
          <w:rFonts w:ascii="黑体" w:hAnsi="黑体" w:eastAsia="黑体"/>
          <w:b/>
          <w:sz w:val="32"/>
          <w:szCs w:val="32"/>
        </w:rPr>
      </w:pPr>
    </w:p>
    <w:p>
      <w:pPr>
        <w:pStyle w:val="20"/>
      </w:pPr>
    </w:p>
    <w:p>
      <w:pPr>
        <w:widowControl/>
        <w:spacing w:line="400" w:lineRule="exact"/>
        <w:jc w:val="center"/>
        <w:rPr>
          <w:rFonts w:ascii="仿宋" w:hAnsi="仿宋" w:eastAsia="仿宋" w:cs="仿宋"/>
          <w:b/>
          <w:bCs/>
          <w:sz w:val="32"/>
          <w:szCs w:val="32"/>
        </w:rPr>
      </w:pPr>
      <w:r>
        <w:rPr>
          <w:rFonts w:hint="eastAsia" w:ascii="仿宋" w:hAnsi="仿宋" w:eastAsia="仿宋" w:cs="仿宋"/>
          <w:b/>
          <w:bCs/>
          <w:sz w:val="32"/>
          <w:szCs w:val="32"/>
        </w:rPr>
        <w:t>（十二）中小企业声明函（货物）</w:t>
      </w:r>
    </w:p>
    <w:p>
      <w:pPr>
        <w:widowControl/>
        <w:spacing w:line="400" w:lineRule="exact"/>
        <w:jc w:val="center"/>
        <w:rPr>
          <w:rFonts w:ascii="宋体" w:hAnsi="宋体"/>
          <w:sz w:val="36"/>
        </w:rPr>
      </w:pPr>
    </w:p>
    <w:p>
      <w:pPr>
        <w:spacing w:before="166" w:beforeLines="50" w:after="166" w:afterLines="50"/>
        <w:ind w:firstLine="480" w:firstLineChars="200"/>
        <w:rPr>
          <w:rFonts w:ascii="仿宋" w:hAnsi="仿宋" w:eastAsia="仿宋" w:cs="仿宋"/>
          <w:bCs/>
          <w:sz w:val="24"/>
        </w:rPr>
      </w:pPr>
      <w:r>
        <w:rPr>
          <w:rFonts w:hint="eastAsia" w:ascii="仿宋" w:hAnsi="仿宋" w:eastAsia="仿宋" w:cs="仿宋"/>
          <w:bCs/>
          <w:sz w:val="24"/>
        </w:rPr>
        <w:t>本公司（联合体）郑重声明，根据《政府采购促进中小企业发展管理办法》（财库﹝2020﹞46 号）的规定，本公司（联合体）参加（</w:t>
      </w:r>
      <w:r>
        <w:rPr>
          <w:rFonts w:hint="eastAsia" w:ascii="仿宋" w:hAnsi="仿宋" w:eastAsia="仿宋" w:cs="仿宋"/>
          <w:bCs/>
          <w:i/>
          <w:iCs/>
          <w:sz w:val="24"/>
          <w:u w:val="single"/>
        </w:rPr>
        <w:t>单位名称</w:t>
      </w:r>
      <w:r>
        <w:rPr>
          <w:rFonts w:hint="eastAsia" w:ascii="仿宋" w:hAnsi="仿宋" w:eastAsia="仿宋" w:cs="仿宋"/>
          <w:bCs/>
          <w:sz w:val="24"/>
        </w:rPr>
        <w:t>）的（</w:t>
      </w:r>
      <w:r>
        <w:rPr>
          <w:rFonts w:hint="eastAsia" w:ascii="仿宋" w:hAnsi="仿宋" w:eastAsia="仿宋" w:cs="仿宋"/>
          <w:bCs/>
          <w:i/>
          <w:iCs/>
          <w:sz w:val="24"/>
          <w:u w:val="single"/>
        </w:rPr>
        <w:t>项目名称</w:t>
      </w:r>
      <w:r>
        <w:rPr>
          <w:rFonts w:hint="eastAsia" w:ascii="仿宋" w:hAnsi="仿宋" w:eastAsia="仿宋" w:cs="仿宋"/>
          <w:bCs/>
          <w:sz w:val="24"/>
        </w:rPr>
        <w:t>）采购活动，提供的货物全部由符合政策要求的中小企业制造。相关企业（含联合体中的中小企业、签订分包意向协议的中小企业）的具体情况如下：</w:t>
      </w:r>
    </w:p>
    <w:p>
      <w:pPr>
        <w:spacing w:before="166" w:beforeLines="50" w:after="166" w:afterLines="50"/>
        <w:ind w:firstLine="480" w:firstLineChars="200"/>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i/>
          <w:iCs/>
          <w:sz w:val="24"/>
          <w:u w:val="single"/>
        </w:rPr>
        <w:t>标的名称</w:t>
      </w:r>
      <w:r>
        <w:rPr>
          <w:rFonts w:hint="eastAsia" w:ascii="仿宋" w:hAnsi="仿宋" w:eastAsia="仿宋" w:cs="仿宋"/>
          <w:bCs/>
          <w:sz w:val="24"/>
        </w:rPr>
        <w:t>） ，属于（</w:t>
      </w:r>
      <w:r>
        <w:rPr>
          <w:rFonts w:hint="eastAsia" w:ascii="仿宋" w:hAnsi="仿宋" w:eastAsia="仿宋" w:cs="仿宋"/>
          <w:bCs/>
          <w:i/>
          <w:iCs/>
          <w:sz w:val="24"/>
          <w:u w:val="single"/>
        </w:rPr>
        <w:t>采购文件中明确的所属行业</w:t>
      </w:r>
      <w:r>
        <w:rPr>
          <w:rFonts w:hint="eastAsia" w:ascii="仿宋" w:hAnsi="仿宋" w:eastAsia="仿宋" w:cs="仿宋"/>
          <w:bCs/>
          <w:sz w:val="24"/>
        </w:rPr>
        <w:t>）行业；制造商为（</w:t>
      </w:r>
      <w:r>
        <w:rPr>
          <w:rFonts w:hint="eastAsia" w:ascii="仿宋" w:hAnsi="仿宋" w:eastAsia="仿宋" w:cs="仿宋"/>
          <w:bCs/>
          <w:i/>
          <w:iCs/>
          <w:sz w:val="24"/>
          <w:u w:val="single"/>
        </w:rPr>
        <w:t>企业名称</w:t>
      </w:r>
      <w:r>
        <w:rPr>
          <w:rFonts w:hint="eastAsia" w:ascii="仿宋" w:hAnsi="仿宋" w:eastAsia="仿宋" w:cs="仿宋"/>
          <w:bCs/>
          <w:sz w:val="24"/>
        </w:rPr>
        <w:t>），从业人员</w:t>
      </w:r>
      <w:r>
        <w:rPr>
          <w:rFonts w:hint="eastAsia" w:ascii="仿宋" w:hAnsi="仿宋" w:eastAsia="仿宋" w:cs="仿宋"/>
          <w:bCs/>
          <w:sz w:val="24"/>
          <w:u w:val="single"/>
        </w:rPr>
        <w:t xml:space="preserve">     </w:t>
      </w:r>
      <w:r>
        <w:rPr>
          <w:rFonts w:hint="eastAsia" w:ascii="仿宋" w:hAnsi="仿宋" w:eastAsia="仿宋" w:cs="仿宋"/>
          <w:bCs/>
          <w:sz w:val="24"/>
        </w:rPr>
        <w:t>人，营业收入为</w:t>
      </w:r>
      <w:r>
        <w:rPr>
          <w:rFonts w:hint="eastAsia" w:ascii="仿宋" w:hAnsi="仿宋" w:eastAsia="仿宋" w:cs="仿宋"/>
          <w:bCs/>
          <w:sz w:val="24"/>
          <w:u w:val="single"/>
        </w:rPr>
        <w:t xml:space="preserve">     </w:t>
      </w:r>
      <w:r>
        <w:rPr>
          <w:rFonts w:hint="eastAsia" w:ascii="仿宋" w:hAnsi="仿宋" w:eastAsia="仿宋" w:cs="仿宋"/>
          <w:bCs/>
          <w:sz w:val="24"/>
        </w:rPr>
        <w:t>万元，资产总额为</w:t>
      </w:r>
      <w:r>
        <w:rPr>
          <w:rFonts w:hint="eastAsia" w:ascii="仿宋" w:hAnsi="仿宋" w:eastAsia="仿宋" w:cs="仿宋"/>
          <w:bCs/>
          <w:sz w:val="24"/>
          <w:u w:val="single"/>
        </w:rPr>
        <w:t xml:space="preserve">     </w:t>
      </w:r>
      <w:r>
        <w:rPr>
          <w:rFonts w:hint="eastAsia" w:ascii="仿宋" w:hAnsi="仿宋" w:eastAsia="仿宋" w:cs="仿宋"/>
          <w:bCs/>
          <w:sz w:val="24"/>
        </w:rPr>
        <w:t>万元，属于（</w:t>
      </w:r>
      <w:r>
        <w:rPr>
          <w:rFonts w:hint="eastAsia" w:ascii="仿宋" w:hAnsi="仿宋" w:eastAsia="仿宋" w:cs="仿宋"/>
          <w:bCs/>
          <w:i/>
          <w:iCs/>
          <w:sz w:val="24"/>
          <w:u w:val="single"/>
        </w:rPr>
        <w:t>中型企业、小型企业、微型企业</w:t>
      </w:r>
      <w:r>
        <w:rPr>
          <w:rFonts w:hint="eastAsia" w:ascii="仿宋" w:hAnsi="仿宋" w:eastAsia="仿宋" w:cs="仿宋"/>
          <w:bCs/>
          <w:sz w:val="24"/>
        </w:rPr>
        <w:t>）；</w:t>
      </w:r>
    </w:p>
    <w:p>
      <w:pPr>
        <w:spacing w:before="166" w:beforeLines="50" w:after="166" w:afterLines="50"/>
        <w:ind w:firstLine="480" w:firstLineChars="200"/>
        <w:rPr>
          <w:rFonts w:ascii="仿宋" w:hAnsi="仿宋" w:eastAsia="仿宋" w:cs="仿宋"/>
          <w:bCs/>
          <w:sz w:val="24"/>
        </w:rPr>
      </w:pPr>
      <w:r>
        <w:rPr>
          <w:rFonts w:hint="eastAsia" w:ascii="仿宋" w:hAnsi="仿宋" w:eastAsia="仿宋" w:cs="仿宋"/>
          <w:bCs/>
          <w:sz w:val="24"/>
        </w:rPr>
        <w:t>2.（</w:t>
      </w:r>
      <w:r>
        <w:rPr>
          <w:rFonts w:hint="eastAsia" w:ascii="仿宋" w:hAnsi="仿宋" w:eastAsia="仿宋" w:cs="仿宋"/>
          <w:bCs/>
          <w:i/>
          <w:iCs/>
          <w:sz w:val="24"/>
          <w:u w:val="single"/>
        </w:rPr>
        <w:t>标的名称</w:t>
      </w:r>
      <w:r>
        <w:rPr>
          <w:rFonts w:hint="eastAsia" w:ascii="仿宋" w:hAnsi="仿宋" w:eastAsia="仿宋" w:cs="仿宋"/>
          <w:bCs/>
          <w:sz w:val="24"/>
        </w:rPr>
        <w:t>） ，属于（</w:t>
      </w:r>
      <w:r>
        <w:rPr>
          <w:rFonts w:hint="eastAsia" w:ascii="仿宋" w:hAnsi="仿宋" w:eastAsia="仿宋" w:cs="仿宋"/>
          <w:bCs/>
          <w:i/>
          <w:iCs/>
          <w:sz w:val="24"/>
          <w:u w:val="single"/>
        </w:rPr>
        <w:t>采购文件中明确的所属行业</w:t>
      </w:r>
      <w:r>
        <w:rPr>
          <w:rFonts w:hint="eastAsia" w:ascii="仿宋" w:hAnsi="仿宋" w:eastAsia="仿宋" w:cs="仿宋"/>
          <w:bCs/>
          <w:sz w:val="24"/>
        </w:rPr>
        <w:t>）行业；制造商为（</w:t>
      </w:r>
      <w:r>
        <w:rPr>
          <w:rFonts w:hint="eastAsia" w:ascii="仿宋" w:hAnsi="仿宋" w:eastAsia="仿宋" w:cs="仿宋"/>
          <w:bCs/>
          <w:i/>
          <w:iCs/>
          <w:sz w:val="24"/>
          <w:u w:val="single"/>
        </w:rPr>
        <w:t>企业名称</w:t>
      </w:r>
      <w:r>
        <w:rPr>
          <w:rFonts w:hint="eastAsia" w:ascii="仿宋" w:hAnsi="仿宋" w:eastAsia="仿宋" w:cs="仿宋"/>
          <w:bCs/>
          <w:sz w:val="24"/>
        </w:rPr>
        <w:t>），从业人员</w:t>
      </w:r>
      <w:r>
        <w:rPr>
          <w:rFonts w:hint="eastAsia" w:ascii="仿宋" w:hAnsi="仿宋" w:eastAsia="仿宋" w:cs="仿宋"/>
          <w:bCs/>
          <w:sz w:val="24"/>
          <w:u w:val="single"/>
        </w:rPr>
        <w:t xml:space="preserve">     </w:t>
      </w:r>
      <w:r>
        <w:rPr>
          <w:rFonts w:hint="eastAsia" w:ascii="仿宋" w:hAnsi="仿宋" w:eastAsia="仿宋" w:cs="仿宋"/>
          <w:bCs/>
          <w:sz w:val="24"/>
        </w:rPr>
        <w:t>人，营业收入为</w:t>
      </w:r>
      <w:r>
        <w:rPr>
          <w:rFonts w:hint="eastAsia" w:ascii="仿宋" w:hAnsi="仿宋" w:eastAsia="仿宋" w:cs="仿宋"/>
          <w:bCs/>
          <w:sz w:val="24"/>
          <w:u w:val="single"/>
        </w:rPr>
        <w:t xml:space="preserve">     </w:t>
      </w:r>
      <w:r>
        <w:rPr>
          <w:rFonts w:hint="eastAsia" w:ascii="仿宋" w:hAnsi="仿宋" w:eastAsia="仿宋" w:cs="仿宋"/>
          <w:bCs/>
          <w:sz w:val="24"/>
        </w:rPr>
        <w:t>万元，资产总额为</w:t>
      </w:r>
      <w:r>
        <w:rPr>
          <w:rFonts w:hint="eastAsia" w:ascii="仿宋" w:hAnsi="仿宋" w:eastAsia="仿宋" w:cs="仿宋"/>
          <w:bCs/>
          <w:sz w:val="24"/>
          <w:u w:val="single"/>
        </w:rPr>
        <w:t xml:space="preserve">     </w:t>
      </w:r>
      <w:r>
        <w:rPr>
          <w:rFonts w:hint="eastAsia" w:ascii="仿宋" w:hAnsi="仿宋" w:eastAsia="仿宋" w:cs="仿宋"/>
          <w:bCs/>
          <w:sz w:val="24"/>
        </w:rPr>
        <w:t>万元，属于（</w:t>
      </w:r>
      <w:r>
        <w:rPr>
          <w:rFonts w:hint="eastAsia" w:ascii="仿宋" w:hAnsi="仿宋" w:eastAsia="仿宋" w:cs="仿宋"/>
          <w:bCs/>
          <w:i/>
          <w:iCs/>
          <w:sz w:val="24"/>
          <w:u w:val="single"/>
        </w:rPr>
        <w:t>中型企业、小型企业、微型企业</w:t>
      </w:r>
      <w:r>
        <w:rPr>
          <w:rFonts w:hint="eastAsia" w:ascii="仿宋" w:hAnsi="仿宋" w:eastAsia="仿宋" w:cs="仿宋"/>
          <w:bCs/>
          <w:sz w:val="24"/>
        </w:rPr>
        <w:t>）；</w:t>
      </w:r>
    </w:p>
    <w:p>
      <w:pPr>
        <w:spacing w:before="166" w:beforeLines="50" w:after="166" w:afterLines="50"/>
        <w:ind w:firstLine="480" w:firstLineChars="200"/>
        <w:rPr>
          <w:rFonts w:ascii="仿宋" w:hAnsi="仿宋" w:eastAsia="仿宋" w:cs="仿宋"/>
          <w:bCs/>
          <w:sz w:val="24"/>
        </w:rPr>
      </w:pPr>
      <w:r>
        <w:rPr>
          <w:rFonts w:hint="eastAsia" w:ascii="仿宋" w:hAnsi="仿宋" w:eastAsia="仿宋" w:cs="仿宋"/>
          <w:bCs/>
          <w:sz w:val="24"/>
        </w:rPr>
        <w:t>……</w:t>
      </w:r>
    </w:p>
    <w:p>
      <w:pPr>
        <w:spacing w:before="166" w:beforeLines="50" w:after="166" w:afterLines="50"/>
        <w:ind w:firstLine="480" w:firstLineChars="200"/>
        <w:rPr>
          <w:rFonts w:ascii="仿宋" w:hAnsi="仿宋" w:eastAsia="仿宋" w:cs="仿宋"/>
          <w:bCs/>
          <w:sz w:val="24"/>
        </w:rPr>
      </w:pPr>
      <w:r>
        <w:rPr>
          <w:rFonts w:hint="eastAsia" w:ascii="仿宋" w:hAnsi="仿宋" w:eastAsia="仿宋" w:cs="仿宋"/>
          <w:bCs/>
          <w:sz w:val="24"/>
        </w:rPr>
        <w:t>以上企业，不属于大企业的分支机构，不存在控股股东为大企业的情形，也不存在与大企业的负责人为同一人的情形。</w:t>
      </w:r>
    </w:p>
    <w:p>
      <w:pPr>
        <w:spacing w:before="166" w:beforeLines="50" w:after="166" w:afterLines="50"/>
        <w:ind w:firstLine="480" w:firstLineChars="200"/>
        <w:rPr>
          <w:rFonts w:ascii="仿宋" w:hAnsi="仿宋" w:eastAsia="仿宋" w:cs="仿宋"/>
          <w:bCs/>
          <w:sz w:val="24"/>
        </w:rPr>
      </w:pPr>
      <w:r>
        <w:rPr>
          <w:rFonts w:hint="eastAsia" w:ascii="仿宋" w:hAnsi="仿宋" w:eastAsia="仿宋" w:cs="仿宋"/>
          <w:bCs/>
          <w:sz w:val="24"/>
        </w:rPr>
        <w:t>本企业对上述声明内容的真实性负责。如有虚假，将依法承担相应责任。</w:t>
      </w:r>
    </w:p>
    <w:p>
      <w:pPr>
        <w:spacing w:before="166" w:beforeLines="50" w:after="166" w:afterLines="50"/>
        <w:rPr>
          <w:rFonts w:ascii="仿宋" w:hAnsi="仿宋" w:eastAsia="仿宋" w:cs="仿宋"/>
          <w:bCs/>
          <w:sz w:val="24"/>
        </w:rPr>
      </w:pPr>
    </w:p>
    <w:p>
      <w:pPr>
        <w:spacing w:before="166" w:beforeLines="50" w:after="166" w:afterLines="50" w:line="300" w:lineRule="auto"/>
        <w:rPr>
          <w:rFonts w:ascii="仿宋" w:hAnsi="仿宋" w:eastAsia="仿宋" w:cs="仿宋"/>
          <w:bCs/>
          <w:sz w:val="24"/>
        </w:rPr>
      </w:pPr>
    </w:p>
    <w:p>
      <w:pPr>
        <w:spacing w:before="166" w:beforeLines="50" w:after="166" w:afterLines="50" w:line="300" w:lineRule="auto"/>
        <w:ind w:firstLine="4080" w:firstLineChars="1700"/>
        <w:rPr>
          <w:rFonts w:ascii="仿宋" w:hAnsi="仿宋" w:eastAsia="仿宋" w:cs="仿宋"/>
          <w:bCs/>
          <w:sz w:val="24"/>
        </w:rPr>
      </w:pPr>
      <w:r>
        <w:rPr>
          <w:rFonts w:hint="eastAsia" w:ascii="仿宋" w:hAnsi="仿宋" w:eastAsia="仿宋" w:cs="仿宋"/>
          <w:bCs/>
          <w:sz w:val="24"/>
        </w:rPr>
        <w:t>企业名称（盖章）：</w:t>
      </w:r>
    </w:p>
    <w:p>
      <w:pPr>
        <w:spacing w:before="166" w:beforeLines="50" w:after="166" w:afterLines="50" w:line="300" w:lineRule="auto"/>
        <w:ind w:firstLine="4080" w:firstLineChars="1700"/>
        <w:rPr>
          <w:rFonts w:ascii="仿宋" w:hAnsi="仿宋" w:eastAsia="仿宋" w:cs="仿宋"/>
          <w:bCs/>
          <w:sz w:val="24"/>
        </w:rPr>
      </w:pPr>
      <w:r>
        <w:rPr>
          <w:rFonts w:hint="eastAsia" w:ascii="仿宋" w:hAnsi="仿宋" w:eastAsia="仿宋" w:cs="仿宋"/>
          <w:bCs/>
          <w:sz w:val="24"/>
        </w:rPr>
        <w:t>日期：</w:t>
      </w:r>
    </w:p>
    <w:p/>
    <w:p>
      <w:pPr>
        <w:widowControl/>
        <w:spacing w:line="400" w:lineRule="exact"/>
        <w:rPr>
          <w:rFonts w:ascii="宋体" w:hAnsi="宋体"/>
          <w:b/>
          <w:bCs/>
          <w:sz w:val="18"/>
        </w:rPr>
      </w:pPr>
      <w:r>
        <w:rPr>
          <w:rFonts w:hint="eastAsia" w:ascii="宋体" w:hAnsi="宋体"/>
          <w:b/>
          <w:bCs/>
          <w:sz w:val="18"/>
        </w:rPr>
        <w:t>备注：1、从业人员、营业收入、资产总额填报上一年度数据，无上一年度数据的新成立企业可不填报。</w:t>
      </w:r>
    </w:p>
    <w:p>
      <w:pPr>
        <w:widowControl/>
        <w:numPr>
          <w:ilvl w:val="0"/>
          <w:numId w:val="4"/>
        </w:numPr>
        <w:spacing w:line="400" w:lineRule="exact"/>
        <w:ind w:firstLine="542" w:firstLineChars="300"/>
        <w:rPr>
          <w:rFonts w:ascii="宋体" w:hAnsi="宋体"/>
          <w:b/>
          <w:bCs/>
          <w:sz w:val="18"/>
          <w:szCs w:val="22"/>
        </w:rPr>
      </w:pPr>
      <w:r>
        <w:rPr>
          <w:rFonts w:hint="eastAsia" w:ascii="宋体" w:hAnsi="宋体"/>
          <w:b/>
          <w:bCs/>
          <w:sz w:val="18"/>
          <w:szCs w:val="22"/>
        </w:rPr>
        <w:t>投标人为中小企业时需提供本声明函，并完整填写从业人员、营业收入、资产总额等内容，否则评审时不能享受相应的价格扣除。</w:t>
      </w:r>
    </w:p>
    <w:p>
      <w:pPr>
        <w:spacing w:before="166" w:beforeLines="50" w:after="166" w:afterLines="50"/>
        <w:jc w:val="both"/>
        <w:outlineLvl w:val="1"/>
        <w:rPr>
          <w:rFonts w:hint="eastAsia" w:ascii="仿宋" w:hAnsi="仿宋" w:eastAsia="仿宋" w:cs="仿宋"/>
          <w:b/>
          <w:sz w:val="32"/>
          <w:szCs w:val="32"/>
        </w:rPr>
      </w:pPr>
      <w:bookmarkStart w:id="467" w:name="_Toc28"/>
      <w:bookmarkStart w:id="468" w:name="_Toc26987"/>
    </w:p>
    <w:p>
      <w:pPr>
        <w:spacing w:before="166" w:beforeLines="50" w:after="166" w:afterLines="50"/>
        <w:jc w:val="center"/>
        <w:outlineLvl w:val="1"/>
        <w:rPr>
          <w:rFonts w:ascii="仿宋" w:hAnsi="仿宋" w:eastAsia="仿宋" w:cs="仿宋"/>
          <w:b/>
          <w:spacing w:val="6"/>
          <w:sz w:val="30"/>
          <w:szCs w:val="30"/>
        </w:rPr>
      </w:pPr>
      <w:bookmarkStart w:id="469" w:name="_Toc6267"/>
      <w:r>
        <w:rPr>
          <w:rFonts w:hint="eastAsia" w:ascii="仿宋" w:hAnsi="仿宋" w:eastAsia="仿宋" w:cs="仿宋"/>
          <w:b/>
          <w:sz w:val="32"/>
          <w:szCs w:val="32"/>
        </w:rPr>
        <w:t>（十三）残疾人福利性单位声明函</w:t>
      </w:r>
      <w:bookmarkEnd w:id="467"/>
      <w:bookmarkEnd w:id="468"/>
      <w:bookmarkEnd w:id="469"/>
    </w:p>
    <w:p>
      <w:pPr>
        <w:ind w:firstLine="720" w:firstLineChars="300"/>
        <w:rPr>
          <w:rFonts w:ascii="仿宋" w:hAnsi="仿宋" w:eastAsia="仿宋" w:cs="仿宋"/>
          <w:sz w:val="24"/>
          <w:szCs w:val="24"/>
        </w:rPr>
      </w:pPr>
      <w:r>
        <w:rPr>
          <w:rFonts w:hint="eastAsia" w:ascii="仿宋" w:hAnsi="仿宋" w:eastAsia="仿宋" w:cs="仿宋"/>
          <w:sz w:val="24"/>
          <w:szCs w:val="24"/>
        </w:rPr>
        <w:t>本单位郑重声明，根据《财政部 民政部 中国残疾人联合会关于促进残疾人就业政府采购政策的通知》（财库〔2017〕 141号）的规定，本单位为符合条件的残疾人福利性单位，且本单位参加采购文件编号为</w:t>
      </w:r>
      <w:r>
        <w:rPr>
          <w:rFonts w:hint="eastAsia" w:ascii="仿宋" w:hAnsi="仿宋" w:eastAsia="仿宋" w:cs="仿宋"/>
          <w:sz w:val="24"/>
          <w:szCs w:val="24"/>
          <w:u w:val="single"/>
        </w:rPr>
        <w:t xml:space="preserve">             </w:t>
      </w:r>
      <w:r>
        <w:rPr>
          <w:rFonts w:hint="eastAsia" w:ascii="仿宋" w:hAnsi="仿宋" w:eastAsia="仿宋" w:cs="仿宋"/>
          <w:sz w:val="24"/>
          <w:szCs w:val="24"/>
        </w:rPr>
        <w:t>的项目采购活动提供本单位制造的服务或产品（由本单位承担工程/提供服务），或者提供其他残疾人福利性单位制造的服务或产品（不包括使用非残疾人福利性单位注册商标的服务或产品）。</w:t>
      </w:r>
    </w:p>
    <w:p>
      <w:pPr>
        <w:ind w:firstLine="480" w:firstLineChars="200"/>
        <w:rPr>
          <w:rFonts w:ascii="仿宋" w:hAnsi="仿宋" w:eastAsia="仿宋" w:cs="仿宋"/>
          <w:sz w:val="24"/>
          <w:szCs w:val="24"/>
        </w:rPr>
      </w:pPr>
      <w:r>
        <w:rPr>
          <w:rFonts w:hint="eastAsia" w:ascii="仿宋" w:hAnsi="仿宋" w:eastAsia="仿宋" w:cs="仿宋"/>
          <w:sz w:val="24"/>
          <w:szCs w:val="24"/>
        </w:rPr>
        <w:t>本单位在本次政府采购活动中提供的残疾人福利单位产品报价合计为人民币（大写）圆整（￥：     ）。</w:t>
      </w:r>
    </w:p>
    <w:p>
      <w:pPr>
        <w:ind w:firstLine="420" w:firstLineChars="200"/>
        <w:rPr>
          <w:rFonts w:ascii="仿宋" w:hAnsi="仿宋" w:eastAsia="仿宋" w:cs="仿宋"/>
          <w:sz w:val="24"/>
          <w:szCs w:val="24"/>
        </w:rPr>
      </w:pPr>
      <w:r>
        <w:rPr>
          <w:rFonts w:hint="eastAsia"/>
        </w:rPr>
        <w:t>本单位对上述声明的真实性负责。如有虚假，将依法承担相应责任。</w:t>
      </w:r>
    </w:p>
    <w:p>
      <w:pPr>
        <w:rPr>
          <w:rFonts w:ascii="仿宋" w:hAnsi="仿宋" w:eastAsia="仿宋" w:cs="仿宋"/>
          <w:sz w:val="24"/>
          <w:szCs w:val="24"/>
        </w:rPr>
      </w:pPr>
      <w:r>
        <w:rPr>
          <w:rFonts w:hint="eastAsia" w:ascii="仿宋" w:hAnsi="仿宋" w:eastAsia="仿宋" w:cs="仿宋"/>
          <w:sz w:val="24"/>
          <w:szCs w:val="24"/>
        </w:rPr>
        <w:t>（备注：1、供应商如不提供此声明函，价格将不做相应扣除。2、中标供应商为残疾人福利单位的，此声明函将随中标结果同时公告，接受社会监督）</w:t>
      </w:r>
    </w:p>
    <w:p>
      <w:pPr>
        <w:tabs>
          <w:tab w:val="left" w:pos="4860"/>
        </w:tabs>
        <w:spacing w:before="166" w:beforeLines="50" w:after="166" w:afterLines="50"/>
        <w:ind w:right="1560" w:firstLine="480" w:firstLineChars="200"/>
        <w:jc w:val="center"/>
        <w:rPr>
          <w:rFonts w:ascii="仿宋" w:hAnsi="仿宋" w:eastAsia="仿宋" w:cs="仿宋"/>
          <w:sz w:val="24"/>
        </w:rPr>
      </w:pPr>
      <w:r>
        <w:rPr>
          <w:rFonts w:hint="eastAsia" w:ascii="仿宋" w:hAnsi="仿宋" w:eastAsia="仿宋" w:cs="仿宋"/>
          <w:sz w:val="24"/>
        </w:rPr>
        <w:t xml:space="preserve">                     供应商全称（盖章）：</w:t>
      </w:r>
    </w:p>
    <w:p>
      <w:pPr>
        <w:tabs>
          <w:tab w:val="left" w:pos="4860"/>
        </w:tabs>
        <w:spacing w:before="166" w:beforeLines="50" w:after="166" w:afterLines="50"/>
        <w:ind w:right="1560" w:firstLine="480" w:firstLineChars="200"/>
        <w:jc w:val="left"/>
        <w:rPr>
          <w:rFonts w:ascii="仿宋" w:hAnsi="仿宋" w:eastAsia="仿宋" w:cs="仿宋"/>
          <w:sz w:val="24"/>
        </w:rPr>
      </w:pPr>
      <w:r>
        <w:rPr>
          <w:rFonts w:hint="eastAsia" w:ascii="仿宋" w:hAnsi="仿宋" w:eastAsia="仿宋" w:cs="仿宋"/>
          <w:sz w:val="24"/>
        </w:rPr>
        <w:t xml:space="preserve">                              日  期：</w:t>
      </w:r>
    </w:p>
    <w:p>
      <w:pPr>
        <w:spacing w:line="360" w:lineRule="auto"/>
        <w:jc w:val="center"/>
        <w:outlineLvl w:val="1"/>
        <w:rPr>
          <w:rFonts w:ascii="仿宋" w:hAnsi="仿宋" w:eastAsia="仿宋" w:cs="仿宋"/>
          <w:b/>
          <w:bCs/>
          <w:sz w:val="32"/>
          <w:szCs w:val="32"/>
        </w:rPr>
      </w:pPr>
      <w:bookmarkStart w:id="470" w:name="_Toc17594"/>
      <w:bookmarkStart w:id="471" w:name="_Toc31581"/>
    </w:p>
    <w:p>
      <w:pPr>
        <w:pStyle w:val="20"/>
      </w:pPr>
    </w:p>
    <w:p>
      <w:pPr>
        <w:spacing w:line="360" w:lineRule="auto"/>
        <w:jc w:val="center"/>
        <w:outlineLvl w:val="1"/>
      </w:pPr>
      <w:bookmarkStart w:id="472" w:name="_Toc7873"/>
      <w:r>
        <w:rPr>
          <w:rFonts w:hint="eastAsia" w:ascii="仿宋" w:hAnsi="仿宋" w:eastAsia="仿宋" w:cs="仿宋"/>
          <w:b/>
          <w:bCs/>
          <w:sz w:val="32"/>
          <w:szCs w:val="32"/>
        </w:rPr>
        <w:t>（十四）监狱企业证明</w:t>
      </w:r>
      <w:bookmarkEnd w:id="470"/>
      <w:bookmarkEnd w:id="471"/>
      <w:bookmarkEnd w:id="472"/>
    </w:p>
    <w:p>
      <w:pPr>
        <w:pStyle w:val="6"/>
        <w:ind w:left="0"/>
      </w:pPr>
    </w:p>
    <w:p>
      <w:pPr>
        <w:spacing w:after="160"/>
        <w:ind w:firstLine="480" w:firstLineChars="200"/>
        <w:rPr>
          <w:rFonts w:ascii="仿宋" w:hAnsi="仿宋" w:eastAsia="仿宋" w:cs="仿宋"/>
          <w:sz w:val="24"/>
          <w:szCs w:val="24"/>
        </w:rPr>
      </w:pPr>
      <w:r>
        <w:rPr>
          <w:rFonts w:hint="eastAsia" w:ascii="仿宋" w:hAnsi="仿宋" w:eastAsia="仿宋" w:cs="仿宋"/>
          <w:sz w:val="24"/>
          <w:szCs w:val="24"/>
        </w:rPr>
        <w:t>注：1.监狱企业参加政府采购活动时，应当提供由省级以上监狱管理局、戒毒管理局（含新疆生产建设兵团）出具的属于监狱企业的证明文件，并加盖单位公章。</w:t>
      </w:r>
    </w:p>
    <w:p>
      <w:pPr>
        <w:spacing w:after="160"/>
        <w:ind w:firstLine="480" w:firstLineChars="200"/>
        <w:rPr>
          <w:rFonts w:ascii="仿宋" w:hAnsi="仿宋" w:eastAsia="仿宋" w:cs="仿宋"/>
          <w:sz w:val="24"/>
          <w:szCs w:val="24"/>
        </w:rPr>
      </w:pPr>
      <w:r>
        <w:rPr>
          <w:rFonts w:hint="eastAsia" w:ascii="仿宋" w:hAnsi="仿宋" w:eastAsia="仿宋" w:cs="仿宋"/>
          <w:sz w:val="24"/>
          <w:szCs w:val="24"/>
        </w:rPr>
        <w:t>2.监狱企业视同小型、微型企业，享受预留份额、评审中价格扣除等政府采购促进中小企业发展的政府采购政策。监狱企业属于小型、微型企业的，不重复享受政策。</w:t>
      </w:r>
    </w:p>
    <w:p/>
    <w:sectPr>
      <w:footerReference r:id="rId11" w:type="default"/>
      <w:pgSz w:w="11906" w:h="16838"/>
      <w:pgMar w:top="1134" w:right="1134" w:bottom="1134" w:left="1418" w:header="851" w:footer="992" w:gutter="0"/>
      <w:pgNumType w:fmt="numberInDash"/>
      <w:cols w:space="720" w:num="1"/>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Dialog">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899"/>
        <w:tab w:val="clear" w:pos="4153"/>
        <w:tab w:val="clear" w:pos="8306"/>
      </w:tabs>
      <w:ind w:right="360"/>
      <w:rPr>
        <w:rFonts w:ascii="仿宋_GB2312" w:eastAsia="仿宋_GB2312"/>
        <w:b/>
        <w:i/>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rPr>
    </w:pPr>
    <w:r>
      <w:fldChar w:fldCharType="begin"/>
    </w:r>
    <w:r>
      <w:rPr>
        <w:rStyle w:val="25"/>
      </w:rPr>
      <w:instrText xml:space="preserve">PAGE  </w:instrTex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6"/>
      <w:rPr>
        <w:rFonts w:ascii="仿宋_GB2312" w:eastAsia="仿宋_GB2312"/>
        <w:b/>
        <w:i/>
        <w:sz w:val="15"/>
        <w:szCs w:val="15"/>
        <w:u w:val="single"/>
      </w:rPr>
    </w:pPr>
    <w:r>
      <w:rPr>
        <w:rFonts w:hint="eastAsia" w:ascii="仿宋_GB2312" w:eastAsia="仿宋_GB2312"/>
        <w:b/>
        <w:i/>
        <w:sz w:val="15"/>
        <w:szCs w:val="15"/>
        <w:u w:val="single"/>
      </w:rPr>
      <w:t xml:space="preserve">                                                                                                                       </w:t>
    </w:r>
    <w:r>
      <w:rPr>
        <w:rFonts w:hint="eastAsia" w:ascii="仿宋_GB2312" w:eastAsia="仿宋_GB2312"/>
        <w:b/>
        <w:i/>
        <w:sz w:val="15"/>
        <w:szCs w:val="15"/>
        <w:u w:val="single"/>
        <w:lang w:val="en-US" w:eastAsia="zh-CN"/>
      </w:rPr>
      <w:t xml:space="preserve">                                                                          </w:t>
    </w:r>
    <w:r>
      <w:rPr>
        <w:rFonts w:hint="eastAsia" w:ascii="仿宋_GB2312" w:eastAsia="仿宋_GB2312"/>
        <w:b/>
        <w:i/>
        <w:sz w:val="15"/>
        <w:szCs w:val="15"/>
        <w:u w:val="single"/>
      </w:rPr>
      <w:t xml:space="preserve">    </w:t>
    </w:r>
  </w:p>
  <w:p>
    <w:pPr>
      <w:pStyle w:val="13"/>
      <w:ind w:right="-6"/>
      <w:rPr>
        <w:rFonts w:ascii="仿宋_GB2312" w:eastAsia="仿宋_GB2312"/>
        <w:b/>
        <w:i/>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899"/>
        <w:tab w:val="clear" w:pos="4153"/>
        <w:tab w:val="clear" w:pos="8306"/>
      </w:tabs>
      <w:ind w:right="360"/>
      <w:rPr>
        <w:rFonts w:ascii="仿宋_GB2312" w:eastAsia="仿宋_GB2312"/>
        <w:b/>
        <w:i/>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6"/>
      <w:rPr>
        <w:rFonts w:ascii="仿宋_GB2312" w:eastAsia="仿宋_GB2312"/>
        <w:b/>
        <w:i/>
        <w:sz w:val="15"/>
        <w:szCs w:val="15"/>
        <w:u w:val="single"/>
      </w:rPr>
    </w:pPr>
    <w:r>
      <w:rPr>
        <w:sz w:val="15"/>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仿宋_GB2312" w:eastAsia="仿宋_GB2312"/>
        <w:b/>
        <w:i/>
        <w:sz w:val="15"/>
        <w:szCs w:val="15"/>
        <w:u w:val="single"/>
      </w:rPr>
      <w:t xml:space="preserve">                                                                                                                       </w:t>
    </w:r>
    <w:r>
      <w:rPr>
        <w:rFonts w:hint="eastAsia" w:ascii="仿宋_GB2312" w:eastAsia="仿宋_GB2312"/>
        <w:b/>
        <w:i/>
        <w:sz w:val="15"/>
        <w:szCs w:val="15"/>
        <w:u w:val="single"/>
        <w:lang w:val="en-US" w:eastAsia="zh-CN"/>
      </w:rPr>
      <w:t xml:space="preserve">                                                                          </w:t>
    </w:r>
    <w:r>
      <w:rPr>
        <w:rFonts w:hint="eastAsia" w:ascii="仿宋_GB2312" w:eastAsia="仿宋_GB2312"/>
        <w:b/>
        <w:i/>
        <w:sz w:val="15"/>
        <w:szCs w:val="15"/>
        <w:u w:val="single"/>
      </w:rPr>
      <w:t xml:space="preserve">    </w:t>
    </w:r>
  </w:p>
  <w:p>
    <w:pPr>
      <w:pStyle w:val="13"/>
      <w:ind w:right="-6"/>
      <w:rPr>
        <w:rFonts w:ascii="仿宋_GB2312" w:eastAsia="仿宋_GB2312"/>
        <w:b/>
        <w:i/>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899"/>
        <w:tab w:val="clear" w:pos="4153"/>
        <w:tab w:val="clear" w:pos="8306"/>
      </w:tabs>
      <w:ind w:right="360"/>
      <w:rPr>
        <w:rFonts w:ascii="仿宋_GB2312" w:eastAsia="仿宋_GB2312"/>
        <w:b/>
        <w:i/>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rPr>
                              <w:rStyle w:val="25"/>
                            </w:rPr>
                          </w:pPr>
                          <w:r>
                            <w:fldChar w:fldCharType="begin"/>
                          </w:r>
                          <w:r>
                            <w:rPr>
                              <w:rStyle w:val="25"/>
                            </w:rPr>
                            <w:instrText xml:space="preserve">PAGE  </w:instrText>
                          </w:r>
                          <w:r>
                            <w:fldChar w:fldCharType="separate"/>
                          </w:r>
                          <w:r>
                            <w:rPr>
                              <w:rStyle w:val="25"/>
                            </w:rPr>
                            <w:t>2</w:t>
                          </w:r>
                          <w:r>
                            <w:fldChar w:fldCharType="end"/>
                          </w:r>
                        </w:p>
                        <w:p>
                          <w:pPr>
                            <w:pStyle w:val="13"/>
                            <w:jc w:val="both"/>
                            <w:rPr>
                              <w:rFonts w:hint="default" w:ascii="仿宋_GB2312" w:eastAsia="仿宋_GB2312"/>
                              <w:b/>
                              <w:i/>
                              <w:sz w:val="15"/>
                              <w:szCs w:val="15"/>
                              <w:u w:val="single"/>
                              <w:lang w:val="en-US" w:eastAsia="zh-CN"/>
                            </w:rPr>
                          </w:pPr>
                          <w:r>
                            <w:rPr>
                              <w:rFonts w:hint="eastAsia" w:ascii="仿宋_GB2312" w:eastAsia="仿宋_GB2312"/>
                              <w:b/>
                              <w:i/>
                              <w:sz w:val="15"/>
                              <w:szCs w:val="15"/>
                              <w:u w:val="single"/>
                            </w:rPr>
                            <w:t xml:space="preserve">                                                                                                                             </w:t>
                          </w:r>
                          <w:r>
                            <w:rPr>
                              <w:rFonts w:hint="eastAsia" w:ascii="仿宋_GB2312" w:eastAsia="仿宋_GB2312"/>
                              <w:b/>
                              <w:i/>
                              <w:sz w:val="15"/>
                              <w:szCs w:val="15"/>
                              <w:u w:val="single"/>
                              <w:lang w:val="en-US" w:eastAsia="zh-CN"/>
                            </w:rPr>
                            <w:t xml:space="preserve">                                                                      </w:t>
                          </w:r>
                        </w:p>
                        <w:p>
                          <w:pPr>
                            <w:pStyle w:val="13"/>
                            <w:ind w:left="5954" w:leftChars="340" w:hanging="5240" w:hangingChars="2900"/>
                            <w:jc w:val="both"/>
                            <w:rPr>
                              <w:rFonts w:ascii="仿宋_GB2312" w:eastAsia="仿宋_GB2312"/>
                              <w:b/>
                              <w:i/>
                              <w:szCs w:val="18"/>
                            </w:rPr>
                          </w:pPr>
                          <w:r>
                            <w:rPr>
                              <w:rFonts w:hint="eastAsia" w:ascii="仿宋_GB2312" w:eastAsia="仿宋_GB2312"/>
                              <w:b/>
                              <w:i/>
                              <w:szCs w:val="18"/>
                              <w:lang w:eastAsia="zh-CN"/>
                            </w:rPr>
                            <w:t>电</w:t>
                          </w:r>
                          <w:r>
                            <w:rPr>
                              <w:rFonts w:hint="eastAsia" w:ascii="仿宋_GB2312" w:eastAsia="仿宋_GB2312"/>
                              <w:b/>
                              <w:i/>
                              <w:szCs w:val="18"/>
                              <w:lang w:val="en-US" w:eastAsia="zh-CN"/>
                            </w:rPr>
                            <w:t xml:space="preserve">   </w:t>
                          </w:r>
                          <w:r>
                            <w:rPr>
                              <w:rFonts w:hint="eastAsia" w:ascii="仿宋_GB2312" w:eastAsia="仿宋_GB2312"/>
                              <w:b/>
                              <w:i/>
                              <w:szCs w:val="18"/>
                            </w:rPr>
                            <w:t>话:0999-83</w:t>
                          </w:r>
                          <w:r>
                            <w:rPr>
                              <w:rFonts w:hint="eastAsia" w:ascii="仿宋_GB2312" w:eastAsia="仿宋_GB2312"/>
                              <w:b/>
                              <w:i/>
                              <w:szCs w:val="18"/>
                              <w:lang w:val="en-US" w:eastAsia="zh-CN"/>
                            </w:rPr>
                            <w:t>21770</w:t>
                          </w:r>
                          <w:r>
                            <w:rPr>
                              <w:rFonts w:hint="eastAsia" w:ascii="仿宋_GB2312" w:eastAsia="仿宋_GB2312"/>
                              <w:b/>
                              <w:i/>
                              <w:szCs w:val="18"/>
                            </w:rPr>
                            <w:t xml:space="preserve">                        </w:t>
                          </w:r>
                          <w:r>
                            <w:rPr>
                              <w:rFonts w:hint="eastAsia" w:ascii="仿宋_GB2312" w:eastAsia="仿宋_GB2312"/>
                              <w:b/>
                              <w:i/>
                              <w:szCs w:val="18"/>
                              <w:lang w:val="en-US" w:eastAsia="zh-CN"/>
                            </w:rPr>
                            <w:t xml:space="preserve">                </w:t>
                          </w:r>
                          <w:r>
                            <w:rPr>
                              <w:rFonts w:hint="eastAsia" w:eastAsia="仿宋_GB2312"/>
                              <w:b/>
                              <w:i/>
                              <w:iCs/>
                              <w:szCs w:val="18"/>
                              <w:lang w:val="en-US" w:eastAsia="zh-CN"/>
                            </w:rPr>
                            <w:t>伊宁市</w:t>
                          </w:r>
                          <w:r>
                            <w:rPr>
                              <w:rFonts w:hint="eastAsia" w:eastAsia="仿宋_GB2312"/>
                              <w:b/>
                              <w:i/>
                              <w:iCs/>
                              <w:szCs w:val="18"/>
                            </w:rPr>
                            <w:t>公共资源交易中心</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13"/>
                      <w:jc w:val="center"/>
                      <w:rPr>
                        <w:rStyle w:val="25"/>
                      </w:rPr>
                    </w:pPr>
                    <w:r>
                      <w:fldChar w:fldCharType="begin"/>
                    </w:r>
                    <w:r>
                      <w:rPr>
                        <w:rStyle w:val="25"/>
                      </w:rPr>
                      <w:instrText xml:space="preserve">PAGE  </w:instrText>
                    </w:r>
                    <w:r>
                      <w:fldChar w:fldCharType="separate"/>
                    </w:r>
                    <w:r>
                      <w:rPr>
                        <w:rStyle w:val="25"/>
                      </w:rPr>
                      <w:t>2</w:t>
                    </w:r>
                    <w:r>
                      <w:fldChar w:fldCharType="end"/>
                    </w:r>
                  </w:p>
                  <w:p>
                    <w:pPr>
                      <w:pStyle w:val="13"/>
                      <w:jc w:val="both"/>
                      <w:rPr>
                        <w:rFonts w:hint="default" w:ascii="仿宋_GB2312" w:eastAsia="仿宋_GB2312"/>
                        <w:b/>
                        <w:i/>
                        <w:sz w:val="15"/>
                        <w:szCs w:val="15"/>
                        <w:u w:val="single"/>
                        <w:lang w:val="en-US" w:eastAsia="zh-CN"/>
                      </w:rPr>
                    </w:pPr>
                    <w:r>
                      <w:rPr>
                        <w:rFonts w:hint="eastAsia" w:ascii="仿宋_GB2312" w:eastAsia="仿宋_GB2312"/>
                        <w:b/>
                        <w:i/>
                        <w:sz w:val="15"/>
                        <w:szCs w:val="15"/>
                        <w:u w:val="single"/>
                      </w:rPr>
                      <w:t xml:space="preserve">                                                                                                                             </w:t>
                    </w:r>
                    <w:r>
                      <w:rPr>
                        <w:rFonts w:hint="eastAsia" w:ascii="仿宋_GB2312" w:eastAsia="仿宋_GB2312"/>
                        <w:b/>
                        <w:i/>
                        <w:sz w:val="15"/>
                        <w:szCs w:val="15"/>
                        <w:u w:val="single"/>
                        <w:lang w:val="en-US" w:eastAsia="zh-CN"/>
                      </w:rPr>
                      <w:t xml:space="preserve">                                                                      </w:t>
                    </w:r>
                  </w:p>
                  <w:p>
                    <w:pPr>
                      <w:pStyle w:val="13"/>
                      <w:ind w:left="5954" w:leftChars="340" w:hanging="5240" w:hangingChars="2900"/>
                      <w:jc w:val="both"/>
                      <w:rPr>
                        <w:rFonts w:ascii="仿宋_GB2312" w:eastAsia="仿宋_GB2312"/>
                        <w:b/>
                        <w:i/>
                        <w:szCs w:val="18"/>
                      </w:rPr>
                    </w:pPr>
                    <w:r>
                      <w:rPr>
                        <w:rFonts w:hint="eastAsia" w:ascii="仿宋_GB2312" w:eastAsia="仿宋_GB2312"/>
                        <w:b/>
                        <w:i/>
                        <w:szCs w:val="18"/>
                        <w:lang w:eastAsia="zh-CN"/>
                      </w:rPr>
                      <w:t>电</w:t>
                    </w:r>
                    <w:r>
                      <w:rPr>
                        <w:rFonts w:hint="eastAsia" w:ascii="仿宋_GB2312" w:eastAsia="仿宋_GB2312"/>
                        <w:b/>
                        <w:i/>
                        <w:szCs w:val="18"/>
                        <w:lang w:val="en-US" w:eastAsia="zh-CN"/>
                      </w:rPr>
                      <w:t xml:space="preserve">   </w:t>
                    </w:r>
                    <w:r>
                      <w:rPr>
                        <w:rFonts w:hint="eastAsia" w:ascii="仿宋_GB2312" w:eastAsia="仿宋_GB2312"/>
                        <w:b/>
                        <w:i/>
                        <w:szCs w:val="18"/>
                      </w:rPr>
                      <w:t>话:0999-83</w:t>
                    </w:r>
                    <w:r>
                      <w:rPr>
                        <w:rFonts w:hint="eastAsia" w:ascii="仿宋_GB2312" w:eastAsia="仿宋_GB2312"/>
                        <w:b/>
                        <w:i/>
                        <w:szCs w:val="18"/>
                        <w:lang w:val="en-US" w:eastAsia="zh-CN"/>
                      </w:rPr>
                      <w:t>21770</w:t>
                    </w:r>
                    <w:r>
                      <w:rPr>
                        <w:rFonts w:hint="eastAsia" w:ascii="仿宋_GB2312" w:eastAsia="仿宋_GB2312"/>
                        <w:b/>
                        <w:i/>
                        <w:szCs w:val="18"/>
                      </w:rPr>
                      <w:t xml:space="preserve">                        </w:t>
                    </w:r>
                    <w:r>
                      <w:rPr>
                        <w:rFonts w:hint="eastAsia" w:ascii="仿宋_GB2312" w:eastAsia="仿宋_GB2312"/>
                        <w:b/>
                        <w:i/>
                        <w:szCs w:val="18"/>
                        <w:lang w:val="en-US" w:eastAsia="zh-CN"/>
                      </w:rPr>
                      <w:t xml:space="preserve">                </w:t>
                    </w:r>
                    <w:r>
                      <w:rPr>
                        <w:rFonts w:hint="eastAsia" w:eastAsia="仿宋_GB2312"/>
                        <w:b/>
                        <w:i/>
                        <w:iCs/>
                        <w:szCs w:val="18"/>
                        <w:lang w:val="en-US" w:eastAsia="zh-CN"/>
                      </w:rPr>
                      <w:t>伊宁市</w:t>
                    </w:r>
                    <w:r>
                      <w:rPr>
                        <w:rFonts w:hint="eastAsia" w:eastAsia="仿宋_GB2312"/>
                        <w:b/>
                        <w:i/>
                        <w:iCs/>
                        <w:szCs w:val="18"/>
                      </w:rPr>
                      <w:t>公共资源交易中心</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899"/>
        <w:tab w:val="clear" w:pos="4153"/>
        <w:tab w:val="clear" w:pos="8306"/>
      </w:tabs>
      <w:ind w:right="360"/>
      <w:rPr>
        <w:rFonts w:ascii="仿宋_GB2312" w:eastAsia="仿宋_GB2312"/>
        <w:b/>
        <w:i/>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rPr>
                              <w:rStyle w:val="25"/>
                            </w:rPr>
                          </w:pPr>
                          <w:r>
                            <w:fldChar w:fldCharType="begin"/>
                          </w:r>
                          <w:r>
                            <w:rPr>
                              <w:rStyle w:val="25"/>
                            </w:rPr>
                            <w:instrText xml:space="preserve">PAGE  </w:instrText>
                          </w:r>
                          <w:r>
                            <w:fldChar w:fldCharType="separate"/>
                          </w:r>
                          <w:r>
                            <w:rPr>
                              <w:rStyle w:val="25"/>
                            </w:rPr>
                            <w:t>73</w:t>
                          </w:r>
                          <w:r>
                            <w:fldChar w:fldCharType="end"/>
                          </w:r>
                        </w:p>
                        <w:p>
                          <w:pPr>
                            <w:pStyle w:val="13"/>
                            <w:jc w:val="both"/>
                            <w:rPr>
                              <w:rFonts w:ascii="仿宋_GB2312" w:eastAsia="仿宋_GB2312"/>
                              <w:b/>
                              <w:i/>
                              <w:sz w:val="15"/>
                              <w:szCs w:val="15"/>
                              <w:u w:val="single"/>
                            </w:rPr>
                          </w:pPr>
                          <w:r>
                            <w:rPr>
                              <w:rFonts w:hint="eastAsia" w:ascii="仿宋_GB2312" w:eastAsia="仿宋_GB2312"/>
                              <w:b/>
                              <w:i/>
                              <w:sz w:val="15"/>
                              <w:szCs w:val="15"/>
                              <w:u w:val="single"/>
                            </w:rPr>
                            <w:t xml:space="preserve">                                                                                                                             </w:t>
                          </w:r>
                        </w:p>
                        <w:p>
                          <w:pPr>
                            <w:pStyle w:val="13"/>
                            <w:jc w:val="both"/>
                            <w:rPr>
                              <w:rFonts w:ascii="仿宋_GB2312" w:eastAsia="仿宋_GB2312"/>
                              <w:b/>
                              <w:i/>
                              <w:szCs w:val="18"/>
                            </w:rPr>
                          </w:pPr>
                          <w:r>
                            <w:rPr>
                              <w:rFonts w:hint="eastAsia" w:ascii="仿宋_GB2312" w:eastAsia="仿宋_GB2312"/>
                              <w:b/>
                              <w:i/>
                              <w:szCs w:val="18"/>
                            </w:rPr>
                            <w:t>电话:0999-83</w:t>
                          </w:r>
                          <w:r>
                            <w:rPr>
                              <w:rFonts w:hint="eastAsia" w:ascii="仿宋_GB2312" w:eastAsia="仿宋_GB2312"/>
                              <w:b/>
                              <w:i/>
                              <w:szCs w:val="18"/>
                              <w:lang w:val="en-US" w:eastAsia="zh-CN"/>
                            </w:rPr>
                            <w:t>21770</w:t>
                          </w:r>
                          <w:r>
                            <w:rPr>
                              <w:rFonts w:hint="eastAsia" w:ascii="仿宋_GB2312" w:eastAsia="仿宋_GB2312"/>
                              <w:b/>
                              <w:i/>
                              <w:szCs w:val="18"/>
                            </w:rPr>
                            <w:t xml:space="preserve">                                                         </w:t>
                          </w:r>
                          <w:r>
                            <w:rPr>
                              <w:rFonts w:hint="eastAsia" w:ascii="仿宋_GB2312" w:eastAsia="仿宋_GB2312"/>
                              <w:b/>
                              <w:i/>
                              <w:szCs w:val="18"/>
                              <w:lang w:val="en-US" w:eastAsia="zh-CN"/>
                            </w:rPr>
                            <w:t>伊宁市</w:t>
                          </w:r>
                          <w:r>
                            <w:rPr>
                              <w:rFonts w:hint="eastAsia" w:eastAsia="仿宋_GB2312"/>
                              <w:b/>
                              <w:i/>
                              <w:iCs/>
                              <w:szCs w:val="18"/>
                            </w:rPr>
                            <w:t>公共资源交易中心</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3"/>
                      <w:jc w:val="center"/>
                      <w:rPr>
                        <w:rStyle w:val="25"/>
                      </w:rPr>
                    </w:pPr>
                    <w:r>
                      <w:fldChar w:fldCharType="begin"/>
                    </w:r>
                    <w:r>
                      <w:rPr>
                        <w:rStyle w:val="25"/>
                      </w:rPr>
                      <w:instrText xml:space="preserve">PAGE  </w:instrText>
                    </w:r>
                    <w:r>
                      <w:fldChar w:fldCharType="separate"/>
                    </w:r>
                    <w:r>
                      <w:rPr>
                        <w:rStyle w:val="25"/>
                      </w:rPr>
                      <w:t>73</w:t>
                    </w:r>
                    <w:r>
                      <w:fldChar w:fldCharType="end"/>
                    </w:r>
                  </w:p>
                  <w:p>
                    <w:pPr>
                      <w:pStyle w:val="13"/>
                      <w:jc w:val="both"/>
                      <w:rPr>
                        <w:rFonts w:ascii="仿宋_GB2312" w:eastAsia="仿宋_GB2312"/>
                        <w:b/>
                        <w:i/>
                        <w:sz w:val="15"/>
                        <w:szCs w:val="15"/>
                        <w:u w:val="single"/>
                      </w:rPr>
                    </w:pPr>
                    <w:r>
                      <w:rPr>
                        <w:rFonts w:hint="eastAsia" w:ascii="仿宋_GB2312" w:eastAsia="仿宋_GB2312"/>
                        <w:b/>
                        <w:i/>
                        <w:sz w:val="15"/>
                        <w:szCs w:val="15"/>
                        <w:u w:val="single"/>
                      </w:rPr>
                      <w:t xml:space="preserve">                                                                                                                             </w:t>
                    </w:r>
                  </w:p>
                  <w:p>
                    <w:pPr>
                      <w:pStyle w:val="13"/>
                      <w:jc w:val="both"/>
                      <w:rPr>
                        <w:rFonts w:ascii="仿宋_GB2312" w:eastAsia="仿宋_GB2312"/>
                        <w:b/>
                        <w:i/>
                        <w:szCs w:val="18"/>
                      </w:rPr>
                    </w:pPr>
                    <w:r>
                      <w:rPr>
                        <w:rFonts w:hint="eastAsia" w:ascii="仿宋_GB2312" w:eastAsia="仿宋_GB2312"/>
                        <w:b/>
                        <w:i/>
                        <w:szCs w:val="18"/>
                      </w:rPr>
                      <w:t>电话:0999-83</w:t>
                    </w:r>
                    <w:r>
                      <w:rPr>
                        <w:rFonts w:hint="eastAsia" w:ascii="仿宋_GB2312" w:eastAsia="仿宋_GB2312"/>
                        <w:b/>
                        <w:i/>
                        <w:szCs w:val="18"/>
                        <w:lang w:val="en-US" w:eastAsia="zh-CN"/>
                      </w:rPr>
                      <w:t>21770</w:t>
                    </w:r>
                    <w:r>
                      <w:rPr>
                        <w:rFonts w:hint="eastAsia" w:ascii="仿宋_GB2312" w:eastAsia="仿宋_GB2312"/>
                        <w:b/>
                        <w:i/>
                        <w:szCs w:val="18"/>
                      </w:rPr>
                      <w:t xml:space="preserve">                                                         </w:t>
                    </w:r>
                    <w:r>
                      <w:rPr>
                        <w:rFonts w:hint="eastAsia" w:ascii="仿宋_GB2312" w:eastAsia="仿宋_GB2312"/>
                        <w:b/>
                        <w:i/>
                        <w:szCs w:val="18"/>
                        <w:lang w:val="en-US" w:eastAsia="zh-CN"/>
                      </w:rPr>
                      <w:t>伊宁市</w:t>
                    </w:r>
                    <w:r>
                      <w:rPr>
                        <w:rFonts w:hint="eastAsia" w:eastAsia="仿宋_GB2312"/>
                        <w:b/>
                        <w:i/>
                        <w:iCs/>
                        <w:szCs w:val="18"/>
                      </w:rPr>
                      <w:t>公共资源交易中心</w:t>
                    </w:r>
                  </w:p>
                </w:txbxContent>
              </v:textbox>
            </v:shape>
          </w:pict>
        </mc:Fallback>
      </mc:AlternateContent>
    </w:r>
    <w:r>
      <w:rPr>
        <w:rFonts w:ascii="仿宋_GB2312" w:eastAsia="仿宋_GB2312"/>
        <w:b/>
        <w:i/>
        <w:szCs w:val="1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szCs w:val="18"/>
      </w:rPr>
    </w:pPr>
    <w:r>
      <w:rPr>
        <w:rFonts w:hint="eastAsia" w:ascii="楷体_GB2312" w:eastAsia="楷体_GB2312"/>
        <w:b/>
        <w:i/>
        <w:szCs w:val="18"/>
      </w:rPr>
      <w:t>公开招标文件</w:t>
    </w:r>
    <w:r>
      <w:rPr>
        <w:rFonts w:hint="eastAsia" w:ascii="楷体_GB2312" w:eastAsia="楷体_GB2312"/>
        <w:b/>
        <w:szCs w:val="18"/>
      </w:rPr>
      <w:t xml:space="preserve">       </w:t>
    </w:r>
    <w:r>
      <w:rPr>
        <w:rFonts w:hint="eastAsia"/>
        <w:szCs w:val="18"/>
      </w:rPr>
      <w:t xml:space="preserve">                                                                Y</w:t>
    </w:r>
    <w:r>
      <w:rPr>
        <w:rFonts w:hint="eastAsia"/>
        <w:szCs w:val="18"/>
        <w:lang w:val="en-US" w:eastAsia="zh-CN"/>
      </w:rPr>
      <w:t>N</w:t>
    </w:r>
    <w:r>
      <w:rPr>
        <w:rFonts w:hint="eastAsia"/>
        <w:szCs w:val="18"/>
      </w:rPr>
      <w:t>CG-202</w:t>
    </w:r>
    <w:r>
      <w:rPr>
        <w:rFonts w:hint="eastAsia"/>
        <w:szCs w:val="18"/>
        <w:lang w:val="en-US" w:eastAsia="zh-CN"/>
      </w:rPr>
      <w:t>4</w:t>
    </w:r>
    <w:r>
      <w:rPr>
        <w:rFonts w:hint="eastAsia"/>
        <w:szCs w:val="18"/>
      </w:rPr>
      <w:t>- 00</w:t>
    </w:r>
    <w:r>
      <w:rPr>
        <w:rFonts w:hint="eastAsia"/>
        <w:szCs w:val="18"/>
        <w:lang w:val="en-US" w:eastAsia="zh-CN"/>
      </w:rPr>
      <w:t>3</w:t>
    </w:r>
    <w:r>
      <w:rPr>
        <w:rFonts w:hint="eastAsia"/>
        <w:b/>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ascii="仿宋_GB2312" w:eastAsia="仿宋_GB2312"/>
        <w:b/>
        <w:i/>
        <w:sz w:val="21"/>
        <w:szCs w:val="21"/>
      </w:rPr>
    </w:pPr>
    <w:r>
      <w:rPr>
        <w:rFonts w:hint="eastAsia" w:ascii="仿宋_GB2312" w:eastAsia="仿宋_GB2312"/>
        <w:b/>
        <w:i/>
        <w:sz w:val="21"/>
        <w:szCs w:val="21"/>
        <w:lang w:val="en-US" w:eastAsia="zh-CN"/>
      </w:rPr>
      <w:t>伊宁市</w:t>
    </w:r>
    <w:r>
      <w:rPr>
        <w:rFonts w:hint="eastAsia" w:ascii="仿宋_GB2312" w:eastAsia="仿宋_GB2312"/>
        <w:b/>
        <w:i/>
        <w:sz w:val="21"/>
        <w:szCs w:val="21"/>
      </w:rPr>
      <w:t>公共资源交易中心招标文件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73B8E"/>
    <w:multiLevelType w:val="singleLevel"/>
    <w:tmpl w:val="80973B8E"/>
    <w:lvl w:ilvl="0" w:tentative="0">
      <w:start w:val="2"/>
      <w:numFmt w:val="decimal"/>
      <w:suff w:val="nothing"/>
      <w:lvlText w:val="%1、"/>
      <w:lvlJc w:val="left"/>
    </w:lvl>
  </w:abstractNum>
  <w:abstractNum w:abstractNumId="1">
    <w:nsid w:val="29BBD61B"/>
    <w:multiLevelType w:val="singleLevel"/>
    <w:tmpl w:val="29BBD61B"/>
    <w:lvl w:ilvl="0" w:tentative="0">
      <w:start w:val="1"/>
      <w:numFmt w:val="decimal"/>
      <w:suff w:val="nothing"/>
      <w:lvlText w:val="（%1）"/>
      <w:lvlJc w:val="left"/>
    </w:lvl>
  </w:abstractNum>
  <w:abstractNum w:abstractNumId="2">
    <w:nsid w:val="36ADC3BA"/>
    <w:multiLevelType w:val="singleLevel"/>
    <w:tmpl w:val="36ADC3BA"/>
    <w:lvl w:ilvl="0" w:tentative="0">
      <w:start w:val="1"/>
      <w:numFmt w:val="decimal"/>
      <w:suff w:val="nothing"/>
      <w:lvlText w:val="（%1）"/>
      <w:lvlJc w:val="left"/>
      <w:pPr>
        <w:ind w:left="-60"/>
      </w:pPr>
    </w:lvl>
  </w:abstractNum>
  <w:abstractNum w:abstractNumId="3">
    <w:nsid w:val="77A24DE3"/>
    <w:multiLevelType w:val="singleLevel"/>
    <w:tmpl w:val="77A24DE3"/>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hideSpellingErrors/>
  <w:documentProtection w:enforcement="0"/>
  <w:defaultTabStop w:val="420"/>
  <w:drawingGridHorizontalSpacing w:val="105"/>
  <w:drawingGridVerticalSpacing w:val="33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MDllYmNhOGVjNWQ4YzE2YjM1NmYzNjk3OWNlOGYifQ=="/>
  </w:docVars>
  <w:rsids>
    <w:rsidRoot w:val="186E2C3B"/>
    <w:rsid w:val="0003257D"/>
    <w:rsid w:val="000473D5"/>
    <w:rsid w:val="0005602C"/>
    <w:rsid w:val="00100C4D"/>
    <w:rsid w:val="00332778"/>
    <w:rsid w:val="003F5991"/>
    <w:rsid w:val="00421D9B"/>
    <w:rsid w:val="006A6AC9"/>
    <w:rsid w:val="006D30BA"/>
    <w:rsid w:val="007C3AC5"/>
    <w:rsid w:val="00B0347A"/>
    <w:rsid w:val="00BD59A0"/>
    <w:rsid w:val="00C34639"/>
    <w:rsid w:val="00D42A21"/>
    <w:rsid w:val="00EB0D5F"/>
    <w:rsid w:val="02EE64DC"/>
    <w:rsid w:val="03E97CC6"/>
    <w:rsid w:val="04F2372E"/>
    <w:rsid w:val="08C77405"/>
    <w:rsid w:val="08E468D5"/>
    <w:rsid w:val="097A71FC"/>
    <w:rsid w:val="0A1E20A6"/>
    <w:rsid w:val="0A503B7A"/>
    <w:rsid w:val="0BAF1538"/>
    <w:rsid w:val="0CD51F3E"/>
    <w:rsid w:val="0DAC56D7"/>
    <w:rsid w:val="0EF36378"/>
    <w:rsid w:val="0FAC551A"/>
    <w:rsid w:val="101D77D8"/>
    <w:rsid w:val="10E44043"/>
    <w:rsid w:val="12B677C2"/>
    <w:rsid w:val="12C70FBE"/>
    <w:rsid w:val="12F54F83"/>
    <w:rsid w:val="162613AE"/>
    <w:rsid w:val="16714FDF"/>
    <w:rsid w:val="17A2517E"/>
    <w:rsid w:val="186E2C3B"/>
    <w:rsid w:val="18A93D54"/>
    <w:rsid w:val="18F20C46"/>
    <w:rsid w:val="19A54BF8"/>
    <w:rsid w:val="1AA411C1"/>
    <w:rsid w:val="1C0C2D11"/>
    <w:rsid w:val="1CD933BB"/>
    <w:rsid w:val="1D032341"/>
    <w:rsid w:val="1DD5162B"/>
    <w:rsid w:val="1DD71083"/>
    <w:rsid w:val="1EA529D6"/>
    <w:rsid w:val="1FD620C2"/>
    <w:rsid w:val="20DA4B74"/>
    <w:rsid w:val="23105A4F"/>
    <w:rsid w:val="235E664A"/>
    <w:rsid w:val="23803A60"/>
    <w:rsid w:val="23C937DC"/>
    <w:rsid w:val="263F325A"/>
    <w:rsid w:val="277E572F"/>
    <w:rsid w:val="28A279B8"/>
    <w:rsid w:val="29037A45"/>
    <w:rsid w:val="290D4AE9"/>
    <w:rsid w:val="293F0B3B"/>
    <w:rsid w:val="299711CA"/>
    <w:rsid w:val="2D2E552D"/>
    <w:rsid w:val="2DF5142B"/>
    <w:rsid w:val="2F662C24"/>
    <w:rsid w:val="2F7D788B"/>
    <w:rsid w:val="2FBC2844"/>
    <w:rsid w:val="308127E4"/>
    <w:rsid w:val="30CD2F5B"/>
    <w:rsid w:val="315B5608"/>
    <w:rsid w:val="341E178F"/>
    <w:rsid w:val="343364BF"/>
    <w:rsid w:val="345507E9"/>
    <w:rsid w:val="35E34383"/>
    <w:rsid w:val="3625290A"/>
    <w:rsid w:val="37306998"/>
    <w:rsid w:val="39D43578"/>
    <w:rsid w:val="3AE95F58"/>
    <w:rsid w:val="3B8A62BD"/>
    <w:rsid w:val="3BCA47E5"/>
    <w:rsid w:val="3C412470"/>
    <w:rsid w:val="3D323092"/>
    <w:rsid w:val="3E7204D6"/>
    <w:rsid w:val="3EF15DFD"/>
    <w:rsid w:val="4142754C"/>
    <w:rsid w:val="42E931B8"/>
    <w:rsid w:val="43610A6B"/>
    <w:rsid w:val="437C63A0"/>
    <w:rsid w:val="43EE0F7F"/>
    <w:rsid w:val="44F1532A"/>
    <w:rsid w:val="465860F0"/>
    <w:rsid w:val="479010F6"/>
    <w:rsid w:val="489354A0"/>
    <w:rsid w:val="4953205B"/>
    <w:rsid w:val="497004D0"/>
    <w:rsid w:val="4C1E06B7"/>
    <w:rsid w:val="4C6373E0"/>
    <w:rsid w:val="4D732CDE"/>
    <w:rsid w:val="4F540F96"/>
    <w:rsid w:val="4FAE4949"/>
    <w:rsid w:val="507D6E7C"/>
    <w:rsid w:val="50F72ACC"/>
    <w:rsid w:val="514B566F"/>
    <w:rsid w:val="51AF7912"/>
    <w:rsid w:val="51B4181B"/>
    <w:rsid w:val="5316015D"/>
    <w:rsid w:val="53E41AB0"/>
    <w:rsid w:val="547A32A8"/>
    <w:rsid w:val="5511121D"/>
    <w:rsid w:val="564A221E"/>
    <w:rsid w:val="57E0041A"/>
    <w:rsid w:val="583A4F4D"/>
    <w:rsid w:val="58784C16"/>
    <w:rsid w:val="5C4A701B"/>
    <w:rsid w:val="5D7449A0"/>
    <w:rsid w:val="5DA336A4"/>
    <w:rsid w:val="5EB6142F"/>
    <w:rsid w:val="5F9E7B9C"/>
    <w:rsid w:val="613163D0"/>
    <w:rsid w:val="61820773"/>
    <w:rsid w:val="64BE25DF"/>
    <w:rsid w:val="64D6157E"/>
    <w:rsid w:val="66407F2E"/>
    <w:rsid w:val="68FD3ECC"/>
    <w:rsid w:val="69D53BAF"/>
    <w:rsid w:val="6A924C7D"/>
    <w:rsid w:val="6B5604E6"/>
    <w:rsid w:val="6BAC3F98"/>
    <w:rsid w:val="6CE810A9"/>
    <w:rsid w:val="6E8C37A0"/>
    <w:rsid w:val="6E8E5421"/>
    <w:rsid w:val="70F41A5E"/>
    <w:rsid w:val="73B11409"/>
    <w:rsid w:val="740C3EC7"/>
    <w:rsid w:val="76D566AF"/>
    <w:rsid w:val="77622342"/>
    <w:rsid w:val="77B95F79"/>
    <w:rsid w:val="77F65DDE"/>
    <w:rsid w:val="78C551B2"/>
    <w:rsid w:val="78D15AC0"/>
    <w:rsid w:val="793C2330"/>
    <w:rsid w:val="7A1670A0"/>
    <w:rsid w:val="7AF62794"/>
    <w:rsid w:val="7B5D15F3"/>
    <w:rsid w:val="7C2F6931"/>
    <w:rsid w:val="7C607F1C"/>
    <w:rsid w:val="7C9C25DE"/>
    <w:rsid w:val="7CBB6120"/>
    <w:rsid w:val="7CF9578D"/>
    <w:rsid w:val="7F961D37"/>
    <w:rsid w:val="7FFE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Black" w:hAnsi="Arial Black" w:eastAsia="黑体"/>
      <w:b/>
      <w:bCs/>
      <w:sz w:val="32"/>
      <w:szCs w:val="32"/>
    </w:rPr>
  </w:style>
  <w:style w:type="paragraph" w:styleId="4">
    <w:name w:val="heading 3"/>
    <w:basedOn w:val="1"/>
    <w:next w:val="1"/>
    <w:qFormat/>
    <w:uiPriority w:val="0"/>
    <w:pPr>
      <w:adjustRightInd w:val="0"/>
      <w:snapToGrid w:val="0"/>
      <w:spacing w:line="500" w:lineRule="exact"/>
      <w:ind w:left="-88" w:leftChars="-42"/>
      <w:jc w:val="center"/>
      <w:outlineLvl w:val="2"/>
    </w:pPr>
    <w:rPr>
      <w:rFonts w:ascii="仿宋_GB2312" w:hAnsi="宋体"/>
      <w:b/>
      <w:sz w:val="32"/>
      <w:szCs w:val="32"/>
    </w:rPr>
  </w:style>
  <w:style w:type="paragraph" w:styleId="5">
    <w:name w:val="heading 4"/>
    <w:basedOn w:val="1"/>
    <w:next w:val="1"/>
    <w:qFormat/>
    <w:uiPriority w:val="0"/>
    <w:pPr>
      <w:keepNext/>
      <w:keepLines/>
      <w:widowControl w:val="0"/>
      <w:spacing w:before="280" w:beforeLines="0" w:after="290" w:afterLines="0" w:line="372" w:lineRule="auto"/>
      <w:outlineLvl w:val="3"/>
    </w:pPr>
    <w:rPr>
      <w:rFonts w:ascii="Arial" w:hAnsi="Arial" w:eastAsia="黑体"/>
      <w:b/>
      <w:bCs/>
      <w:kern w:val="2"/>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4"/>
    </w:rPr>
  </w:style>
  <w:style w:type="paragraph" w:styleId="6">
    <w:name w:val="index 6"/>
    <w:basedOn w:val="1"/>
    <w:next w:val="1"/>
    <w:qFormat/>
    <w:uiPriority w:val="99"/>
    <w:pPr>
      <w:ind w:left="2100"/>
    </w:pPr>
  </w:style>
  <w:style w:type="paragraph" w:styleId="7">
    <w:name w:val="Body Text"/>
    <w:basedOn w:val="1"/>
    <w:next w:val="8"/>
    <w:qFormat/>
    <w:uiPriority w:val="0"/>
    <w:pPr>
      <w:spacing w:after="120"/>
    </w:pPr>
  </w:style>
  <w:style w:type="paragraph" w:customStyle="1" w:styleId="8">
    <w:name w:val="_Style 2"/>
    <w:basedOn w:val="1"/>
    <w:qFormat/>
    <w:uiPriority w:val="34"/>
    <w:pPr>
      <w:ind w:firstLine="420" w:firstLineChars="200"/>
    </w:pPr>
    <w:rPr>
      <w:rFonts w:ascii="Calibri" w:hAnsi="Calibri"/>
    </w:rPr>
  </w:style>
  <w:style w:type="paragraph" w:styleId="9">
    <w:name w:val="Body Text Indent"/>
    <w:basedOn w:val="1"/>
    <w:next w:val="5"/>
    <w:qFormat/>
    <w:uiPriority w:val="0"/>
    <w:pPr>
      <w:spacing w:after="120"/>
      <w:ind w:left="420" w:leftChars="200"/>
    </w:pPr>
  </w:style>
  <w:style w:type="paragraph" w:styleId="10">
    <w:name w:val="Plain Text"/>
    <w:basedOn w:val="1"/>
    <w:qFormat/>
    <w:uiPriority w:val="0"/>
    <w:rPr>
      <w:rFonts w:ascii="宋体" w:hAnsi="Courier New"/>
    </w:rPr>
  </w:style>
  <w:style w:type="paragraph" w:styleId="11">
    <w:name w:val="Body Text Indent 2"/>
    <w:basedOn w:val="1"/>
    <w:qFormat/>
    <w:uiPriority w:val="0"/>
    <w:pPr>
      <w:ind w:firstLine="480"/>
    </w:pPr>
    <w:rPr>
      <w:rFonts w:ascii="宋体" w:hAnsi="宋体"/>
      <w:sz w:val="30"/>
      <w:szCs w:val="24"/>
    </w:rPr>
  </w:style>
  <w:style w:type="paragraph" w:styleId="12">
    <w:name w:val="Balloon Text"/>
    <w:basedOn w:val="1"/>
    <w:link w:val="37"/>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envelope return"/>
    <w:basedOn w:val="1"/>
    <w:qFormat/>
    <w:uiPriority w:val="0"/>
    <w:rPr>
      <w:rFonts w:ascii="Arial" w:hAnsi="Arial"/>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rPr>
  </w:style>
  <w:style w:type="paragraph" w:styleId="16">
    <w:name w:val="toc 1"/>
    <w:basedOn w:val="1"/>
    <w:next w:val="1"/>
    <w:qFormat/>
    <w:uiPriority w:val="39"/>
  </w:style>
  <w:style w:type="paragraph" w:styleId="17">
    <w:name w:val="footnote text"/>
    <w:basedOn w:val="1"/>
    <w:qFormat/>
    <w:uiPriority w:val="0"/>
    <w:pPr>
      <w:snapToGrid w:val="0"/>
      <w:jc w:val="left"/>
    </w:pPr>
    <w:rPr>
      <w:kern w:val="0"/>
      <w:sz w:val="18"/>
      <w:szCs w:val="18"/>
    </w:rPr>
  </w:style>
  <w:style w:type="paragraph" w:styleId="18">
    <w:name w:val="toc 2"/>
    <w:basedOn w:val="1"/>
    <w:next w:val="1"/>
    <w:qFormat/>
    <w:uiPriority w:val="39"/>
    <w:pPr>
      <w:ind w:left="420" w:leftChars="200"/>
    </w:pPr>
  </w:style>
  <w:style w:type="paragraph" w:styleId="19">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20">
    <w:name w:val="Body Text First Indent 2"/>
    <w:basedOn w:val="9"/>
    <w:next w:val="1"/>
    <w:qFormat/>
    <w:uiPriority w:val="0"/>
    <w:pPr>
      <w:ind w:firstLine="420" w:firstLineChars="2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Strong"/>
    <w:qFormat/>
    <w:uiPriority w:val="22"/>
    <w:rPr>
      <w:b/>
      <w:bCs/>
    </w:rPr>
  </w:style>
  <w:style w:type="character" w:styleId="25">
    <w:name w:val="page number"/>
    <w:qFormat/>
    <w:uiPriority w:val="0"/>
  </w:style>
  <w:style w:type="character" w:styleId="26">
    <w:name w:val="Hyperlink"/>
    <w:qFormat/>
    <w:uiPriority w:val="99"/>
    <w:rPr>
      <w:color w:val="3177FD"/>
      <w:u w:val="none"/>
    </w:rPr>
  </w:style>
  <w:style w:type="paragraph" w:customStyle="1" w:styleId="27">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8">
    <w:name w:val="WPSOffice手动目录 1"/>
    <w:qFormat/>
    <w:uiPriority w:val="0"/>
    <w:rPr>
      <w:rFonts w:ascii="Times New Roman" w:hAnsi="Times New Roman" w:eastAsia="宋体" w:cs="Times New Roman"/>
      <w:lang w:val="en-US" w:eastAsia="zh-CN" w:bidi="ar-SA"/>
    </w:rPr>
  </w:style>
  <w:style w:type="paragraph" w:customStyle="1" w:styleId="29">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正文1"/>
    <w:qFormat/>
    <w:uiPriority w:val="0"/>
    <w:rPr>
      <w:rFonts w:ascii="Times New Roman" w:hAnsi="Times New Roman" w:eastAsia="Times New Roman" w:cs="Times New Roman"/>
      <w:sz w:val="24"/>
      <w:szCs w:val="24"/>
      <w:lang w:val="en-US" w:eastAsia="zh-CN" w:bidi="ar-SA"/>
    </w:rPr>
  </w:style>
  <w:style w:type="paragraph" w:customStyle="1" w:styleId="31">
    <w:name w:val="正文缩进_1"/>
    <w:basedOn w:val="1"/>
    <w:unhideWhenUsed/>
    <w:qFormat/>
    <w:uiPriority w:val="0"/>
    <w:pPr>
      <w:ind w:firstLine="420" w:firstLineChars="200"/>
    </w:pPr>
    <w:rPr>
      <w:rFonts w:ascii="Calibri" w:hAnsi="Calibri"/>
      <w:kern w:val="0"/>
      <w:sz w:val="20"/>
    </w:rPr>
  </w:style>
  <w:style w:type="paragraph" w:customStyle="1" w:styleId="32">
    <w:name w:val="编辑正文内容"/>
    <w:qFormat/>
    <w:uiPriority w:val="0"/>
    <w:pPr>
      <w:wordWrap w:val="0"/>
      <w:spacing w:line="580" w:lineRule="exact"/>
      <w:ind w:firstLine="200" w:firstLineChars="200"/>
      <w:jc w:val="both"/>
    </w:pPr>
    <w:rPr>
      <w:rFonts w:ascii="Times New Roman" w:hAnsi="Times New Roman" w:eastAsia="仿宋_GB2312" w:cs="Times New Roman"/>
      <w:kern w:val="2"/>
      <w:sz w:val="28"/>
      <w:szCs w:val="22"/>
      <w:lang w:val="en-US" w:eastAsia="zh-CN" w:bidi="ar-SA"/>
    </w:rPr>
  </w:style>
  <w:style w:type="character" w:customStyle="1" w:styleId="33">
    <w:name w:val="font31"/>
    <w:qFormat/>
    <w:uiPriority w:val="0"/>
    <w:rPr>
      <w:rFonts w:hint="default" w:ascii="等线" w:hAnsi="等线" w:eastAsia="等线" w:cs="等线"/>
      <w:color w:val="000000"/>
      <w:sz w:val="20"/>
      <w:szCs w:val="20"/>
      <w:u w:val="none"/>
    </w:rPr>
  </w:style>
  <w:style w:type="paragraph" w:customStyle="1" w:styleId="34">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36">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character" w:customStyle="1" w:styleId="37">
    <w:name w:val="批注框文本 Char"/>
    <w:basedOn w:val="23"/>
    <w:link w:val="12"/>
    <w:qFormat/>
    <w:uiPriority w:val="0"/>
    <w:rPr>
      <w:rFonts w:ascii="Times New Roman" w:hAnsi="Times New Roman" w:eastAsia="宋体" w:cs="Times New Roman"/>
      <w:kern w:val="2"/>
      <w:sz w:val="18"/>
      <w:szCs w:val="18"/>
    </w:rPr>
  </w:style>
  <w:style w:type="table" w:customStyle="1" w:styleId="38">
    <w:name w:val="Table Normal"/>
    <w:semiHidden/>
    <w:unhideWhenUsed/>
    <w:qFormat/>
    <w:uiPriority w:val="0"/>
    <w:tblPr>
      <w:tblLayout w:type="fixed"/>
      <w:tblCellMar>
        <w:top w:w="0" w:type="dxa"/>
        <w:left w:w="0" w:type="dxa"/>
        <w:bottom w:w="0" w:type="dxa"/>
        <w:right w:w="0" w:type="dxa"/>
      </w:tblCellMar>
    </w:tblPr>
  </w:style>
  <w:style w:type="paragraph" w:customStyle="1" w:styleId="39">
    <w:name w:val="Table Text"/>
    <w:basedOn w:val="1"/>
    <w:semiHidden/>
    <w:qFormat/>
    <w:uiPriority w:val="0"/>
    <w:rPr>
      <w:rFonts w:ascii="楷体" w:hAnsi="楷体" w:eastAsia="楷体" w:cs="楷体"/>
      <w:sz w:val="20"/>
      <w:szCs w:val="20"/>
      <w:lang w:val="en-US" w:eastAsia="en-US" w:bidi="ar-SA"/>
    </w:rPr>
  </w:style>
  <w:style w:type="paragraph" w:customStyle="1" w:styleId="40">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A704AF-D120-4652-8DEE-6017FDC0DD9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53</Pages>
  <Words>47326</Words>
  <Characters>53164</Characters>
  <Lines>455</Lines>
  <Paragraphs>128</Paragraphs>
  <TotalTime>7</TotalTime>
  <ScaleCrop>false</ScaleCrop>
  <LinksUpToDate>false</LinksUpToDate>
  <CharactersWithSpaces>55409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2023-12-01T03:47:00Z</dcterms:created>
  <dc:creator>Administrator</dc:creator>
  <cp:lastModifiedBy>Administrator</cp:lastModifiedBy>
  <cp:lastPrinted>2023-12-18T09:40:00Z</cp:lastPrinted>
  <dcterms:modified xsi:type="dcterms:W3CDTF">2024-07-01T08:13:37Z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99AE6AFADD494458BFFA4BC9C363C659</vt:lpwstr>
  </property>
</Properties>
</file>