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宋体" w:hAnsi="宋体"/>
          <w:b/>
          <w:color w:val="auto"/>
          <w:sz w:val="36"/>
          <w:szCs w:val="36"/>
          <w:highlight w:val="none"/>
          <w:lang w:val="zh-CN"/>
        </w:rPr>
      </w:pPr>
    </w:p>
    <w:p>
      <w:pPr>
        <w:snapToGrid w:val="0"/>
        <w:ind w:firstLine="0" w:firstLineChars="0"/>
        <w:jc w:val="center"/>
        <w:rPr>
          <w:rFonts w:ascii="宋体" w:hAnsi="宋体"/>
          <w:b/>
          <w:color w:val="auto"/>
          <w:sz w:val="36"/>
          <w:szCs w:val="36"/>
          <w:highlight w:val="none"/>
          <w:lang w:val="zh-CN"/>
        </w:rPr>
      </w:pPr>
      <w:bookmarkStart w:id="0" w:name="_Toc13799"/>
    </w:p>
    <w:p>
      <w:pPr>
        <w:snapToGrid w:val="0"/>
        <w:ind w:firstLine="0" w:firstLineChars="0"/>
        <w:jc w:val="center"/>
        <w:outlineLvl w:val="0"/>
        <w:rPr>
          <w:rFonts w:hint="eastAsia" w:ascii="宋体" w:hAnsi="宋体" w:eastAsia="宋体" w:cs="宋体"/>
          <w:b/>
          <w:bCs/>
          <w:color w:val="auto"/>
          <w:sz w:val="36"/>
          <w:szCs w:val="36"/>
          <w:highlight w:val="none"/>
          <w:lang w:val="zh-CN"/>
        </w:rPr>
      </w:pPr>
      <w:bookmarkStart w:id="1" w:name="_Toc32060"/>
      <w:bookmarkStart w:id="2" w:name="_Toc16643"/>
      <w:bookmarkStart w:id="3" w:name="_Toc16268"/>
      <w:bookmarkStart w:id="4" w:name="_Toc14791"/>
      <w:bookmarkStart w:id="5" w:name="_Toc6294"/>
      <w:bookmarkStart w:id="6" w:name="_Toc23071"/>
      <w:bookmarkStart w:id="7" w:name="_Toc7014"/>
      <w:bookmarkStart w:id="8" w:name="_Toc4294"/>
      <w:bookmarkStart w:id="9" w:name="_Toc241"/>
      <w:bookmarkStart w:id="10" w:name="_Toc2546"/>
      <w:bookmarkStart w:id="11" w:name="_Toc24121"/>
      <w:r>
        <w:rPr>
          <w:rFonts w:hint="eastAsia" w:ascii="宋体" w:hAnsi="宋体"/>
          <w:b/>
          <w:bCs/>
          <w:color w:val="auto"/>
          <w:sz w:val="36"/>
          <w:szCs w:val="36"/>
          <w:highlight w:val="none"/>
          <w:lang w:val="zh-CN"/>
        </w:rPr>
        <w:t>2024年龙游县河西街、飞云路农贸市场保洁外包项目</w:t>
      </w:r>
      <w:bookmarkEnd w:id="1"/>
    </w:p>
    <w:p>
      <w:pPr>
        <w:snapToGrid w:val="0"/>
        <w:ind w:firstLine="0" w:firstLineChars="0"/>
        <w:jc w:val="center"/>
        <w:outlineLvl w:val="9"/>
        <w:rPr>
          <w:rFonts w:hint="eastAsia" w:ascii="宋体" w:hAnsi="宋体" w:eastAsia="宋体" w:cs="宋体"/>
          <w:b/>
          <w:bCs/>
          <w:color w:val="auto"/>
          <w:sz w:val="36"/>
          <w:szCs w:val="36"/>
          <w:highlight w:val="none"/>
          <w:lang w:val="zh-CN"/>
        </w:rPr>
      </w:pPr>
    </w:p>
    <w:p>
      <w:pPr>
        <w:snapToGrid w:val="0"/>
        <w:ind w:firstLine="0" w:firstLineChars="0"/>
        <w:jc w:val="center"/>
        <w:outlineLvl w:val="0"/>
        <w:rPr>
          <w:rFonts w:hint="eastAsia" w:ascii="宋体" w:hAnsi="宋体" w:cs="宋体"/>
          <w:b/>
          <w:bCs/>
          <w:color w:val="auto"/>
          <w:sz w:val="36"/>
          <w:szCs w:val="36"/>
          <w:highlight w:val="none"/>
          <w:lang w:val="zh-CN"/>
        </w:rPr>
      </w:pPr>
      <w:bookmarkStart w:id="12" w:name="_Toc1950"/>
      <w:r>
        <w:rPr>
          <w:rFonts w:hint="eastAsia" w:ascii="宋体" w:hAnsi="宋体" w:eastAsia="宋体" w:cs="宋体"/>
          <w:b/>
          <w:bCs/>
          <w:color w:val="auto"/>
          <w:sz w:val="36"/>
          <w:szCs w:val="36"/>
          <w:highlight w:val="none"/>
          <w:lang w:val="zh-CN"/>
        </w:rPr>
        <w:t>项目编号：</w:t>
      </w:r>
      <w:bookmarkEnd w:id="0"/>
      <w:bookmarkEnd w:id="2"/>
      <w:bookmarkEnd w:id="3"/>
      <w:bookmarkEnd w:id="4"/>
      <w:bookmarkEnd w:id="5"/>
      <w:bookmarkEnd w:id="6"/>
      <w:bookmarkEnd w:id="7"/>
      <w:bookmarkEnd w:id="8"/>
      <w:bookmarkEnd w:id="9"/>
      <w:bookmarkEnd w:id="10"/>
      <w:bookmarkEnd w:id="11"/>
      <w:bookmarkStart w:id="13" w:name="_Toc13192"/>
      <w:bookmarkStart w:id="14" w:name="_Toc598"/>
      <w:bookmarkStart w:id="15" w:name="_Toc30278"/>
      <w:bookmarkStart w:id="16" w:name="_Toc23460"/>
      <w:bookmarkStart w:id="17" w:name="_Toc12263"/>
      <w:bookmarkStart w:id="18" w:name="_Toc23353"/>
      <w:bookmarkStart w:id="19" w:name="_Toc18186"/>
      <w:bookmarkStart w:id="20" w:name="_Toc20262"/>
      <w:bookmarkStart w:id="21" w:name="_Toc21710"/>
      <w:bookmarkStart w:id="22" w:name="_Toc24101"/>
      <w:bookmarkStart w:id="23" w:name="_Toc25868"/>
      <w:bookmarkStart w:id="24" w:name="_Toc21731"/>
      <w:bookmarkStart w:id="25" w:name="_Toc9322"/>
      <w:bookmarkStart w:id="26" w:name="_Toc23620"/>
      <w:bookmarkStart w:id="27" w:name="_Toc19031"/>
      <w:bookmarkStart w:id="28" w:name="_Toc21940"/>
      <w:bookmarkStart w:id="29" w:name="_Toc14202"/>
      <w:bookmarkStart w:id="30" w:name="_Toc6952"/>
      <w:bookmarkStart w:id="31" w:name="_Toc17601"/>
      <w:bookmarkStart w:id="32" w:name="_Toc1151"/>
      <w:bookmarkStart w:id="33" w:name="_Toc32351"/>
      <w:bookmarkStart w:id="34" w:name="_Toc4181"/>
      <w:r>
        <w:rPr>
          <w:rFonts w:hint="eastAsia" w:ascii="宋体" w:hAnsi="宋体" w:cs="宋体"/>
          <w:b/>
          <w:bCs/>
          <w:color w:val="auto"/>
          <w:sz w:val="36"/>
          <w:szCs w:val="36"/>
          <w:highlight w:val="none"/>
          <w:lang w:val="zh-CN"/>
        </w:rPr>
        <w:t>LYCG2024YX-046</w:t>
      </w:r>
      <w:bookmarkEnd w:id="12"/>
    </w:p>
    <w:p>
      <w:pPr>
        <w:pStyle w:val="25"/>
      </w:pPr>
    </w:p>
    <w:p>
      <w:pPr>
        <w:ind w:firstLine="0" w:firstLineChars="0"/>
        <w:rPr>
          <w:color w:val="auto"/>
          <w:highlight w:val="none"/>
        </w:rPr>
      </w:pPr>
      <w:bookmarkStart w:id="35" w:name="_Toc10105"/>
    </w:p>
    <w:p>
      <w:pPr>
        <w:pStyle w:val="47"/>
        <w:ind w:firstLineChars="0"/>
      </w:pPr>
    </w:p>
    <w:p>
      <w:pPr>
        <w:pStyle w:val="25"/>
        <w:ind w:firstLine="0" w:firstLineChars="0"/>
        <w:rPr>
          <w:color w:val="auto"/>
          <w:highlight w:val="none"/>
        </w:rPr>
      </w:pPr>
    </w:p>
    <w:p>
      <w:pPr>
        <w:pStyle w:val="44"/>
      </w:pPr>
    </w:p>
    <w:p>
      <w:pPr>
        <w:pStyle w:val="3"/>
        <w:spacing w:before="312" w:after="312" w:line="360" w:lineRule="auto"/>
        <w:ind w:firstLine="0" w:firstLineChars="0"/>
        <w:jc w:val="center"/>
        <w:rPr>
          <w:rFonts w:hint="default"/>
          <w:sz w:val="36"/>
          <w:szCs w:val="20"/>
          <w:lang w:eastAsia="zh-CN"/>
        </w:rPr>
      </w:pPr>
      <w:bookmarkStart w:id="36" w:name="_Toc6896"/>
      <w:bookmarkStart w:id="37" w:name="_Toc10100"/>
      <w:bookmarkStart w:id="38" w:name="_Toc28900"/>
      <w:bookmarkStart w:id="39" w:name="_Toc28329"/>
      <w:bookmarkStart w:id="40" w:name="_Toc15593"/>
      <w:bookmarkStart w:id="41" w:name="_Toc5948"/>
      <w:bookmarkStart w:id="42" w:name="_Toc7265"/>
      <w:bookmarkStart w:id="43" w:name="_Toc491"/>
      <w:bookmarkStart w:id="44" w:name="_Toc9221"/>
      <w:bookmarkStart w:id="45" w:name="_Toc7444"/>
      <w:bookmarkStart w:id="46" w:name="_Toc25379"/>
      <w:bookmarkStart w:id="47" w:name="_Toc6121"/>
      <w:bookmarkStart w:id="48" w:name="_Toc13874"/>
      <w:bookmarkStart w:id="49" w:name="_Toc2970"/>
      <w:bookmarkStart w:id="50" w:name="_Toc665"/>
      <w:bookmarkStart w:id="51" w:name="_Toc18878"/>
      <w:bookmarkStart w:id="52" w:name="_Toc17236"/>
      <w:bookmarkStart w:id="53" w:name="_Toc19883"/>
      <w:bookmarkStart w:id="54" w:name="_Toc22329"/>
      <w:bookmarkStart w:id="55" w:name="_Toc7482"/>
      <w:bookmarkStart w:id="56" w:name="_Toc32328"/>
      <w:bookmarkStart w:id="57" w:name="_Toc24253"/>
      <w:bookmarkStart w:id="58" w:name="_Toc3461"/>
      <w:bookmarkStart w:id="59" w:name="_Toc15623"/>
      <w:bookmarkStart w:id="60" w:name="_Toc17807"/>
      <w:r>
        <w:rPr>
          <w:rFonts w:hint="eastAsia" w:ascii="宋体" w:hAnsi="宋体"/>
          <w:color w:val="auto"/>
          <w:sz w:val="84"/>
          <w:szCs w:val="84"/>
          <w:highlight w:val="none"/>
        </w:rPr>
        <w:t>竞争性磋商文件</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3"/>
        <w:ind w:firstLine="0" w:firstLineChars="0"/>
        <w:jc w:val="center"/>
        <w:rPr>
          <w:rFonts w:hint="default"/>
          <w:sz w:val="52"/>
          <w:szCs w:val="28"/>
          <w:lang w:eastAsia="zh-CN"/>
        </w:rPr>
      </w:pPr>
      <w:bookmarkStart w:id="61" w:name="_Toc7690"/>
      <w:bookmarkStart w:id="62" w:name="_Toc13008"/>
      <w:r>
        <w:rPr>
          <w:rFonts w:hint="default"/>
          <w:sz w:val="52"/>
          <w:szCs w:val="28"/>
          <w:lang w:eastAsia="zh-CN"/>
        </w:rPr>
        <w:t>（</w:t>
      </w:r>
      <w:r>
        <w:rPr>
          <w:rFonts w:hint="default"/>
          <w:sz w:val="52"/>
          <w:szCs w:val="28"/>
          <w:lang w:val="en-US" w:eastAsia="zh-CN"/>
        </w:rPr>
        <w:t>电子交易</w:t>
      </w:r>
      <w:r>
        <w:rPr>
          <w:rFonts w:hint="default"/>
          <w:sz w:val="52"/>
          <w:szCs w:val="28"/>
          <w:lang w:eastAsia="zh-CN"/>
        </w:rPr>
        <w:t>）</w:t>
      </w:r>
      <w:bookmarkEnd w:id="61"/>
      <w:bookmarkEnd w:id="62"/>
    </w:p>
    <w:p>
      <w:pPr>
        <w:rPr>
          <w:rFonts w:hint="default"/>
          <w:lang w:eastAsia="zh-CN"/>
        </w:rPr>
      </w:pPr>
    </w:p>
    <w:p>
      <w:pPr>
        <w:ind w:firstLine="0" w:firstLineChars="0"/>
        <w:rPr>
          <w:rFonts w:ascii="宋体" w:hAnsi="宋体"/>
          <w:b/>
          <w:color w:val="auto"/>
          <w:szCs w:val="21"/>
          <w:highlight w:val="none"/>
        </w:rPr>
      </w:pPr>
    </w:p>
    <w:p>
      <w:pPr>
        <w:ind w:firstLine="0" w:firstLineChars="0"/>
        <w:rPr>
          <w:color w:val="auto"/>
          <w:highlight w:val="none"/>
        </w:rPr>
      </w:pPr>
    </w:p>
    <w:p>
      <w:pPr>
        <w:pStyle w:val="2"/>
        <w:ind w:firstLine="0" w:firstLineChars="0"/>
        <w:rPr>
          <w:color w:val="auto"/>
          <w:highlight w:val="none"/>
          <w:lang w:val="zh-CN"/>
        </w:rPr>
      </w:pPr>
    </w:p>
    <w:p>
      <w:pPr>
        <w:rPr>
          <w:lang w:val="zh-CN"/>
        </w:rPr>
      </w:pPr>
    </w:p>
    <w:p>
      <w:pPr>
        <w:rPr>
          <w:lang w:val="zh-CN"/>
        </w:rPr>
      </w:pPr>
    </w:p>
    <w:p>
      <w:pPr>
        <w:adjustRightInd w:val="0"/>
        <w:snapToGrid w:val="0"/>
        <w:spacing w:line="800" w:lineRule="exact"/>
        <w:ind w:firstLine="964" w:firstLineChars="300"/>
        <w:outlineLvl w:val="0"/>
        <w:rPr>
          <w:rFonts w:ascii="宋体" w:hAnsi="宋体"/>
          <w:b/>
          <w:bCs/>
          <w:color w:val="auto"/>
          <w:sz w:val="32"/>
          <w:szCs w:val="32"/>
          <w:highlight w:val="none"/>
          <w:lang w:val="zh-CN"/>
        </w:rPr>
      </w:pPr>
      <w:bookmarkStart w:id="63" w:name="_Toc24706"/>
      <w:bookmarkStart w:id="64" w:name="_Toc24072"/>
      <w:bookmarkStart w:id="65" w:name="_Toc12509"/>
      <w:bookmarkStart w:id="66" w:name="_Toc17343"/>
      <w:bookmarkStart w:id="67" w:name="_Toc32209"/>
      <w:bookmarkStart w:id="68" w:name="_Toc10482"/>
      <w:bookmarkStart w:id="69" w:name="_Toc21898"/>
      <w:bookmarkStart w:id="70" w:name="_Toc10073"/>
      <w:bookmarkStart w:id="71" w:name="_Toc10710"/>
      <w:r>
        <w:rPr>
          <w:rFonts w:hint="eastAsia" w:ascii="宋体" w:hAnsi="宋体"/>
          <w:b/>
          <w:bCs/>
          <w:color w:val="auto"/>
          <w:sz w:val="32"/>
          <w:szCs w:val="32"/>
          <w:highlight w:val="none"/>
          <w:lang w:val="zh-CN"/>
        </w:rPr>
        <w:t>采</w:t>
      </w:r>
      <w:r>
        <w:rPr>
          <w:rFonts w:hint="eastAsia" w:ascii="宋体" w:hAnsi="宋体"/>
          <w:b/>
          <w:bCs/>
          <w:color w:val="auto"/>
          <w:sz w:val="32"/>
          <w:szCs w:val="32"/>
          <w:highlight w:val="none"/>
        </w:rPr>
        <w:t xml:space="preserve"> </w:t>
      </w:r>
      <w:r>
        <w:rPr>
          <w:rFonts w:hint="eastAsia" w:ascii="宋体" w:hAnsi="宋体"/>
          <w:b/>
          <w:bCs/>
          <w:color w:val="auto"/>
          <w:sz w:val="32"/>
          <w:szCs w:val="32"/>
          <w:highlight w:val="none"/>
          <w:lang w:val="en-US" w:eastAsia="zh-CN"/>
        </w:rPr>
        <w:t xml:space="preserve">  </w:t>
      </w:r>
      <w:r>
        <w:rPr>
          <w:rFonts w:hint="eastAsia" w:ascii="宋体" w:hAnsi="宋体"/>
          <w:b/>
          <w:bCs/>
          <w:color w:val="auto"/>
          <w:sz w:val="32"/>
          <w:szCs w:val="32"/>
          <w:highlight w:val="none"/>
          <w:lang w:val="zh-CN"/>
        </w:rPr>
        <w:t>购</w:t>
      </w:r>
      <w:r>
        <w:rPr>
          <w:rFonts w:hint="eastAsia" w:ascii="宋体" w:hAnsi="宋体"/>
          <w:b/>
          <w:bCs/>
          <w:color w:val="auto"/>
          <w:sz w:val="32"/>
          <w:szCs w:val="32"/>
          <w:highlight w:val="none"/>
        </w:rPr>
        <w:t xml:space="preserve"> </w:t>
      </w:r>
      <w:r>
        <w:rPr>
          <w:rFonts w:hint="eastAsia" w:ascii="宋体" w:hAnsi="宋体"/>
          <w:b/>
          <w:bCs/>
          <w:color w:val="auto"/>
          <w:sz w:val="32"/>
          <w:szCs w:val="32"/>
          <w:highlight w:val="none"/>
          <w:lang w:val="en-US" w:eastAsia="zh-CN"/>
        </w:rPr>
        <w:t xml:space="preserve">  </w:t>
      </w:r>
      <w:r>
        <w:rPr>
          <w:rFonts w:hint="eastAsia" w:ascii="宋体" w:hAnsi="宋体"/>
          <w:b/>
          <w:bCs/>
          <w:color w:val="auto"/>
          <w:sz w:val="32"/>
          <w:szCs w:val="32"/>
          <w:highlight w:val="none"/>
          <w:lang w:val="zh-CN"/>
        </w:rPr>
        <w:t>人：龙游县百益市场管理有限公司（</w:t>
      </w:r>
      <w:r>
        <w:rPr>
          <w:rFonts w:hint="eastAsia" w:ascii="宋体" w:hAnsi="宋体"/>
          <w:b/>
          <w:bCs/>
          <w:color w:val="auto"/>
          <w:sz w:val="32"/>
          <w:szCs w:val="32"/>
          <w:highlight w:val="none"/>
        </w:rPr>
        <w:t>盖章</w:t>
      </w:r>
      <w:r>
        <w:rPr>
          <w:rFonts w:hint="eastAsia" w:ascii="宋体" w:hAnsi="宋体"/>
          <w:b/>
          <w:bCs/>
          <w:color w:val="auto"/>
          <w:sz w:val="32"/>
          <w:szCs w:val="32"/>
          <w:highlight w:val="none"/>
          <w:lang w:val="zh-CN"/>
        </w:rPr>
        <w:t>）</w:t>
      </w:r>
      <w:bookmarkEnd w:id="63"/>
      <w:bookmarkEnd w:id="64"/>
      <w:bookmarkEnd w:id="65"/>
      <w:bookmarkEnd w:id="66"/>
      <w:bookmarkEnd w:id="67"/>
      <w:bookmarkEnd w:id="68"/>
      <w:bookmarkEnd w:id="69"/>
      <w:bookmarkEnd w:id="70"/>
      <w:bookmarkEnd w:id="71"/>
    </w:p>
    <w:p>
      <w:pPr>
        <w:adjustRightInd w:val="0"/>
        <w:snapToGrid w:val="0"/>
        <w:spacing w:line="800" w:lineRule="exact"/>
        <w:ind w:firstLine="964" w:firstLineChars="300"/>
        <w:outlineLvl w:val="0"/>
        <w:rPr>
          <w:rFonts w:ascii="宋体" w:hAnsi="宋体"/>
          <w:b/>
          <w:bCs/>
          <w:color w:val="auto"/>
          <w:sz w:val="44"/>
          <w:szCs w:val="44"/>
          <w:highlight w:val="none"/>
          <w:lang w:val="zh-CN"/>
        </w:rPr>
      </w:pPr>
      <w:bookmarkStart w:id="72" w:name="_Toc22952"/>
      <w:bookmarkStart w:id="73" w:name="_Toc8207"/>
      <w:bookmarkStart w:id="74" w:name="_Toc23740"/>
      <w:bookmarkStart w:id="75" w:name="_Toc21860"/>
      <w:bookmarkStart w:id="76" w:name="_Toc3179"/>
      <w:bookmarkStart w:id="77" w:name="_Toc10486"/>
      <w:bookmarkStart w:id="78" w:name="_Toc2279"/>
      <w:bookmarkStart w:id="79" w:name="_Toc6155"/>
      <w:bookmarkStart w:id="80" w:name="_Toc6522"/>
      <w:bookmarkStart w:id="81" w:name="_Toc14775"/>
      <w:bookmarkStart w:id="82" w:name="_Toc28443"/>
      <w:bookmarkStart w:id="83" w:name="_Toc14056"/>
      <w:bookmarkStart w:id="84" w:name="_Toc13576"/>
      <w:r>
        <w:rPr>
          <w:rFonts w:hint="eastAsia" w:ascii="宋体" w:hAnsi="宋体"/>
          <w:b/>
          <w:bCs/>
          <w:color w:val="auto"/>
          <w:sz w:val="32"/>
          <w:szCs w:val="32"/>
          <w:highlight w:val="none"/>
          <w:lang w:eastAsia="zh-CN"/>
        </w:rPr>
        <w:t>采购代理机构</w:t>
      </w:r>
      <w:r>
        <w:rPr>
          <w:rFonts w:hint="eastAsia" w:ascii="宋体" w:hAnsi="宋体"/>
          <w:b/>
          <w:bCs/>
          <w:color w:val="auto"/>
          <w:sz w:val="32"/>
          <w:szCs w:val="32"/>
          <w:highlight w:val="none"/>
          <w:lang w:val="zh-CN"/>
        </w:rPr>
        <w:t>：衢州宇信工程咨询有限公司</w:t>
      </w:r>
      <w:bookmarkEnd w:id="72"/>
      <w:bookmarkEnd w:id="73"/>
      <w:bookmarkEnd w:id="74"/>
      <w:r>
        <w:rPr>
          <w:rFonts w:hint="eastAsia" w:ascii="宋体" w:hAnsi="宋体"/>
          <w:b/>
          <w:bCs/>
          <w:color w:val="auto"/>
          <w:sz w:val="32"/>
          <w:szCs w:val="32"/>
          <w:highlight w:val="none"/>
          <w:lang w:val="zh-CN"/>
        </w:rPr>
        <w:t>（</w:t>
      </w:r>
      <w:r>
        <w:rPr>
          <w:rFonts w:hint="eastAsia" w:ascii="宋体" w:hAnsi="宋体"/>
          <w:b/>
          <w:bCs/>
          <w:color w:val="auto"/>
          <w:sz w:val="32"/>
          <w:szCs w:val="32"/>
          <w:highlight w:val="none"/>
        </w:rPr>
        <w:t>盖章</w:t>
      </w:r>
      <w:r>
        <w:rPr>
          <w:rFonts w:hint="eastAsia" w:ascii="宋体" w:hAnsi="宋体"/>
          <w:b/>
          <w:bCs/>
          <w:color w:val="auto"/>
          <w:sz w:val="32"/>
          <w:szCs w:val="32"/>
          <w:highlight w:val="none"/>
          <w:lang w:val="zh-CN"/>
        </w:rPr>
        <w:t>）</w:t>
      </w:r>
      <w:bookmarkEnd w:id="75"/>
      <w:bookmarkEnd w:id="76"/>
      <w:bookmarkEnd w:id="77"/>
      <w:bookmarkEnd w:id="78"/>
      <w:bookmarkEnd w:id="79"/>
      <w:bookmarkEnd w:id="80"/>
      <w:bookmarkEnd w:id="81"/>
      <w:bookmarkEnd w:id="82"/>
      <w:bookmarkEnd w:id="83"/>
      <w:bookmarkEnd w:id="84"/>
    </w:p>
    <w:p>
      <w:pPr>
        <w:pStyle w:val="17"/>
        <w:ind w:left="0" w:leftChars="0" w:firstLine="0" w:firstLineChars="0"/>
        <w:jc w:val="left"/>
        <w:rPr>
          <w:rFonts w:hint="default" w:hAnsi="宋体"/>
          <w:b/>
          <w:bCs/>
          <w:color w:val="auto"/>
          <w:sz w:val="32"/>
          <w:szCs w:val="32"/>
          <w:highlight w:val="none"/>
          <w:lang w:val="zh-CN"/>
        </w:rPr>
      </w:pPr>
    </w:p>
    <w:p>
      <w:pPr>
        <w:pStyle w:val="17"/>
        <w:ind w:left="0" w:leftChars="0" w:firstLine="0" w:firstLineChars="0"/>
        <w:jc w:val="center"/>
        <w:rPr>
          <w:rFonts w:hint="default" w:hAnsi="宋体"/>
          <w:b/>
          <w:bCs/>
          <w:color w:val="auto"/>
          <w:kern w:val="2"/>
          <w:sz w:val="32"/>
          <w:szCs w:val="32"/>
          <w:highlight w:val="none"/>
          <w:lang w:val="zh-CN"/>
        </w:rPr>
      </w:pPr>
      <w:r>
        <w:rPr>
          <w:rFonts w:hAnsi="宋体"/>
          <w:b/>
          <w:bCs/>
          <w:color w:val="auto"/>
          <w:kern w:val="2"/>
          <w:sz w:val="32"/>
          <w:szCs w:val="32"/>
          <w:highlight w:val="none"/>
          <w:lang w:val="zh-CN"/>
        </w:rPr>
        <w:t>二〇二</w:t>
      </w:r>
      <w:r>
        <w:rPr>
          <w:rFonts w:hint="eastAsia" w:hAnsi="宋体"/>
          <w:b/>
          <w:bCs/>
          <w:color w:val="auto"/>
          <w:kern w:val="2"/>
          <w:sz w:val="32"/>
          <w:szCs w:val="32"/>
          <w:highlight w:val="none"/>
          <w:lang w:val="en-US" w:eastAsia="zh-CN"/>
        </w:rPr>
        <w:t>四</w:t>
      </w:r>
      <w:r>
        <w:rPr>
          <w:rFonts w:hAnsi="宋体"/>
          <w:b/>
          <w:bCs/>
          <w:color w:val="auto"/>
          <w:kern w:val="2"/>
          <w:sz w:val="32"/>
          <w:szCs w:val="32"/>
          <w:highlight w:val="none"/>
          <w:lang w:val="zh-CN"/>
        </w:rPr>
        <w:t>年</w:t>
      </w:r>
      <w:r>
        <w:rPr>
          <w:rFonts w:hint="eastAsia" w:hAnsi="宋体"/>
          <w:b/>
          <w:bCs/>
          <w:color w:val="auto"/>
          <w:kern w:val="2"/>
          <w:sz w:val="32"/>
          <w:szCs w:val="32"/>
          <w:highlight w:val="none"/>
          <w:lang w:val="en-US" w:eastAsia="zh-CN"/>
        </w:rPr>
        <w:t>七</w:t>
      </w:r>
      <w:r>
        <w:rPr>
          <w:rFonts w:hAnsi="宋体"/>
          <w:b/>
          <w:bCs/>
          <w:color w:val="auto"/>
          <w:kern w:val="2"/>
          <w:sz w:val="32"/>
          <w:szCs w:val="32"/>
          <w:highlight w:val="none"/>
          <w:lang w:val="zh-CN"/>
        </w:rPr>
        <w:t>月</w:t>
      </w:r>
    </w:p>
    <w:p>
      <w:pPr>
        <w:pBdr>
          <w:left w:val="single" w:color="auto" w:sz="4" w:space="0"/>
        </w:pBdr>
        <w:tabs>
          <w:tab w:val="center" w:pos="4934"/>
          <w:tab w:val="left" w:pos="6344"/>
          <w:tab w:val="left" w:pos="7256"/>
        </w:tabs>
        <w:ind w:firstLine="0" w:firstLineChars="0"/>
        <w:jc w:val="center"/>
        <w:rPr>
          <w:rFonts w:ascii="宋体" w:hAnsi="宋体"/>
          <w:b/>
          <w:color w:val="auto"/>
          <w:sz w:val="44"/>
          <w:szCs w:val="44"/>
          <w:highlight w:val="none"/>
        </w:rPr>
        <w:sectPr>
          <w:headerReference r:id="rId7" w:type="first"/>
          <w:headerReference r:id="rId5" w:type="default"/>
          <w:footerReference r:id="rId8" w:type="default"/>
          <w:headerReference r:id="rId6" w:type="even"/>
          <w:pgSz w:w="11906" w:h="16838"/>
          <w:pgMar w:top="1440" w:right="1080" w:bottom="1440" w:left="1080" w:header="737" w:footer="964" w:gutter="0"/>
          <w:pgBorders>
            <w:top w:val="thinThickSmallGap" w:color="auto" w:sz="12" w:space="10"/>
            <w:left w:val="none" w:sz="0" w:space="0"/>
            <w:bottom w:val="thinThickSmallGap" w:color="auto" w:sz="12" w:space="10"/>
            <w:right w:val="none" w:sz="0" w:space="0"/>
          </w:pgBorders>
          <w:cols w:space="720" w:num="1"/>
          <w:docGrid w:type="lines" w:linePitch="312" w:charSpace="0"/>
        </w:sectPr>
      </w:pPr>
    </w:p>
    <w:p>
      <w:pPr>
        <w:pBdr>
          <w:left w:val="single" w:color="auto" w:sz="4" w:space="0"/>
        </w:pBdr>
        <w:tabs>
          <w:tab w:val="center" w:pos="4934"/>
          <w:tab w:val="left" w:pos="6344"/>
          <w:tab w:val="left" w:pos="7256"/>
        </w:tabs>
        <w:ind w:firstLine="0" w:firstLineChars="0"/>
        <w:jc w:val="center"/>
        <w:rPr>
          <w:rFonts w:ascii="宋体" w:hAnsi="宋体"/>
          <w:b/>
          <w:color w:val="auto"/>
          <w:sz w:val="44"/>
          <w:szCs w:val="44"/>
          <w:highlight w:val="none"/>
        </w:rPr>
      </w:pPr>
      <w:r>
        <w:rPr>
          <w:rFonts w:hint="eastAsia" w:ascii="宋体" w:hAnsi="宋体"/>
          <w:b/>
          <w:color w:val="auto"/>
          <w:sz w:val="44"/>
          <w:szCs w:val="44"/>
          <w:highlight w:val="none"/>
        </w:rPr>
        <w:t>目  录</w:t>
      </w:r>
    </w:p>
    <w:sdt>
      <w:sdtPr>
        <w:rPr>
          <w:rFonts w:ascii="宋体" w:hAnsi="宋体" w:eastAsia="宋体" w:cs="宋体"/>
          <w:kern w:val="2"/>
          <w:sz w:val="21"/>
          <w:szCs w:val="24"/>
          <w:lang w:val="en-US" w:eastAsia="zh-CN" w:bidi="ar-SA"/>
        </w:rPr>
        <w:id w:val="147459256"/>
        <w15:color w:val="DBDBDB"/>
        <w:docPartObj>
          <w:docPartGallery w:val="Table of Contents"/>
          <w:docPartUnique/>
        </w:docPartObj>
      </w:sdtPr>
      <w:sdtEndPr>
        <w:rPr>
          <w:rFonts w:ascii="宋体" w:hAnsi="宋体" w:eastAsia="宋体" w:cs="宋体"/>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88"/>
            <w:tabs>
              <w:tab w:val="right" w:leader="dot" w:pos="9746"/>
            </w:tabs>
            <w:rPr>
              <w:b/>
            </w:rPr>
          </w:pPr>
          <w:r>
            <w:fldChar w:fldCharType="begin"/>
          </w:r>
          <w:r>
            <w:instrText xml:space="preserve">TOC \o "1-2" \h \u </w:instrText>
          </w:r>
          <w:r>
            <w:fldChar w:fldCharType="separate"/>
          </w:r>
        </w:p>
        <w:p>
          <w:pPr>
            <w:pStyle w:val="88"/>
            <w:tabs>
              <w:tab w:val="right" w:leader="dot" w:pos="9746"/>
            </w:tabs>
            <w:spacing w:line="312" w:lineRule="auto"/>
            <w:ind w:firstLine="442" w:firstLineChars="200"/>
            <w:rPr>
              <w:rFonts w:hint="eastAsia" w:ascii="宋体" w:hAnsi="宋体" w:eastAsia="宋体" w:cs="宋体"/>
              <w:b/>
              <w:sz w:val="22"/>
              <w:szCs w:val="22"/>
            </w:rPr>
          </w:pPr>
          <w:r>
            <w:rPr>
              <w:rFonts w:hint="eastAsia" w:ascii="宋体" w:hAnsi="宋体" w:eastAsia="宋体" w:cs="宋体"/>
              <w:b/>
              <w:sz w:val="22"/>
              <w:szCs w:val="22"/>
            </w:rPr>
            <w:fldChar w:fldCharType="begin"/>
          </w:r>
          <w:r>
            <w:rPr>
              <w:rFonts w:hint="eastAsia" w:ascii="宋体" w:hAnsi="宋体" w:eastAsia="宋体" w:cs="宋体"/>
              <w:b/>
              <w:sz w:val="22"/>
              <w:szCs w:val="22"/>
            </w:rPr>
            <w:instrText xml:space="preserve"> HYPERLINK \l _Toc21878 </w:instrText>
          </w:r>
          <w:r>
            <w:rPr>
              <w:rFonts w:hint="eastAsia" w:ascii="宋体" w:hAnsi="宋体" w:eastAsia="宋体" w:cs="宋体"/>
              <w:b/>
              <w:sz w:val="22"/>
              <w:szCs w:val="22"/>
            </w:rPr>
            <w:fldChar w:fldCharType="separate"/>
          </w:r>
          <w:r>
            <w:rPr>
              <w:rFonts w:hint="eastAsia" w:ascii="宋体" w:hAnsi="宋体" w:eastAsia="宋体" w:cs="宋体"/>
              <w:b/>
              <w:sz w:val="22"/>
              <w:szCs w:val="22"/>
              <w:highlight w:val="none"/>
            </w:rPr>
            <w:t>第一章  磋商公告</w:t>
          </w:r>
          <w:r>
            <w:rPr>
              <w:rFonts w:hint="eastAsia" w:ascii="宋体" w:hAnsi="宋体" w:eastAsia="宋体" w:cs="宋体"/>
              <w:b/>
              <w:sz w:val="22"/>
              <w:szCs w:val="22"/>
            </w:rPr>
            <w:tab/>
          </w:r>
          <w:r>
            <w:rPr>
              <w:rFonts w:hint="eastAsia" w:ascii="宋体" w:hAnsi="宋体" w:eastAsia="宋体" w:cs="宋体"/>
              <w:b/>
              <w:sz w:val="22"/>
              <w:szCs w:val="22"/>
            </w:rPr>
            <w:fldChar w:fldCharType="begin"/>
          </w:r>
          <w:r>
            <w:rPr>
              <w:rFonts w:hint="eastAsia" w:ascii="宋体" w:hAnsi="宋体" w:eastAsia="宋体" w:cs="宋体"/>
              <w:b/>
              <w:sz w:val="22"/>
              <w:szCs w:val="22"/>
            </w:rPr>
            <w:instrText xml:space="preserve"> PAGEREF _Toc21878 \h </w:instrText>
          </w:r>
          <w:r>
            <w:rPr>
              <w:rFonts w:hint="eastAsia" w:ascii="宋体" w:hAnsi="宋体" w:eastAsia="宋体" w:cs="宋体"/>
              <w:b/>
              <w:sz w:val="22"/>
              <w:szCs w:val="22"/>
            </w:rPr>
            <w:fldChar w:fldCharType="separate"/>
          </w:r>
          <w:r>
            <w:rPr>
              <w:rFonts w:hint="eastAsia" w:ascii="宋体" w:hAnsi="宋体" w:eastAsia="宋体" w:cs="宋体"/>
              <w:b/>
              <w:sz w:val="22"/>
              <w:szCs w:val="22"/>
            </w:rPr>
            <w:t>3</w:t>
          </w:r>
          <w:r>
            <w:rPr>
              <w:rFonts w:hint="eastAsia" w:ascii="宋体" w:hAnsi="宋体" w:eastAsia="宋体" w:cs="宋体"/>
              <w:b/>
              <w:sz w:val="22"/>
              <w:szCs w:val="22"/>
            </w:rPr>
            <w:fldChar w:fldCharType="end"/>
          </w:r>
          <w:r>
            <w:rPr>
              <w:rFonts w:hint="eastAsia" w:ascii="宋体" w:hAnsi="宋体" w:eastAsia="宋体" w:cs="宋体"/>
              <w:b/>
              <w:sz w:val="22"/>
              <w:szCs w:val="22"/>
            </w:rPr>
            <w:fldChar w:fldCharType="end"/>
          </w:r>
        </w:p>
        <w:p>
          <w:pPr>
            <w:pStyle w:val="88"/>
            <w:tabs>
              <w:tab w:val="right" w:leader="dot" w:pos="9746"/>
            </w:tabs>
            <w:spacing w:line="312" w:lineRule="auto"/>
            <w:ind w:firstLine="442" w:firstLineChars="200"/>
            <w:rPr>
              <w:rFonts w:hint="eastAsia" w:ascii="宋体" w:hAnsi="宋体" w:eastAsia="宋体" w:cs="宋体"/>
              <w:b/>
              <w:sz w:val="22"/>
              <w:szCs w:val="22"/>
            </w:rPr>
          </w:pPr>
          <w:r>
            <w:rPr>
              <w:rFonts w:hint="eastAsia" w:ascii="宋体" w:hAnsi="宋体" w:eastAsia="宋体" w:cs="宋体"/>
              <w:b/>
              <w:sz w:val="22"/>
              <w:szCs w:val="22"/>
            </w:rPr>
            <w:fldChar w:fldCharType="begin"/>
          </w:r>
          <w:r>
            <w:rPr>
              <w:rFonts w:hint="eastAsia" w:ascii="宋体" w:hAnsi="宋体" w:eastAsia="宋体" w:cs="宋体"/>
              <w:b/>
              <w:sz w:val="22"/>
              <w:szCs w:val="22"/>
            </w:rPr>
            <w:instrText xml:space="preserve"> HYPERLINK \l _Toc11565 </w:instrText>
          </w:r>
          <w:r>
            <w:rPr>
              <w:rFonts w:hint="eastAsia" w:ascii="宋体" w:hAnsi="宋体" w:eastAsia="宋体" w:cs="宋体"/>
              <w:b/>
              <w:sz w:val="22"/>
              <w:szCs w:val="22"/>
            </w:rPr>
            <w:fldChar w:fldCharType="separate"/>
          </w:r>
          <w:r>
            <w:rPr>
              <w:rFonts w:hint="eastAsia" w:ascii="宋体" w:hAnsi="宋体" w:eastAsia="宋体" w:cs="宋体"/>
              <w:b/>
              <w:sz w:val="22"/>
              <w:szCs w:val="22"/>
            </w:rPr>
            <w:t xml:space="preserve">第二章 </w:t>
          </w:r>
          <w:r>
            <w:rPr>
              <w:rFonts w:hint="eastAsia" w:ascii="宋体" w:hAnsi="宋体" w:eastAsia="宋体" w:cs="宋体"/>
              <w:b/>
              <w:sz w:val="22"/>
              <w:szCs w:val="22"/>
              <w:highlight w:val="none"/>
            </w:rPr>
            <w:t>供应商须知</w:t>
          </w:r>
          <w:r>
            <w:rPr>
              <w:rFonts w:hint="eastAsia" w:ascii="宋体" w:hAnsi="宋体" w:eastAsia="宋体" w:cs="宋体"/>
              <w:b/>
              <w:sz w:val="22"/>
              <w:szCs w:val="22"/>
            </w:rPr>
            <w:tab/>
          </w:r>
          <w:r>
            <w:rPr>
              <w:rFonts w:hint="eastAsia" w:ascii="宋体" w:hAnsi="宋体" w:eastAsia="宋体" w:cs="宋体"/>
              <w:b/>
              <w:sz w:val="22"/>
              <w:szCs w:val="22"/>
            </w:rPr>
            <w:fldChar w:fldCharType="begin"/>
          </w:r>
          <w:r>
            <w:rPr>
              <w:rFonts w:hint="eastAsia" w:ascii="宋体" w:hAnsi="宋体" w:eastAsia="宋体" w:cs="宋体"/>
              <w:b/>
              <w:sz w:val="22"/>
              <w:szCs w:val="22"/>
            </w:rPr>
            <w:instrText xml:space="preserve"> PAGEREF _Toc11565 \h </w:instrText>
          </w:r>
          <w:r>
            <w:rPr>
              <w:rFonts w:hint="eastAsia" w:ascii="宋体" w:hAnsi="宋体" w:eastAsia="宋体" w:cs="宋体"/>
              <w:b/>
              <w:sz w:val="22"/>
              <w:szCs w:val="22"/>
            </w:rPr>
            <w:fldChar w:fldCharType="separate"/>
          </w:r>
          <w:r>
            <w:rPr>
              <w:rFonts w:hint="eastAsia" w:ascii="宋体" w:hAnsi="宋体" w:eastAsia="宋体" w:cs="宋体"/>
              <w:b/>
              <w:sz w:val="22"/>
              <w:szCs w:val="22"/>
            </w:rPr>
            <w:t>6</w:t>
          </w:r>
          <w:r>
            <w:rPr>
              <w:rFonts w:hint="eastAsia" w:ascii="宋体" w:hAnsi="宋体" w:eastAsia="宋体" w:cs="宋体"/>
              <w:b/>
              <w:sz w:val="22"/>
              <w:szCs w:val="22"/>
            </w:rPr>
            <w:fldChar w:fldCharType="end"/>
          </w:r>
          <w:r>
            <w:rPr>
              <w:rFonts w:hint="eastAsia" w:ascii="宋体" w:hAnsi="宋体" w:eastAsia="宋体" w:cs="宋体"/>
              <w:b/>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_Toc8520 </w:instrText>
          </w:r>
          <w:r>
            <w:rPr>
              <w:rFonts w:hint="eastAsia" w:ascii="宋体" w:hAnsi="宋体" w:eastAsia="宋体" w:cs="宋体"/>
              <w:sz w:val="22"/>
              <w:szCs w:val="22"/>
            </w:rPr>
            <w:fldChar w:fldCharType="separate"/>
          </w:r>
          <w:r>
            <w:rPr>
              <w:rFonts w:hint="eastAsia" w:ascii="宋体" w:hAnsi="宋体" w:eastAsia="宋体" w:cs="宋体"/>
              <w:sz w:val="22"/>
              <w:szCs w:val="22"/>
              <w:highlight w:val="none"/>
            </w:rPr>
            <w:t>一、供应商须知前附表</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_Toc8520 \h </w:instrText>
          </w:r>
          <w:r>
            <w:rPr>
              <w:rFonts w:hint="eastAsia" w:ascii="宋体" w:hAnsi="宋体" w:eastAsia="宋体" w:cs="宋体"/>
              <w:sz w:val="22"/>
              <w:szCs w:val="22"/>
            </w:rPr>
            <w:fldChar w:fldCharType="separate"/>
          </w:r>
          <w:r>
            <w:rPr>
              <w:rFonts w:hint="eastAsia" w:ascii="宋体" w:hAnsi="宋体" w:eastAsia="宋体" w:cs="宋体"/>
              <w:sz w:val="22"/>
              <w:szCs w:val="22"/>
            </w:rPr>
            <w:t>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_Toc31505 </w:instrText>
          </w:r>
          <w:r>
            <w:rPr>
              <w:rFonts w:hint="eastAsia" w:ascii="宋体" w:hAnsi="宋体" w:eastAsia="宋体" w:cs="宋体"/>
              <w:sz w:val="22"/>
              <w:szCs w:val="22"/>
            </w:rPr>
            <w:fldChar w:fldCharType="separate"/>
          </w:r>
          <w:r>
            <w:rPr>
              <w:rFonts w:hint="eastAsia" w:ascii="宋体" w:hAnsi="宋体" w:eastAsia="宋体" w:cs="宋体"/>
              <w:sz w:val="22"/>
              <w:szCs w:val="22"/>
              <w:highlight w:val="none"/>
            </w:rPr>
            <w:t>二、说明</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_Toc31505 \h </w:instrText>
          </w:r>
          <w:r>
            <w:rPr>
              <w:rFonts w:hint="eastAsia" w:ascii="宋体" w:hAnsi="宋体" w:eastAsia="宋体" w:cs="宋体"/>
              <w:sz w:val="22"/>
              <w:szCs w:val="22"/>
            </w:rPr>
            <w:fldChar w:fldCharType="separate"/>
          </w:r>
          <w:r>
            <w:rPr>
              <w:rFonts w:hint="eastAsia" w:ascii="宋体" w:hAnsi="宋体" w:eastAsia="宋体" w:cs="宋体"/>
              <w:sz w:val="22"/>
              <w:szCs w:val="22"/>
            </w:rPr>
            <w:t>9</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_Toc3156 </w:instrText>
          </w:r>
          <w:r>
            <w:rPr>
              <w:rFonts w:hint="eastAsia" w:ascii="宋体" w:hAnsi="宋体" w:eastAsia="宋体" w:cs="宋体"/>
              <w:sz w:val="22"/>
              <w:szCs w:val="22"/>
            </w:rPr>
            <w:fldChar w:fldCharType="separate"/>
          </w:r>
          <w:r>
            <w:rPr>
              <w:rFonts w:hint="eastAsia" w:ascii="宋体" w:hAnsi="宋体" w:eastAsia="宋体" w:cs="宋体"/>
              <w:sz w:val="22"/>
              <w:szCs w:val="22"/>
              <w:highlight w:val="none"/>
            </w:rPr>
            <w:t>三、竞争性磋商文件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_Toc3156 \h </w:instrText>
          </w:r>
          <w:r>
            <w:rPr>
              <w:rFonts w:hint="eastAsia" w:ascii="宋体" w:hAnsi="宋体" w:eastAsia="宋体" w:cs="宋体"/>
              <w:sz w:val="22"/>
              <w:szCs w:val="22"/>
            </w:rPr>
            <w:fldChar w:fldCharType="separate"/>
          </w:r>
          <w:r>
            <w:rPr>
              <w:rFonts w:hint="eastAsia" w:ascii="宋体" w:hAnsi="宋体" w:eastAsia="宋体" w:cs="宋体"/>
              <w:sz w:val="22"/>
              <w:szCs w:val="22"/>
            </w:rPr>
            <w:t>10</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_Toc31204 </w:instrText>
          </w:r>
          <w:r>
            <w:rPr>
              <w:rFonts w:hint="eastAsia" w:ascii="宋体" w:hAnsi="宋体" w:eastAsia="宋体" w:cs="宋体"/>
              <w:sz w:val="22"/>
              <w:szCs w:val="22"/>
            </w:rPr>
            <w:fldChar w:fldCharType="separate"/>
          </w:r>
          <w:r>
            <w:rPr>
              <w:rFonts w:hint="eastAsia" w:ascii="宋体" w:hAnsi="宋体" w:eastAsia="宋体" w:cs="宋体"/>
              <w:sz w:val="22"/>
              <w:szCs w:val="22"/>
              <w:highlight w:val="none"/>
            </w:rPr>
            <w:t>四、竞争性磋商响应文件的编写</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_Toc31204 \h </w:instrText>
          </w:r>
          <w:r>
            <w:rPr>
              <w:rFonts w:hint="eastAsia" w:ascii="宋体" w:hAnsi="宋体" w:eastAsia="宋体" w:cs="宋体"/>
              <w:sz w:val="22"/>
              <w:szCs w:val="22"/>
            </w:rPr>
            <w:fldChar w:fldCharType="separate"/>
          </w:r>
          <w:r>
            <w:rPr>
              <w:rFonts w:hint="eastAsia" w:ascii="宋体" w:hAnsi="宋体" w:eastAsia="宋体" w:cs="宋体"/>
              <w:sz w:val="22"/>
              <w:szCs w:val="22"/>
            </w:rPr>
            <w:t>11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_Toc5533 </w:instrText>
          </w:r>
          <w:r>
            <w:rPr>
              <w:rFonts w:hint="eastAsia" w:ascii="宋体" w:hAnsi="宋体" w:eastAsia="宋体" w:cs="宋体"/>
              <w:sz w:val="22"/>
              <w:szCs w:val="22"/>
            </w:rPr>
            <w:fldChar w:fldCharType="separate"/>
          </w:r>
          <w:r>
            <w:rPr>
              <w:rFonts w:hint="eastAsia" w:ascii="宋体" w:hAnsi="宋体" w:eastAsia="宋体" w:cs="宋体"/>
              <w:sz w:val="22"/>
              <w:szCs w:val="22"/>
              <w:highlight w:val="none"/>
            </w:rPr>
            <w:t>五、竞争性磋商响应文件的提交</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_Toc5533 \h </w:instrText>
          </w:r>
          <w:r>
            <w:rPr>
              <w:rFonts w:hint="eastAsia" w:ascii="宋体" w:hAnsi="宋体" w:eastAsia="宋体" w:cs="宋体"/>
              <w:sz w:val="22"/>
              <w:szCs w:val="22"/>
            </w:rPr>
            <w:fldChar w:fldCharType="separate"/>
          </w:r>
          <w:r>
            <w:rPr>
              <w:rFonts w:hint="eastAsia" w:ascii="宋体" w:hAnsi="宋体" w:eastAsia="宋体" w:cs="宋体"/>
              <w:sz w:val="22"/>
              <w:szCs w:val="22"/>
            </w:rPr>
            <w:t>12</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_Toc31717 </w:instrText>
          </w:r>
          <w:r>
            <w:rPr>
              <w:rFonts w:hint="eastAsia" w:ascii="宋体" w:hAnsi="宋体" w:eastAsia="宋体" w:cs="宋体"/>
              <w:sz w:val="22"/>
              <w:szCs w:val="22"/>
            </w:rPr>
            <w:fldChar w:fldCharType="separate"/>
          </w:r>
          <w:r>
            <w:rPr>
              <w:rFonts w:hint="eastAsia" w:ascii="宋体" w:hAnsi="宋体" w:eastAsia="宋体" w:cs="宋体"/>
              <w:bCs w:val="0"/>
              <w:sz w:val="22"/>
              <w:szCs w:val="22"/>
              <w:highlight w:val="none"/>
            </w:rPr>
            <w:t>六、开 标</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_Toc31717 \h </w:instrText>
          </w:r>
          <w:r>
            <w:rPr>
              <w:rFonts w:hint="eastAsia" w:ascii="宋体" w:hAnsi="宋体" w:eastAsia="宋体" w:cs="宋体"/>
              <w:sz w:val="22"/>
              <w:szCs w:val="22"/>
            </w:rPr>
            <w:fldChar w:fldCharType="separate"/>
          </w:r>
          <w:r>
            <w:rPr>
              <w:rFonts w:hint="eastAsia" w:ascii="宋体" w:hAnsi="宋体" w:eastAsia="宋体" w:cs="宋体"/>
              <w:sz w:val="22"/>
              <w:szCs w:val="22"/>
            </w:rPr>
            <w:t>13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_Toc10407 </w:instrText>
          </w:r>
          <w:r>
            <w:rPr>
              <w:rFonts w:hint="eastAsia" w:ascii="宋体" w:hAnsi="宋体" w:eastAsia="宋体" w:cs="宋体"/>
              <w:sz w:val="22"/>
              <w:szCs w:val="22"/>
            </w:rPr>
            <w:fldChar w:fldCharType="separate"/>
          </w:r>
          <w:r>
            <w:rPr>
              <w:rFonts w:hint="eastAsia" w:ascii="宋体" w:hAnsi="宋体" w:eastAsia="宋体" w:cs="宋体"/>
              <w:sz w:val="22"/>
              <w:szCs w:val="22"/>
              <w:highlight w:val="none"/>
            </w:rPr>
            <w:t>七、竞争性磋商响应文件的评审</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_Toc10407 \h </w:instrText>
          </w:r>
          <w:r>
            <w:rPr>
              <w:rFonts w:hint="eastAsia" w:ascii="宋体" w:hAnsi="宋体" w:eastAsia="宋体" w:cs="宋体"/>
              <w:sz w:val="22"/>
              <w:szCs w:val="22"/>
            </w:rPr>
            <w:fldChar w:fldCharType="separate"/>
          </w:r>
          <w:r>
            <w:rPr>
              <w:rFonts w:hint="eastAsia" w:ascii="宋体" w:hAnsi="宋体" w:eastAsia="宋体" w:cs="宋体"/>
              <w:sz w:val="22"/>
              <w:szCs w:val="22"/>
            </w:rPr>
            <w:t>14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_Toc8132 </w:instrText>
          </w:r>
          <w:r>
            <w:rPr>
              <w:rFonts w:hint="eastAsia" w:ascii="宋体" w:hAnsi="宋体" w:eastAsia="宋体" w:cs="宋体"/>
              <w:sz w:val="22"/>
              <w:szCs w:val="22"/>
            </w:rPr>
            <w:fldChar w:fldCharType="separate"/>
          </w:r>
          <w:r>
            <w:rPr>
              <w:rFonts w:hint="eastAsia" w:ascii="宋体" w:hAnsi="宋体" w:eastAsia="宋体" w:cs="宋体"/>
              <w:bCs w:val="0"/>
              <w:sz w:val="22"/>
              <w:szCs w:val="22"/>
              <w:highlight w:val="none"/>
              <w:lang w:bidi="ar"/>
            </w:rPr>
            <w:t>八、电子投标说明</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_Toc8132 \h </w:instrText>
          </w:r>
          <w:r>
            <w:rPr>
              <w:rFonts w:hint="eastAsia" w:ascii="宋体" w:hAnsi="宋体" w:eastAsia="宋体" w:cs="宋体"/>
              <w:sz w:val="22"/>
              <w:szCs w:val="22"/>
            </w:rPr>
            <w:fldChar w:fldCharType="separate"/>
          </w:r>
          <w:r>
            <w:rPr>
              <w:rFonts w:hint="eastAsia" w:ascii="宋体" w:hAnsi="宋体" w:eastAsia="宋体" w:cs="宋体"/>
              <w:sz w:val="22"/>
              <w:szCs w:val="22"/>
            </w:rPr>
            <w:t>16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_Toc11697 </w:instrText>
          </w:r>
          <w:r>
            <w:rPr>
              <w:rFonts w:hint="eastAsia" w:ascii="宋体" w:hAnsi="宋体" w:eastAsia="宋体" w:cs="宋体"/>
              <w:sz w:val="22"/>
              <w:szCs w:val="22"/>
            </w:rPr>
            <w:fldChar w:fldCharType="separate"/>
          </w:r>
          <w:r>
            <w:rPr>
              <w:rFonts w:hint="eastAsia" w:ascii="宋体" w:hAnsi="宋体" w:eastAsia="宋体" w:cs="宋体"/>
              <w:bCs w:val="0"/>
              <w:sz w:val="22"/>
              <w:szCs w:val="22"/>
              <w:highlight w:val="none"/>
              <w:lang w:bidi="ar"/>
            </w:rPr>
            <w:t>九、纪律和监督</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_Toc11697 \h </w:instrText>
          </w:r>
          <w:r>
            <w:rPr>
              <w:rFonts w:hint="eastAsia" w:ascii="宋体" w:hAnsi="宋体" w:eastAsia="宋体" w:cs="宋体"/>
              <w:sz w:val="22"/>
              <w:szCs w:val="22"/>
            </w:rPr>
            <w:fldChar w:fldCharType="separate"/>
          </w:r>
          <w:r>
            <w:rPr>
              <w:rFonts w:hint="eastAsia" w:ascii="宋体" w:hAnsi="宋体" w:eastAsia="宋体" w:cs="宋体"/>
              <w:sz w:val="22"/>
              <w:szCs w:val="22"/>
            </w:rPr>
            <w:t>16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_Toc5304 </w:instrText>
          </w:r>
          <w:r>
            <w:rPr>
              <w:rFonts w:hint="eastAsia" w:ascii="宋体" w:hAnsi="宋体" w:eastAsia="宋体" w:cs="宋体"/>
              <w:sz w:val="22"/>
              <w:szCs w:val="22"/>
            </w:rPr>
            <w:fldChar w:fldCharType="separate"/>
          </w:r>
          <w:r>
            <w:rPr>
              <w:rFonts w:hint="eastAsia" w:ascii="宋体" w:hAnsi="宋体" w:eastAsia="宋体" w:cs="宋体"/>
              <w:sz w:val="22"/>
              <w:szCs w:val="22"/>
              <w:highlight w:val="none"/>
            </w:rPr>
            <w:t>十、磋商无效的情形</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_Toc5304 \h </w:instrText>
          </w:r>
          <w:r>
            <w:rPr>
              <w:rFonts w:hint="eastAsia" w:ascii="宋体" w:hAnsi="宋体" w:eastAsia="宋体" w:cs="宋体"/>
              <w:sz w:val="22"/>
              <w:szCs w:val="22"/>
            </w:rPr>
            <w:fldChar w:fldCharType="separate"/>
          </w:r>
          <w:r>
            <w:rPr>
              <w:rFonts w:hint="eastAsia" w:ascii="宋体" w:hAnsi="宋体" w:eastAsia="宋体" w:cs="宋体"/>
              <w:sz w:val="22"/>
              <w:szCs w:val="22"/>
            </w:rPr>
            <w:t>16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_Toc10086 </w:instrText>
          </w:r>
          <w:r>
            <w:rPr>
              <w:rFonts w:hint="eastAsia" w:ascii="宋体" w:hAnsi="宋体" w:eastAsia="宋体" w:cs="宋体"/>
              <w:sz w:val="22"/>
              <w:szCs w:val="22"/>
            </w:rPr>
            <w:fldChar w:fldCharType="separate"/>
          </w:r>
          <w:r>
            <w:rPr>
              <w:rFonts w:hint="eastAsia" w:ascii="宋体" w:hAnsi="宋体" w:eastAsia="宋体" w:cs="宋体"/>
              <w:sz w:val="22"/>
              <w:szCs w:val="22"/>
              <w:highlight w:val="none"/>
            </w:rPr>
            <w:t>十一、废标的情形</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_Toc10086 \h </w:instrText>
          </w:r>
          <w:r>
            <w:rPr>
              <w:rFonts w:hint="eastAsia" w:ascii="宋体" w:hAnsi="宋体" w:eastAsia="宋体" w:cs="宋体"/>
              <w:sz w:val="22"/>
              <w:szCs w:val="22"/>
            </w:rPr>
            <w:fldChar w:fldCharType="separate"/>
          </w:r>
          <w:r>
            <w:rPr>
              <w:rFonts w:hint="eastAsia" w:ascii="宋体" w:hAnsi="宋体" w:eastAsia="宋体" w:cs="宋体"/>
              <w:sz w:val="22"/>
              <w:szCs w:val="22"/>
            </w:rPr>
            <w:t>17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_Toc24966 </w:instrText>
          </w:r>
          <w:r>
            <w:rPr>
              <w:rFonts w:hint="eastAsia" w:ascii="宋体" w:hAnsi="宋体" w:eastAsia="宋体" w:cs="宋体"/>
              <w:sz w:val="22"/>
              <w:szCs w:val="22"/>
            </w:rPr>
            <w:fldChar w:fldCharType="separate"/>
          </w:r>
          <w:r>
            <w:rPr>
              <w:rFonts w:hint="eastAsia" w:ascii="宋体" w:hAnsi="宋体" w:eastAsia="宋体" w:cs="宋体"/>
              <w:sz w:val="22"/>
              <w:szCs w:val="22"/>
              <w:highlight w:val="none"/>
            </w:rPr>
            <w:t>十二、确定成交供应商与签订合同</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_Toc24966 \h </w:instrText>
          </w:r>
          <w:r>
            <w:rPr>
              <w:rFonts w:hint="eastAsia" w:ascii="宋体" w:hAnsi="宋体" w:eastAsia="宋体" w:cs="宋体"/>
              <w:sz w:val="22"/>
              <w:szCs w:val="22"/>
            </w:rPr>
            <w:fldChar w:fldCharType="separate"/>
          </w:r>
          <w:r>
            <w:rPr>
              <w:rFonts w:hint="eastAsia" w:ascii="宋体" w:hAnsi="宋体" w:eastAsia="宋体" w:cs="宋体"/>
              <w:sz w:val="22"/>
              <w:szCs w:val="22"/>
            </w:rPr>
            <w:t>17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_Toc8538 </w:instrText>
          </w:r>
          <w:r>
            <w:rPr>
              <w:rFonts w:hint="eastAsia" w:ascii="宋体" w:hAnsi="宋体" w:eastAsia="宋体" w:cs="宋体"/>
              <w:sz w:val="22"/>
              <w:szCs w:val="22"/>
            </w:rPr>
            <w:fldChar w:fldCharType="separate"/>
          </w:r>
          <w:r>
            <w:rPr>
              <w:rFonts w:hint="eastAsia" w:ascii="宋体" w:hAnsi="宋体" w:eastAsia="宋体" w:cs="宋体"/>
              <w:sz w:val="22"/>
              <w:szCs w:val="22"/>
              <w:highlight w:val="none"/>
            </w:rPr>
            <w:t>十三、法律责任</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_Toc8538 \h </w:instrText>
          </w:r>
          <w:r>
            <w:rPr>
              <w:rFonts w:hint="eastAsia" w:ascii="宋体" w:hAnsi="宋体" w:eastAsia="宋体" w:cs="宋体"/>
              <w:sz w:val="22"/>
              <w:szCs w:val="22"/>
            </w:rPr>
            <w:fldChar w:fldCharType="separate"/>
          </w:r>
          <w:r>
            <w:rPr>
              <w:rFonts w:hint="eastAsia" w:ascii="宋体" w:hAnsi="宋体" w:eastAsia="宋体" w:cs="宋体"/>
              <w:sz w:val="22"/>
              <w:szCs w:val="22"/>
            </w:rPr>
            <w:t>18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_Toc2356 </w:instrText>
          </w:r>
          <w:r>
            <w:rPr>
              <w:rFonts w:hint="eastAsia" w:ascii="宋体" w:hAnsi="宋体" w:eastAsia="宋体" w:cs="宋体"/>
              <w:sz w:val="22"/>
              <w:szCs w:val="22"/>
            </w:rPr>
            <w:fldChar w:fldCharType="separate"/>
          </w:r>
          <w:r>
            <w:rPr>
              <w:rFonts w:hint="eastAsia" w:ascii="宋体" w:hAnsi="宋体" w:eastAsia="宋体" w:cs="宋体"/>
              <w:sz w:val="22"/>
              <w:szCs w:val="22"/>
              <w:highlight w:val="none"/>
            </w:rPr>
            <w:t>十四、诚信管理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_Toc2356 \h </w:instrText>
          </w:r>
          <w:r>
            <w:rPr>
              <w:rFonts w:hint="eastAsia" w:ascii="宋体" w:hAnsi="宋体" w:eastAsia="宋体" w:cs="宋体"/>
              <w:sz w:val="22"/>
              <w:szCs w:val="22"/>
            </w:rPr>
            <w:fldChar w:fldCharType="separate"/>
          </w:r>
          <w:r>
            <w:rPr>
              <w:rFonts w:hint="eastAsia" w:ascii="宋体" w:hAnsi="宋体" w:eastAsia="宋体" w:cs="宋体"/>
              <w:sz w:val="22"/>
              <w:szCs w:val="22"/>
            </w:rPr>
            <w:t>18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_Toc17878 </w:instrText>
          </w:r>
          <w:r>
            <w:rPr>
              <w:rFonts w:hint="eastAsia" w:ascii="宋体" w:hAnsi="宋体" w:eastAsia="宋体" w:cs="宋体"/>
              <w:sz w:val="22"/>
              <w:szCs w:val="22"/>
            </w:rPr>
            <w:fldChar w:fldCharType="separate"/>
          </w:r>
          <w:r>
            <w:rPr>
              <w:rFonts w:hint="eastAsia" w:ascii="宋体" w:hAnsi="宋体" w:eastAsia="宋体" w:cs="宋体"/>
              <w:sz w:val="22"/>
              <w:szCs w:val="22"/>
              <w:highlight w:val="none"/>
            </w:rPr>
            <w:t>十五、质疑与投诉</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_Toc17878 \h </w:instrText>
          </w:r>
          <w:r>
            <w:rPr>
              <w:rFonts w:hint="eastAsia" w:ascii="宋体" w:hAnsi="宋体" w:eastAsia="宋体" w:cs="宋体"/>
              <w:sz w:val="22"/>
              <w:szCs w:val="22"/>
            </w:rPr>
            <w:fldChar w:fldCharType="separate"/>
          </w:r>
          <w:r>
            <w:rPr>
              <w:rFonts w:hint="eastAsia" w:ascii="宋体" w:hAnsi="宋体" w:eastAsia="宋体" w:cs="宋体"/>
              <w:sz w:val="22"/>
              <w:szCs w:val="22"/>
            </w:rPr>
            <w:t>19</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9"/>
            <w:tabs>
              <w:tab w:val="right" w:leader="dot" w:pos="9746"/>
            </w:tabs>
            <w:spacing w:line="312" w:lineRule="auto"/>
            <w:ind w:left="0" w:leftChars="0" w:firstLine="440" w:firstLineChars="200"/>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_Toc23025 </w:instrText>
          </w:r>
          <w:r>
            <w:rPr>
              <w:rFonts w:hint="eastAsia" w:ascii="宋体" w:hAnsi="宋体" w:eastAsia="宋体" w:cs="宋体"/>
              <w:sz w:val="22"/>
              <w:szCs w:val="22"/>
            </w:rPr>
            <w:fldChar w:fldCharType="separate"/>
          </w:r>
          <w:r>
            <w:rPr>
              <w:rFonts w:hint="eastAsia" w:ascii="宋体" w:hAnsi="宋体" w:eastAsia="宋体" w:cs="宋体"/>
              <w:sz w:val="22"/>
              <w:szCs w:val="22"/>
              <w:highlight w:val="none"/>
            </w:rPr>
            <w:t>十六、其他</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_Toc23025 \h </w:instrText>
          </w:r>
          <w:r>
            <w:rPr>
              <w:rFonts w:hint="eastAsia" w:ascii="宋体" w:hAnsi="宋体" w:eastAsia="宋体" w:cs="宋体"/>
              <w:sz w:val="22"/>
              <w:szCs w:val="22"/>
            </w:rPr>
            <w:fldChar w:fldCharType="separate"/>
          </w:r>
          <w:r>
            <w:rPr>
              <w:rFonts w:hint="eastAsia" w:ascii="宋体" w:hAnsi="宋体" w:eastAsia="宋体" w:cs="宋体"/>
              <w:sz w:val="22"/>
              <w:szCs w:val="22"/>
            </w:rPr>
            <w:t>20</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88"/>
            <w:tabs>
              <w:tab w:val="right" w:leader="dot" w:pos="9746"/>
            </w:tabs>
            <w:spacing w:line="312" w:lineRule="auto"/>
            <w:ind w:firstLine="442" w:firstLineChars="200"/>
            <w:rPr>
              <w:rFonts w:hint="eastAsia" w:ascii="宋体" w:hAnsi="宋体" w:eastAsia="宋体" w:cs="宋体"/>
              <w:b/>
              <w:sz w:val="22"/>
              <w:szCs w:val="22"/>
            </w:rPr>
          </w:pPr>
          <w:r>
            <w:rPr>
              <w:rFonts w:hint="eastAsia" w:ascii="宋体" w:hAnsi="宋体" w:eastAsia="宋体" w:cs="宋体"/>
              <w:b/>
              <w:sz w:val="22"/>
              <w:szCs w:val="22"/>
            </w:rPr>
            <w:fldChar w:fldCharType="begin"/>
          </w:r>
          <w:r>
            <w:rPr>
              <w:rFonts w:hint="eastAsia" w:ascii="宋体" w:hAnsi="宋体" w:eastAsia="宋体" w:cs="宋体"/>
              <w:b/>
              <w:sz w:val="22"/>
              <w:szCs w:val="22"/>
            </w:rPr>
            <w:instrText xml:space="preserve"> HYPERLINK \l _Toc5025 </w:instrText>
          </w:r>
          <w:r>
            <w:rPr>
              <w:rFonts w:hint="eastAsia" w:ascii="宋体" w:hAnsi="宋体" w:eastAsia="宋体" w:cs="宋体"/>
              <w:b/>
              <w:sz w:val="22"/>
              <w:szCs w:val="22"/>
            </w:rPr>
            <w:fldChar w:fldCharType="separate"/>
          </w:r>
          <w:r>
            <w:rPr>
              <w:rFonts w:hint="eastAsia" w:ascii="宋体" w:hAnsi="宋体" w:eastAsia="宋体" w:cs="宋体"/>
              <w:b/>
              <w:sz w:val="22"/>
              <w:szCs w:val="22"/>
              <w:highlight w:val="none"/>
            </w:rPr>
            <w:t>第三章  采购内容及要求</w:t>
          </w:r>
          <w:r>
            <w:rPr>
              <w:rFonts w:hint="eastAsia" w:ascii="宋体" w:hAnsi="宋体" w:eastAsia="宋体" w:cs="宋体"/>
              <w:b/>
              <w:sz w:val="22"/>
              <w:szCs w:val="22"/>
            </w:rPr>
            <w:tab/>
          </w:r>
          <w:r>
            <w:rPr>
              <w:rFonts w:hint="eastAsia" w:ascii="宋体" w:hAnsi="宋体" w:eastAsia="宋体" w:cs="宋体"/>
              <w:b/>
              <w:sz w:val="22"/>
              <w:szCs w:val="22"/>
            </w:rPr>
            <w:fldChar w:fldCharType="begin"/>
          </w:r>
          <w:r>
            <w:rPr>
              <w:rFonts w:hint="eastAsia" w:ascii="宋体" w:hAnsi="宋体" w:eastAsia="宋体" w:cs="宋体"/>
              <w:b/>
              <w:sz w:val="22"/>
              <w:szCs w:val="22"/>
            </w:rPr>
            <w:instrText xml:space="preserve"> PAGEREF _Toc5025 \h </w:instrText>
          </w:r>
          <w:r>
            <w:rPr>
              <w:rFonts w:hint="eastAsia" w:ascii="宋体" w:hAnsi="宋体" w:eastAsia="宋体" w:cs="宋体"/>
              <w:b/>
              <w:sz w:val="22"/>
              <w:szCs w:val="22"/>
            </w:rPr>
            <w:fldChar w:fldCharType="separate"/>
          </w:r>
          <w:r>
            <w:rPr>
              <w:rFonts w:hint="eastAsia" w:ascii="宋体" w:hAnsi="宋体" w:eastAsia="宋体" w:cs="宋体"/>
              <w:b/>
              <w:sz w:val="22"/>
              <w:szCs w:val="22"/>
            </w:rPr>
            <w:t>21</w:t>
          </w:r>
          <w:r>
            <w:rPr>
              <w:rFonts w:hint="eastAsia" w:ascii="宋体" w:hAnsi="宋体" w:eastAsia="宋体" w:cs="宋体"/>
              <w:b/>
              <w:sz w:val="22"/>
              <w:szCs w:val="22"/>
            </w:rPr>
            <w:fldChar w:fldCharType="end"/>
          </w:r>
          <w:r>
            <w:rPr>
              <w:rFonts w:hint="eastAsia" w:ascii="宋体" w:hAnsi="宋体" w:eastAsia="宋体" w:cs="宋体"/>
              <w:b/>
              <w:sz w:val="22"/>
              <w:szCs w:val="22"/>
            </w:rPr>
            <w:fldChar w:fldCharType="end"/>
          </w:r>
        </w:p>
        <w:p>
          <w:pPr>
            <w:pStyle w:val="88"/>
            <w:tabs>
              <w:tab w:val="right" w:leader="dot" w:pos="9746"/>
            </w:tabs>
            <w:spacing w:line="312" w:lineRule="auto"/>
            <w:ind w:firstLine="442" w:firstLineChars="200"/>
            <w:rPr>
              <w:rFonts w:hint="eastAsia" w:ascii="宋体" w:hAnsi="宋体" w:eastAsia="宋体" w:cs="宋体"/>
              <w:b/>
              <w:sz w:val="22"/>
              <w:szCs w:val="22"/>
            </w:rPr>
          </w:pPr>
          <w:r>
            <w:rPr>
              <w:rFonts w:hint="eastAsia" w:ascii="宋体" w:hAnsi="宋体" w:eastAsia="宋体" w:cs="宋体"/>
              <w:b/>
              <w:sz w:val="22"/>
              <w:szCs w:val="22"/>
            </w:rPr>
            <w:fldChar w:fldCharType="begin"/>
          </w:r>
          <w:r>
            <w:rPr>
              <w:rFonts w:hint="eastAsia" w:ascii="宋体" w:hAnsi="宋体" w:eastAsia="宋体" w:cs="宋体"/>
              <w:b/>
              <w:sz w:val="22"/>
              <w:szCs w:val="22"/>
            </w:rPr>
            <w:instrText xml:space="preserve"> HYPERLINK \l _Toc30031 </w:instrText>
          </w:r>
          <w:r>
            <w:rPr>
              <w:rFonts w:hint="eastAsia" w:ascii="宋体" w:hAnsi="宋体" w:eastAsia="宋体" w:cs="宋体"/>
              <w:b/>
              <w:sz w:val="22"/>
              <w:szCs w:val="22"/>
            </w:rPr>
            <w:fldChar w:fldCharType="separate"/>
          </w:r>
          <w:r>
            <w:rPr>
              <w:rFonts w:hint="eastAsia" w:ascii="宋体" w:hAnsi="宋体" w:eastAsia="宋体" w:cs="宋体"/>
              <w:b/>
              <w:bCs w:val="0"/>
              <w:kern w:val="2"/>
              <w:sz w:val="22"/>
              <w:szCs w:val="22"/>
            </w:rPr>
            <w:t>第四章 磋商原则和磋商方法</w:t>
          </w:r>
          <w:r>
            <w:rPr>
              <w:rFonts w:hint="eastAsia" w:ascii="宋体" w:hAnsi="宋体" w:eastAsia="宋体" w:cs="宋体"/>
              <w:b/>
              <w:sz w:val="22"/>
              <w:szCs w:val="22"/>
            </w:rPr>
            <w:tab/>
          </w:r>
          <w:r>
            <w:rPr>
              <w:rFonts w:hint="eastAsia" w:ascii="宋体" w:hAnsi="宋体" w:eastAsia="宋体" w:cs="宋体"/>
              <w:b/>
              <w:sz w:val="22"/>
              <w:szCs w:val="22"/>
            </w:rPr>
            <w:fldChar w:fldCharType="begin"/>
          </w:r>
          <w:r>
            <w:rPr>
              <w:rFonts w:hint="eastAsia" w:ascii="宋体" w:hAnsi="宋体" w:eastAsia="宋体" w:cs="宋体"/>
              <w:b/>
              <w:sz w:val="22"/>
              <w:szCs w:val="22"/>
            </w:rPr>
            <w:instrText xml:space="preserve"> PAGEREF _Toc30031 \h </w:instrText>
          </w:r>
          <w:r>
            <w:rPr>
              <w:rFonts w:hint="eastAsia" w:ascii="宋体" w:hAnsi="宋体" w:eastAsia="宋体" w:cs="宋体"/>
              <w:b/>
              <w:sz w:val="22"/>
              <w:szCs w:val="22"/>
            </w:rPr>
            <w:fldChar w:fldCharType="separate"/>
          </w:r>
          <w:r>
            <w:rPr>
              <w:rFonts w:hint="eastAsia" w:ascii="宋体" w:hAnsi="宋体" w:eastAsia="宋体" w:cs="宋体"/>
              <w:b/>
              <w:sz w:val="22"/>
              <w:szCs w:val="22"/>
            </w:rPr>
            <w:t>27</w:t>
          </w:r>
          <w:r>
            <w:rPr>
              <w:rFonts w:hint="eastAsia" w:ascii="宋体" w:hAnsi="宋体" w:eastAsia="宋体" w:cs="宋体"/>
              <w:b/>
              <w:sz w:val="22"/>
              <w:szCs w:val="22"/>
            </w:rPr>
            <w:fldChar w:fldCharType="end"/>
          </w:r>
          <w:r>
            <w:rPr>
              <w:rFonts w:hint="eastAsia" w:ascii="宋体" w:hAnsi="宋体" w:eastAsia="宋体" w:cs="宋体"/>
              <w:b/>
              <w:sz w:val="22"/>
              <w:szCs w:val="22"/>
            </w:rPr>
            <w:fldChar w:fldCharType="end"/>
          </w:r>
        </w:p>
        <w:p>
          <w:pPr>
            <w:pStyle w:val="88"/>
            <w:tabs>
              <w:tab w:val="right" w:leader="dot" w:pos="9746"/>
            </w:tabs>
            <w:spacing w:line="312" w:lineRule="auto"/>
            <w:ind w:firstLine="442" w:firstLineChars="200"/>
            <w:rPr>
              <w:rFonts w:hint="eastAsia" w:ascii="宋体" w:hAnsi="宋体" w:eastAsia="宋体" w:cs="宋体"/>
              <w:b/>
              <w:sz w:val="22"/>
              <w:szCs w:val="22"/>
            </w:rPr>
          </w:pPr>
          <w:r>
            <w:rPr>
              <w:rFonts w:hint="eastAsia" w:ascii="宋体" w:hAnsi="宋体" w:eastAsia="宋体" w:cs="宋体"/>
              <w:b/>
              <w:sz w:val="22"/>
              <w:szCs w:val="22"/>
            </w:rPr>
            <w:fldChar w:fldCharType="begin"/>
          </w:r>
          <w:r>
            <w:rPr>
              <w:rFonts w:hint="eastAsia" w:ascii="宋体" w:hAnsi="宋体" w:eastAsia="宋体" w:cs="宋体"/>
              <w:b/>
              <w:sz w:val="22"/>
              <w:szCs w:val="22"/>
            </w:rPr>
            <w:instrText xml:space="preserve"> HYPERLINK \l _Toc26788 </w:instrText>
          </w:r>
          <w:r>
            <w:rPr>
              <w:rFonts w:hint="eastAsia" w:ascii="宋体" w:hAnsi="宋体" w:eastAsia="宋体" w:cs="宋体"/>
              <w:b/>
              <w:sz w:val="22"/>
              <w:szCs w:val="22"/>
            </w:rPr>
            <w:fldChar w:fldCharType="separate"/>
          </w:r>
          <w:r>
            <w:rPr>
              <w:rFonts w:hint="eastAsia" w:ascii="宋体" w:hAnsi="宋体" w:eastAsia="宋体" w:cs="宋体"/>
              <w:b/>
              <w:bCs w:val="0"/>
              <w:kern w:val="2"/>
              <w:sz w:val="22"/>
              <w:szCs w:val="22"/>
            </w:rPr>
            <w:t>第五章 合同主要条款</w:t>
          </w:r>
          <w:r>
            <w:rPr>
              <w:rFonts w:hint="eastAsia" w:ascii="宋体" w:hAnsi="宋体" w:eastAsia="宋体" w:cs="宋体"/>
              <w:b/>
              <w:sz w:val="22"/>
              <w:szCs w:val="22"/>
            </w:rPr>
            <w:t>及格式</w:t>
          </w:r>
          <w:r>
            <w:rPr>
              <w:rFonts w:hint="eastAsia" w:ascii="宋体" w:hAnsi="宋体" w:eastAsia="宋体" w:cs="宋体"/>
              <w:b/>
              <w:sz w:val="22"/>
              <w:szCs w:val="22"/>
            </w:rPr>
            <w:tab/>
          </w:r>
          <w:r>
            <w:rPr>
              <w:rFonts w:hint="eastAsia" w:ascii="宋体" w:hAnsi="宋体" w:eastAsia="宋体" w:cs="宋体"/>
              <w:b/>
              <w:sz w:val="22"/>
              <w:szCs w:val="22"/>
            </w:rPr>
            <w:fldChar w:fldCharType="begin"/>
          </w:r>
          <w:r>
            <w:rPr>
              <w:rFonts w:hint="eastAsia" w:ascii="宋体" w:hAnsi="宋体" w:eastAsia="宋体" w:cs="宋体"/>
              <w:b/>
              <w:sz w:val="22"/>
              <w:szCs w:val="22"/>
            </w:rPr>
            <w:instrText xml:space="preserve"> PAGEREF _Toc26788 \h </w:instrText>
          </w:r>
          <w:r>
            <w:rPr>
              <w:rFonts w:hint="eastAsia" w:ascii="宋体" w:hAnsi="宋体" w:eastAsia="宋体" w:cs="宋体"/>
              <w:b/>
              <w:sz w:val="22"/>
              <w:szCs w:val="22"/>
            </w:rPr>
            <w:fldChar w:fldCharType="separate"/>
          </w:r>
          <w:r>
            <w:rPr>
              <w:rFonts w:hint="eastAsia" w:ascii="宋体" w:hAnsi="宋体" w:eastAsia="宋体" w:cs="宋体"/>
              <w:b/>
              <w:sz w:val="22"/>
              <w:szCs w:val="22"/>
            </w:rPr>
            <w:t>33</w:t>
          </w:r>
          <w:r>
            <w:rPr>
              <w:rFonts w:hint="eastAsia" w:ascii="宋体" w:hAnsi="宋体" w:eastAsia="宋体" w:cs="宋体"/>
              <w:b/>
              <w:sz w:val="22"/>
              <w:szCs w:val="22"/>
            </w:rPr>
            <w:fldChar w:fldCharType="end"/>
          </w:r>
          <w:r>
            <w:rPr>
              <w:rFonts w:hint="eastAsia" w:ascii="宋体" w:hAnsi="宋体" w:eastAsia="宋体" w:cs="宋体"/>
              <w:b/>
              <w:sz w:val="22"/>
              <w:szCs w:val="22"/>
            </w:rPr>
            <w:fldChar w:fldCharType="end"/>
          </w:r>
        </w:p>
        <w:p>
          <w:pPr>
            <w:pStyle w:val="88"/>
            <w:tabs>
              <w:tab w:val="right" w:leader="dot" w:pos="9746"/>
            </w:tabs>
            <w:spacing w:line="312" w:lineRule="auto"/>
            <w:ind w:firstLine="442" w:firstLineChars="200"/>
            <w:rPr>
              <w:b/>
            </w:rPr>
          </w:pPr>
          <w:r>
            <w:rPr>
              <w:rFonts w:hint="eastAsia" w:ascii="宋体" w:hAnsi="宋体" w:eastAsia="宋体" w:cs="宋体"/>
              <w:b/>
              <w:sz w:val="22"/>
              <w:szCs w:val="22"/>
            </w:rPr>
            <w:fldChar w:fldCharType="begin"/>
          </w:r>
          <w:r>
            <w:rPr>
              <w:rFonts w:hint="eastAsia" w:ascii="宋体" w:hAnsi="宋体" w:eastAsia="宋体" w:cs="宋体"/>
              <w:b/>
              <w:sz w:val="22"/>
              <w:szCs w:val="22"/>
            </w:rPr>
            <w:instrText xml:space="preserve"> HYPERLINK \l _Toc2611 </w:instrText>
          </w:r>
          <w:r>
            <w:rPr>
              <w:rFonts w:hint="eastAsia" w:ascii="宋体" w:hAnsi="宋体" w:eastAsia="宋体" w:cs="宋体"/>
              <w:b/>
              <w:sz w:val="22"/>
              <w:szCs w:val="22"/>
            </w:rPr>
            <w:fldChar w:fldCharType="separate"/>
          </w:r>
          <w:r>
            <w:rPr>
              <w:rFonts w:hint="eastAsia" w:ascii="宋体" w:hAnsi="宋体" w:eastAsia="宋体" w:cs="宋体"/>
              <w:b/>
              <w:bCs w:val="0"/>
              <w:kern w:val="2"/>
              <w:sz w:val="22"/>
              <w:szCs w:val="22"/>
            </w:rPr>
            <w:t>第六章 竞争性磋商响应文件格式</w:t>
          </w:r>
          <w:r>
            <w:rPr>
              <w:rFonts w:hint="eastAsia" w:ascii="宋体" w:hAnsi="宋体" w:eastAsia="宋体" w:cs="宋体"/>
              <w:b/>
              <w:sz w:val="22"/>
              <w:szCs w:val="22"/>
            </w:rPr>
            <w:tab/>
          </w:r>
          <w:r>
            <w:rPr>
              <w:rFonts w:hint="eastAsia" w:ascii="宋体" w:hAnsi="宋体" w:eastAsia="宋体" w:cs="宋体"/>
              <w:b/>
              <w:sz w:val="22"/>
              <w:szCs w:val="22"/>
            </w:rPr>
            <w:fldChar w:fldCharType="begin"/>
          </w:r>
          <w:r>
            <w:rPr>
              <w:rFonts w:hint="eastAsia" w:ascii="宋体" w:hAnsi="宋体" w:eastAsia="宋体" w:cs="宋体"/>
              <w:b/>
              <w:sz w:val="22"/>
              <w:szCs w:val="22"/>
            </w:rPr>
            <w:instrText xml:space="preserve"> PAGEREF _Toc2611 \h </w:instrText>
          </w:r>
          <w:r>
            <w:rPr>
              <w:rFonts w:hint="eastAsia" w:ascii="宋体" w:hAnsi="宋体" w:eastAsia="宋体" w:cs="宋体"/>
              <w:b/>
              <w:sz w:val="22"/>
              <w:szCs w:val="22"/>
            </w:rPr>
            <w:fldChar w:fldCharType="separate"/>
          </w:r>
          <w:r>
            <w:rPr>
              <w:rFonts w:hint="eastAsia" w:ascii="宋体" w:hAnsi="宋体" w:eastAsia="宋体" w:cs="宋体"/>
              <w:b/>
              <w:sz w:val="22"/>
              <w:szCs w:val="22"/>
            </w:rPr>
            <w:t>38</w:t>
          </w:r>
          <w:r>
            <w:rPr>
              <w:rFonts w:hint="eastAsia" w:ascii="宋体" w:hAnsi="宋体" w:eastAsia="宋体" w:cs="宋体"/>
              <w:b/>
              <w:sz w:val="22"/>
              <w:szCs w:val="22"/>
            </w:rPr>
            <w:fldChar w:fldCharType="end"/>
          </w:r>
          <w:r>
            <w:rPr>
              <w:rFonts w:hint="eastAsia" w:ascii="宋体" w:hAnsi="宋体" w:eastAsia="宋体" w:cs="宋体"/>
              <w:b/>
              <w:sz w:val="22"/>
              <w:szCs w:val="22"/>
            </w:rPr>
            <w:fldChar w:fldCharType="end"/>
          </w:r>
        </w:p>
        <w:p>
          <w:pPr>
            <w:pStyle w:val="88"/>
            <w:tabs>
              <w:tab w:val="right" w:leader="dot" w:pos="9746"/>
            </w:tabs>
            <w:rPr>
              <w:b/>
            </w:rPr>
          </w:pPr>
        </w:p>
        <w:p>
          <w:r>
            <w:rPr>
              <w:b/>
            </w:rPr>
            <w:fldChar w:fldCharType="end"/>
          </w:r>
        </w:p>
      </w:sdtContent>
    </w:sdt>
    <w:p>
      <w:pPr>
        <w:pStyle w:val="3"/>
        <w:spacing w:before="312" w:after="312"/>
        <w:ind w:firstLine="0" w:firstLineChars="0"/>
        <w:outlineLvl w:val="9"/>
        <w:rPr>
          <w:color w:val="auto"/>
          <w:highlight w:val="none"/>
        </w:rPr>
      </w:pPr>
      <w:bookmarkStart w:id="85" w:name="_Toc16134"/>
    </w:p>
    <w:p>
      <w:pPr>
        <w:pStyle w:val="3"/>
        <w:spacing w:before="312" w:after="312"/>
        <w:ind w:firstLine="0" w:firstLineChars="0"/>
        <w:jc w:val="center"/>
        <w:outlineLvl w:val="9"/>
        <w:rPr>
          <w:color w:val="auto"/>
          <w:highlight w:val="none"/>
        </w:rPr>
      </w:pPr>
      <w:bookmarkStart w:id="86" w:name="_Toc16678"/>
    </w:p>
    <w:p>
      <w:pPr>
        <w:pStyle w:val="3"/>
        <w:spacing w:before="312" w:after="312"/>
        <w:ind w:firstLine="0" w:firstLineChars="0"/>
        <w:jc w:val="center"/>
        <w:outlineLvl w:val="9"/>
        <w:rPr>
          <w:color w:val="auto"/>
          <w:highlight w:val="none"/>
        </w:rPr>
      </w:pPr>
    </w:p>
    <w:p>
      <w:pPr>
        <w:pStyle w:val="3"/>
        <w:spacing w:before="312" w:after="312"/>
        <w:ind w:firstLine="0" w:firstLineChars="0"/>
        <w:jc w:val="center"/>
        <w:outlineLvl w:val="9"/>
        <w:rPr>
          <w:color w:val="auto"/>
          <w:highlight w:val="none"/>
        </w:rPr>
        <w:sectPr>
          <w:headerReference r:id="rId9" w:type="default"/>
          <w:footerReference r:id="rId10" w:type="default"/>
          <w:pgSz w:w="11906" w:h="16838"/>
          <w:pgMar w:top="1440" w:right="1080" w:bottom="1440" w:left="1080" w:header="737" w:footer="964" w:gutter="0"/>
          <w:pgBorders>
            <w:top w:val="thinThickSmallGap" w:color="auto" w:sz="12" w:space="10"/>
            <w:left w:val="none" w:sz="0" w:space="0"/>
            <w:bottom w:val="thinThickSmallGap" w:color="auto" w:sz="12" w:space="10"/>
            <w:right w:val="none" w:sz="0" w:space="0"/>
          </w:pgBorders>
          <w:pgNumType w:start="2"/>
          <w:cols w:space="720" w:num="1"/>
          <w:docGrid w:type="lines" w:linePitch="312" w:charSpace="0"/>
        </w:sectPr>
      </w:pPr>
    </w:p>
    <w:p>
      <w:pPr>
        <w:pStyle w:val="3"/>
        <w:spacing w:before="312" w:after="312"/>
        <w:ind w:firstLine="0" w:firstLineChars="0"/>
        <w:jc w:val="center"/>
        <w:rPr>
          <w:color w:val="auto"/>
          <w:highlight w:val="none"/>
        </w:rPr>
      </w:pPr>
      <w:bookmarkStart w:id="87" w:name="_Toc21878"/>
      <w:bookmarkStart w:id="88" w:name="_Toc15278"/>
      <w:r>
        <w:rPr>
          <w:color w:val="auto"/>
          <w:highlight w:val="none"/>
        </w:rPr>
        <w:t>第一章  磋商公告</w:t>
      </w:r>
      <w:bookmarkEnd w:id="85"/>
      <w:bookmarkEnd w:id="86"/>
      <w:bookmarkEnd w:id="87"/>
      <w:bookmarkEnd w:id="88"/>
    </w:p>
    <w:p>
      <w:pPr>
        <w:keepNext w:val="0"/>
        <w:keepLines w:val="0"/>
        <w:pageBreakBefore w:val="0"/>
        <w:numPr>
          <w:ilvl w:val="-1"/>
          <w:numId w:val="0"/>
        </w:numPr>
        <w:tabs>
          <w:tab w:val="left" w:pos="0"/>
        </w:tabs>
        <w:kinsoku/>
        <w:wordWrap/>
        <w:overflowPunct/>
        <w:topLinePunct w:val="0"/>
        <w:autoSpaceDE/>
        <w:autoSpaceDN/>
        <w:bidi w:val="0"/>
        <w:snapToGrid w:val="0"/>
        <w:spacing w:line="288" w:lineRule="auto"/>
        <w:ind w:left="0" w:firstLine="480" w:firstLineChars="200"/>
        <w:jc w:val="left"/>
        <w:textAlignment w:val="auto"/>
        <w:outlineLvl w:val="9"/>
        <w:rPr>
          <w:rFonts w:hint="eastAsia" w:ascii="宋体" w:hAnsi="宋体" w:eastAsia="宋体" w:cs="宋体"/>
          <w:i w:val="0"/>
          <w:iCs w:val="0"/>
          <w:caps w:val="0"/>
          <w:color w:val="auto"/>
          <w:spacing w:val="0"/>
          <w:sz w:val="24"/>
          <w:szCs w:val="24"/>
          <w:highlight w:val="none"/>
          <w:shd w:val="clear"/>
        </w:rPr>
      </w:pPr>
      <w:bookmarkStart w:id="89" w:name="_Toc19434"/>
      <w:bookmarkStart w:id="90" w:name="_Toc5845"/>
      <w:bookmarkStart w:id="91" w:name="_Toc5181"/>
      <w:bookmarkStart w:id="92" w:name="_Toc27703"/>
      <w:bookmarkStart w:id="93" w:name="_Toc21065"/>
      <w:bookmarkStart w:id="94" w:name="_Toc2440"/>
      <w:bookmarkStart w:id="95" w:name="_Toc28359079"/>
      <w:bookmarkStart w:id="96" w:name="_Toc6244"/>
      <w:bookmarkStart w:id="97" w:name="_Toc13995"/>
      <w:bookmarkStart w:id="98" w:name="_Toc26645"/>
      <w:bookmarkStart w:id="99" w:name="_Toc704"/>
      <w:bookmarkStart w:id="100" w:name="_Toc1441"/>
      <w:bookmarkStart w:id="101" w:name="_Toc18383"/>
      <w:bookmarkStart w:id="102" w:name="_Toc29546"/>
      <w:bookmarkStart w:id="103" w:name="_Toc23483"/>
      <w:bookmarkStart w:id="104" w:name="_Toc15482"/>
      <w:bookmarkStart w:id="105" w:name="_Toc16407"/>
      <w:bookmarkStart w:id="106" w:name="_Toc3098"/>
      <w:bookmarkStart w:id="107" w:name="_Toc3151"/>
      <w:bookmarkStart w:id="108" w:name="_Toc28359002"/>
      <w:bookmarkStart w:id="109" w:name="_Toc28447"/>
      <w:bookmarkStart w:id="110" w:name="_Hlk24379207"/>
      <w:r>
        <w:rPr>
          <w:rFonts w:hint="eastAsia" w:ascii="宋体" w:hAnsi="宋体" w:eastAsia="宋体" w:cs="宋体"/>
          <w:i w:val="0"/>
          <w:iCs w:val="0"/>
          <w:caps w:val="0"/>
          <w:color w:val="auto"/>
          <w:spacing w:val="0"/>
          <w:sz w:val="24"/>
          <w:szCs w:val="24"/>
          <w:highlight w:val="none"/>
          <w:shd w:val="clear"/>
        </w:rPr>
        <w:t>根据《龙游县国有企业采购管理办法》（龙政办发</w:t>
      </w:r>
      <w:r>
        <w:rPr>
          <w:rFonts w:hint="eastAsia" w:ascii="宋体" w:hAnsi="宋体" w:cs="宋体"/>
          <w:i w:val="0"/>
          <w:iCs w:val="0"/>
          <w:caps w:val="0"/>
          <w:color w:val="auto"/>
          <w:spacing w:val="0"/>
          <w:sz w:val="24"/>
          <w:szCs w:val="24"/>
          <w:highlight w:val="none"/>
          <w:shd w:val="clear"/>
          <w:lang w:eastAsia="zh-CN"/>
        </w:rPr>
        <w:t>〔</w:t>
      </w:r>
      <w:r>
        <w:rPr>
          <w:rFonts w:hint="eastAsia" w:ascii="宋体" w:hAnsi="宋体" w:eastAsia="宋体" w:cs="宋体"/>
          <w:i w:val="0"/>
          <w:iCs w:val="0"/>
          <w:caps w:val="0"/>
          <w:color w:val="auto"/>
          <w:spacing w:val="0"/>
          <w:sz w:val="24"/>
          <w:szCs w:val="24"/>
          <w:highlight w:val="none"/>
          <w:shd w:val="clear"/>
        </w:rPr>
        <w:t>2021</w:t>
      </w:r>
      <w:r>
        <w:rPr>
          <w:rFonts w:hint="eastAsia" w:ascii="宋体" w:hAnsi="宋体" w:cs="宋体"/>
          <w:i w:val="0"/>
          <w:iCs w:val="0"/>
          <w:caps w:val="0"/>
          <w:color w:val="auto"/>
          <w:spacing w:val="0"/>
          <w:sz w:val="24"/>
          <w:szCs w:val="24"/>
          <w:highlight w:val="none"/>
          <w:shd w:val="clear"/>
          <w:lang w:eastAsia="zh-CN"/>
        </w:rPr>
        <w:t>〕</w:t>
      </w:r>
      <w:r>
        <w:rPr>
          <w:rFonts w:hint="eastAsia" w:ascii="宋体" w:hAnsi="宋体" w:eastAsia="宋体" w:cs="宋体"/>
          <w:i w:val="0"/>
          <w:iCs w:val="0"/>
          <w:caps w:val="0"/>
          <w:color w:val="auto"/>
          <w:spacing w:val="0"/>
          <w:sz w:val="24"/>
          <w:szCs w:val="24"/>
          <w:highlight w:val="none"/>
          <w:shd w:val="clear"/>
        </w:rPr>
        <w:t>58号）等有关规定，</w:t>
      </w:r>
      <w:r>
        <w:rPr>
          <w:rFonts w:hint="eastAsia" w:ascii="宋体" w:hAnsi="宋体" w:cs="宋体"/>
          <w:i w:val="0"/>
          <w:iCs w:val="0"/>
          <w:caps w:val="0"/>
          <w:color w:val="auto"/>
          <w:spacing w:val="0"/>
          <w:sz w:val="24"/>
          <w:szCs w:val="24"/>
          <w:highlight w:val="none"/>
          <w:shd w:val="clear"/>
          <w:lang w:val="en-US" w:eastAsia="zh-CN"/>
        </w:rPr>
        <w:t>衢州宇信工程咨询有限公司</w:t>
      </w:r>
      <w:r>
        <w:rPr>
          <w:rFonts w:hint="eastAsia" w:ascii="宋体" w:hAnsi="宋体" w:eastAsia="宋体" w:cs="宋体"/>
          <w:i w:val="0"/>
          <w:iCs w:val="0"/>
          <w:caps w:val="0"/>
          <w:color w:val="auto"/>
          <w:spacing w:val="0"/>
          <w:sz w:val="24"/>
          <w:szCs w:val="24"/>
          <w:highlight w:val="none"/>
          <w:shd w:val="clear"/>
        </w:rPr>
        <w:t>受</w:t>
      </w:r>
      <w:r>
        <w:rPr>
          <w:rFonts w:hint="eastAsia" w:ascii="宋体" w:hAnsi="宋体"/>
          <w:color w:val="auto"/>
          <w:highlight w:val="none"/>
          <w:lang w:eastAsia="zh-CN"/>
        </w:rPr>
        <w:t>龙游县百益市场管理有限公司</w:t>
      </w:r>
      <w:r>
        <w:rPr>
          <w:rFonts w:hint="eastAsia" w:ascii="宋体" w:hAnsi="宋体" w:eastAsia="宋体" w:cs="宋体"/>
          <w:i w:val="0"/>
          <w:iCs w:val="0"/>
          <w:caps w:val="0"/>
          <w:color w:val="auto"/>
          <w:spacing w:val="0"/>
          <w:sz w:val="24"/>
          <w:szCs w:val="24"/>
          <w:highlight w:val="none"/>
          <w:shd w:val="clear"/>
        </w:rPr>
        <w:t>委托，现就</w:t>
      </w:r>
      <w:r>
        <w:rPr>
          <w:rFonts w:hint="eastAsia" w:ascii="宋体" w:hAnsi="宋体" w:cs="宋体"/>
          <w:b w:val="0"/>
          <w:color w:val="auto"/>
          <w:sz w:val="24"/>
          <w:szCs w:val="24"/>
          <w:highlight w:val="none"/>
          <w:lang w:val="zh-CN"/>
        </w:rPr>
        <w:t>2024年龙游县河西街、飞云路农贸市场保洁外包项目</w:t>
      </w:r>
      <w:r>
        <w:rPr>
          <w:rFonts w:hint="eastAsia" w:ascii="宋体" w:hAnsi="宋体" w:eastAsia="宋体" w:cs="宋体"/>
          <w:i w:val="0"/>
          <w:iCs w:val="0"/>
          <w:caps w:val="0"/>
          <w:color w:val="auto"/>
          <w:spacing w:val="0"/>
          <w:sz w:val="24"/>
          <w:szCs w:val="24"/>
          <w:highlight w:val="none"/>
          <w:shd w:val="clear"/>
        </w:rPr>
        <w:t>进行竞争性磋商采购，欢迎有意向的供应商参加本次采购活动。</w:t>
      </w:r>
    </w:p>
    <w:p>
      <w:pPr>
        <w:keepNext w:val="0"/>
        <w:keepLines w:val="0"/>
        <w:pageBreakBefore w:val="0"/>
        <w:numPr>
          <w:ilvl w:val="255"/>
          <w:numId w:val="0"/>
        </w:numPr>
        <w:kinsoku/>
        <w:wordWrap/>
        <w:overflowPunct/>
        <w:topLinePunct w:val="0"/>
        <w:autoSpaceDE/>
        <w:autoSpaceDN/>
        <w:bidi w:val="0"/>
        <w:snapToGrid w:val="0"/>
        <w:spacing w:line="288" w:lineRule="auto"/>
        <w:ind w:firstLine="482" w:firstLineChars="200"/>
        <w:textAlignment w:val="auto"/>
        <w:outlineLvl w:val="1"/>
        <w:rPr>
          <w:rFonts w:ascii="宋体" w:hAnsi="宋体"/>
          <w:b/>
          <w:bCs/>
          <w:color w:val="auto"/>
          <w:highlight w:val="none"/>
          <w:lang w:val="zh-CN"/>
        </w:rPr>
      </w:pPr>
      <w:bookmarkStart w:id="111" w:name="_Toc3684"/>
      <w:bookmarkStart w:id="112" w:name="_Toc16464"/>
      <w:bookmarkStart w:id="113" w:name="_Toc15716"/>
      <w:bookmarkStart w:id="114" w:name="_Toc4285"/>
      <w:bookmarkStart w:id="115" w:name="_Toc25090"/>
      <w:r>
        <w:rPr>
          <w:rFonts w:hint="eastAsia" w:ascii="宋体" w:hAnsi="宋体"/>
          <w:b/>
          <w:bCs/>
          <w:color w:val="auto"/>
          <w:highlight w:val="none"/>
        </w:rPr>
        <w:t>一、</w:t>
      </w:r>
      <w:r>
        <w:rPr>
          <w:rFonts w:hint="eastAsia" w:ascii="宋体" w:hAnsi="宋体"/>
          <w:b/>
          <w:bCs/>
          <w:color w:val="auto"/>
          <w:highlight w:val="none"/>
          <w:lang w:val="zh-CN"/>
        </w:rPr>
        <w:t>项目基本情况</w:t>
      </w:r>
      <w:bookmarkEnd w:id="89"/>
      <w:bookmarkEnd w:id="90"/>
      <w:bookmarkEnd w:id="91"/>
      <w:bookmarkEnd w:id="111"/>
      <w:bookmarkEnd w:id="112"/>
      <w:bookmarkEnd w:id="113"/>
      <w:bookmarkEnd w:id="114"/>
      <w:bookmarkEnd w:id="115"/>
    </w:p>
    <w:p>
      <w:pPr>
        <w:keepNext w:val="0"/>
        <w:keepLines w:val="0"/>
        <w:pageBreakBefore w:val="0"/>
        <w:numPr>
          <w:ilvl w:val="0"/>
          <w:numId w:val="3"/>
        </w:numPr>
        <w:kinsoku/>
        <w:wordWrap/>
        <w:overflowPunct/>
        <w:topLinePunct w:val="0"/>
        <w:autoSpaceDE/>
        <w:autoSpaceDN/>
        <w:bidi w:val="0"/>
        <w:snapToGrid w:val="0"/>
        <w:spacing w:line="288" w:lineRule="auto"/>
        <w:ind w:lef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LYCG2024YX-046</w:t>
      </w:r>
    </w:p>
    <w:p>
      <w:pPr>
        <w:keepNext w:val="0"/>
        <w:keepLines w:val="0"/>
        <w:pageBreakBefore w:val="0"/>
        <w:numPr>
          <w:ilvl w:val="0"/>
          <w:numId w:val="3"/>
        </w:numPr>
        <w:kinsoku/>
        <w:wordWrap/>
        <w:overflowPunct/>
        <w:topLinePunct w:val="0"/>
        <w:autoSpaceDE/>
        <w:autoSpaceDN/>
        <w:bidi w:val="0"/>
        <w:snapToGrid w:val="0"/>
        <w:spacing w:line="288" w:lineRule="auto"/>
        <w:ind w:firstLine="480" w:firstLineChars="200"/>
        <w:textAlignment w:val="auto"/>
        <w:rPr>
          <w:rFonts w:hint="eastAsia" w:ascii="宋体" w:hAnsi="宋体"/>
          <w:color w:val="auto"/>
          <w:highlight w:val="none"/>
        </w:rPr>
      </w:pPr>
      <w:r>
        <w:rPr>
          <w:rFonts w:hint="eastAsia" w:ascii="宋体" w:hAnsi="宋体" w:eastAsia="宋体" w:cs="宋体"/>
          <w:color w:val="auto"/>
          <w:highlight w:val="none"/>
        </w:rPr>
        <w:tab/>
      </w:r>
      <w:r>
        <w:rPr>
          <w:rFonts w:hint="eastAsia" w:ascii="宋体" w:hAnsi="宋体" w:eastAsia="宋体" w:cs="宋体"/>
          <w:color w:val="auto"/>
          <w:highlight w:val="none"/>
        </w:rPr>
        <w:t>项目名称：</w:t>
      </w:r>
      <w:r>
        <w:rPr>
          <w:rFonts w:hint="eastAsia" w:ascii="宋体" w:hAnsi="宋体"/>
          <w:color w:val="auto"/>
          <w:sz w:val="24"/>
          <w:szCs w:val="24"/>
          <w:highlight w:val="none"/>
          <w:lang w:eastAsia="zh-CN"/>
        </w:rPr>
        <w:t>2024年龙游县河西街、飞云路农贸市场保洁外包项目</w:t>
      </w:r>
    </w:p>
    <w:p>
      <w:pPr>
        <w:keepNext w:val="0"/>
        <w:keepLines w:val="0"/>
        <w:pageBreakBefore w:val="0"/>
        <w:numPr>
          <w:ilvl w:val="0"/>
          <w:numId w:val="3"/>
        </w:numPr>
        <w:kinsoku/>
        <w:wordWrap/>
        <w:overflowPunct/>
        <w:topLinePunct w:val="0"/>
        <w:autoSpaceDE/>
        <w:autoSpaceDN/>
        <w:bidi w:val="0"/>
        <w:snapToGrid w:val="0"/>
        <w:spacing w:line="288" w:lineRule="auto"/>
        <w:ind w:firstLine="480" w:firstLineChars="200"/>
        <w:textAlignment w:val="auto"/>
        <w:rPr>
          <w:rFonts w:hint="eastAsia" w:ascii="宋体" w:hAnsi="宋体"/>
          <w:color w:val="auto"/>
          <w:highlight w:val="none"/>
        </w:rPr>
      </w:pPr>
      <w:r>
        <w:rPr>
          <w:rFonts w:hint="eastAsia" w:ascii="宋体" w:hAnsi="宋体"/>
          <w:color w:val="auto"/>
          <w:highlight w:val="none"/>
        </w:rPr>
        <w:t>预算金额：</w:t>
      </w:r>
      <w:r>
        <w:rPr>
          <w:rFonts w:hint="eastAsia" w:ascii="宋体" w:hAnsi="宋体"/>
          <w:color w:val="auto"/>
          <w:highlight w:val="none"/>
          <w:lang w:val="en-US" w:eastAsia="zh-CN"/>
        </w:rPr>
        <w:t>331806.24元</w:t>
      </w:r>
      <w:r>
        <w:rPr>
          <w:rFonts w:hint="eastAsia" w:ascii="宋体" w:hAnsi="宋体"/>
          <w:color w:val="auto"/>
          <w:highlight w:val="none"/>
        </w:rPr>
        <w:t>；</w:t>
      </w:r>
    </w:p>
    <w:p>
      <w:pPr>
        <w:keepNext w:val="0"/>
        <w:keepLines w:val="0"/>
        <w:pageBreakBefore w:val="0"/>
        <w:numPr>
          <w:ilvl w:val="0"/>
          <w:numId w:val="3"/>
        </w:numPr>
        <w:kinsoku/>
        <w:wordWrap/>
        <w:overflowPunct/>
        <w:topLinePunct w:val="0"/>
        <w:autoSpaceDE/>
        <w:autoSpaceDN/>
        <w:bidi w:val="0"/>
        <w:snapToGrid w:val="0"/>
        <w:spacing w:line="288" w:lineRule="auto"/>
        <w:ind w:firstLine="480" w:firstLineChars="200"/>
        <w:textAlignment w:val="auto"/>
        <w:rPr>
          <w:rFonts w:hint="eastAsia" w:ascii="宋体" w:hAnsi="宋体"/>
          <w:color w:val="auto"/>
          <w:highlight w:val="none"/>
          <w:lang w:val="zh-CN"/>
        </w:rPr>
      </w:pPr>
      <w:r>
        <w:rPr>
          <w:rFonts w:hint="eastAsia" w:ascii="宋体" w:hAnsi="宋体"/>
          <w:color w:val="auto"/>
          <w:highlight w:val="none"/>
          <w:lang w:val="zh-CN"/>
        </w:rPr>
        <w:t>最高限价</w:t>
      </w:r>
      <w:r>
        <w:rPr>
          <w:rFonts w:hint="eastAsia" w:ascii="宋体" w:hAnsi="宋体"/>
          <w:color w:val="auto"/>
          <w:highlight w:val="none"/>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330000</w:t>
      </w:r>
      <w:r>
        <w:rPr>
          <w:rFonts w:hint="eastAsia" w:ascii="宋体" w:hAnsi="宋体"/>
          <w:color w:val="auto"/>
          <w:highlight w:val="none"/>
          <w:lang w:val="en-US" w:eastAsia="zh-CN"/>
        </w:rPr>
        <w:t>元</w:t>
      </w:r>
      <w:r>
        <w:rPr>
          <w:rFonts w:hint="eastAsia" w:ascii="宋体" w:hAnsi="宋体"/>
          <w:color w:val="auto"/>
          <w:highlight w:val="none"/>
        </w:rPr>
        <w:t>；</w:t>
      </w:r>
    </w:p>
    <w:p>
      <w:pPr>
        <w:keepNext w:val="0"/>
        <w:keepLines w:val="0"/>
        <w:pageBreakBefore w:val="0"/>
        <w:numPr>
          <w:ilvl w:val="0"/>
          <w:numId w:val="3"/>
        </w:numPr>
        <w:kinsoku/>
        <w:wordWrap/>
        <w:overflowPunct/>
        <w:topLinePunct w:val="0"/>
        <w:autoSpaceDE/>
        <w:autoSpaceDN/>
        <w:bidi w:val="0"/>
        <w:snapToGrid w:val="0"/>
        <w:spacing w:line="288" w:lineRule="auto"/>
        <w:ind w:firstLine="480" w:firstLineChars="200"/>
        <w:textAlignment w:val="auto"/>
        <w:rPr>
          <w:rFonts w:hint="eastAsia" w:ascii="宋体" w:hAnsi="宋体"/>
          <w:color w:val="auto"/>
          <w:highlight w:val="none"/>
        </w:rPr>
      </w:pPr>
      <w:r>
        <w:rPr>
          <w:rFonts w:hint="eastAsia" w:ascii="宋体" w:hAnsi="宋体"/>
          <w:color w:val="auto"/>
          <w:highlight w:val="none"/>
          <w:lang w:val="zh-CN"/>
        </w:rPr>
        <w:t>招标内容：</w:t>
      </w:r>
      <w:r>
        <w:rPr>
          <w:rFonts w:hint="eastAsia" w:ascii="宋体" w:hAnsi="宋体"/>
          <w:color w:val="auto"/>
          <w:highlight w:val="none"/>
        </w:rPr>
        <w:t>具体</w:t>
      </w:r>
      <w:r>
        <w:rPr>
          <w:rFonts w:hint="eastAsia" w:ascii="宋体" w:hAnsi="宋体"/>
          <w:color w:val="auto"/>
          <w:highlight w:val="none"/>
          <w:lang w:val="zh-CN"/>
        </w:rPr>
        <w:t>详见</w:t>
      </w:r>
      <w:r>
        <w:rPr>
          <w:rFonts w:hint="eastAsia" w:ascii="宋体" w:hAnsi="宋体"/>
          <w:color w:val="auto"/>
          <w:highlight w:val="none"/>
        </w:rPr>
        <w:t>磋商</w:t>
      </w:r>
      <w:r>
        <w:rPr>
          <w:rFonts w:hint="eastAsia" w:ascii="宋体" w:hAnsi="宋体"/>
          <w:color w:val="auto"/>
          <w:highlight w:val="none"/>
          <w:lang w:val="zh-CN"/>
        </w:rPr>
        <w:t>文件“第三章 采购内容及要求”。（包括但不限于标的的名称、数量、简要技术需求或服务要求等）</w:t>
      </w:r>
    </w:p>
    <w:p>
      <w:pPr>
        <w:keepNext w:val="0"/>
        <w:keepLines w:val="0"/>
        <w:pageBreakBefore w:val="0"/>
        <w:numPr>
          <w:ilvl w:val="0"/>
          <w:numId w:val="3"/>
        </w:numPr>
        <w:kinsoku/>
        <w:wordWrap/>
        <w:overflowPunct/>
        <w:topLinePunct w:val="0"/>
        <w:autoSpaceDE/>
        <w:autoSpaceDN/>
        <w:bidi w:val="0"/>
        <w:snapToGrid w:val="0"/>
        <w:spacing w:line="288" w:lineRule="auto"/>
        <w:ind w:firstLine="480" w:firstLineChars="200"/>
        <w:textAlignment w:val="auto"/>
        <w:rPr>
          <w:rFonts w:hint="eastAsia" w:ascii="宋体" w:hAnsi="宋体"/>
          <w:color w:val="auto"/>
          <w:highlight w:val="none"/>
          <w:lang w:val="zh-CN"/>
        </w:rPr>
      </w:pPr>
      <w:r>
        <w:rPr>
          <w:rFonts w:hint="eastAsia" w:ascii="宋体" w:hAnsi="宋体"/>
          <w:color w:val="auto"/>
          <w:highlight w:val="none"/>
          <w:lang w:val="en-US" w:eastAsia="zh-CN"/>
        </w:rPr>
        <w:t>合同履行期限</w:t>
      </w:r>
      <w:r>
        <w:rPr>
          <w:rFonts w:hint="eastAsia" w:ascii="宋体" w:hAnsi="宋体"/>
          <w:color w:val="auto"/>
          <w:highlight w:val="none"/>
          <w:lang w:val="zh-CN"/>
        </w:rPr>
        <w:t>：</w:t>
      </w:r>
      <w:r>
        <w:rPr>
          <w:rFonts w:hint="eastAsia" w:ascii="宋体" w:hAnsi="宋体" w:cs="宋体"/>
          <w:b w:val="0"/>
          <w:bCs w:val="0"/>
          <w:i w:val="0"/>
          <w:iCs w:val="0"/>
          <w:color w:val="auto"/>
          <w:spacing w:val="0"/>
          <w:sz w:val="24"/>
          <w:szCs w:val="24"/>
          <w:highlight w:val="none"/>
          <w:lang w:val="zh-CN" w:eastAsia="zh-CN"/>
        </w:rPr>
        <w:t>自合同签订之日起壹年</w:t>
      </w:r>
      <w:r>
        <w:rPr>
          <w:rFonts w:hint="eastAsia" w:ascii="宋体" w:hAnsi="宋体" w:eastAsia="宋体" w:cs="宋体"/>
          <w:b w:val="0"/>
          <w:bCs w:val="0"/>
          <w:i w:val="0"/>
          <w:iCs w:val="0"/>
          <w:color w:val="auto"/>
          <w:spacing w:val="0"/>
          <w:sz w:val="24"/>
          <w:szCs w:val="24"/>
          <w:highlight w:val="none"/>
          <w:lang w:val="zh-CN" w:eastAsia="zh-CN"/>
        </w:rPr>
        <w:t>。</w:t>
      </w:r>
    </w:p>
    <w:p>
      <w:pPr>
        <w:keepNext w:val="0"/>
        <w:keepLines w:val="0"/>
        <w:pageBreakBefore w:val="0"/>
        <w:numPr>
          <w:ilvl w:val="0"/>
          <w:numId w:val="3"/>
        </w:numPr>
        <w:kinsoku/>
        <w:overflowPunct/>
        <w:autoSpaceDE/>
        <w:autoSpaceDN/>
        <w:bidi w:val="0"/>
        <w:adjustRightInd/>
        <w:snapToGrid w:val="0"/>
        <w:spacing w:line="288" w:lineRule="auto"/>
        <w:ind w:firstLine="480" w:firstLineChars="200"/>
        <w:textAlignment w:val="auto"/>
        <w:rPr>
          <w:rFonts w:hint="eastAsia" w:ascii="宋体" w:hAnsi="宋体" w:eastAsia="宋体" w:cs="宋体"/>
          <w:b w:val="0"/>
          <w:bCs w:val="0"/>
          <w:color w:val="auto"/>
          <w:kern w:val="2"/>
          <w:sz w:val="24"/>
          <w:szCs w:val="24"/>
          <w:highlight w:val="none"/>
          <w:lang w:val="zh-CN" w:eastAsia="zh-CN"/>
        </w:rPr>
      </w:pPr>
      <w:r>
        <w:rPr>
          <w:rFonts w:hint="eastAsia" w:ascii="宋体" w:hAnsi="宋体" w:eastAsia="宋体" w:cs="宋体"/>
          <w:color w:val="auto"/>
          <w:highlight w:val="none"/>
          <w:lang w:val="zh-CN"/>
        </w:rPr>
        <w:t>本项目</w:t>
      </w:r>
      <w:r>
        <w:rPr>
          <w:rFonts w:hint="eastAsia" w:ascii="宋体" w:hAnsi="宋体" w:eastAsia="宋体" w:cs="宋体"/>
          <w:color w:val="auto"/>
          <w:highlight w:val="none"/>
          <w:lang w:val="en-US" w:eastAsia="zh-CN"/>
        </w:rPr>
        <w:t>不</w:t>
      </w:r>
      <w:r>
        <w:rPr>
          <w:rFonts w:hint="eastAsia" w:ascii="宋体" w:hAnsi="宋体" w:eastAsia="宋体" w:cs="宋体"/>
          <w:color w:val="auto"/>
          <w:highlight w:val="none"/>
          <w:lang w:val="zh-CN"/>
        </w:rPr>
        <w:t>接受联合体投标</w:t>
      </w:r>
      <w:bookmarkStart w:id="116" w:name="_Toc8097"/>
      <w:bookmarkStart w:id="117" w:name="_Toc2542"/>
      <w:bookmarkStart w:id="118" w:name="_Toc16248"/>
      <w:bookmarkStart w:id="119" w:name="_Toc8184"/>
      <w:bookmarkStart w:id="120" w:name="_Toc2983"/>
      <w:r>
        <w:rPr>
          <w:rFonts w:hint="eastAsia" w:ascii="宋体" w:hAnsi="宋体" w:eastAsia="宋体" w:cs="宋体"/>
          <w:b w:val="0"/>
          <w:bCs w:val="0"/>
          <w:color w:val="auto"/>
          <w:kern w:val="2"/>
          <w:sz w:val="24"/>
          <w:szCs w:val="24"/>
          <w:highlight w:val="none"/>
          <w:lang w:val="zh-CN" w:eastAsia="zh-CN"/>
        </w:rPr>
        <w:t>。</w:t>
      </w:r>
    </w:p>
    <w:p>
      <w:pPr>
        <w:keepNext w:val="0"/>
        <w:keepLines w:val="0"/>
        <w:pageBreakBefore w:val="0"/>
        <w:numPr>
          <w:ilvl w:val="255"/>
          <w:numId w:val="0"/>
        </w:numPr>
        <w:kinsoku/>
        <w:wordWrap/>
        <w:overflowPunct/>
        <w:topLinePunct w:val="0"/>
        <w:autoSpaceDE/>
        <w:autoSpaceDN/>
        <w:bidi w:val="0"/>
        <w:snapToGrid w:val="0"/>
        <w:spacing w:line="288" w:lineRule="auto"/>
        <w:ind w:firstLine="482" w:firstLineChars="200"/>
        <w:textAlignment w:val="auto"/>
        <w:outlineLvl w:val="1"/>
        <w:rPr>
          <w:rFonts w:ascii="宋体" w:hAnsi="宋体"/>
          <w:b/>
          <w:bCs/>
          <w:color w:val="auto"/>
          <w:highlight w:val="none"/>
        </w:rPr>
      </w:pPr>
      <w:bookmarkStart w:id="121" w:name="_Toc31972"/>
      <w:r>
        <w:rPr>
          <w:rFonts w:hint="eastAsia" w:ascii="宋体" w:hAnsi="宋体"/>
          <w:b/>
          <w:bCs/>
          <w:color w:val="auto"/>
          <w:highlight w:val="none"/>
        </w:rPr>
        <w:t>二、申请人的资格要求</w:t>
      </w:r>
      <w:bookmarkEnd w:id="116"/>
      <w:bookmarkEnd w:id="117"/>
      <w:bookmarkEnd w:id="118"/>
      <w:bookmarkEnd w:id="119"/>
      <w:bookmarkEnd w:id="120"/>
      <w:bookmarkEnd w:id="121"/>
    </w:p>
    <w:p>
      <w:pPr>
        <w:keepNext w:val="0"/>
        <w:keepLines w:val="0"/>
        <w:pageBreakBefore w:val="0"/>
        <w:numPr>
          <w:ilvl w:val="0"/>
          <w:numId w:val="0"/>
        </w:numPr>
        <w:tabs>
          <w:tab w:val="left" w:pos="0"/>
        </w:tabs>
        <w:kinsoku/>
        <w:wordWrap/>
        <w:overflowPunct/>
        <w:topLinePunct w:val="0"/>
        <w:autoSpaceDE/>
        <w:autoSpaceDN/>
        <w:bidi w:val="0"/>
        <w:adjustRightInd/>
        <w:snapToGrid w:val="0"/>
        <w:spacing w:line="288" w:lineRule="auto"/>
        <w:ind w:firstLine="480" w:firstLineChars="200"/>
        <w:jc w:val="left"/>
        <w:textAlignment w:val="auto"/>
        <w:outlineLvl w:val="9"/>
        <w:rPr>
          <w:rFonts w:hint="eastAsia" w:ascii="宋体" w:hAnsi="宋体" w:eastAsia="宋体" w:cs="宋体"/>
          <w:color w:val="auto"/>
          <w:highlight w:val="none"/>
        </w:rPr>
      </w:pPr>
      <w:bookmarkStart w:id="122" w:name="_Toc3109"/>
      <w:bookmarkStart w:id="123" w:name="_Toc29933"/>
      <w:bookmarkStart w:id="124" w:name="_Toc16689"/>
      <w:bookmarkStart w:id="125" w:name="_Toc17140"/>
      <w:bookmarkStart w:id="126" w:name="_Toc15990"/>
      <w:bookmarkStart w:id="127" w:name="_Toc11020"/>
      <w:bookmarkStart w:id="128" w:name="_Toc14383"/>
      <w:r>
        <w:rPr>
          <w:rFonts w:hint="eastAsia" w:ascii="宋体" w:hAnsi="宋体" w:eastAsia="宋体" w:cs="宋体"/>
          <w:color w:val="auto"/>
          <w:highlight w:val="none"/>
        </w:rPr>
        <w:t>1.</w:t>
      </w:r>
      <w:r>
        <w:rPr>
          <w:rFonts w:hint="eastAsia" w:ascii="宋体" w:hAnsi="宋体" w:cs="宋体"/>
          <w:color w:val="auto"/>
          <w:highlight w:val="none"/>
          <w:lang w:eastAsia="zh-CN"/>
        </w:rPr>
        <w:t>满足《龙游县国有企业采购管理办法》（龙政办发〔2021〕58号）第十二条</w:t>
      </w:r>
      <w:r>
        <w:rPr>
          <w:rFonts w:hint="eastAsia" w:ascii="宋体" w:hAnsi="宋体" w:eastAsia="宋体" w:cs="宋体"/>
          <w:color w:val="auto"/>
          <w:highlight w:val="none"/>
        </w:rPr>
        <w:t>规定：</w:t>
      </w:r>
    </w:p>
    <w:p>
      <w:pPr>
        <w:keepNext w:val="0"/>
        <w:keepLines w:val="0"/>
        <w:pageBreakBefore w:val="0"/>
        <w:numPr>
          <w:ilvl w:val="0"/>
          <w:numId w:val="0"/>
        </w:numPr>
        <w:tabs>
          <w:tab w:val="left" w:pos="0"/>
        </w:tabs>
        <w:kinsoku/>
        <w:wordWrap/>
        <w:overflowPunct/>
        <w:topLinePunct w:val="0"/>
        <w:autoSpaceDE/>
        <w:autoSpaceDN/>
        <w:bidi w:val="0"/>
        <w:adjustRightInd/>
        <w:snapToGrid w:val="0"/>
        <w:spacing w:line="288"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1）具有独立承担民事责任的能力；</w:t>
      </w:r>
    </w:p>
    <w:p>
      <w:pPr>
        <w:keepNext w:val="0"/>
        <w:keepLines w:val="0"/>
        <w:pageBreakBefore w:val="0"/>
        <w:numPr>
          <w:ilvl w:val="0"/>
          <w:numId w:val="0"/>
        </w:numPr>
        <w:tabs>
          <w:tab w:val="left" w:pos="0"/>
        </w:tabs>
        <w:kinsoku/>
        <w:wordWrap/>
        <w:overflowPunct/>
        <w:topLinePunct w:val="0"/>
        <w:autoSpaceDE/>
        <w:autoSpaceDN/>
        <w:bidi w:val="0"/>
        <w:adjustRightInd/>
        <w:snapToGrid w:val="0"/>
        <w:spacing w:line="288"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2）具有良好的商业信誉和健全的财务会计制度；</w:t>
      </w:r>
    </w:p>
    <w:p>
      <w:pPr>
        <w:keepNext w:val="0"/>
        <w:keepLines w:val="0"/>
        <w:pageBreakBefore w:val="0"/>
        <w:numPr>
          <w:ilvl w:val="0"/>
          <w:numId w:val="0"/>
        </w:numPr>
        <w:tabs>
          <w:tab w:val="left" w:pos="0"/>
        </w:tabs>
        <w:kinsoku/>
        <w:wordWrap/>
        <w:overflowPunct/>
        <w:topLinePunct w:val="0"/>
        <w:autoSpaceDE/>
        <w:autoSpaceDN/>
        <w:bidi w:val="0"/>
        <w:adjustRightInd/>
        <w:snapToGrid w:val="0"/>
        <w:spacing w:line="288"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3）具有履行合同所必需的设备和专业技术能力；</w:t>
      </w:r>
    </w:p>
    <w:p>
      <w:pPr>
        <w:keepNext w:val="0"/>
        <w:keepLines w:val="0"/>
        <w:pageBreakBefore w:val="0"/>
        <w:numPr>
          <w:ilvl w:val="0"/>
          <w:numId w:val="0"/>
        </w:numPr>
        <w:tabs>
          <w:tab w:val="left" w:pos="0"/>
        </w:tabs>
        <w:kinsoku/>
        <w:wordWrap/>
        <w:overflowPunct/>
        <w:topLinePunct w:val="0"/>
        <w:autoSpaceDE/>
        <w:autoSpaceDN/>
        <w:bidi w:val="0"/>
        <w:adjustRightInd/>
        <w:snapToGrid w:val="0"/>
        <w:spacing w:line="288"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4）有依法缴纳税收和社会保障资金的良好记录；</w:t>
      </w:r>
    </w:p>
    <w:p>
      <w:pPr>
        <w:keepNext w:val="0"/>
        <w:keepLines w:val="0"/>
        <w:pageBreakBefore w:val="0"/>
        <w:numPr>
          <w:ilvl w:val="0"/>
          <w:numId w:val="0"/>
        </w:numPr>
        <w:tabs>
          <w:tab w:val="left" w:pos="0"/>
        </w:tabs>
        <w:kinsoku/>
        <w:wordWrap/>
        <w:overflowPunct/>
        <w:topLinePunct w:val="0"/>
        <w:autoSpaceDE/>
        <w:autoSpaceDN/>
        <w:bidi w:val="0"/>
        <w:adjustRightInd/>
        <w:snapToGrid w:val="0"/>
        <w:spacing w:line="288"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5）参加政府采购活动前三年内，在经营活动中没有重大违法记录；</w:t>
      </w:r>
    </w:p>
    <w:p>
      <w:pPr>
        <w:keepNext w:val="0"/>
        <w:keepLines w:val="0"/>
        <w:pageBreakBefore w:val="0"/>
        <w:numPr>
          <w:ilvl w:val="0"/>
          <w:numId w:val="0"/>
        </w:numPr>
        <w:tabs>
          <w:tab w:val="left" w:pos="0"/>
        </w:tabs>
        <w:kinsoku/>
        <w:wordWrap/>
        <w:overflowPunct/>
        <w:topLinePunct w:val="0"/>
        <w:autoSpaceDE/>
        <w:autoSpaceDN/>
        <w:bidi w:val="0"/>
        <w:adjustRightInd/>
        <w:snapToGrid w:val="0"/>
        <w:spacing w:line="288"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6）法律、行政法规规定的其他条件。</w:t>
      </w:r>
    </w:p>
    <w:p>
      <w:pPr>
        <w:keepNext w:val="0"/>
        <w:keepLines w:val="0"/>
        <w:pageBreakBefore w:val="0"/>
        <w:numPr>
          <w:ilvl w:val="0"/>
          <w:numId w:val="0"/>
        </w:numPr>
        <w:tabs>
          <w:tab w:val="left" w:pos="0"/>
        </w:tabs>
        <w:kinsoku/>
        <w:wordWrap/>
        <w:overflowPunct/>
        <w:topLinePunct w:val="0"/>
        <w:autoSpaceDE/>
        <w:autoSpaceDN/>
        <w:bidi w:val="0"/>
        <w:adjustRightInd/>
        <w:snapToGrid w:val="0"/>
        <w:spacing w:line="288"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2.供应商未被列入失信被执行人名单、重大税收违法案件当事人名单、政府采购严重违法失信行为记录名单，信用信息以信用中国网站（www.creditchina.gov.cn）、中国政府采购网（www.ccgp.gov.cn）公布为准。</w:t>
      </w:r>
    </w:p>
    <w:p>
      <w:pPr>
        <w:keepNext w:val="0"/>
        <w:keepLines w:val="0"/>
        <w:pageBreakBefore w:val="0"/>
        <w:numPr>
          <w:ilvl w:val="0"/>
          <w:numId w:val="0"/>
        </w:numPr>
        <w:tabs>
          <w:tab w:val="left" w:pos="0"/>
        </w:tabs>
        <w:kinsoku/>
        <w:wordWrap/>
        <w:overflowPunct/>
        <w:topLinePunct w:val="0"/>
        <w:autoSpaceDE/>
        <w:autoSpaceDN/>
        <w:bidi w:val="0"/>
        <w:adjustRightInd/>
        <w:snapToGrid w:val="0"/>
        <w:spacing w:line="288" w:lineRule="auto"/>
        <w:ind w:firstLine="480" w:firstLineChars="200"/>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3.单位负责人为同一人或者存在直接控股、管理关系的不同供应商，不得参加同一合同项下的采购活动。</w:t>
      </w:r>
    </w:p>
    <w:bookmarkEnd w:id="122"/>
    <w:bookmarkEnd w:id="123"/>
    <w:bookmarkEnd w:id="124"/>
    <w:bookmarkEnd w:id="125"/>
    <w:bookmarkEnd w:id="126"/>
    <w:bookmarkEnd w:id="127"/>
    <w:p>
      <w:pPr>
        <w:keepNext w:val="0"/>
        <w:keepLines w:val="0"/>
        <w:pageBreakBefore w:val="0"/>
        <w:numPr>
          <w:ilvl w:val="0"/>
          <w:numId w:val="0"/>
        </w:numPr>
        <w:tabs>
          <w:tab w:val="left" w:pos="0"/>
        </w:tabs>
        <w:kinsoku/>
        <w:wordWrap/>
        <w:overflowPunct/>
        <w:topLinePunct w:val="0"/>
        <w:autoSpaceDE/>
        <w:autoSpaceDN/>
        <w:bidi w:val="0"/>
        <w:snapToGrid w:val="0"/>
        <w:spacing w:line="288" w:lineRule="auto"/>
        <w:ind w:firstLine="48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4.落实国企采购政策需满足的资格要求：无。</w:t>
      </w:r>
    </w:p>
    <w:p>
      <w:pPr>
        <w:numPr>
          <w:ilvl w:val="0"/>
          <w:numId w:val="0"/>
        </w:numPr>
        <w:tabs>
          <w:tab w:val="left" w:pos="0"/>
        </w:tabs>
        <w:snapToGrid w:val="0"/>
        <w:spacing w:line="288" w:lineRule="auto"/>
        <w:ind w:firstLine="0"/>
        <w:outlineLvl w:val="9"/>
        <w:rPr>
          <w:rFonts w:hint="eastAsia" w:ascii="宋体" w:hAnsi="宋体" w:eastAsia="宋体" w:cs="宋体"/>
          <w:color w:val="auto"/>
          <w:sz w:val="24"/>
          <w:szCs w:val="24"/>
          <w:highlight w:val="none"/>
          <w:shd w:val="clear"/>
          <w:lang w:eastAsia="zh-CN"/>
        </w:rPr>
      </w:pPr>
      <w:r>
        <w:rPr>
          <w:rFonts w:hint="eastAsia" w:ascii="宋体" w:hAnsi="宋体" w:eastAsia="宋体" w:cs="宋体"/>
          <w:color w:val="auto"/>
          <w:highlight w:val="none"/>
        </w:rPr>
        <w:t>5.本项目的特定资格要求：</w:t>
      </w:r>
      <w:r>
        <w:rPr>
          <w:rFonts w:hint="eastAsia" w:asciiTheme="minorEastAsia" w:hAnsiTheme="minorEastAsia" w:eastAsiaTheme="minorEastAsia" w:cstheme="minorEastAsia"/>
          <w:sz w:val="24"/>
          <w:szCs w:val="24"/>
        </w:rPr>
        <w:t>无。</w:t>
      </w:r>
    </w:p>
    <w:p>
      <w:pPr>
        <w:keepNext w:val="0"/>
        <w:keepLines w:val="0"/>
        <w:pageBreakBefore w:val="0"/>
        <w:widowControl/>
        <w:numPr>
          <w:ilvl w:val="255"/>
          <w:numId w:val="0"/>
        </w:numPr>
        <w:kinsoku/>
        <w:wordWrap/>
        <w:overflowPunct/>
        <w:topLinePunct w:val="0"/>
        <w:autoSpaceDE/>
        <w:autoSpaceDN/>
        <w:bidi w:val="0"/>
        <w:snapToGrid w:val="0"/>
        <w:spacing w:line="288" w:lineRule="auto"/>
        <w:ind w:firstLine="482" w:firstLineChars="200"/>
        <w:textAlignment w:val="auto"/>
        <w:outlineLvl w:val="1"/>
        <w:rPr>
          <w:rFonts w:ascii="宋体" w:hAnsi="宋体"/>
          <w:b/>
          <w:bCs/>
          <w:color w:val="auto"/>
          <w:highlight w:val="none"/>
        </w:rPr>
      </w:pPr>
      <w:bookmarkStart w:id="129" w:name="_Toc26194"/>
      <w:bookmarkStart w:id="130" w:name="_Toc1765"/>
      <w:bookmarkStart w:id="131" w:name="_Toc32492"/>
      <w:bookmarkStart w:id="132" w:name="_Toc20064"/>
      <w:bookmarkStart w:id="133" w:name="_Toc2752"/>
      <w:bookmarkStart w:id="134" w:name="_Toc23129"/>
      <w:bookmarkStart w:id="135" w:name="_Toc21335"/>
      <w:bookmarkStart w:id="136" w:name="_Toc5088"/>
      <w:bookmarkStart w:id="137" w:name="_Toc15586"/>
      <w:bookmarkStart w:id="138" w:name="_Toc31467"/>
      <w:bookmarkStart w:id="139" w:name="_Toc8658"/>
      <w:bookmarkStart w:id="140" w:name="_Toc22403"/>
      <w:r>
        <w:rPr>
          <w:rFonts w:hint="eastAsia" w:ascii="宋体" w:hAnsi="宋体"/>
          <w:b/>
          <w:bCs/>
          <w:color w:val="auto"/>
          <w:highlight w:val="none"/>
        </w:rPr>
        <w:t>三、</w:t>
      </w:r>
      <w:bookmarkEnd w:id="129"/>
      <w:bookmarkEnd w:id="130"/>
      <w:bookmarkEnd w:id="131"/>
      <w:bookmarkEnd w:id="132"/>
      <w:bookmarkEnd w:id="133"/>
      <w:bookmarkEnd w:id="134"/>
      <w:r>
        <w:rPr>
          <w:rFonts w:hint="eastAsia" w:ascii="宋体" w:hAnsi="宋体"/>
          <w:b/>
          <w:bCs/>
          <w:color w:val="auto"/>
          <w:highlight w:val="none"/>
        </w:rPr>
        <w:t>电子评标</w:t>
      </w:r>
      <w:bookmarkEnd w:id="135"/>
      <w:bookmarkEnd w:id="136"/>
      <w:bookmarkEnd w:id="137"/>
      <w:bookmarkEnd w:id="138"/>
      <w:bookmarkEnd w:id="139"/>
      <w:bookmarkEnd w:id="140"/>
    </w:p>
    <w:p>
      <w:pPr>
        <w:keepNext w:val="0"/>
        <w:keepLines w:val="0"/>
        <w:pageBreakBefore w:val="0"/>
        <w:kinsoku/>
        <w:wordWrap/>
        <w:overflowPunct/>
        <w:topLinePunct w:val="0"/>
        <w:autoSpaceDE/>
        <w:autoSpaceDN/>
        <w:bidi w:val="0"/>
        <w:spacing w:line="288" w:lineRule="auto"/>
        <w:ind w:firstLine="480" w:firstLineChars="200"/>
        <w:textAlignment w:val="auto"/>
        <w:rPr>
          <w:rFonts w:ascii="宋体" w:hAnsi="宋体"/>
          <w:color w:val="auto"/>
          <w:highlight w:val="none"/>
        </w:rPr>
      </w:pPr>
      <w:r>
        <w:rPr>
          <w:rFonts w:hint="eastAsia" w:ascii="宋体" w:hAnsi="宋体"/>
          <w:color w:val="auto"/>
          <w:highlight w:val="none"/>
        </w:rPr>
        <w:t>本项目实行不见面电子招投标方式。</w:t>
      </w:r>
    </w:p>
    <w:p>
      <w:pPr>
        <w:keepNext w:val="0"/>
        <w:keepLines w:val="0"/>
        <w:pageBreakBefore w:val="0"/>
        <w:widowControl/>
        <w:numPr>
          <w:ilvl w:val="255"/>
          <w:numId w:val="0"/>
        </w:numPr>
        <w:kinsoku/>
        <w:wordWrap/>
        <w:overflowPunct/>
        <w:topLinePunct w:val="0"/>
        <w:autoSpaceDE/>
        <w:autoSpaceDN/>
        <w:bidi w:val="0"/>
        <w:snapToGrid w:val="0"/>
        <w:spacing w:line="288" w:lineRule="auto"/>
        <w:ind w:firstLine="482" w:firstLineChars="200"/>
        <w:textAlignment w:val="auto"/>
        <w:outlineLvl w:val="1"/>
        <w:rPr>
          <w:rFonts w:ascii="宋体" w:hAnsi="宋体"/>
          <w:b/>
          <w:bCs/>
          <w:color w:val="auto"/>
          <w:highlight w:val="none"/>
        </w:rPr>
      </w:pPr>
      <w:bookmarkStart w:id="141" w:name="_Toc9845"/>
      <w:bookmarkStart w:id="142" w:name="_Toc23676"/>
      <w:bookmarkStart w:id="143" w:name="_Toc18979"/>
      <w:bookmarkStart w:id="144" w:name="_Toc28113"/>
      <w:bookmarkStart w:id="145" w:name="_Toc9237"/>
      <w:bookmarkStart w:id="146" w:name="_Toc32250"/>
      <w:r>
        <w:rPr>
          <w:rFonts w:hint="eastAsia" w:ascii="宋体" w:hAnsi="宋体"/>
          <w:b/>
          <w:bCs/>
          <w:color w:val="auto"/>
          <w:highlight w:val="none"/>
        </w:rPr>
        <w:t>四、磋商文件的获取</w:t>
      </w:r>
      <w:bookmarkEnd w:id="141"/>
      <w:bookmarkEnd w:id="142"/>
      <w:bookmarkEnd w:id="143"/>
      <w:bookmarkEnd w:id="144"/>
      <w:bookmarkEnd w:id="145"/>
      <w:bookmarkEnd w:id="146"/>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1.获取时间：2024年</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日至2024年</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日</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lang w:val="en-US" w:eastAsia="zh-CN"/>
        </w:rPr>
        <w:t>：30(北京时间)（线上获取）</w:t>
      </w:r>
      <w:r>
        <w:rPr>
          <w:rFonts w:hint="eastAsia" w:ascii="宋体" w:hAnsi="宋体" w:cs="宋体"/>
          <w:color w:val="auto"/>
          <w:sz w:val="24"/>
          <w:szCs w:val="24"/>
          <w:highlight w:val="none"/>
          <w:lang w:val="en-US" w:eastAsia="zh-CN"/>
        </w:rPr>
        <w:t>。</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.获取方式：供应商按下述要求获取磋商文件，如未在“衢州市阳光交易服务平台”系统内完成相关流程，引起的响应无效责任自负。</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.本项目实行“衢州市阳光交易服务平台”在线申请获取</w:t>
      </w:r>
      <w:r>
        <w:rPr>
          <w:rFonts w:hint="eastAsia" w:ascii="宋体" w:hAnsi="宋体" w:cs="宋体"/>
          <w:color w:val="auto"/>
          <w:sz w:val="24"/>
          <w:szCs w:val="24"/>
          <w:highlight w:val="none"/>
          <w:lang w:val="en-US" w:eastAsia="zh-CN"/>
        </w:rPr>
        <w:t>磋</w:t>
      </w:r>
      <w:r>
        <w:rPr>
          <w:rFonts w:hint="eastAsia" w:ascii="宋体" w:hAnsi="宋体" w:eastAsia="宋体" w:cs="宋体"/>
          <w:color w:val="auto"/>
          <w:sz w:val="24"/>
          <w:szCs w:val="24"/>
          <w:highlight w:val="none"/>
          <w:lang w:val="en-US" w:eastAsia="zh-CN"/>
        </w:rPr>
        <w:t>商文件，不提供纸质版</w:t>
      </w:r>
      <w:r>
        <w:rPr>
          <w:rFonts w:hint="eastAsia" w:ascii="宋体" w:hAnsi="宋体" w:cs="宋体"/>
          <w:color w:val="auto"/>
          <w:sz w:val="24"/>
          <w:szCs w:val="24"/>
          <w:highlight w:val="none"/>
          <w:lang w:val="en-US" w:eastAsia="zh-CN"/>
        </w:rPr>
        <w:t>磋</w:t>
      </w:r>
      <w:r>
        <w:rPr>
          <w:rFonts w:hint="eastAsia" w:ascii="宋体" w:hAnsi="宋体" w:eastAsia="宋体" w:cs="宋体"/>
          <w:color w:val="auto"/>
          <w:sz w:val="24"/>
          <w:szCs w:val="24"/>
          <w:highlight w:val="none"/>
          <w:lang w:val="en-US" w:eastAsia="zh-CN"/>
        </w:rPr>
        <w:t>商文件。供应商获取</w:t>
      </w:r>
      <w:r>
        <w:rPr>
          <w:rFonts w:hint="eastAsia" w:ascii="宋体" w:hAnsi="宋体" w:cs="宋体"/>
          <w:color w:val="auto"/>
          <w:sz w:val="24"/>
          <w:szCs w:val="24"/>
          <w:highlight w:val="none"/>
          <w:lang w:val="en-US" w:eastAsia="zh-CN"/>
        </w:rPr>
        <w:t>磋</w:t>
      </w:r>
      <w:r>
        <w:rPr>
          <w:rFonts w:hint="eastAsia" w:ascii="宋体" w:hAnsi="宋体" w:eastAsia="宋体" w:cs="宋体"/>
          <w:color w:val="auto"/>
          <w:sz w:val="24"/>
          <w:szCs w:val="24"/>
          <w:highlight w:val="none"/>
          <w:lang w:val="en-US" w:eastAsia="zh-CN"/>
        </w:rPr>
        <w:t>商文件前应先办理“衢州市阳光交易服务平台”供应商信息入库备案同时办理介质CA锁。完成介质CA锁办理预计2-3个工作日，建议各供应商合理安排办理时间。</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.潜在</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登录衢州市阳光交易服务平台（https://qzygjy.com/）办理</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信息入库备案事宜，注册成功并公示24小时无异议后入库。</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未办理企业信息入库的供应商，根据显示界面提示免费注册，填写、上传相关主体信息，带“*”号的必填，填好后“提交”。供应商须提前申领介质CA锁及电子签章，具体操作可参考衢州市阳光交易服务平台交易乙方操作手册。</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CA办理：</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⑴天谷CA：http://www.tseal.cn/tcloud/common.xhtml?projId=307 天谷联系电话：400-087-8198。</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磋</w:t>
      </w:r>
      <w:r>
        <w:rPr>
          <w:rFonts w:hint="eastAsia" w:ascii="宋体" w:hAnsi="宋体" w:eastAsia="宋体" w:cs="宋体"/>
          <w:color w:val="auto"/>
          <w:sz w:val="24"/>
          <w:szCs w:val="24"/>
          <w:highlight w:val="none"/>
          <w:lang w:val="en-US" w:eastAsia="zh-CN"/>
        </w:rPr>
        <w:t>商文件下载：</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6.1 </w:t>
      </w:r>
      <w:r>
        <w:rPr>
          <w:rFonts w:hint="eastAsia" w:ascii="宋体" w:hAnsi="宋体" w:eastAsia="宋体" w:cs="宋体"/>
          <w:color w:val="auto"/>
          <w:sz w:val="24"/>
          <w:szCs w:val="24"/>
          <w:highlight w:val="none"/>
          <w:lang w:val="en-US" w:eastAsia="zh-CN"/>
        </w:rPr>
        <w:t>潜在供应商登录“衢州市阳光交易服务平台”，在线申请获取</w:t>
      </w:r>
      <w:r>
        <w:rPr>
          <w:rFonts w:hint="eastAsia" w:ascii="宋体" w:hAnsi="宋体" w:cs="宋体"/>
          <w:color w:val="auto"/>
          <w:sz w:val="24"/>
          <w:szCs w:val="24"/>
          <w:highlight w:val="none"/>
          <w:lang w:val="en-US" w:eastAsia="zh-CN"/>
        </w:rPr>
        <w:t>磋</w:t>
      </w:r>
      <w:r>
        <w:rPr>
          <w:rFonts w:hint="eastAsia" w:ascii="宋体" w:hAnsi="宋体" w:eastAsia="宋体" w:cs="宋体"/>
          <w:color w:val="auto"/>
          <w:sz w:val="24"/>
          <w:szCs w:val="24"/>
          <w:highlight w:val="none"/>
          <w:lang w:val="en-US" w:eastAsia="zh-CN"/>
        </w:rPr>
        <w:t>商文件(选择采购公告，进入项目,选择“交易前阶段”进入项目在获取</w:t>
      </w:r>
      <w:r>
        <w:rPr>
          <w:rFonts w:hint="eastAsia" w:ascii="宋体" w:hAnsi="宋体" w:cs="宋体"/>
          <w:color w:val="auto"/>
          <w:sz w:val="24"/>
          <w:szCs w:val="24"/>
          <w:highlight w:val="none"/>
          <w:lang w:val="en-US" w:eastAsia="zh-CN"/>
        </w:rPr>
        <w:t>磋</w:t>
      </w:r>
      <w:r>
        <w:rPr>
          <w:rFonts w:hint="eastAsia" w:ascii="宋体" w:hAnsi="宋体" w:eastAsia="宋体" w:cs="宋体"/>
          <w:color w:val="auto"/>
          <w:sz w:val="24"/>
          <w:szCs w:val="24"/>
          <w:highlight w:val="none"/>
          <w:lang w:val="en-US" w:eastAsia="zh-CN"/>
        </w:rPr>
        <w:t>商文件菜单中选择项目,选择“交易文件下载”)。</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6.2 磋商</w:t>
      </w:r>
      <w:r>
        <w:rPr>
          <w:rFonts w:hint="eastAsia" w:ascii="宋体" w:hAnsi="宋体" w:eastAsia="宋体" w:cs="宋体"/>
          <w:color w:val="auto"/>
          <w:sz w:val="24"/>
          <w:szCs w:val="24"/>
          <w:highlight w:val="none"/>
          <w:lang w:val="en-US" w:eastAsia="zh-CN"/>
        </w:rPr>
        <w:t>响应文件的解密：供应商按照平台提示和</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lang w:val="en-US" w:eastAsia="zh-CN"/>
        </w:rPr>
        <w:t>文件的规定在30分钟内于衢州市阳光交易服务平台不见面开标大厅完成在线解密。</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.具体操作指南：详见衢州市阳光交易服务平台“办事指南-衢州市阳光交易服务平台投标人操作手册”，如遇平台技术问题详询4009980000。</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.售价：免费</w:t>
      </w:r>
      <w:r>
        <w:rPr>
          <w:rFonts w:hint="eastAsia" w:ascii="宋体" w:hAnsi="宋体" w:cs="宋体"/>
          <w:color w:val="auto"/>
          <w:sz w:val="24"/>
          <w:szCs w:val="24"/>
          <w:highlight w:val="none"/>
          <w:lang w:val="en-US" w:eastAsia="zh-CN"/>
        </w:rPr>
        <w:t>。</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lang w:val="en-US" w:eastAsia="zh-CN"/>
        </w:rPr>
        <w:t>保证金：/</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2" w:firstLineChars="200"/>
        <w:jc w:val="left"/>
        <w:textAlignment w:val="auto"/>
        <w:outlineLvl w:val="1"/>
        <w:rPr>
          <w:rFonts w:hint="eastAsia" w:ascii="宋体" w:hAnsi="宋体" w:eastAsia="宋体" w:cs="宋体"/>
          <w:b/>
          <w:bCs/>
          <w:color w:val="auto"/>
          <w:sz w:val="24"/>
          <w:szCs w:val="24"/>
          <w:highlight w:val="none"/>
        </w:rPr>
      </w:pPr>
      <w:bookmarkStart w:id="147" w:name="_Toc9498"/>
      <w:bookmarkStart w:id="148" w:name="_Toc16072"/>
      <w:r>
        <w:rPr>
          <w:rFonts w:hint="eastAsia" w:ascii="宋体" w:hAnsi="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val="en-US" w:eastAsia="zh-CN"/>
        </w:rPr>
        <w:t>、投标工具</w:t>
      </w:r>
      <w:bookmarkEnd w:id="147"/>
      <w:bookmarkEnd w:id="148"/>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投标文件制作软件（衢州产交版），下载地址：https://download.bqpoint.com/download/downloaddetail.html?SourceFrom=Ztb&amp;ZtbSoftXiaQuCode=112601&amp;ZtbSoftType=tballinclusive</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联系方式，新点软件客服电话：4009980000。</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2" w:firstLineChars="200"/>
        <w:jc w:val="left"/>
        <w:textAlignment w:val="auto"/>
        <w:outlineLvl w:val="1"/>
        <w:rPr>
          <w:rFonts w:hint="eastAsia" w:ascii="宋体" w:hAnsi="宋体" w:cs="宋体"/>
          <w:b/>
          <w:bCs/>
          <w:color w:val="auto"/>
          <w:sz w:val="24"/>
          <w:szCs w:val="24"/>
          <w:highlight w:val="none"/>
          <w:lang w:val="en-US" w:eastAsia="zh-CN"/>
        </w:rPr>
      </w:pPr>
      <w:bookmarkStart w:id="149" w:name="_Toc27720"/>
      <w:bookmarkStart w:id="150" w:name="_Toc14575"/>
      <w:r>
        <w:rPr>
          <w:rFonts w:hint="eastAsia" w:ascii="宋体" w:hAnsi="宋体" w:cs="宋体"/>
          <w:b/>
          <w:bCs/>
          <w:color w:val="auto"/>
          <w:sz w:val="24"/>
          <w:szCs w:val="24"/>
          <w:highlight w:val="none"/>
          <w:lang w:val="en-US" w:eastAsia="zh-CN"/>
        </w:rPr>
        <w:t>六、解密</w:t>
      </w:r>
      <w:bookmarkEnd w:id="149"/>
      <w:bookmarkEnd w:id="150"/>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lang w:val="en-US" w:eastAsia="zh-CN"/>
        </w:rPr>
        <w:t>响应文件开启时间到后，代理机构（或公证人员）宣布开始解密，30分钟内供应商应完成</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lang w:val="en-US" w:eastAsia="zh-CN"/>
        </w:rPr>
        <w:t>响应文件的解密。供应商解密方式：供应商自行登录衢州市阳光交易服务平台不见面开标大厅（https://qzygjy.com/BidOpening/bidopeninghallaction/hall/login)——投标人身份——我的项目——选择标段——待代理开启解密后进行解密操作，供应商在规定的时间内都已完成解密，则系统自动结束解密；供应商因自身原因未在规定时间内完成解密，则默认自动放弃；</w:t>
      </w:r>
    </w:p>
    <w:p>
      <w:pPr>
        <w:keepNext w:val="0"/>
        <w:keepLines w:val="0"/>
        <w:pageBreakBefore w:val="0"/>
        <w:numPr>
          <w:ilvl w:val="0"/>
          <w:numId w:val="0"/>
        </w:numPr>
        <w:tabs>
          <w:tab w:val="left" w:pos="0"/>
        </w:tabs>
        <w:kinsoku/>
        <w:wordWrap/>
        <w:overflowPunct/>
        <w:topLinePunct w:val="0"/>
        <w:autoSpaceDE/>
        <w:autoSpaceDN/>
        <w:bidi w:val="0"/>
        <w:adjustRightInd/>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2.采购代理机构导入</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lang w:val="en-US" w:eastAsia="zh-CN"/>
        </w:rPr>
        <w:t>响应文件成功后进入评标流程。</w:t>
      </w:r>
    </w:p>
    <w:p>
      <w:pPr>
        <w:keepNext w:val="0"/>
        <w:keepLines w:val="0"/>
        <w:pageBreakBefore w:val="0"/>
        <w:kinsoku/>
        <w:wordWrap/>
        <w:overflowPunct/>
        <w:topLinePunct w:val="0"/>
        <w:autoSpaceDE/>
        <w:autoSpaceDN/>
        <w:bidi w:val="0"/>
        <w:adjustRightInd w:val="0"/>
        <w:spacing w:line="288" w:lineRule="auto"/>
        <w:ind w:firstLine="482" w:firstLineChars="200"/>
        <w:textAlignment w:val="auto"/>
        <w:outlineLvl w:val="1"/>
        <w:rPr>
          <w:rFonts w:hint="eastAsia" w:ascii="宋体" w:hAnsi="宋体"/>
          <w:b/>
          <w:color w:val="auto"/>
          <w:szCs w:val="21"/>
          <w:highlight w:val="none"/>
        </w:rPr>
      </w:pPr>
      <w:bookmarkStart w:id="151" w:name="_Toc28115"/>
      <w:bookmarkStart w:id="152" w:name="_Toc27244"/>
      <w:r>
        <w:rPr>
          <w:rFonts w:hint="eastAsia" w:ascii="宋体" w:hAnsi="宋体"/>
          <w:b/>
          <w:color w:val="auto"/>
          <w:szCs w:val="21"/>
          <w:highlight w:val="none"/>
          <w:lang w:val="en-US" w:eastAsia="zh-CN"/>
        </w:rPr>
        <w:t>七、磋商响应文件递交截止时间和地点</w:t>
      </w:r>
      <w:bookmarkEnd w:id="151"/>
      <w:bookmarkEnd w:id="152"/>
    </w:p>
    <w:p>
      <w:pPr>
        <w:keepNext w:val="0"/>
        <w:keepLines w:val="0"/>
        <w:pageBreakBefore w:val="0"/>
        <w:numPr>
          <w:ilvl w:val="0"/>
          <w:numId w:val="0"/>
        </w:numPr>
        <w:tabs>
          <w:tab w:val="left" w:pos="0"/>
        </w:tabs>
        <w:kinsoku/>
        <w:wordWrap/>
        <w:overflowPunct/>
        <w:topLinePunct w:val="0"/>
        <w:autoSpaceDE/>
        <w:autoSpaceDN/>
        <w:bidi w:val="0"/>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1.响应文件递交截止时间（磋商截止时间，下同）：202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时30分00秒。</w:t>
      </w:r>
    </w:p>
    <w:p>
      <w:pPr>
        <w:keepNext w:val="0"/>
        <w:keepLines w:val="0"/>
        <w:pageBreakBefore w:val="0"/>
        <w:numPr>
          <w:ilvl w:val="0"/>
          <w:numId w:val="0"/>
        </w:numPr>
        <w:tabs>
          <w:tab w:val="left" w:pos="0"/>
        </w:tabs>
        <w:kinsoku/>
        <w:wordWrap/>
        <w:overflowPunct/>
        <w:topLinePunct w:val="0"/>
        <w:autoSpaceDE/>
        <w:autoSpaceDN/>
        <w:bidi w:val="0"/>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2.响应文件递交方式：电子</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响应文件采用网上递交的方式，上传至衢州市阳光交易服务平台（https://qzygjy.com/TPBidder/memberLogin?type=13）。</w:t>
      </w:r>
    </w:p>
    <w:p>
      <w:pPr>
        <w:keepNext w:val="0"/>
        <w:keepLines w:val="0"/>
        <w:pageBreakBefore w:val="0"/>
        <w:numPr>
          <w:ilvl w:val="0"/>
          <w:numId w:val="0"/>
        </w:numPr>
        <w:tabs>
          <w:tab w:val="left" w:pos="0"/>
        </w:tabs>
        <w:kinsoku/>
        <w:wordWrap/>
        <w:overflowPunct/>
        <w:topLinePunct w:val="0"/>
        <w:autoSpaceDE/>
        <w:autoSpaceDN/>
        <w:bidi w:val="0"/>
        <w:spacing w:line="288"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3.网上开标地点：衢州市阳光交易服务平台不见面开标大厅（网址：https://qzygjy.com/BidOpening/bidopeninghallaction/hall/login）。操作手册见官网首页下载中心。</w:t>
      </w:r>
    </w:p>
    <w:p>
      <w:pPr>
        <w:keepNext w:val="0"/>
        <w:keepLines w:val="0"/>
        <w:pageBreakBefore w:val="0"/>
        <w:kinsoku/>
        <w:wordWrap/>
        <w:overflowPunct/>
        <w:topLinePunct w:val="0"/>
        <w:autoSpaceDE/>
        <w:autoSpaceDN/>
        <w:bidi w:val="0"/>
        <w:adjustRightInd w:val="0"/>
        <w:spacing w:line="288" w:lineRule="auto"/>
        <w:ind w:firstLine="482" w:firstLineChars="200"/>
        <w:textAlignment w:val="auto"/>
        <w:outlineLvl w:val="1"/>
        <w:rPr>
          <w:rFonts w:ascii="宋体" w:hAnsi="宋体"/>
          <w:b/>
          <w:color w:val="auto"/>
          <w:szCs w:val="21"/>
          <w:highlight w:val="none"/>
        </w:rPr>
      </w:pPr>
      <w:bookmarkStart w:id="153" w:name="_Toc15965"/>
      <w:bookmarkStart w:id="154" w:name="_Toc709"/>
      <w:bookmarkStart w:id="155" w:name="_Toc31581"/>
      <w:bookmarkStart w:id="156" w:name="_Toc9571"/>
      <w:bookmarkStart w:id="157" w:name="_Toc7618"/>
      <w:bookmarkStart w:id="158" w:name="_Toc24302"/>
      <w:bookmarkStart w:id="159" w:name="_Toc12929"/>
      <w:bookmarkStart w:id="160" w:name="_Toc5110"/>
      <w:bookmarkStart w:id="161" w:name="_Toc32167"/>
      <w:bookmarkStart w:id="162" w:name="_Toc27961"/>
      <w:r>
        <w:rPr>
          <w:rFonts w:hint="eastAsia" w:ascii="宋体" w:hAnsi="宋体"/>
          <w:b/>
          <w:color w:val="auto"/>
          <w:szCs w:val="21"/>
          <w:highlight w:val="none"/>
          <w:lang w:val="en-US" w:eastAsia="zh-CN"/>
        </w:rPr>
        <w:t>八</w:t>
      </w:r>
      <w:r>
        <w:rPr>
          <w:rFonts w:hint="eastAsia" w:ascii="宋体" w:hAnsi="宋体"/>
          <w:b/>
          <w:color w:val="auto"/>
          <w:szCs w:val="21"/>
          <w:highlight w:val="none"/>
        </w:rPr>
        <w:t>、发布公告的媒介</w:t>
      </w:r>
      <w:bookmarkEnd w:id="153"/>
      <w:bookmarkEnd w:id="154"/>
      <w:bookmarkEnd w:id="155"/>
      <w:bookmarkEnd w:id="156"/>
      <w:bookmarkEnd w:id="157"/>
      <w:bookmarkEnd w:id="158"/>
    </w:p>
    <w:p>
      <w:pPr>
        <w:keepNext w:val="0"/>
        <w:keepLines w:val="0"/>
        <w:pageBreakBefore w:val="0"/>
        <w:kinsoku/>
        <w:wordWrap/>
        <w:overflowPunct/>
        <w:topLinePunct w:val="0"/>
        <w:autoSpaceDE/>
        <w:autoSpaceDN/>
        <w:bidi w:val="0"/>
        <w:adjustRightInd w:val="0"/>
        <w:spacing w:line="288" w:lineRule="auto"/>
        <w:ind w:firstLine="480" w:firstLineChars="200"/>
        <w:textAlignment w:val="auto"/>
        <w:rPr>
          <w:rFonts w:ascii="宋体" w:hAnsi="宋体"/>
          <w:color w:val="auto"/>
          <w:szCs w:val="21"/>
          <w:highlight w:val="none"/>
        </w:rPr>
      </w:pPr>
      <w:r>
        <w:rPr>
          <w:rFonts w:hint="eastAsia" w:ascii="宋体" w:hAnsi="宋体"/>
          <w:color w:val="auto"/>
          <w:szCs w:val="21"/>
          <w:highlight w:val="none"/>
        </w:rPr>
        <w:t>本招标公告在“衢州市阳光交易服务平台https://qzygjy.com/</w:t>
      </w:r>
      <w:r>
        <w:rPr>
          <w:rFonts w:hint="eastAsia" w:ascii="宋体" w:hAnsi="宋体"/>
          <w:color w:val="auto"/>
          <w:szCs w:val="21"/>
          <w:highlight w:val="none"/>
          <w:lang w:eastAsia="zh-CN"/>
        </w:rPr>
        <w:t>”“</w:t>
      </w:r>
      <w:r>
        <w:rPr>
          <w:rFonts w:hint="eastAsia" w:ascii="宋体" w:hAnsi="宋体"/>
          <w:color w:val="auto"/>
          <w:szCs w:val="21"/>
          <w:highlight w:val="none"/>
        </w:rPr>
        <w:t>浙江政府采购网https://zfcg.czt.zj.gov.cn/”上发布。</w:t>
      </w:r>
    </w:p>
    <w:bookmarkEnd w:id="159"/>
    <w:bookmarkEnd w:id="160"/>
    <w:bookmarkEnd w:id="161"/>
    <w:bookmarkEnd w:id="162"/>
    <w:p>
      <w:pPr>
        <w:keepNext w:val="0"/>
        <w:keepLines w:val="0"/>
        <w:pageBreakBefore w:val="0"/>
        <w:numPr>
          <w:ilvl w:val="255"/>
          <w:numId w:val="0"/>
        </w:numPr>
        <w:kinsoku/>
        <w:wordWrap/>
        <w:overflowPunct/>
        <w:topLinePunct w:val="0"/>
        <w:autoSpaceDE/>
        <w:autoSpaceDN/>
        <w:bidi w:val="0"/>
        <w:snapToGrid w:val="0"/>
        <w:spacing w:line="288" w:lineRule="auto"/>
        <w:ind w:firstLine="482" w:firstLineChars="200"/>
        <w:textAlignment w:val="auto"/>
        <w:outlineLvl w:val="1"/>
        <w:rPr>
          <w:rFonts w:ascii="宋体" w:hAnsi="宋体"/>
          <w:b/>
          <w:bCs/>
          <w:color w:val="auto"/>
          <w:highlight w:val="none"/>
          <w:lang w:val="zh-CN"/>
        </w:rPr>
      </w:pPr>
      <w:bookmarkStart w:id="163" w:name="_Toc32256"/>
      <w:bookmarkStart w:id="164" w:name="_Toc31991"/>
      <w:bookmarkStart w:id="165" w:name="_Toc30034"/>
      <w:bookmarkStart w:id="166" w:name="_Toc5934"/>
      <w:bookmarkStart w:id="167" w:name="_Toc28973"/>
      <w:bookmarkStart w:id="168" w:name="_Toc31098"/>
      <w:bookmarkStart w:id="169" w:name="_Toc23020"/>
      <w:bookmarkStart w:id="170" w:name="_Toc13827"/>
      <w:bookmarkStart w:id="171" w:name="_Toc17860"/>
      <w:bookmarkStart w:id="172" w:name="_Toc20525"/>
      <w:bookmarkStart w:id="173" w:name="_Toc6741"/>
      <w:bookmarkStart w:id="174" w:name="_Toc24482"/>
      <w:bookmarkStart w:id="175" w:name="_Toc18088"/>
      <w:bookmarkStart w:id="176" w:name="_Toc7001"/>
      <w:bookmarkStart w:id="177" w:name="_Toc21431"/>
      <w:bookmarkStart w:id="178" w:name="_Toc4388"/>
      <w:bookmarkStart w:id="179" w:name="_Toc19503"/>
      <w:bookmarkStart w:id="180" w:name="_Toc30620"/>
      <w:bookmarkStart w:id="181" w:name="_Toc615"/>
      <w:bookmarkStart w:id="182" w:name="_Toc16995"/>
      <w:bookmarkStart w:id="183" w:name="_Toc3728"/>
      <w:bookmarkStart w:id="184" w:name="_Toc3321"/>
      <w:bookmarkStart w:id="185" w:name="_Toc9962"/>
      <w:bookmarkStart w:id="186" w:name="_Toc29674"/>
      <w:bookmarkStart w:id="187" w:name="_Toc30060"/>
      <w:bookmarkStart w:id="188" w:name="_Toc15296"/>
      <w:bookmarkStart w:id="189" w:name="_Toc2592"/>
      <w:r>
        <w:rPr>
          <w:rFonts w:hint="eastAsia" w:ascii="宋体" w:hAnsi="宋体"/>
          <w:b/>
          <w:bCs/>
          <w:color w:val="auto"/>
          <w:highlight w:val="none"/>
          <w:lang w:val="en-US" w:eastAsia="zh-CN"/>
        </w:rPr>
        <w:t>九</w:t>
      </w:r>
      <w:r>
        <w:rPr>
          <w:rFonts w:hint="eastAsia" w:ascii="宋体" w:hAnsi="宋体"/>
          <w:b/>
          <w:bCs/>
          <w:color w:val="auto"/>
          <w:highlight w:val="none"/>
          <w:lang w:val="zh-CN"/>
        </w:rPr>
        <w:t>、公告期限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keepNext w:val="0"/>
        <w:keepLines w:val="0"/>
        <w:pageBreakBefore w:val="0"/>
        <w:tabs>
          <w:tab w:val="left" w:pos="567"/>
        </w:tabs>
        <w:kinsoku/>
        <w:wordWrap/>
        <w:overflowPunct/>
        <w:topLinePunct w:val="0"/>
        <w:autoSpaceDE/>
        <w:autoSpaceDN/>
        <w:bidi w:val="0"/>
        <w:snapToGrid w:val="0"/>
        <w:spacing w:line="288" w:lineRule="auto"/>
        <w:ind w:firstLine="480" w:firstLineChars="200"/>
        <w:textAlignment w:val="auto"/>
        <w:rPr>
          <w:rFonts w:ascii="宋体" w:hAnsi="宋体"/>
          <w:color w:val="auto"/>
          <w:highlight w:val="none"/>
        </w:rPr>
      </w:pPr>
      <w:r>
        <w:rPr>
          <w:rFonts w:hint="eastAsia" w:ascii="宋体" w:hAnsi="宋体"/>
          <w:color w:val="auto"/>
          <w:highlight w:val="none"/>
        </w:rPr>
        <w:t>自本磋商公告发布之日起3个工作日。</w:t>
      </w:r>
    </w:p>
    <w:p>
      <w:pPr>
        <w:keepNext w:val="0"/>
        <w:keepLines w:val="0"/>
        <w:pageBreakBefore w:val="0"/>
        <w:numPr>
          <w:ilvl w:val="255"/>
          <w:numId w:val="0"/>
        </w:numPr>
        <w:kinsoku/>
        <w:wordWrap/>
        <w:overflowPunct/>
        <w:topLinePunct w:val="0"/>
        <w:autoSpaceDE/>
        <w:autoSpaceDN/>
        <w:bidi w:val="0"/>
        <w:snapToGrid w:val="0"/>
        <w:spacing w:line="288" w:lineRule="auto"/>
        <w:ind w:firstLine="482" w:firstLineChars="200"/>
        <w:textAlignment w:val="auto"/>
        <w:outlineLvl w:val="1"/>
        <w:rPr>
          <w:rFonts w:ascii="宋体" w:hAnsi="宋体"/>
          <w:b/>
          <w:bCs/>
          <w:color w:val="auto"/>
          <w:highlight w:val="none"/>
          <w:lang w:val="zh-CN"/>
        </w:rPr>
      </w:pPr>
      <w:bookmarkStart w:id="190" w:name="_Toc15440"/>
      <w:bookmarkStart w:id="191" w:name="_Toc14198"/>
      <w:bookmarkStart w:id="192" w:name="_Toc1123"/>
      <w:bookmarkStart w:id="193" w:name="_Toc21407"/>
      <w:bookmarkStart w:id="194" w:name="_Toc31887"/>
      <w:bookmarkStart w:id="195" w:name="_Toc5521"/>
      <w:bookmarkStart w:id="196" w:name="_Toc16285"/>
      <w:bookmarkStart w:id="197" w:name="_Toc20211"/>
      <w:bookmarkStart w:id="198" w:name="_Toc12880"/>
      <w:bookmarkStart w:id="199" w:name="_Toc21686"/>
      <w:bookmarkStart w:id="200" w:name="_Toc3633"/>
      <w:bookmarkStart w:id="201" w:name="_Toc31633"/>
      <w:bookmarkStart w:id="202" w:name="_Toc5254"/>
      <w:bookmarkStart w:id="203" w:name="_Toc23543"/>
      <w:bookmarkStart w:id="204" w:name="_Toc15789"/>
      <w:bookmarkStart w:id="205" w:name="_Toc31065"/>
      <w:bookmarkStart w:id="206" w:name="_Toc31025"/>
      <w:bookmarkStart w:id="207" w:name="_Toc8636"/>
      <w:bookmarkStart w:id="208" w:name="_Toc26070"/>
      <w:bookmarkStart w:id="209" w:name="_Toc2589"/>
      <w:bookmarkStart w:id="210" w:name="_Toc12785"/>
      <w:bookmarkStart w:id="211" w:name="_Toc29902"/>
      <w:bookmarkStart w:id="212" w:name="_Toc17913"/>
      <w:bookmarkStart w:id="213" w:name="_Toc8449"/>
      <w:bookmarkStart w:id="214" w:name="_Toc18601"/>
      <w:bookmarkStart w:id="215" w:name="_Toc16029"/>
      <w:bookmarkStart w:id="216" w:name="_Toc22373"/>
      <w:bookmarkStart w:id="217" w:name="_Toc26784"/>
      <w:r>
        <w:rPr>
          <w:rFonts w:hint="eastAsia" w:ascii="宋体" w:hAnsi="宋体"/>
          <w:b/>
          <w:bCs/>
          <w:color w:val="auto"/>
          <w:highlight w:val="none"/>
          <w:lang w:val="en-US" w:eastAsia="zh-CN"/>
        </w:rPr>
        <w:t>十</w:t>
      </w:r>
      <w:r>
        <w:rPr>
          <w:rFonts w:hint="eastAsia" w:ascii="宋体" w:hAnsi="宋体"/>
          <w:b/>
          <w:bCs/>
          <w:color w:val="auto"/>
          <w:highlight w:val="none"/>
          <w:lang w:val="zh-CN"/>
        </w:rPr>
        <w:t>、其他补充事宜</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keepNext w:val="0"/>
        <w:keepLines w:val="0"/>
        <w:pageBreakBefore w:val="0"/>
        <w:tabs>
          <w:tab w:val="left" w:pos="567"/>
        </w:tabs>
        <w:kinsoku/>
        <w:wordWrap/>
        <w:overflowPunct/>
        <w:topLinePunct w:val="0"/>
        <w:autoSpaceDE/>
        <w:autoSpaceDN/>
        <w:bidi w:val="0"/>
        <w:snapToGrid w:val="0"/>
        <w:spacing w:line="288" w:lineRule="auto"/>
        <w:ind w:firstLine="480" w:firstLineChars="200"/>
        <w:textAlignment w:val="auto"/>
        <w:rPr>
          <w:rFonts w:ascii="宋体" w:hAnsi="宋体"/>
          <w:color w:val="auto"/>
          <w:highlight w:val="none"/>
        </w:rPr>
      </w:pPr>
      <w:r>
        <w:rPr>
          <w:rFonts w:hint="eastAsia" w:ascii="宋体" w:hAnsi="宋体"/>
          <w:color w:val="auto"/>
          <w:highlight w:val="none"/>
        </w:rPr>
        <w:t>供应商对采购人或</w:t>
      </w:r>
      <w:r>
        <w:rPr>
          <w:rFonts w:hint="eastAsia" w:ascii="宋体" w:hAnsi="宋体"/>
          <w:color w:val="auto"/>
          <w:highlight w:val="none"/>
          <w:lang w:eastAsia="zh-CN"/>
        </w:rPr>
        <w:t>采购代理机构</w:t>
      </w:r>
      <w:r>
        <w:rPr>
          <w:rFonts w:hint="eastAsia" w:ascii="宋体" w:hAnsi="宋体"/>
          <w:color w:val="auto"/>
          <w:highlight w:val="none"/>
        </w:rPr>
        <w:t>的质疑答复不满意或者采购人或</w:t>
      </w:r>
      <w:r>
        <w:rPr>
          <w:rFonts w:hint="eastAsia" w:ascii="宋体" w:hAnsi="宋体"/>
          <w:color w:val="auto"/>
          <w:highlight w:val="none"/>
          <w:lang w:eastAsia="zh-CN"/>
        </w:rPr>
        <w:t>采购代理机构</w:t>
      </w:r>
      <w:r>
        <w:rPr>
          <w:rFonts w:hint="eastAsia" w:ascii="宋体" w:hAnsi="宋体"/>
          <w:color w:val="auto"/>
          <w:highlight w:val="none"/>
        </w:rPr>
        <w:t>未在规定时间内作出答复的，可以在答复期满后十五个工作日内向</w:t>
      </w:r>
      <w:r>
        <w:rPr>
          <w:rFonts w:hint="eastAsia" w:ascii="宋体" w:hAnsi="宋体"/>
          <w:bCs/>
          <w:color w:val="auto"/>
          <w:highlight w:val="none"/>
          <w:lang w:eastAsia="zh-CN"/>
        </w:rPr>
        <w:t>龙游县奔康投资集团有限公司</w:t>
      </w:r>
      <w:r>
        <w:rPr>
          <w:rFonts w:hint="eastAsia" w:ascii="宋体" w:hAnsi="宋体"/>
          <w:bCs/>
          <w:color w:val="auto"/>
          <w:highlight w:val="none"/>
        </w:rPr>
        <w:t>投诉（联系人</w:t>
      </w:r>
      <w:r>
        <w:rPr>
          <w:rFonts w:hint="eastAsia" w:ascii="宋体" w:hAnsi="宋体"/>
          <w:bCs/>
          <w:color w:val="auto"/>
          <w:highlight w:val="none"/>
          <w:lang w:eastAsia="zh-CN"/>
        </w:rPr>
        <w:t>：</w:t>
      </w:r>
      <w:r>
        <w:rPr>
          <w:rFonts w:hint="eastAsia" w:ascii="宋体" w:hAnsi="宋体"/>
          <w:bCs/>
          <w:color w:val="auto"/>
          <w:highlight w:val="none"/>
          <w:lang w:val="en-US" w:eastAsia="zh-CN"/>
        </w:rPr>
        <w:t>郑先生</w:t>
      </w:r>
      <w:r>
        <w:rPr>
          <w:rFonts w:hint="eastAsia" w:ascii="宋体" w:hAnsi="宋体"/>
          <w:bCs/>
          <w:color w:val="auto"/>
          <w:highlight w:val="none"/>
        </w:rPr>
        <w:t>，联系号码：</w:t>
      </w:r>
      <w:r>
        <w:rPr>
          <w:rFonts w:hint="eastAsia" w:ascii="宋体" w:hAnsi="宋体" w:cs="宋体"/>
          <w:bCs/>
          <w:color w:val="auto"/>
          <w:highlight w:val="none"/>
          <w:lang w:eastAsia="zh-CN"/>
        </w:rPr>
        <w:t>0570-7024307</w:t>
      </w:r>
      <w:r>
        <w:rPr>
          <w:rFonts w:hint="eastAsia" w:ascii="宋体" w:hAnsi="宋体"/>
          <w:bCs/>
          <w:color w:val="auto"/>
          <w:highlight w:val="none"/>
        </w:rPr>
        <w:t>，联系地址：</w:t>
      </w:r>
      <w:r>
        <w:rPr>
          <w:rFonts w:hint="eastAsia" w:ascii="宋体" w:hAnsi="宋体"/>
          <w:bCs/>
          <w:color w:val="auto"/>
          <w:highlight w:val="none"/>
          <w:lang w:eastAsia="zh-CN"/>
        </w:rPr>
        <w:t>龙游县龙洲街道龙翔路378号</w:t>
      </w:r>
      <w:r>
        <w:rPr>
          <w:rFonts w:hint="eastAsia" w:ascii="宋体" w:hAnsi="宋体"/>
          <w:bCs/>
          <w:color w:val="auto"/>
          <w:highlight w:val="none"/>
        </w:rPr>
        <w:t>）</w:t>
      </w:r>
      <w:r>
        <w:rPr>
          <w:rFonts w:hint="eastAsia" w:ascii="宋体" w:hAnsi="宋体"/>
          <w:color w:val="auto"/>
          <w:highlight w:val="none"/>
        </w:rPr>
        <w:t>。</w:t>
      </w:r>
    </w:p>
    <w:p>
      <w:pPr>
        <w:keepNext w:val="0"/>
        <w:keepLines w:val="0"/>
        <w:pageBreakBefore w:val="0"/>
        <w:numPr>
          <w:ilvl w:val="255"/>
          <w:numId w:val="0"/>
        </w:numPr>
        <w:kinsoku/>
        <w:wordWrap/>
        <w:overflowPunct/>
        <w:topLinePunct w:val="0"/>
        <w:autoSpaceDE/>
        <w:autoSpaceDN/>
        <w:bidi w:val="0"/>
        <w:snapToGrid w:val="0"/>
        <w:spacing w:line="288" w:lineRule="auto"/>
        <w:ind w:firstLine="482" w:firstLineChars="200"/>
        <w:textAlignment w:val="auto"/>
        <w:outlineLvl w:val="1"/>
        <w:rPr>
          <w:rFonts w:ascii="宋体" w:hAnsi="宋体"/>
          <w:b/>
          <w:bCs/>
          <w:color w:val="auto"/>
          <w:highlight w:val="none"/>
        </w:rPr>
      </w:pPr>
      <w:bookmarkStart w:id="218" w:name="_Toc12397"/>
      <w:bookmarkStart w:id="219" w:name="_Toc19515"/>
      <w:bookmarkStart w:id="220" w:name="_Toc4375"/>
      <w:bookmarkStart w:id="221" w:name="_Toc7089"/>
      <w:bookmarkStart w:id="222" w:name="_Toc4869"/>
      <w:bookmarkStart w:id="223" w:name="_Toc16832"/>
      <w:bookmarkStart w:id="224" w:name="_Toc3570"/>
      <w:bookmarkStart w:id="225" w:name="_Toc30923"/>
      <w:bookmarkStart w:id="226" w:name="_Toc6392"/>
      <w:bookmarkStart w:id="227" w:name="_Toc4537"/>
      <w:bookmarkStart w:id="228" w:name="_Toc16069"/>
      <w:bookmarkStart w:id="229" w:name="_Toc14989"/>
      <w:bookmarkStart w:id="230" w:name="_Toc7004"/>
      <w:bookmarkStart w:id="231" w:name="_Toc14675"/>
      <w:bookmarkStart w:id="232" w:name="_Toc23801"/>
      <w:bookmarkStart w:id="233" w:name="_Toc8106"/>
      <w:bookmarkStart w:id="234" w:name="_Toc16934"/>
      <w:bookmarkStart w:id="235" w:name="_Toc9248"/>
      <w:bookmarkStart w:id="236" w:name="_Toc16125"/>
      <w:bookmarkStart w:id="237" w:name="_Toc22164"/>
      <w:bookmarkStart w:id="238" w:name="_Toc26697"/>
      <w:bookmarkStart w:id="239" w:name="_Toc22562"/>
      <w:bookmarkStart w:id="240" w:name="_Toc3531"/>
      <w:bookmarkStart w:id="241" w:name="_Toc29405"/>
      <w:bookmarkStart w:id="242" w:name="_Toc1368"/>
      <w:bookmarkStart w:id="243" w:name="_Toc14123"/>
      <w:bookmarkStart w:id="244" w:name="_Toc1015"/>
      <w:bookmarkStart w:id="245" w:name="_Toc22445"/>
      <w:r>
        <w:rPr>
          <w:rFonts w:hint="eastAsia" w:ascii="宋体" w:hAnsi="宋体"/>
          <w:b/>
          <w:bCs/>
          <w:color w:val="auto"/>
          <w:highlight w:val="none"/>
          <w:lang w:val="en-US" w:eastAsia="zh-CN"/>
        </w:rPr>
        <w:t>十一</w:t>
      </w:r>
      <w:r>
        <w:rPr>
          <w:rFonts w:hint="eastAsia" w:ascii="宋体" w:hAnsi="宋体"/>
          <w:b/>
          <w:bCs/>
          <w:color w:val="auto"/>
          <w:highlight w:val="none"/>
          <w:lang w:val="zh-CN"/>
        </w:rPr>
        <w:t>、</w:t>
      </w:r>
      <w:bookmarkEnd w:id="128"/>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Start w:id="246" w:name="_Toc1494"/>
      <w:r>
        <w:rPr>
          <w:rFonts w:hint="eastAsia" w:ascii="宋体" w:hAnsi="宋体"/>
          <w:b/>
          <w:bCs/>
          <w:color w:val="auto"/>
          <w:highlight w:val="none"/>
        </w:rPr>
        <w:t>对本次采购提出询问</w:t>
      </w:r>
      <w:r>
        <w:rPr>
          <w:rFonts w:hint="eastAsia" w:ascii="宋体" w:hAnsi="宋体"/>
          <w:b/>
          <w:bCs/>
          <w:color w:val="auto"/>
          <w:highlight w:val="none"/>
          <w:lang w:eastAsia="zh-CN"/>
        </w:rPr>
        <w:t>，</w:t>
      </w:r>
      <w:r>
        <w:rPr>
          <w:rFonts w:hint="eastAsia" w:ascii="宋体" w:hAnsi="宋体"/>
          <w:b/>
          <w:bCs/>
          <w:color w:val="auto"/>
          <w:highlight w:val="none"/>
        </w:rPr>
        <w:t>请按以下方式联系</w:t>
      </w:r>
      <w:bookmarkEnd w:id="241"/>
      <w:bookmarkEnd w:id="242"/>
      <w:bookmarkEnd w:id="243"/>
      <w:bookmarkEnd w:id="244"/>
      <w:bookmarkEnd w:id="245"/>
      <w:bookmarkEnd w:id="246"/>
    </w:p>
    <w:p>
      <w:pPr>
        <w:keepNext w:val="0"/>
        <w:keepLines w:val="0"/>
        <w:pageBreakBefore w:val="0"/>
        <w:kinsoku/>
        <w:wordWrap/>
        <w:overflowPunct/>
        <w:topLinePunct w:val="0"/>
        <w:autoSpaceDE/>
        <w:autoSpaceDN/>
        <w:bidi w:val="0"/>
        <w:spacing w:line="288" w:lineRule="auto"/>
        <w:ind w:firstLine="480" w:firstLineChars="200"/>
        <w:textAlignment w:val="auto"/>
        <w:rPr>
          <w:rFonts w:ascii="宋体" w:hAnsi="宋体"/>
          <w:bCs/>
          <w:color w:val="auto"/>
          <w:highlight w:val="none"/>
        </w:rPr>
      </w:pPr>
      <w:bookmarkStart w:id="247" w:name="_Toc19361"/>
      <w:bookmarkStart w:id="248" w:name="_Toc2619"/>
      <w:bookmarkStart w:id="249" w:name="_Toc24117"/>
      <w:bookmarkStart w:id="250" w:name="_Toc25205"/>
      <w:bookmarkStart w:id="251" w:name="_Toc6015"/>
      <w:bookmarkStart w:id="252" w:name="_Toc21280"/>
      <w:bookmarkStart w:id="253" w:name="_Toc20787"/>
      <w:bookmarkStart w:id="254" w:name="_Toc12686"/>
      <w:bookmarkStart w:id="255" w:name="_Toc12500"/>
      <w:bookmarkStart w:id="256" w:name="_Toc30582"/>
      <w:bookmarkStart w:id="257" w:name="_Toc22666"/>
      <w:bookmarkStart w:id="258" w:name="_Toc23630"/>
      <w:bookmarkStart w:id="259" w:name="_Toc14787"/>
      <w:bookmarkStart w:id="260" w:name="_Toc16957"/>
      <w:bookmarkStart w:id="261" w:name="_Toc29890"/>
      <w:r>
        <w:rPr>
          <w:rFonts w:hint="eastAsia" w:ascii="宋体" w:hAnsi="宋体"/>
          <w:bCs/>
          <w:color w:val="auto"/>
          <w:highlight w:val="none"/>
        </w:rPr>
        <w:t>1.采购人信息</w:t>
      </w:r>
    </w:p>
    <w:p>
      <w:pPr>
        <w:keepNext w:val="0"/>
        <w:keepLines w:val="0"/>
        <w:pageBreakBefore w:val="0"/>
        <w:kinsoku/>
        <w:wordWrap/>
        <w:overflowPunct/>
        <w:topLinePunct w:val="0"/>
        <w:autoSpaceDE/>
        <w:autoSpaceDN/>
        <w:bidi w:val="0"/>
        <w:spacing w:line="288" w:lineRule="auto"/>
        <w:ind w:firstLine="480" w:firstLineChars="200"/>
        <w:textAlignment w:val="auto"/>
        <w:rPr>
          <w:rFonts w:ascii="宋体" w:hAnsi="宋体"/>
          <w:bCs/>
          <w:color w:val="auto"/>
          <w:highlight w:val="none"/>
        </w:rPr>
      </w:pPr>
      <w:r>
        <w:rPr>
          <w:rFonts w:hint="eastAsia" w:ascii="宋体" w:hAnsi="宋体"/>
          <w:bCs/>
          <w:color w:val="auto"/>
          <w:highlight w:val="none"/>
        </w:rPr>
        <w:t>名称：</w:t>
      </w:r>
      <w:r>
        <w:rPr>
          <w:rFonts w:hint="eastAsia" w:ascii="宋体" w:hAnsi="宋体"/>
          <w:bCs/>
          <w:color w:val="auto"/>
          <w:highlight w:val="none"/>
          <w:lang w:eastAsia="zh-CN"/>
        </w:rPr>
        <w:t xml:space="preserve">龙游县百益市场管理有限公司  </w:t>
      </w:r>
      <w:r>
        <w:rPr>
          <w:rFonts w:hint="eastAsia" w:ascii="宋体" w:hAnsi="宋体"/>
          <w:bCs/>
          <w:color w:val="auto"/>
          <w:highlight w:val="none"/>
        </w:rPr>
        <w:t xml:space="preserve">    </w:t>
      </w:r>
    </w:p>
    <w:p>
      <w:pPr>
        <w:keepNext w:val="0"/>
        <w:keepLines w:val="0"/>
        <w:pageBreakBefore w:val="0"/>
        <w:widowControl/>
        <w:kinsoku/>
        <w:wordWrap/>
        <w:overflowPunct/>
        <w:topLinePunct w:val="0"/>
        <w:autoSpaceDE/>
        <w:autoSpaceDN/>
        <w:bidi w:val="0"/>
        <w:spacing w:line="288" w:lineRule="auto"/>
        <w:ind w:firstLine="480" w:firstLineChars="200"/>
        <w:jc w:val="left"/>
        <w:textAlignment w:val="auto"/>
        <w:rPr>
          <w:rFonts w:hint="eastAsia" w:ascii="宋体" w:hAnsi="宋体"/>
          <w:bCs/>
          <w:color w:val="auto"/>
          <w:highlight w:val="none"/>
          <w:lang w:eastAsia="zh-CN"/>
        </w:rPr>
      </w:pPr>
      <w:r>
        <w:rPr>
          <w:rFonts w:hint="eastAsia" w:ascii="宋体" w:hAnsi="宋体"/>
          <w:bCs/>
          <w:color w:val="auto"/>
          <w:highlight w:val="none"/>
        </w:rPr>
        <w:t>地址：</w:t>
      </w:r>
      <w:r>
        <w:rPr>
          <w:rFonts w:hint="eastAsia" w:ascii="宋体" w:hAnsi="宋体"/>
          <w:bCs/>
          <w:color w:val="auto"/>
          <w:highlight w:val="none"/>
          <w:lang w:eastAsia="zh-CN"/>
        </w:rPr>
        <w:t>龙游县体育馆路117号</w:t>
      </w:r>
    </w:p>
    <w:p>
      <w:pPr>
        <w:keepNext w:val="0"/>
        <w:keepLines w:val="0"/>
        <w:pageBreakBefore w:val="0"/>
        <w:widowControl/>
        <w:kinsoku/>
        <w:wordWrap/>
        <w:overflowPunct/>
        <w:topLinePunct w:val="0"/>
        <w:autoSpaceDE/>
        <w:autoSpaceDN/>
        <w:bidi w:val="0"/>
        <w:spacing w:line="288" w:lineRule="auto"/>
        <w:ind w:firstLine="480" w:firstLineChars="200"/>
        <w:jc w:val="left"/>
        <w:textAlignment w:val="auto"/>
        <w:rPr>
          <w:rFonts w:hint="eastAsia" w:ascii="宋体" w:hAnsi="宋体" w:eastAsia="宋体"/>
          <w:bCs/>
          <w:color w:val="auto"/>
          <w:highlight w:val="none"/>
          <w:lang w:eastAsia="zh-CN"/>
        </w:rPr>
      </w:pPr>
      <w:r>
        <w:rPr>
          <w:rFonts w:hint="eastAsia" w:ascii="宋体" w:hAnsi="宋体"/>
          <w:bCs/>
          <w:color w:val="auto"/>
          <w:highlight w:val="none"/>
        </w:rPr>
        <w:t>联系人：</w:t>
      </w:r>
      <w:r>
        <w:rPr>
          <w:rFonts w:hint="eastAsia" w:ascii="宋体" w:hAnsi="宋体"/>
          <w:bCs/>
          <w:color w:val="auto"/>
          <w:highlight w:val="none"/>
          <w:lang w:eastAsia="zh-CN"/>
        </w:rPr>
        <w:t>陈先生</w:t>
      </w:r>
    </w:p>
    <w:p>
      <w:pPr>
        <w:keepNext w:val="0"/>
        <w:keepLines w:val="0"/>
        <w:pageBreakBefore w:val="0"/>
        <w:widowControl/>
        <w:kinsoku/>
        <w:wordWrap/>
        <w:overflowPunct/>
        <w:topLinePunct w:val="0"/>
        <w:autoSpaceDE/>
        <w:autoSpaceDN/>
        <w:bidi w:val="0"/>
        <w:spacing w:line="288" w:lineRule="auto"/>
        <w:ind w:firstLine="480" w:firstLineChars="200"/>
        <w:jc w:val="left"/>
        <w:textAlignment w:val="auto"/>
        <w:rPr>
          <w:rFonts w:hint="eastAsia" w:ascii="宋体" w:hAnsi="宋体" w:eastAsia="宋体"/>
          <w:bCs/>
          <w:color w:val="auto"/>
          <w:highlight w:val="none"/>
          <w:lang w:eastAsia="zh-CN"/>
        </w:rPr>
      </w:pPr>
      <w:r>
        <w:rPr>
          <w:rFonts w:hint="eastAsia" w:ascii="宋体" w:hAnsi="宋体"/>
          <w:bCs/>
          <w:color w:val="auto"/>
          <w:highlight w:val="none"/>
        </w:rPr>
        <w:t>联系方式：</w:t>
      </w:r>
      <w:r>
        <w:rPr>
          <w:rFonts w:hint="eastAsia" w:ascii="宋体" w:hAnsi="宋体" w:cs="Times New Roman"/>
          <w:color w:val="auto"/>
          <w:sz w:val="24"/>
          <w:highlight w:val="none"/>
          <w:lang w:val="en-US" w:eastAsia="zh-CN"/>
        </w:rPr>
        <w:t>13567063999</w:t>
      </w:r>
    </w:p>
    <w:p>
      <w:pPr>
        <w:keepNext w:val="0"/>
        <w:keepLines w:val="0"/>
        <w:pageBreakBefore w:val="0"/>
        <w:kinsoku/>
        <w:wordWrap/>
        <w:overflowPunct/>
        <w:topLinePunct w:val="0"/>
        <w:autoSpaceDE/>
        <w:autoSpaceDN/>
        <w:bidi w:val="0"/>
        <w:spacing w:line="288" w:lineRule="auto"/>
        <w:ind w:firstLine="480" w:firstLineChars="200"/>
        <w:textAlignment w:val="auto"/>
        <w:rPr>
          <w:rFonts w:ascii="宋体" w:hAnsi="宋体"/>
          <w:bCs/>
          <w:color w:val="auto"/>
          <w:highlight w:val="none"/>
        </w:rPr>
      </w:pPr>
    </w:p>
    <w:p>
      <w:pPr>
        <w:keepNext w:val="0"/>
        <w:keepLines w:val="0"/>
        <w:pageBreakBefore w:val="0"/>
        <w:numPr>
          <w:ilvl w:val="255"/>
          <w:numId w:val="0"/>
        </w:numPr>
        <w:tabs>
          <w:tab w:val="left" w:pos="0"/>
        </w:tabs>
        <w:kinsoku/>
        <w:wordWrap/>
        <w:overflowPunct/>
        <w:topLinePunct w:val="0"/>
        <w:autoSpaceDE/>
        <w:autoSpaceDN/>
        <w:bidi w:val="0"/>
        <w:snapToGrid w:val="0"/>
        <w:spacing w:line="288" w:lineRule="auto"/>
        <w:ind w:firstLine="480" w:firstLineChars="200"/>
        <w:jc w:val="left"/>
        <w:textAlignment w:val="auto"/>
        <w:outlineLvl w:val="1"/>
        <w:rPr>
          <w:rFonts w:ascii="宋体" w:hAnsi="宋体"/>
          <w:color w:val="auto"/>
          <w:highlight w:val="none"/>
          <w:lang w:val="zh-CN"/>
        </w:rPr>
      </w:pPr>
      <w:bookmarkStart w:id="262" w:name="_Toc13096"/>
      <w:bookmarkStart w:id="263" w:name="_Toc7056"/>
      <w:bookmarkStart w:id="264" w:name="_Toc3771"/>
      <w:bookmarkStart w:id="265" w:name="_Toc14239"/>
      <w:bookmarkStart w:id="266" w:name="_Toc5235"/>
      <w:bookmarkStart w:id="267" w:name="_Toc3838"/>
      <w:bookmarkStart w:id="268" w:name="_Toc6011"/>
      <w:bookmarkStart w:id="269" w:name="_Toc28999"/>
      <w:bookmarkStart w:id="270" w:name="_Toc19489"/>
      <w:bookmarkStart w:id="271" w:name="_Toc27396"/>
      <w:bookmarkStart w:id="272" w:name="_Toc28958"/>
      <w:bookmarkStart w:id="273" w:name="_Toc29246"/>
      <w:bookmarkStart w:id="274" w:name="_Toc15353"/>
      <w:bookmarkStart w:id="275" w:name="_Toc31884"/>
      <w:r>
        <w:rPr>
          <w:rFonts w:hint="eastAsia" w:ascii="宋体" w:hAnsi="宋体"/>
          <w:color w:val="auto"/>
          <w:highlight w:val="none"/>
        </w:rPr>
        <w:t>2.</w:t>
      </w:r>
      <w:r>
        <w:rPr>
          <w:rFonts w:hint="eastAsia" w:ascii="宋体" w:hAnsi="宋体"/>
          <w:color w:val="auto"/>
          <w:highlight w:val="none"/>
          <w:lang w:val="zh-CN"/>
        </w:rPr>
        <w:t>采购代理机构</w:t>
      </w:r>
      <w:r>
        <w:rPr>
          <w:rFonts w:hint="eastAsia" w:ascii="宋体" w:hAnsi="宋体"/>
          <w:color w:val="auto"/>
          <w:highlight w:val="none"/>
        </w:rPr>
        <w:t>信息</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keepNext w:val="0"/>
        <w:keepLines w:val="0"/>
        <w:pageBreakBefore w:val="0"/>
        <w:numPr>
          <w:ilvl w:val="255"/>
          <w:numId w:val="0"/>
        </w:numPr>
        <w:tabs>
          <w:tab w:val="left" w:pos="0"/>
        </w:tabs>
        <w:kinsoku/>
        <w:wordWrap/>
        <w:overflowPunct/>
        <w:topLinePunct w:val="0"/>
        <w:autoSpaceDE/>
        <w:autoSpaceDN/>
        <w:bidi w:val="0"/>
        <w:snapToGrid w:val="0"/>
        <w:spacing w:line="288" w:lineRule="auto"/>
        <w:ind w:firstLine="480" w:firstLineChars="200"/>
        <w:jc w:val="left"/>
        <w:textAlignment w:val="auto"/>
        <w:outlineLvl w:val="1"/>
        <w:rPr>
          <w:rFonts w:ascii="宋体" w:hAnsi="宋体"/>
          <w:color w:val="auto"/>
          <w:highlight w:val="none"/>
          <w:lang w:val="zh-CN"/>
        </w:rPr>
      </w:pPr>
      <w:bookmarkStart w:id="276" w:name="_Toc26765"/>
      <w:bookmarkStart w:id="277" w:name="_Toc11811"/>
      <w:bookmarkStart w:id="278" w:name="_Toc6045"/>
      <w:bookmarkStart w:id="279" w:name="_Toc2087"/>
      <w:bookmarkStart w:id="280" w:name="_Toc16853"/>
      <w:bookmarkStart w:id="281" w:name="_Toc1130"/>
      <w:bookmarkStart w:id="282" w:name="_Toc31911"/>
      <w:bookmarkStart w:id="283" w:name="_Toc31731"/>
      <w:bookmarkStart w:id="284" w:name="_Toc19291"/>
      <w:bookmarkStart w:id="285" w:name="_Toc1175"/>
      <w:bookmarkStart w:id="286" w:name="_Toc297"/>
      <w:bookmarkStart w:id="287" w:name="_Toc14477"/>
      <w:bookmarkStart w:id="288" w:name="_Toc28684"/>
      <w:bookmarkStart w:id="289" w:name="_Toc19855"/>
      <w:r>
        <w:rPr>
          <w:rFonts w:hint="eastAsia" w:ascii="宋体" w:hAnsi="宋体"/>
          <w:color w:val="auto"/>
          <w:highlight w:val="none"/>
          <w:lang w:val="zh-CN"/>
        </w:rPr>
        <w:t>名称：衢州宇信工程咨询有限公司</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keepNext w:val="0"/>
        <w:keepLines w:val="0"/>
        <w:pageBreakBefore w:val="0"/>
        <w:kinsoku/>
        <w:wordWrap/>
        <w:overflowPunct/>
        <w:topLinePunct w:val="0"/>
        <w:autoSpaceDE/>
        <w:autoSpaceDN/>
        <w:bidi w:val="0"/>
        <w:spacing w:line="288" w:lineRule="auto"/>
        <w:ind w:firstLine="480" w:firstLineChars="200"/>
        <w:textAlignment w:val="auto"/>
        <w:rPr>
          <w:rFonts w:ascii="宋体" w:hAnsi="宋体"/>
          <w:bCs/>
          <w:color w:val="auto"/>
          <w:highlight w:val="none"/>
        </w:rPr>
      </w:pPr>
      <w:r>
        <w:rPr>
          <w:rFonts w:hint="eastAsia" w:ascii="宋体" w:hAnsi="宋体"/>
          <w:bCs/>
          <w:color w:val="auto"/>
          <w:highlight w:val="none"/>
        </w:rPr>
        <w:t>地址：龙游县龙洲街道广和商务楼3楼306室</w:t>
      </w:r>
    </w:p>
    <w:p>
      <w:pPr>
        <w:keepNext w:val="0"/>
        <w:keepLines w:val="0"/>
        <w:pageBreakBefore w:val="0"/>
        <w:kinsoku/>
        <w:wordWrap/>
        <w:overflowPunct/>
        <w:topLinePunct w:val="0"/>
        <w:autoSpaceDE/>
        <w:autoSpaceDN/>
        <w:bidi w:val="0"/>
        <w:spacing w:line="288" w:lineRule="auto"/>
        <w:ind w:firstLine="480" w:firstLineChars="200"/>
        <w:textAlignment w:val="auto"/>
        <w:rPr>
          <w:rFonts w:ascii="宋体" w:hAnsi="宋体"/>
          <w:bCs/>
          <w:color w:val="auto"/>
          <w:highlight w:val="none"/>
        </w:rPr>
      </w:pPr>
      <w:r>
        <w:rPr>
          <w:rFonts w:hint="eastAsia" w:ascii="宋体" w:hAnsi="宋体"/>
          <w:bCs/>
          <w:color w:val="auto"/>
          <w:highlight w:val="none"/>
        </w:rPr>
        <w:t>联系人：</w:t>
      </w:r>
      <w:r>
        <w:rPr>
          <w:rFonts w:hint="eastAsia" w:ascii="宋体" w:hAnsi="宋体"/>
          <w:bCs/>
          <w:color w:val="auto"/>
          <w:highlight w:val="none"/>
          <w:u w:val="none"/>
          <w:lang w:eastAsia="zh-CN"/>
        </w:rPr>
        <w:t>祝女士</w:t>
      </w:r>
    </w:p>
    <w:p>
      <w:pPr>
        <w:keepNext w:val="0"/>
        <w:keepLines w:val="0"/>
        <w:pageBreakBefore w:val="0"/>
        <w:kinsoku/>
        <w:wordWrap/>
        <w:overflowPunct/>
        <w:topLinePunct w:val="0"/>
        <w:autoSpaceDE/>
        <w:autoSpaceDN/>
        <w:bidi w:val="0"/>
        <w:spacing w:line="288" w:lineRule="auto"/>
        <w:ind w:firstLine="480" w:firstLineChars="200"/>
        <w:textAlignment w:val="auto"/>
        <w:rPr>
          <w:rFonts w:hint="eastAsia" w:ascii="宋体" w:hAnsi="宋体" w:eastAsia="宋体"/>
          <w:bCs/>
          <w:color w:val="auto"/>
          <w:highlight w:val="none"/>
          <w:lang w:eastAsia="zh-CN"/>
        </w:rPr>
      </w:pPr>
      <w:r>
        <w:rPr>
          <w:rFonts w:hint="eastAsia" w:ascii="宋体" w:hAnsi="宋体"/>
          <w:bCs/>
          <w:color w:val="auto"/>
          <w:highlight w:val="none"/>
        </w:rPr>
        <w:t>联系方式：</w:t>
      </w:r>
      <w:r>
        <w:rPr>
          <w:rFonts w:hint="eastAsia" w:ascii="宋体" w:hAnsi="宋体"/>
          <w:bCs/>
          <w:color w:val="auto"/>
          <w:highlight w:val="none"/>
          <w:lang w:eastAsia="zh-CN"/>
        </w:rPr>
        <w:t>18367068335</w:t>
      </w:r>
    </w:p>
    <w:p>
      <w:pPr>
        <w:pStyle w:val="16"/>
        <w:keepNext w:val="0"/>
        <w:keepLines w:val="0"/>
        <w:pageBreakBefore w:val="0"/>
        <w:kinsoku/>
        <w:wordWrap/>
        <w:overflowPunct/>
        <w:topLinePunct w:val="0"/>
        <w:autoSpaceDE/>
        <w:autoSpaceDN/>
        <w:bidi w:val="0"/>
        <w:spacing w:line="288" w:lineRule="auto"/>
        <w:ind w:firstLine="480" w:firstLineChars="200"/>
        <w:jc w:val="center"/>
        <w:textAlignment w:val="auto"/>
        <w:rPr>
          <w:rFonts w:hint="eastAsia" w:ascii="宋体" w:hAnsi="宋体" w:eastAsia="宋体"/>
          <w:bCs w:val="0"/>
          <w:color w:val="auto"/>
          <w:highlight w:val="none"/>
          <w:lang w:eastAsia="zh-CN"/>
        </w:rPr>
      </w:pPr>
    </w:p>
    <w:p>
      <w:pPr>
        <w:keepNext w:val="0"/>
        <w:keepLines w:val="0"/>
        <w:pageBreakBefore w:val="0"/>
        <w:widowControl/>
        <w:kinsoku/>
        <w:wordWrap/>
        <w:overflowPunct/>
        <w:topLinePunct w:val="0"/>
        <w:autoSpaceDE/>
        <w:autoSpaceDN/>
        <w:bidi w:val="0"/>
        <w:spacing w:line="288" w:lineRule="auto"/>
        <w:ind w:firstLine="480" w:firstLineChars="200"/>
        <w:jc w:val="left"/>
        <w:textAlignment w:val="auto"/>
        <w:rPr>
          <w:rFonts w:ascii="宋体" w:hAnsi="宋体"/>
          <w:bCs/>
          <w:color w:val="auto"/>
          <w:highlight w:val="none"/>
          <w:lang w:val="zh-CN"/>
        </w:rPr>
      </w:pPr>
      <w:bookmarkStart w:id="290" w:name="_Toc23576"/>
      <w:bookmarkStart w:id="291" w:name="_Toc11036"/>
      <w:bookmarkStart w:id="292" w:name="_Toc5624"/>
      <w:bookmarkStart w:id="293" w:name="_Toc11202"/>
      <w:bookmarkStart w:id="294" w:name="_Toc5589"/>
      <w:bookmarkStart w:id="295" w:name="_Toc82"/>
      <w:bookmarkStart w:id="296" w:name="_Toc7454"/>
      <w:bookmarkStart w:id="297" w:name="_Toc31921"/>
      <w:bookmarkStart w:id="298" w:name="_Toc13990"/>
      <w:bookmarkStart w:id="299" w:name="_Toc2610"/>
      <w:bookmarkStart w:id="300" w:name="_Toc21743"/>
      <w:bookmarkStart w:id="301" w:name="_Toc8831"/>
      <w:bookmarkStart w:id="302" w:name="_Toc5031"/>
      <w:bookmarkStart w:id="303" w:name="_Toc13617"/>
      <w:r>
        <w:rPr>
          <w:rFonts w:hint="eastAsia" w:ascii="宋体" w:hAnsi="宋体"/>
          <w:bCs/>
          <w:color w:val="auto"/>
          <w:highlight w:val="none"/>
        </w:rPr>
        <w:t>3.</w:t>
      </w:r>
      <w:r>
        <w:rPr>
          <w:rFonts w:hint="eastAsia" w:ascii="宋体" w:hAnsi="宋体"/>
          <w:bCs/>
          <w:color w:val="auto"/>
          <w:highlight w:val="none"/>
          <w:lang w:val="zh-CN"/>
        </w:rPr>
        <w:t>同级监督管理部门</w:t>
      </w:r>
    </w:p>
    <w:p>
      <w:pPr>
        <w:keepNext w:val="0"/>
        <w:keepLines w:val="0"/>
        <w:pageBreakBefore w:val="0"/>
        <w:widowControl/>
        <w:kinsoku/>
        <w:wordWrap/>
        <w:overflowPunct/>
        <w:topLinePunct w:val="0"/>
        <w:autoSpaceDE/>
        <w:autoSpaceDN/>
        <w:bidi w:val="0"/>
        <w:spacing w:line="288" w:lineRule="auto"/>
        <w:ind w:firstLine="480" w:firstLineChars="200"/>
        <w:jc w:val="left"/>
        <w:textAlignment w:val="auto"/>
        <w:rPr>
          <w:rFonts w:hint="eastAsia" w:ascii="宋体" w:hAnsi="宋体" w:eastAsia="宋体"/>
          <w:bCs/>
          <w:color w:val="auto"/>
          <w:highlight w:val="none"/>
          <w:lang w:eastAsia="zh-CN"/>
        </w:rPr>
      </w:pPr>
      <w:r>
        <w:rPr>
          <w:rFonts w:hint="eastAsia" w:ascii="宋体" w:hAnsi="宋体"/>
          <w:bCs/>
          <w:color w:val="auto"/>
          <w:highlight w:val="none"/>
          <w:lang w:val="zh-CN"/>
        </w:rPr>
        <w:t>名称：</w:t>
      </w:r>
      <w:r>
        <w:rPr>
          <w:rFonts w:hint="eastAsia" w:ascii="宋体" w:hAnsi="宋体"/>
          <w:bCs/>
          <w:color w:val="auto"/>
          <w:highlight w:val="none"/>
          <w:lang w:eastAsia="zh-CN"/>
        </w:rPr>
        <w:t>龙游县奔康投资集团有限公司</w:t>
      </w:r>
    </w:p>
    <w:p>
      <w:pPr>
        <w:keepNext w:val="0"/>
        <w:keepLines w:val="0"/>
        <w:pageBreakBefore w:val="0"/>
        <w:widowControl/>
        <w:kinsoku/>
        <w:wordWrap/>
        <w:overflowPunct/>
        <w:topLinePunct w:val="0"/>
        <w:autoSpaceDE/>
        <w:autoSpaceDN/>
        <w:bidi w:val="0"/>
        <w:spacing w:line="288" w:lineRule="auto"/>
        <w:ind w:firstLine="480" w:firstLineChars="200"/>
        <w:jc w:val="left"/>
        <w:textAlignment w:val="auto"/>
        <w:rPr>
          <w:rFonts w:hint="eastAsia" w:ascii="宋体" w:hAnsi="宋体"/>
          <w:bCs/>
          <w:color w:val="auto"/>
          <w:highlight w:val="none"/>
          <w:lang w:eastAsia="zh-CN"/>
        </w:rPr>
      </w:pPr>
      <w:r>
        <w:rPr>
          <w:rFonts w:hint="eastAsia" w:ascii="宋体" w:hAnsi="宋体"/>
          <w:bCs/>
          <w:color w:val="auto"/>
          <w:highlight w:val="none"/>
          <w:lang w:val="zh-CN"/>
        </w:rPr>
        <w:t>地址：</w:t>
      </w:r>
      <w:r>
        <w:rPr>
          <w:rFonts w:hint="eastAsia" w:ascii="宋体" w:hAnsi="宋体"/>
          <w:bCs/>
          <w:color w:val="auto"/>
          <w:highlight w:val="none"/>
          <w:lang w:eastAsia="zh-CN"/>
        </w:rPr>
        <w:t>龙游县龙洲街道龙翔路378号</w:t>
      </w:r>
    </w:p>
    <w:p>
      <w:pPr>
        <w:keepNext w:val="0"/>
        <w:keepLines w:val="0"/>
        <w:pageBreakBefore w:val="0"/>
        <w:widowControl/>
        <w:kinsoku/>
        <w:wordWrap/>
        <w:overflowPunct/>
        <w:topLinePunct w:val="0"/>
        <w:autoSpaceDE/>
        <w:autoSpaceDN/>
        <w:bidi w:val="0"/>
        <w:spacing w:line="288" w:lineRule="auto"/>
        <w:ind w:firstLine="480" w:firstLineChars="200"/>
        <w:jc w:val="left"/>
        <w:textAlignment w:val="auto"/>
        <w:rPr>
          <w:rFonts w:ascii="宋体" w:hAnsi="宋体"/>
          <w:bCs/>
          <w:color w:val="auto"/>
          <w:highlight w:val="none"/>
        </w:rPr>
      </w:pPr>
      <w:r>
        <w:rPr>
          <w:rFonts w:hint="eastAsia" w:ascii="宋体" w:hAnsi="宋体"/>
          <w:bCs/>
          <w:color w:val="auto"/>
          <w:highlight w:val="none"/>
          <w:lang w:val="zh-CN"/>
        </w:rPr>
        <w:t>联系人：</w:t>
      </w:r>
      <w:r>
        <w:rPr>
          <w:rFonts w:hint="eastAsia" w:ascii="宋体" w:hAnsi="宋体"/>
          <w:bCs/>
          <w:color w:val="auto"/>
          <w:highlight w:val="none"/>
          <w:lang w:val="en-US" w:eastAsia="zh-CN"/>
        </w:rPr>
        <w:t>郑先生</w:t>
      </w:r>
    </w:p>
    <w:p>
      <w:pPr>
        <w:keepNext w:val="0"/>
        <w:keepLines w:val="0"/>
        <w:pageBreakBefore w:val="0"/>
        <w:widowControl/>
        <w:kinsoku/>
        <w:wordWrap/>
        <w:overflowPunct/>
        <w:topLinePunct w:val="0"/>
        <w:autoSpaceDE/>
        <w:autoSpaceDN/>
        <w:bidi w:val="0"/>
        <w:spacing w:line="288" w:lineRule="auto"/>
        <w:ind w:firstLine="480" w:firstLineChars="200"/>
        <w:jc w:val="left"/>
        <w:textAlignment w:val="auto"/>
        <w:rPr>
          <w:rFonts w:hint="eastAsia" w:ascii="宋体" w:hAnsi="宋体" w:eastAsia="宋体"/>
          <w:bCs/>
          <w:color w:val="auto"/>
          <w:highlight w:val="none"/>
          <w:lang w:eastAsia="zh-CN"/>
        </w:rPr>
      </w:pPr>
      <w:r>
        <w:rPr>
          <w:rFonts w:hint="eastAsia" w:ascii="宋体" w:hAnsi="宋体"/>
          <w:bCs/>
          <w:color w:val="auto"/>
          <w:highlight w:val="none"/>
          <w:lang w:val="zh-CN"/>
        </w:rPr>
        <w:t>监督投诉</w:t>
      </w:r>
      <w:r>
        <w:rPr>
          <w:rFonts w:hint="eastAsia" w:ascii="宋体" w:hAnsi="宋体"/>
          <w:bCs/>
          <w:color w:val="auto"/>
          <w:highlight w:val="none"/>
        </w:rPr>
        <w:t>方式</w:t>
      </w:r>
      <w:r>
        <w:rPr>
          <w:rFonts w:hint="eastAsia" w:ascii="宋体" w:hAnsi="宋体"/>
          <w:bCs/>
          <w:color w:val="auto"/>
          <w:highlight w:val="none"/>
          <w:lang w:val="zh-CN"/>
        </w:rPr>
        <w: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hint="eastAsia" w:ascii="宋体" w:hAnsi="宋体" w:cs="宋体"/>
          <w:bCs/>
          <w:color w:val="auto"/>
          <w:highlight w:val="none"/>
          <w:lang w:eastAsia="zh-CN"/>
        </w:rPr>
        <w:t>0570-7024307</w:t>
      </w:r>
    </w:p>
    <w:p>
      <w:pPr>
        <w:keepNext w:val="0"/>
        <w:keepLines w:val="0"/>
        <w:pageBreakBefore w:val="0"/>
        <w:widowControl/>
        <w:kinsoku/>
        <w:wordWrap/>
        <w:overflowPunct/>
        <w:topLinePunct w:val="0"/>
        <w:autoSpaceDE/>
        <w:autoSpaceDN/>
        <w:bidi w:val="0"/>
        <w:spacing w:line="288" w:lineRule="auto"/>
        <w:ind w:firstLine="480" w:firstLineChars="200"/>
        <w:jc w:val="left"/>
        <w:textAlignment w:val="auto"/>
        <w:rPr>
          <w:rFonts w:ascii="宋体" w:hAnsi="宋体"/>
          <w:bCs/>
          <w:color w:val="auto"/>
          <w:highlight w:val="none"/>
        </w:rPr>
      </w:pPr>
    </w:p>
    <w:p>
      <w:pPr>
        <w:keepNext w:val="0"/>
        <w:keepLines w:val="0"/>
        <w:pageBreakBefore w:val="0"/>
        <w:widowControl/>
        <w:kinsoku/>
        <w:wordWrap/>
        <w:overflowPunct/>
        <w:topLinePunct w:val="0"/>
        <w:autoSpaceDE/>
        <w:autoSpaceDN/>
        <w:bidi w:val="0"/>
        <w:spacing w:line="288" w:lineRule="auto"/>
        <w:ind w:firstLine="480" w:firstLineChars="200"/>
        <w:jc w:val="left"/>
        <w:textAlignment w:val="auto"/>
        <w:rPr>
          <w:rFonts w:hint="eastAsia" w:ascii="宋体" w:hAnsi="宋体"/>
          <w:color w:val="auto"/>
          <w:highlight w:val="none"/>
          <w:lang w:val="en-US" w:eastAsia="zh-CN"/>
        </w:rPr>
      </w:pPr>
      <w:r>
        <w:rPr>
          <w:rFonts w:hint="eastAsia" w:ascii="宋体" w:hAnsi="宋体"/>
          <w:color w:val="auto"/>
          <w:highlight w:val="none"/>
          <w:lang w:val="zh-CN"/>
        </w:rPr>
        <w:t>202</w:t>
      </w:r>
      <w:r>
        <w:rPr>
          <w:rFonts w:hint="eastAsia" w:ascii="宋体" w:hAnsi="宋体"/>
          <w:color w:val="auto"/>
          <w:highlight w:val="none"/>
          <w:lang w:val="en-US" w:eastAsia="zh-CN"/>
        </w:rPr>
        <w:t>4</w:t>
      </w:r>
      <w:r>
        <w:rPr>
          <w:rFonts w:hint="eastAsia" w:ascii="宋体" w:hAnsi="宋体"/>
          <w:color w:val="auto"/>
          <w:highlight w:val="none"/>
          <w:lang w:val="zh-CN"/>
        </w:rPr>
        <w:t>年</w:t>
      </w:r>
      <w:r>
        <w:rPr>
          <w:rFonts w:hint="eastAsia" w:ascii="宋体" w:hAnsi="宋体"/>
          <w:color w:val="auto"/>
          <w:highlight w:val="none"/>
          <w:lang w:val="en-US" w:eastAsia="zh-CN"/>
        </w:rPr>
        <w:t>7</w:t>
      </w:r>
      <w:r>
        <w:rPr>
          <w:rFonts w:hint="eastAsia" w:ascii="宋体" w:hAnsi="宋体"/>
          <w:color w:val="auto"/>
          <w:highlight w:val="none"/>
          <w:lang w:val="zh-CN"/>
        </w:rPr>
        <w:t>月</w:t>
      </w:r>
      <w:r>
        <w:rPr>
          <w:rFonts w:hint="eastAsia" w:ascii="宋体" w:hAnsi="宋体"/>
          <w:color w:val="auto"/>
          <w:highlight w:val="none"/>
          <w:lang w:val="en-US" w:eastAsia="zh-CN"/>
        </w:rPr>
        <w:t>1日</w:t>
      </w:r>
    </w:p>
    <w:p>
      <w:pPr>
        <w:pStyle w:val="16"/>
        <w:rPr>
          <w:rFonts w:hint="eastAsia" w:ascii="宋体" w:hAnsi="宋体"/>
          <w:color w:val="auto"/>
          <w:highlight w:val="none"/>
          <w:lang w:val="en-US" w:eastAsia="zh-CN"/>
        </w:rPr>
      </w:pPr>
    </w:p>
    <w:p>
      <w:pPr>
        <w:pStyle w:val="47"/>
        <w:rPr>
          <w:rFonts w:hint="eastAsia" w:ascii="宋体" w:hAnsi="宋体"/>
          <w:color w:val="auto"/>
          <w:highlight w:val="none"/>
          <w:lang w:val="en-US" w:eastAsia="zh-CN"/>
        </w:rPr>
      </w:pPr>
    </w:p>
    <w:p>
      <w:pPr>
        <w:pStyle w:val="48"/>
        <w:rPr>
          <w:rFonts w:hint="eastAsia"/>
          <w:lang w:val="en-US" w:eastAsia="zh-CN"/>
        </w:rPr>
      </w:pPr>
    </w:p>
    <w:p>
      <w:pPr>
        <w:pStyle w:val="48"/>
        <w:rPr>
          <w:rFonts w:hint="eastAsia" w:ascii="宋体" w:hAnsi="宋体"/>
          <w:color w:val="auto"/>
          <w:highlight w:val="none"/>
          <w:lang w:val="en-US" w:eastAsia="zh-CN"/>
        </w:rPr>
      </w:pPr>
    </w:p>
    <w:p>
      <w:pPr>
        <w:pStyle w:val="49"/>
        <w:rPr>
          <w:rFonts w:hint="eastAsia" w:ascii="宋体" w:hAnsi="宋体"/>
          <w:color w:val="auto"/>
          <w:highlight w:val="none"/>
          <w:lang w:val="en-US" w:eastAsia="zh-CN"/>
        </w:rPr>
      </w:pP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Pr>
        <w:widowControl/>
        <w:spacing w:line="312" w:lineRule="auto"/>
        <w:ind w:firstLine="0" w:firstLineChars="0"/>
        <w:jc w:val="left"/>
        <w:rPr>
          <w:color w:val="auto"/>
          <w:highlight w:val="none"/>
        </w:rPr>
      </w:pPr>
      <w:bookmarkStart w:id="304" w:name="_Toc4390"/>
      <w:bookmarkStart w:id="305" w:name="_Toc23457"/>
      <w:bookmarkStart w:id="306" w:name="_Toc5940"/>
      <w:bookmarkStart w:id="307" w:name="_Toc14948"/>
      <w:bookmarkStart w:id="308" w:name="_Toc26049"/>
      <w:bookmarkStart w:id="309" w:name="_Toc12646"/>
      <w:bookmarkStart w:id="310" w:name="_Toc18814"/>
      <w:bookmarkStart w:id="311" w:name="_Toc30817"/>
      <w:bookmarkStart w:id="312" w:name="_Toc6325"/>
      <w:bookmarkStart w:id="313" w:name="_Toc22916"/>
      <w:bookmarkStart w:id="314" w:name="_Toc27348"/>
      <w:bookmarkStart w:id="315" w:name="_Toc2504"/>
      <w:bookmarkStart w:id="316" w:name="_Toc9281"/>
      <w:bookmarkStart w:id="317" w:name="_Toc20710"/>
      <w:bookmarkStart w:id="318" w:name="_Toc10896"/>
      <w:bookmarkStart w:id="319" w:name="_Toc16230"/>
      <w:bookmarkStart w:id="320" w:name="_Toc27038"/>
      <w:bookmarkStart w:id="321" w:name="_Toc25049"/>
      <w:bookmarkStart w:id="322" w:name="_Toc6056"/>
      <w:bookmarkStart w:id="323" w:name="_Toc14630"/>
      <w:bookmarkStart w:id="324" w:name="_Toc16652"/>
      <w:bookmarkStart w:id="325" w:name="_Toc3742"/>
      <w:bookmarkStart w:id="326" w:name="_Toc7054"/>
      <w:bookmarkStart w:id="327" w:name="_Toc14188"/>
      <w:bookmarkStart w:id="328" w:name="_Toc8894"/>
      <w:bookmarkStart w:id="329" w:name="_Toc24829"/>
      <w:bookmarkStart w:id="330" w:name="_Toc8830"/>
      <w:bookmarkStart w:id="331" w:name="_Toc2759"/>
      <w:bookmarkStart w:id="332" w:name="_Toc21210"/>
      <w:bookmarkStart w:id="333" w:name="_Toc9562"/>
      <w:bookmarkStart w:id="334" w:name="_Toc13762"/>
      <w:bookmarkStart w:id="335" w:name="_Toc17699"/>
      <w:bookmarkStart w:id="336" w:name="_Toc24226"/>
      <w:bookmarkStart w:id="337" w:name="_Toc26647"/>
      <w:bookmarkStart w:id="338" w:name="_Toc24594"/>
      <w:bookmarkStart w:id="339" w:name="_Toc17873"/>
    </w:p>
    <w:p>
      <w:pPr>
        <w:pStyle w:val="3"/>
        <w:numPr>
          <w:ilvl w:val="0"/>
          <w:numId w:val="4"/>
        </w:numPr>
        <w:spacing w:beforeLines="0" w:afterLines="0"/>
        <w:ind w:firstLine="0" w:firstLineChars="0"/>
        <w:jc w:val="center"/>
        <w:rPr>
          <w:rFonts w:ascii="宋体" w:hAnsi="宋体"/>
          <w:color w:val="auto"/>
          <w:highlight w:val="none"/>
        </w:rPr>
      </w:pPr>
      <w:bookmarkStart w:id="340" w:name="_Toc19725"/>
      <w:r>
        <w:rPr>
          <w:rFonts w:hint="eastAsia" w:ascii="宋体" w:hAnsi="宋体"/>
          <w:color w:val="auto"/>
          <w:highlight w:val="none"/>
        </w:rPr>
        <w:t xml:space="preserve"> </w:t>
      </w:r>
      <w:bookmarkStart w:id="341" w:name="_Toc11565"/>
      <w:bookmarkStart w:id="342" w:name="_Toc25164"/>
      <w:r>
        <w:rPr>
          <w:rFonts w:hint="eastAsia" w:ascii="宋体" w:hAnsi="宋体"/>
          <w:color w:val="auto"/>
          <w:highlight w:val="none"/>
        </w:rPr>
        <w:t>供应商须知</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3"/>
        <w:spacing w:beforeLines="0" w:afterLines="0"/>
        <w:ind w:firstLine="0" w:firstLineChars="0"/>
        <w:jc w:val="center"/>
        <w:outlineLvl w:val="1"/>
        <w:rPr>
          <w:color w:val="auto"/>
          <w:sz w:val="28"/>
          <w:szCs w:val="28"/>
          <w:highlight w:val="none"/>
        </w:rPr>
      </w:pPr>
      <w:bookmarkStart w:id="343" w:name="_Toc29442"/>
      <w:bookmarkStart w:id="344" w:name="_Toc20037"/>
      <w:bookmarkStart w:id="345" w:name="_Toc24970"/>
      <w:bookmarkStart w:id="346" w:name="_Toc23368"/>
      <w:bookmarkStart w:id="347" w:name="_Toc29871"/>
      <w:bookmarkStart w:id="348" w:name="_Toc14307"/>
      <w:bookmarkStart w:id="349" w:name="_Toc14941"/>
      <w:bookmarkStart w:id="350" w:name="_Toc30180"/>
      <w:bookmarkStart w:id="351" w:name="_Toc18330"/>
      <w:bookmarkStart w:id="352" w:name="_Toc9216"/>
      <w:bookmarkStart w:id="353" w:name="_Toc2683"/>
      <w:bookmarkStart w:id="354" w:name="_Toc5731"/>
      <w:bookmarkStart w:id="355" w:name="_Toc1237"/>
      <w:bookmarkStart w:id="356" w:name="_Toc7175"/>
      <w:bookmarkStart w:id="357" w:name="_Toc14335"/>
      <w:bookmarkStart w:id="358" w:name="_Toc29439"/>
      <w:bookmarkStart w:id="359" w:name="_Toc22528"/>
      <w:bookmarkStart w:id="360" w:name="_Toc18954"/>
      <w:bookmarkStart w:id="361" w:name="_Toc29631"/>
      <w:bookmarkStart w:id="362" w:name="_Toc26033"/>
      <w:bookmarkStart w:id="363" w:name="_Toc24474"/>
      <w:bookmarkStart w:id="364" w:name="_Toc26287"/>
      <w:bookmarkStart w:id="365" w:name="_Toc16050"/>
      <w:bookmarkStart w:id="366" w:name="_Toc6862"/>
      <w:bookmarkStart w:id="367" w:name="_Toc2093"/>
      <w:bookmarkStart w:id="368" w:name="_Toc1709"/>
      <w:bookmarkStart w:id="369" w:name="_Toc1898"/>
      <w:bookmarkStart w:id="370" w:name="_Toc25506"/>
      <w:bookmarkStart w:id="371" w:name="_Toc2286"/>
      <w:bookmarkStart w:id="372" w:name="_Toc8520"/>
      <w:bookmarkStart w:id="373" w:name="_Toc26378"/>
      <w:bookmarkStart w:id="374" w:name="_Toc3467"/>
      <w:bookmarkStart w:id="375" w:name="_Toc25611"/>
      <w:bookmarkStart w:id="376" w:name="_Toc16227"/>
      <w:bookmarkStart w:id="377" w:name="_Toc5125"/>
      <w:bookmarkStart w:id="378" w:name="_Toc29109"/>
      <w:bookmarkStart w:id="379" w:name="_Toc13830"/>
      <w:bookmarkStart w:id="380" w:name="_Toc14238"/>
      <w:bookmarkStart w:id="381" w:name="_Toc31532"/>
      <w:bookmarkStart w:id="382" w:name="_Toc9420"/>
      <w:bookmarkStart w:id="383" w:name="_Toc14813"/>
      <w:r>
        <w:rPr>
          <w:color w:val="auto"/>
          <w:sz w:val="28"/>
          <w:szCs w:val="28"/>
          <w:highlight w:val="none"/>
        </w:rPr>
        <w:t>一、供应商须知前附表</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tbl>
      <w:tblPr>
        <w:tblStyle w:val="36"/>
        <w:tblW w:w="10000"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960"/>
        <w:gridCol w:w="7255"/>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tcBorders>
              <w:top w:val="thinThickSmallGap" w:color="auto" w:sz="12" w:space="0"/>
            </w:tcBorders>
            <w:vAlign w:val="center"/>
          </w:tcPr>
          <w:p>
            <w:pPr>
              <w:keepNext w:val="0"/>
              <w:keepLines w:val="0"/>
              <w:suppressLineNumbers w:val="0"/>
              <w:tabs>
                <w:tab w:val="left" w:pos="0"/>
              </w:tabs>
              <w:autoSpaceDE w:val="0"/>
              <w:autoSpaceDN w:val="0"/>
              <w:adjustRightInd w:val="0"/>
              <w:spacing w:before="0" w:beforeAutospacing="0" w:after="0" w:afterAutospacing="0" w:line="240" w:lineRule="auto"/>
              <w:ind w:left="0" w:right="0" w:firstLine="0" w:firstLineChars="0"/>
              <w:jc w:val="center"/>
              <w:rPr>
                <w:rFonts w:hint="default" w:ascii="宋体" w:hAnsi="宋体"/>
                <w:color w:val="auto"/>
                <w:highlight w:val="none"/>
              </w:rPr>
            </w:pPr>
            <w:r>
              <w:rPr>
                <w:rFonts w:hint="eastAsia" w:ascii="宋体" w:hAnsi="宋体"/>
                <w:color w:val="auto"/>
                <w:highlight w:val="none"/>
              </w:rPr>
              <w:t>序号</w:t>
            </w:r>
          </w:p>
        </w:tc>
        <w:tc>
          <w:tcPr>
            <w:tcW w:w="1960" w:type="dxa"/>
            <w:tcBorders>
              <w:top w:val="thinThickSmallGap" w:color="auto" w:sz="12" w:space="0"/>
            </w:tcBorders>
            <w:vAlign w:val="center"/>
          </w:tcPr>
          <w:p>
            <w:pPr>
              <w:keepNext w:val="0"/>
              <w:keepLines w:val="0"/>
              <w:suppressLineNumbers w:val="0"/>
              <w:tabs>
                <w:tab w:val="left" w:pos="0"/>
              </w:tabs>
              <w:autoSpaceDE w:val="0"/>
              <w:autoSpaceDN w:val="0"/>
              <w:adjustRightInd w:val="0"/>
              <w:spacing w:before="0" w:beforeAutospacing="0" w:after="0" w:afterAutospacing="0" w:line="240" w:lineRule="auto"/>
              <w:ind w:left="0" w:right="0" w:firstLine="0" w:firstLineChars="0"/>
              <w:jc w:val="center"/>
              <w:rPr>
                <w:rFonts w:hint="default" w:ascii="宋体" w:hAnsi="宋体"/>
                <w:color w:val="auto"/>
                <w:highlight w:val="none"/>
              </w:rPr>
            </w:pPr>
            <w:r>
              <w:rPr>
                <w:rFonts w:hint="eastAsia" w:ascii="宋体" w:hAnsi="宋体"/>
                <w:color w:val="auto"/>
                <w:highlight w:val="none"/>
              </w:rPr>
              <w:t>内  容</w:t>
            </w:r>
          </w:p>
        </w:tc>
        <w:tc>
          <w:tcPr>
            <w:tcW w:w="7255" w:type="dxa"/>
            <w:tcBorders>
              <w:top w:val="thinThickSmallGap" w:color="auto" w:sz="12" w:space="0"/>
            </w:tcBorders>
            <w:vAlign w:val="center"/>
          </w:tcPr>
          <w:p>
            <w:pPr>
              <w:keepNext w:val="0"/>
              <w:keepLines w:val="0"/>
              <w:suppressLineNumbers w:val="0"/>
              <w:tabs>
                <w:tab w:val="left" w:pos="0"/>
              </w:tabs>
              <w:spacing w:before="0" w:beforeAutospacing="0" w:after="0" w:afterAutospacing="0" w:line="240" w:lineRule="auto"/>
              <w:ind w:left="0" w:right="0" w:firstLine="0" w:firstLineChars="0"/>
              <w:rPr>
                <w:rFonts w:hint="default" w:ascii="宋体" w:hAnsi="宋体"/>
                <w:color w:val="auto"/>
                <w:highlight w:val="none"/>
              </w:rPr>
            </w:pPr>
            <w:r>
              <w:rPr>
                <w:rFonts w:hint="eastAsia" w:ascii="宋体" w:hAnsi="宋体"/>
                <w:color w:val="auto"/>
                <w:highlight w:val="none"/>
              </w:rPr>
              <w:t>说明与要求</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rPr>
            </w:pPr>
            <w:r>
              <w:rPr>
                <w:rFonts w:hint="eastAsia" w:ascii="宋体" w:hAnsi="宋体"/>
                <w:color w:val="auto"/>
                <w:highlight w:val="none"/>
              </w:rPr>
              <w:t>1</w:t>
            </w:r>
          </w:p>
        </w:tc>
        <w:tc>
          <w:tcPr>
            <w:tcW w:w="196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采购人</w:t>
            </w:r>
          </w:p>
        </w:tc>
        <w:tc>
          <w:tcPr>
            <w:tcW w:w="7255" w:type="dxa"/>
            <w:vAlign w:val="center"/>
          </w:tcPr>
          <w:p>
            <w:pPr>
              <w:keepNext w:val="0"/>
              <w:keepLines w:val="0"/>
              <w:widowControl/>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 xml:space="preserve">名  称：龙游县百益市场管理有限公司   </w:t>
            </w:r>
          </w:p>
          <w:p>
            <w:pPr>
              <w:keepNext w:val="0"/>
              <w:keepLines w:val="0"/>
              <w:widowControl/>
              <w:suppressLineNumbers w:val="0"/>
              <w:spacing w:before="0" w:beforeAutospacing="0" w:after="0" w:afterAutospacing="0" w:line="240" w:lineRule="auto"/>
              <w:ind w:left="0" w:right="0" w:firstLine="0" w:firstLineChars="0"/>
              <w:jc w:val="left"/>
              <w:rPr>
                <w:rFonts w:hint="eastAsia" w:ascii="宋体" w:hAnsi="宋体"/>
                <w:color w:val="auto"/>
                <w:highlight w:val="none"/>
                <w:lang w:val="zh-CN"/>
              </w:rPr>
            </w:pPr>
            <w:r>
              <w:rPr>
                <w:rFonts w:hint="eastAsia" w:ascii="宋体" w:hAnsi="宋体"/>
                <w:color w:val="auto"/>
                <w:highlight w:val="none"/>
                <w:lang w:val="zh-CN"/>
              </w:rPr>
              <w:t>地  址：龙游县体育馆路117号</w:t>
            </w:r>
          </w:p>
          <w:p>
            <w:pPr>
              <w:keepNext w:val="0"/>
              <w:keepLines w:val="0"/>
              <w:widowControl/>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联系人：陈先生</w:t>
            </w:r>
          </w:p>
          <w:p>
            <w:pPr>
              <w:keepNext w:val="0"/>
              <w:keepLines w:val="0"/>
              <w:widowControl/>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联系</w:t>
            </w:r>
            <w:r>
              <w:rPr>
                <w:rFonts w:hint="eastAsia" w:ascii="宋体" w:hAnsi="宋体"/>
                <w:color w:val="auto"/>
                <w:highlight w:val="none"/>
              </w:rPr>
              <w:t>方式</w:t>
            </w:r>
            <w:r>
              <w:rPr>
                <w:rFonts w:hint="eastAsia" w:ascii="宋体" w:hAnsi="宋体"/>
                <w:color w:val="auto"/>
                <w:highlight w:val="none"/>
                <w:lang w:val="zh-CN"/>
              </w:rPr>
              <w:t>：</w:t>
            </w:r>
            <w:r>
              <w:rPr>
                <w:rFonts w:hint="eastAsia" w:ascii="宋体" w:hAnsi="宋体" w:cs="Times New Roman"/>
                <w:color w:val="auto"/>
                <w:sz w:val="24"/>
                <w:highlight w:val="none"/>
                <w:lang w:val="en-US" w:eastAsia="zh-CN"/>
              </w:rPr>
              <w:t>13567063999</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2</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采购代理机构</w:t>
            </w:r>
          </w:p>
        </w:tc>
        <w:tc>
          <w:tcPr>
            <w:tcW w:w="7255" w:type="dxa"/>
            <w:vAlign w:val="center"/>
          </w:tcPr>
          <w:p>
            <w:pPr>
              <w:keepNext w:val="0"/>
              <w:keepLines w:val="0"/>
              <w:widowControl/>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 xml:space="preserve">名  称：衢州宇信工程咨询有限公司  </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地</w:t>
            </w:r>
            <w:r>
              <w:rPr>
                <w:rFonts w:hint="eastAsia" w:ascii="宋体" w:hAnsi="宋体"/>
                <w:color w:val="auto"/>
                <w:highlight w:val="none"/>
              </w:rPr>
              <w:t xml:space="preserve">  </w:t>
            </w:r>
            <w:r>
              <w:rPr>
                <w:rFonts w:hint="eastAsia" w:ascii="宋体" w:hAnsi="宋体"/>
                <w:color w:val="auto"/>
                <w:highlight w:val="none"/>
                <w:lang w:val="zh-CN"/>
              </w:rPr>
              <w:t>址：龙游县龙洲街道广和商务楼3楼306室</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联系人：祝女士</w:t>
            </w:r>
          </w:p>
          <w:p>
            <w:pPr>
              <w:keepNext w:val="0"/>
              <w:keepLines w:val="0"/>
              <w:widowControl/>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联系方式：18367068335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3</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项目名称</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s="宋体"/>
                <w:b w:val="0"/>
                <w:color w:val="auto"/>
                <w:sz w:val="24"/>
                <w:szCs w:val="24"/>
                <w:highlight w:val="none"/>
                <w:lang w:val="zh-CN"/>
              </w:rPr>
              <w:t>2024年龙游县河西街、飞云路农贸市场保洁外包项目</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4</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申请人资格要求</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 xml:space="preserve">详见“第一章 </w:t>
            </w:r>
            <w:r>
              <w:rPr>
                <w:rFonts w:hint="eastAsia" w:ascii="宋体" w:hAnsi="宋体"/>
                <w:color w:val="auto"/>
                <w:highlight w:val="none"/>
              </w:rPr>
              <w:t>磋商</w:t>
            </w:r>
            <w:r>
              <w:rPr>
                <w:rFonts w:hint="eastAsia" w:ascii="宋体" w:hAnsi="宋体"/>
                <w:color w:val="auto"/>
                <w:highlight w:val="none"/>
                <w:lang w:val="zh-CN"/>
              </w:rPr>
              <w:t>公告”。</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5</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获取磋商文件</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 xml:space="preserve">详见“第一章 </w:t>
            </w:r>
            <w:r>
              <w:rPr>
                <w:rFonts w:hint="eastAsia" w:ascii="宋体" w:hAnsi="宋体"/>
                <w:color w:val="auto"/>
                <w:highlight w:val="none"/>
              </w:rPr>
              <w:t>磋商</w:t>
            </w:r>
            <w:r>
              <w:rPr>
                <w:rFonts w:hint="eastAsia" w:ascii="宋体" w:hAnsi="宋体"/>
                <w:color w:val="auto"/>
                <w:highlight w:val="none"/>
                <w:lang w:val="zh-CN"/>
              </w:rPr>
              <w:t>公告”。</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6</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投标有效期</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自磋商截止之日起90日历天。</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7</w:t>
            </w:r>
          </w:p>
        </w:tc>
        <w:tc>
          <w:tcPr>
            <w:tcW w:w="1960" w:type="dxa"/>
            <w:vAlign w:val="center"/>
          </w:tcPr>
          <w:p>
            <w:pPr>
              <w:keepNext w:val="0"/>
              <w:keepLines w:val="0"/>
              <w:suppressLineNumbers w:val="0"/>
              <w:tabs>
                <w:tab w:val="left" w:pos="0"/>
              </w:tabs>
              <w:autoSpaceDE w:val="0"/>
              <w:autoSpaceDN w:val="0"/>
              <w:adjustRightInd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分包</w:t>
            </w:r>
            <w:r>
              <w:rPr>
                <w:rFonts w:hint="eastAsia" w:ascii="宋体" w:hAnsi="宋体"/>
                <w:color w:val="auto"/>
                <w:highlight w:val="none"/>
              </w:rPr>
              <w:t>与转包</w:t>
            </w:r>
            <w:r>
              <w:rPr>
                <w:rFonts w:hint="eastAsia" w:ascii="宋体" w:hAnsi="宋体"/>
                <w:color w:val="auto"/>
                <w:highlight w:val="none"/>
                <w:lang w:val="zh-CN"/>
              </w:rPr>
              <w:t>情况</w:t>
            </w:r>
          </w:p>
        </w:tc>
        <w:tc>
          <w:tcPr>
            <w:tcW w:w="7255" w:type="dxa"/>
            <w:vAlign w:val="center"/>
          </w:tcPr>
          <w:p>
            <w:pPr>
              <w:pStyle w:val="113"/>
              <w:keepNext w:val="0"/>
              <w:keepLines w:val="0"/>
              <w:suppressLineNumbers w:val="0"/>
              <w:tabs>
                <w:tab w:val="left" w:pos="768"/>
              </w:tabs>
              <w:spacing w:before="0" w:beforeAutospacing="0" w:after="0" w:afterAutospacing="0" w:line="240" w:lineRule="auto"/>
              <w:ind w:left="0" w:right="0" w:firstLine="0" w:firstLineChars="0"/>
              <w:jc w:val="left"/>
              <w:rPr>
                <w:rFonts w:hint="default"/>
                <w:color w:val="auto"/>
                <w:highlight w:val="none"/>
                <w:lang w:val="en-US"/>
              </w:rPr>
            </w:pPr>
            <w:r>
              <w:rPr>
                <w:rFonts w:hint="eastAsia"/>
                <w:color w:val="auto"/>
                <w:highlight w:val="none"/>
                <w:lang w:val="en-US"/>
              </w:rPr>
              <w:t>不允许。</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8</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现场勘查</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不组织，供应商可自行勘查。</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8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9</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资金来源及比例</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国有资金100%。</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10</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答疑会</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b w:val="0"/>
                <w:bCs w:val="0"/>
                <w:color w:val="auto"/>
                <w:highlight w:val="none"/>
                <w:lang w:val="zh-CN"/>
              </w:rPr>
            </w:pPr>
            <w:r>
              <w:rPr>
                <w:rFonts w:hint="eastAsia" w:ascii="宋体" w:hAnsi="宋体"/>
                <w:b w:val="0"/>
                <w:bCs w:val="0"/>
                <w:color w:val="auto"/>
                <w:highlight w:val="none"/>
                <w:lang w:val="zh-CN"/>
              </w:rPr>
              <w:t>不召开。</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11</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投标保证金</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b w:val="0"/>
                <w:bCs w:val="0"/>
                <w:color w:val="auto"/>
                <w:highlight w:val="none"/>
                <w:lang w:val="zh-CN"/>
              </w:rPr>
            </w:pPr>
            <w:r>
              <w:rPr>
                <w:rFonts w:hint="eastAsia" w:ascii="宋体" w:hAnsi="宋体"/>
                <w:b w:val="0"/>
                <w:bCs w:val="0"/>
                <w:color w:val="auto"/>
                <w:highlight w:val="none"/>
                <w:lang w:val="zh-CN"/>
              </w:rPr>
              <w:t>不收取。</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12</w:t>
            </w:r>
          </w:p>
        </w:tc>
        <w:tc>
          <w:tcPr>
            <w:tcW w:w="1960" w:type="dxa"/>
            <w:vAlign w:val="center"/>
          </w:tcPr>
          <w:p>
            <w:pPr>
              <w:keepNext w:val="0"/>
              <w:keepLines w:val="0"/>
              <w:suppressLineNumbers w:val="0"/>
              <w:autoSpaceDE/>
              <w:autoSpaceDN/>
              <w:adjustRightInd/>
              <w:spacing w:before="0" w:beforeAutospacing="0" w:after="0" w:afterAutospacing="0" w:line="240" w:lineRule="auto"/>
              <w:ind w:left="0" w:right="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eastAsia="zh-CN"/>
              </w:rPr>
              <w:t>服务期</w:t>
            </w:r>
            <w:r>
              <w:rPr>
                <w:rFonts w:hint="eastAsia" w:ascii="宋体" w:hAnsi="宋体" w:eastAsia="宋体" w:cs="宋体"/>
                <w:color w:val="auto"/>
                <w:highlight w:val="none"/>
                <w:lang w:val="zh-CN"/>
              </w:rPr>
              <w:t xml:space="preserve"> </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b w:val="0"/>
                <w:bCs w:val="0"/>
                <w:color w:val="auto"/>
                <w:highlight w:val="none"/>
                <w:lang w:val="zh-CN"/>
              </w:rPr>
            </w:pPr>
            <w:r>
              <w:rPr>
                <w:rFonts w:hint="eastAsia" w:ascii="宋体" w:hAnsi="宋体" w:eastAsia="宋体" w:cs="宋体"/>
                <w:color w:val="auto"/>
                <w:highlight w:val="none"/>
                <w:lang w:val="zh-CN" w:eastAsia="zh-CN"/>
              </w:rPr>
              <w:t>自合同签订之日起壹年。</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color w:val="auto"/>
                <w:highlight w:val="none"/>
                <w:lang w:val="zh-CN"/>
              </w:rPr>
            </w:pPr>
            <w:r>
              <w:rPr>
                <w:rFonts w:hint="eastAsia" w:ascii="宋体" w:hAnsi="宋体"/>
                <w:color w:val="auto"/>
                <w:highlight w:val="none"/>
                <w:lang w:val="zh-CN"/>
              </w:rPr>
              <w:t>13</w:t>
            </w:r>
          </w:p>
        </w:tc>
        <w:tc>
          <w:tcPr>
            <w:tcW w:w="1960" w:type="dxa"/>
            <w:vAlign w:val="center"/>
          </w:tcPr>
          <w:p>
            <w:pPr>
              <w:keepNext w:val="0"/>
              <w:keepLines w:val="0"/>
              <w:suppressLineNumbers w:val="0"/>
              <w:autoSpaceDE/>
              <w:autoSpaceDN/>
              <w:adjustRightInd/>
              <w:spacing w:before="0" w:beforeAutospacing="0" w:after="0" w:afterAutospacing="0" w:line="240" w:lineRule="auto"/>
              <w:ind w:left="0" w:right="0" w:firstLine="0" w:firstLineChars="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预算金额</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highlight w:val="none"/>
                <w:lang w:val="zh-CN" w:eastAsia="zh-CN"/>
              </w:rPr>
            </w:pPr>
            <w:r>
              <w:rPr>
                <w:rFonts w:hint="eastAsia" w:ascii="宋体" w:hAnsi="宋体" w:eastAsia="宋体" w:cs="宋体"/>
                <w:color w:val="000000" w:themeColor="text1"/>
                <w:sz w:val="24"/>
                <w:lang w:val="en-US" w:eastAsia="zh-CN"/>
                <w14:textFill>
                  <w14:solidFill>
                    <w14:schemeClr w14:val="tx1"/>
                  </w14:solidFill>
                </w14:textFill>
              </w:rPr>
              <w:t>330186.24元</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color w:val="auto"/>
                <w:highlight w:val="none"/>
                <w:lang w:val="zh-CN"/>
              </w:rPr>
            </w:pPr>
            <w:r>
              <w:rPr>
                <w:rFonts w:hint="eastAsia" w:ascii="宋体" w:hAnsi="宋体"/>
                <w:color w:val="auto"/>
                <w:highlight w:val="none"/>
                <w:lang w:val="zh-CN"/>
              </w:rPr>
              <w:t>14</w:t>
            </w:r>
          </w:p>
        </w:tc>
        <w:tc>
          <w:tcPr>
            <w:tcW w:w="1960" w:type="dxa"/>
            <w:vAlign w:val="top"/>
          </w:tcPr>
          <w:p>
            <w:pPr>
              <w:pStyle w:val="113"/>
              <w:keepNext w:val="0"/>
              <w:keepLines w:val="0"/>
              <w:suppressLineNumbers w:val="0"/>
              <w:spacing w:before="0" w:beforeAutospacing="0" w:after="0" w:afterAutospacing="0"/>
              <w:ind w:left="0" w:right="0"/>
              <w:rPr>
                <w:rFonts w:hint="default"/>
                <w:sz w:val="24"/>
              </w:rPr>
            </w:pPr>
          </w:p>
          <w:p>
            <w:pPr>
              <w:pStyle w:val="113"/>
              <w:keepNext w:val="0"/>
              <w:keepLines w:val="0"/>
              <w:suppressLineNumbers w:val="0"/>
              <w:spacing w:before="0" w:beforeAutospacing="0" w:after="0" w:afterAutospacing="0"/>
              <w:ind w:left="0" w:right="0"/>
              <w:rPr>
                <w:rFonts w:hint="default"/>
                <w:sz w:val="24"/>
              </w:rPr>
            </w:pPr>
          </w:p>
          <w:p>
            <w:pPr>
              <w:pStyle w:val="113"/>
              <w:keepNext w:val="0"/>
              <w:keepLines w:val="0"/>
              <w:suppressLineNumbers w:val="0"/>
              <w:spacing w:before="1" w:beforeAutospacing="0" w:after="0" w:afterAutospacing="0"/>
              <w:ind w:left="0" w:leftChars="0" w:right="0" w:firstLine="0" w:firstLineChars="0"/>
              <w:jc w:val="center"/>
              <w:rPr>
                <w:rFonts w:hint="eastAsia" w:ascii="宋体" w:hAnsi="宋体" w:eastAsia="宋体" w:cs="宋体"/>
                <w:color w:val="auto"/>
                <w:highlight w:val="none"/>
                <w:lang w:val="zh-CN" w:eastAsia="zh-CN"/>
              </w:rPr>
            </w:pPr>
            <w:r>
              <w:rPr>
                <w:rFonts w:hint="eastAsia"/>
                <w:sz w:val="24"/>
                <w:lang w:val="en-US" w:eastAsia="zh-CN"/>
              </w:rPr>
              <w:t>投标报价范围</w:t>
            </w:r>
          </w:p>
        </w:tc>
        <w:tc>
          <w:tcPr>
            <w:tcW w:w="7255" w:type="dxa"/>
            <w:vAlign w:val="top"/>
          </w:tcPr>
          <w:p>
            <w:pPr>
              <w:pStyle w:val="113"/>
              <w:keepNext w:val="0"/>
              <w:keepLines w:val="0"/>
              <w:suppressLineNumbers w:val="0"/>
              <w:tabs>
                <w:tab w:val="left" w:pos="359"/>
              </w:tabs>
              <w:spacing w:before="4" w:beforeAutospacing="0" w:after="0" w:afterAutospacing="0" w:line="242" w:lineRule="auto"/>
              <w:ind w:left="0" w:right="68" w:firstLine="0" w:firstLineChars="0"/>
              <w:jc w:val="both"/>
              <w:rPr>
                <w:rFonts w:hint="default"/>
                <w:color w:val="000000" w:themeColor="text1"/>
                <w:sz w:val="24"/>
                <w14:textFill>
                  <w14:solidFill>
                    <w14:schemeClr w14:val="tx1"/>
                  </w14:solidFill>
                </w14:textFill>
              </w:rPr>
            </w:pPr>
            <w:r>
              <w:rPr>
                <w:rFonts w:hint="eastAsia"/>
                <w:sz w:val="24"/>
                <w:lang w:val="en-US"/>
              </w:rPr>
              <w:t>1.</w:t>
            </w:r>
            <w:r>
              <w:rPr>
                <w:rFonts w:hint="default"/>
                <w:sz w:val="24"/>
              </w:rPr>
              <w:t>本次采购投标最高限价</w:t>
            </w:r>
            <w:r>
              <w:rPr>
                <w:rFonts w:hint="default"/>
                <w:color w:val="000000" w:themeColor="text1"/>
                <w:sz w:val="24"/>
                <w14:textFill>
                  <w14:solidFill>
                    <w14:schemeClr w14:val="tx1"/>
                  </w14:solidFill>
                </w14:textFill>
              </w:rPr>
              <w:t>为</w:t>
            </w:r>
            <w:r>
              <w:rPr>
                <w:rFonts w:hint="eastAsia"/>
                <w:color w:val="000000" w:themeColor="text1"/>
                <w:sz w:val="24"/>
                <w:lang w:val="en-US" w:eastAsia="zh-CN"/>
                <w14:textFill>
                  <w14:solidFill>
                    <w14:schemeClr w14:val="tx1"/>
                  </w14:solidFill>
                </w14:textFill>
              </w:rPr>
              <w:t>330000元</w:t>
            </w:r>
            <w:r>
              <w:rPr>
                <w:rFonts w:hint="default"/>
                <w:color w:val="000000" w:themeColor="text1"/>
                <w:spacing w:val="-12"/>
                <w:sz w:val="24"/>
                <w14:textFill>
                  <w14:solidFill>
                    <w14:schemeClr w14:val="tx1"/>
                  </w14:solidFill>
                </w14:textFill>
              </w:rPr>
              <w:t>；供应商应按此最高限价并结合</w:t>
            </w:r>
            <w:r>
              <w:rPr>
                <w:rFonts w:hint="default"/>
                <w:color w:val="000000" w:themeColor="text1"/>
                <w:sz w:val="24"/>
                <w14:textFill>
                  <w14:solidFill>
                    <w14:schemeClr w14:val="tx1"/>
                  </w14:solidFill>
                </w14:textFill>
              </w:rPr>
              <w:t>企业自身情况及管理经验自主报价，报价不得超过最高限价，否则作为废标处理。</w:t>
            </w:r>
          </w:p>
          <w:p>
            <w:pPr>
              <w:pStyle w:val="113"/>
              <w:keepNext w:val="0"/>
              <w:keepLines w:val="0"/>
              <w:suppressLineNumbers w:val="0"/>
              <w:tabs>
                <w:tab w:val="left" w:pos="359"/>
              </w:tabs>
              <w:spacing w:before="4" w:beforeAutospacing="0" w:after="0" w:afterAutospacing="0" w:line="242" w:lineRule="auto"/>
              <w:ind w:left="0" w:leftChars="0" w:right="68" w:rightChars="0" w:firstLine="0" w:firstLineChars="0"/>
              <w:jc w:val="both"/>
              <w:rPr>
                <w:rFonts w:hint="eastAsia" w:ascii="宋体" w:hAnsi="宋体" w:cs="宋体"/>
                <w:color w:val="auto"/>
                <w:highlight w:val="none"/>
                <w:lang w:val="zh-CN" w:eastAsia="zh-CN"/>
              </w:rPr>
            </w:pPr>
            <w:r>
              <w:rPr>
                <w:rFonts w:hint="eastAsia"/>
                <w:color w:val="000000" w:themeColor="text1"/>
                <w:sz w:val="24"/>
                <w:lang w:val="en-US" w:eastAsia="zh-CN"/>
                <w14:textFill>
                  <w14:solidFill>
                    <w14:schemeClr w14:val="tx1"/>
                  </w14:solidFill>
                </w14:textFill>
              </w:rPr>
              <w:t>2.</w:t>
            </w:r>
            <w:r>
              <w:rPr>
                <w:rFonts w:hint="eastAsia"/>
                <w:color w:val="000000" w:themeColor="text1"/>
                <w:sz w:val="24"/>
                <w:lang w:val="zh-CN" w:eastAsia="zh-CN"/>
                <w14:textFill>
                  <w14:solidFill>
                    <w14:schemeClr w14:val="tx1"/>
                  </w14:solidFill>
                </w14:textFill>
              </w:rPr>
              <w:t>投标报价是指供应商在正确地完全履行合同义务后采购人应支付的货物和服务价格，包括但不限于包括人工费、运输费、装卸车费、专用工具费、劳保费、消毒用品、售后服务、保险、税金、采购代理费等费用。如有漏项，视同已包含在其他项目中，价格不作调整，成交后不允许擅自改变服务内容、质量标准、期限和追加项目费用。</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lang w:val="zh-CN"/>
              </w:rPr>
            </w:pPr>
            <w:r>
              <w:rPr>
                <w:rFonts w:hint="eastAsia" w:ascii="宋体" w:hAnsi="宋体"/>
                <w:color w:val="auto"/>
                <w:highlight w:val="none"/>
                <w:lang w:val="zh-CN"/>
              </w:rPr>
              <w:t>15</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供应商对</w:t>
            </w:r>
            <w:r>
              <w:rPr>
                <w:rFonts w:hint="eastAsia" w:ascii="宋体" w:hAnsi="宋体"/>
                <w:color w:val="auto"/>
                <w:highlight w:val="none"/>
              </w:rPr>
              <w:t>磋商</w:t>
            </w:r>
            <w:r>
              <w:rPr>
                <w:rFonts w:hint="eastAsia" w:ascii="宋体" w:hAnsi="宋体"/>
                <w:color w:val="auto"/>
                <w:highlight w:val="none"/>
                <w:lang w:val="zh-CN"/>
              </w:rPr>
              <w:t>文件要求澄清的截止时间</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b w:val="0"/>
                <w:bCs w:val="0"/>
                <w:color w:val="auto"/>
                <w:highlight w:val="none"/>
                <w:lang w:val="zh-CN"/>
              </w:rPr>
            </w:pPr>
            <w:r>
              <w:rPr>
                <w:rFonts w:hint="eastAsia" w:ascii="宋体" w:hAnsi="宋体"/>
                <w:b w:val="0"/>
                <w:bCs w:val="0"/>
                <w:color w:val="auto"/>
                <w:highlight w:val="none"/>
                <w:lang w:val="zh-CN"/>
              </w:rPr>
              <w:t>供应商对</w:t>
            </w:r>
            <w:r>
              <w:rPr>
                <w:rFonts w:hint="eastAsia" w:ascii="宋体" w:hAnsi="宋体"/>
                <w:b w:val="0"/>
                <w:bCs w:val="0"/>
                <w:color w:val="auto"/>
                <w:highlight w:val="none"/>
              </w:rPr>
              <w:t>磋商</w:t>
            </w:r>
            <w:r>
              <w:rPr>
                <w:rFonts w:hint="eastAsia" w:ascii="宋体" w:hAnsi="宋体"/>
                <w:b w:val="0"/>
                <w:bCs w:val="0"/>
                <w:color w:val="auto"/>
                <w:highlight w:val="none"/>
                <w:lang w:val="zh-CN"/>
              </w:rPr>
              <w:t>文件有异议的，公告期限内获取</w:t>
            </w:r>
            <w:r>
              <w:rPr>
                <w:rFonts w:hint="eastAsia" w:ascii="宋体" w:hAnsi="宋体"/>
                <w:b w:val="0"/>
                <w:bCs w:val="0"/>
                <w:color w:val="auto"/>
                <w:highlight w:val="none"/>
              </w:rPr>
              <w:t>磋商</w:t>
            </w:r>
            <w:r>
              <w:rPr>
                <w:rFonts w:hint="eastAsia" w:ascii="宋体" w:hAnsi="宋体"/>
                <w:b w:val="0"/>
                <w:bCs w:val="0"/>
                <w:color w:val="auto"/>
                <w:highlight w:val="none"/>
                <w:lang w:val="zh-CN"/>
              </w:rPr>
              <w:t>文件的供应商应在自收到</w:t>
            </w:r>
            <w:r>
              <w:rPr>
                <w:rFonts w:hint="eastAsia" w:ascii="宋体" w:hAnsi="宋体"/>
                <w:b w:val="0"/>
                <w:bCs w:val="0"/>
                <w:color w:val="auto"/>
                <w:highlight w:val="none"/>
              </w:rPr>
              <w:t>磋商</w:t>
            </w:r>
            <w:r>
              <w:rPr>
                <w:rFonts w:hint="eastAsia" w:ascii="宋体" w:hAnsi="宋体"/>
                <w:b w:val="0"/>
                <w:bCs w:val="0"/>
                <w:color w:val="auto"/>
                <w:highlight w:val="none"/>
                <w:lang w:val="zh-CN"/>
              </w:rPr>
              <w:t>文件之日（获取</w:t>
            </w:r>
            <w:r>
              <w:rPr>
                <w:rFonts w:hint="eastAsia" w:ascii="宋体" w:hAnsi="宋体"/>
                <w:b w:val="0"/>
                <w:bCs w:val="0"/>
                <w:color w:val="auto"/>
                <w:highlight w:val="none"/>
              </w:rPr>
              <w:t>磋商</w:t>
            </w:r>
            <w:r>
              <w:rPr>
                <w:rFonts w:hint="eastAsia" w:ascii="宋体" w:hAnsi="宋体"/>
                <w:b w:val="0"/>
                <w:bCs w:val="0"/>
                <w:color w:val="auto"/>
                <w:highlight w:val="none"/>
                <w:lang w:val="zh-CN"/>
              </w:rPr>
              <w:t>文件之日）起3个工作日内提出，公告期限外获取</w:t>
            </w:r>
            <w:r>
              <w:rPr>
                <w:rFonts w:hint="eastAsia" w:ascii="宋体" w:hAnsi="宋体"/>
                <w:b w:val="0"/>
                <w:bCs w:val="0"/>
                <w:color w:val="auto"/>
                <w:highlight w:val="none"/>
              </w:rPr>
              <w:t>磋商</w:t>
            </w:r>
            <w:r>
              <w:rPr>
                <w:rFonts w:hint="eastAsia" w:ascii="宋体" w:hAnsi="宋体"/>
                <w:b w:val="0"/>
                <w:bCs w:val="0"/>
                <w:color w:val="auto"/>
                <w:highlight w:val="none"/>
                <w:lang w:val="zh-CN"/>
              </w:rPr>
              <w:t>文件的供应商应在公告期限届满之日起7个工作日内，以书面形式向采购人提出质疑，逾期将不予受理。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lang w:val="zh-CN"/>
              </w:rPr>
            </w:pPr>
            <w:r>
              <w:rPr>
                <w:rFonts w:hint="eastAsia" w:ascii="宋体" w:hAnsi="宋体"/>
                <w:color w:val="auto"/>
                <w:highlight w:val="none"/>
                <w:lang w:val="zh-CN"/>
              </w:rPr>
              <w:t>16</w:t>
            </w:r>
          </w:p>
        </w:tc>
        <w:tc>
          <w:tcPr>
            <w:tcW w:w="1960" w:type="dxa"/>
            <w:vAlign w:val="center"/>
          </w:tcPr>
          <w:p>
            <w:pPr>
              <w:keepNext w:val="0"/>
              <w:keepLines w:val="0"/>
              <w:suppressLineNumbers w:val="0"/>
              <w:tabs>
                <w:tab w:val="left" w:pos="0"/>
              </w:tabs>
              <w:autoSpaceDE w:val="0"/>
              <w:autoSpaceDN w:val="0"/>
              <w:adjustRightInd w:val="0"/>
              <w:spacing w:before="0" w:beforeAutospacing="0" w:after="0" w:afterAutospacing="0" w:line="240" w:lineRule="auto"/>
              <w:ind w:left="0" w:right="0" w:firstLine="0" w:firstLineChars="0"/>
              <w:jc w:val="center"/>
              <w:rPr>
                <w:rFonts w:hint="default" w:ascii="宋体" w:hAnsi="宋体"/>
                <w:color w:val="auto"/>
                <w:highlight w:val="none"/>
              </w:rPr>
            </w:pPr>
            <w:r>
              <w:rPr>
                <w:rFonts w:hint="eastAsia" w:ascii="宋体" w:hAnsi="宋体"/>
                <w:color w:val="auto"/>
                <w:highlight w:val="none"/>
              </w:rPr>
              <w:t>采购人澄清的截止时间</w:t>
            </w:r>
          </w:p>
        </w:tc>
        <w:tc>
          <w:tcPr>
            <w:tcW w:w="7255" w:type="dxa"/>
            <w:vAlign w:val="center"/>
          </w:tcPr>
          <w:p>
            <w:pPr>
              <w:keepNext w:val="0"/>
              <w:keepLines w:val="0"/>
              <w:suppressLineNumbers w:val="0"/>
              <w:tabs>
                <w:tab w:val="left" w:pos="0"/>
              </w:tabs>
              <w:autoSpaceDE w:val="0"/>
              <w:autoSpaceDN w:val="0"/>
              <w:adjustRightInd w:val="0"/>
              <w:spacing w:before="0" w:beforeAutospacing="0" w:after="0" w:afterAutospacing="0" w:line="240" w:lineRule="auto"/>
              <w:ind w:left="0" w:right="0" w:firstLine="0" w:firstLineChars="0"/>
              <w:jc w:val="left"/>
              <w:rPr>
                <w:rFonts w:hint="default" w:ascii="宋体" w:hAnsi="宋体"/>
                <w:color w:val="auto"/>
                <w:highlight w:val="none"/>
              </w:rPr>
            </w:pPr>
            <w:r>
              <w:rPr>
                <w:rFonts w:hint="eastAsia" w:ascii="宋体" w:hAnsi="宋体"/>
                <w:color w:val="auto"/>
                <w:highlight w:val="none"/>
              </w:rPr>
              <w:t>提交首次响应文件截止之日前，采购人、</w:t>
            </w:r>
            <w:r>
              <w:rPr>
                <w:rFonts w:hint="eastAsia" w:ascii="宋体" w:hAnsi="宋体"/>
                <w:color w:val="auto"/>
                <w:highlight w:val="none"/>
                <w:lang w:eastAsia="zh-CN"/>
              </w:rPr>
              <w:t>采购代理机构</w:t>
            </w:r>
            <w:r>
              <w:rPr>
                <w:rFonts w:hint="eastAsia" w:ascii="宋体" w:hAnsi="宋体"/>
                <w:color w:val="auto"/>
                <w:highlight w:val="none"/>
              </w:rPr>
              <w:t>或者磋商小组可以对已发出的磋商文件进行必要的澄清或者修改，澄清或者修改的内容作为磋商文件的组成部分。澄清或者修改的内容可能影响响应文件编制的，采购人、</w:t>
            </w:r>
            <w:r>
              <w:rPr>
                <w:rFonts w:hint="eastAsia" w:ascii="宋体" w:hAnsi="宋体"/>
                <w:color w:val="auto"/>
                <w:highlight w:val="none"/>
                <w:lang w:eastAsia="zh-CN"/>
              </w:rPr>
              <w:t>采购代理机构</w:t>
            </w:r>
            <w:r>
              <w:rPr>
                <w:rFonts w:hint="eastAsia" w:ascii="宋体" w:hAnsi="宋体"/>
                <w:color w:val="auto"/>
                <w:highlight w:val="none"/>
              </w:rPr>
              <w:t>应当在提交首次响应文件截止时间至少5日前，以书面形式通知所有获取磋商文件的供应商；不足5日的，采购人、</w:t>
            </w:r>
            <w:r>
              <w:rPr>
                <w:rFonts w:hint="eastAsia" w:ascii="宋体" w:hAnsi="宋体"/>
                <w:color w:val="auto"/>
                <w:highlight w:val="none"/>
                <w:lang w:eastAsia="zh-CN"/>
              </w:rPr>
              <w:t>采购代理机构</w:t>
            </w:r>
            <w:r>
              <w:rPr>
                <w:rFonts w:hint="eastAsia" w:ascii="宋体" w:hAnsi="宋体"/>
                <w:color w:val="auto"/>
                <w:highlight w:val="none"/>
              </w:rPr>
              <w:t>应当顺延提交首次响应文件截止时间。</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lang w:val="zh-CN"/>
              </w:rPr>
            </w:pPr>
            <w:r>
              <w:rPr>
                <w:rFonts w:hint="eastAsia" w:ascii="宋体" w:hAnsi="宋体"/>
                <w:color w:val="auto"/>
                <w:highlight w:val="none"/>
                <w:lang w:val="zh-CN"/>
              </w:rPr>
              <w:t>17</w:t>
            </w:r>
          </w:p>
        </w:tc>
        <w:tc>
          <w:tcPr>
            <w:tcW w:w="1960" w:type="dxa"/>
            <w:vAlign w:val="center"/>
          </w:tcPr>
          <w:p>
            <w:pPr>
              <w:keepNext w:val="0"/>
              <w:keepLines w:val="0"/>
              <w:suppressLineNumbers w:val="0"/>
              <w:tabs>
                <w:tab w:val="left" w:pos="0"/>
              </w:tabs>
              <w:autoSpaceDE w:val="0"/>
              <w:autoSpaceDN w:val="0"/>
              <w:adjustRightInd w:val="0"/>
              <w:spacing w:before="0" w:beforeAutospacing="0" w:after="0" w:afterAutospacing="0" w:line="240" w:lineRule="auto"/>
              <w:ind w:left="0" w:right="0" w:firstLine="0" w:firstLineChars="0"/>
              <w:jc w:val="center"/>
              <w:rPr>
                <w:rFonts w:hint="default" w:ascii="宋体" w:hAnsi="宋体"/>
                <w:color w:val="auto"/>
                <w:highlight w:val="none"/>
              </w:rPr>
            </w:pPr>
            <w:r>
              <w:rPr>
                <w:rFonts w:hint="eastAsia" w:ascii="宋体" w:hAnsi="宋体"/>
                <w:color w:val="auto"/>
                <w:highlight w:val="none"/>
              </w:rPr>
              <w:t>是否采用电子招标投标</w:t>
            </w:r>
          </w:p>
        </w:tc>
        <w:tc>
          <w:tcPr>
            <w:tcW w:w="7255" w:type="dxa"/>
            <w:vAlign w:val="center"/>
          </w:tcPr>
          <w:p>
            <w:pPr>
              <w:keepNext w:val="0"/>
              <w:keepLines w:val="0"/>
              <w:suppressLineNumbers w:val="0"/>
              <w:tabs>
                <w:tab w:val="left" w:pos="0"/>
              </w:tabs>
              <w:autoSpaceDE w:val="0"/>
              <w:autoSpaceDN w:val="0"/>
              <w:adjustRightInd w:val="0"/>
              <w:spacing w:before="0" w:beforeAutospacing="0" w:after="0" w:afterAutospacing="0" w:line="240" w:lineRule="auto"/>
              <w:ind w:left="0" w:right="0" w:firstLine="0" w:firstLineChars="0"/>
              <w:jc w:val="left"/>
              <w:rPr>
                <w:rFonts w:hint="default" w:ascii="宋体" w:hAnsi="宋体"/>
                <w:color w:val="auto"/>
                <w:highlight w:val="none"/>
              </w:rPr>
            </w:pPr>
            <w:r>
              <w:rPr>
                <w:rFonts w:hint="eastAsia" w:ascii="宋体" w:hAnsi="宋体"/>
                <w:color w:val="auto"/>
                <w:highlight w:val="none"/>
              </w:rPr>
              <w:t>是；本项目实行不见面电子招投标方式。</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lang w:val="zh-CN"/>
              </w:rPr>
            </w:pPr>
            <w:r>
              <w:rPr>
                <w:rFonts w:hint="eastAsia" w:ascii="宋体" w:hAnsi="宋体"/>
                <w:color w:val="auto"/>
                <w:highlight w:val="none"/>
                <w:lang w:val="zh-CN"/>
              </w:rPr>
              <w:t>18</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构成</w:t>
            </w:r>
            <w:r>
              <w:rPr>
                <w:rFonts w:hint="eastAsia" w:ascii="宋体" w:hAnsi="宋体" w:eastAsia="宋体" w:cs="宋体"/>
                <w:color w:val="auto"/>
                <w:highlight w:val="none"/>
              </w:rPr>
              <w:t>磋商</w:t>
            </w:r>
            <w:r>
              <w:rPr>
                <w:rFonts w:hint="eastAsia" w:ascii="宋体" w:hAnsi="宋体" w:eastAsia="宋体" w:cs="宋体"/>
                <w:color w:val="auto"/>
                <w:highlight w:val="none"/>
                <w:lang w:val="zh-CN"/>
              </w:rPr>
              <w:t>文件的其他材料</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highlight w:val="none"/>
                <w:lang w:val="zh-CN"/>
              </w:rPr>
            </w:pPr>
            <w:r>
              <w:rPr>
                <w:rFonts w:hint="eastAsia" w:ascii="宋体" w:hAnsi="宋体" w:eastAsia="宋体" w:cs="宋体"/>
                <w:color w:val="auto"/>
                <w:highlight w:val="none"/>
              </w:rPr>
              <w:t>补充（答疑、澄清）、修改（</w:t>
            </w:r>
            <w:r>
              <w:rPr>
                <w:rFonts w:hint="eastAsia" w:ascii="宋体" w:hAnsi="宋体" w:eastAsia="宋体" w:cs="宋体"/>
                <w:color w:val="auto"/>
                <w:highlight w:val="none"/>
                <w:lang w:val="zh-CN"/>
              </w:rPr>
              <w:t>更正</w:t>
            </w:r>
            <w:r>
              <w:rPr>
                <w:rFonts w:hint="eastAsia" w:ascii="宋体" w:hAnsi="宋体" w:eastAsia="宋体" w:cs="宋体"/>
                <w:color w:val="auto"/>
                <w:highlight w:val="none"/>
              </w:rPr>
              <w:t>）文件。</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19</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投标报价次数</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报价次数由</w:t>
            </w:r>
            <w:r>
              <w:rPr>
                <w:rFonts w:hint="eastAsia" w:ascii="宋体" w:hAnsi="宋体"/>
                <w:color w:val="auto"/>
                <w:highlight w:val="none"/>
              </w:rPr>
              <w:t>磋商</w:t>
            </w:r>
            <w:r>
              <w:rPr>
                <w:rFonts w:hint="eastAsia" w:ascii="宋体" w:hAnsi="宋体"/>
                <w:color w:val="auto"/>
                <w:highlight w:val="none"/>
                <w:lang w:val="zh-CN"/>
              </w:rPr>
              <w:t>小组根据磋商情况决定。有一轮及以上报价的，当前报价不得高于对该项之前的报价，且不得高于最高限价。否则，</w:t>
            </w:r>
            <w:r>
              <w:rPr>
                <w:rFonts w:hint="eastAsia" w:ascii="宋体" w:hAnsi="宋体"/>
                <w:color w:val="auto"/>
                <w:highlight w:val="none"/>
              </w:rPr>
              <w:t>磋商</w:t>
            </w:r>
            <w:r>
              <w:rPr>
                <w:rFonts w:hint="eastAsia" w:ascii="宋体" w:hAnsi="宋体"/>
                <w:color w:val="auto"/>
                <w:highlight w:val="none"/>
                <w:lang w:val="zh-CN"/>
              </w:rPr>
              <w:t>小组按无效报价处理。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lang w:val="zh-CN"/>
              </w:rPr>
            </w:pPr>
            <w:r>
              <w:rPr>
                <w:rFonts w:hint="eastAsia" w:ascii="宋体" w:hAnsi="宋体"/>
                <w:color w:val="auto"/>
                <w:highlight w:val="none"/>
                <w:lang w:val="en-US" w:eastAsia="zh-CN"/>
              </w:rPr>
              <w:t>20</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磋商响应文件</w:t>
            </w:r>
            <w:r>
              <w:rPr>
                <w:rFonts w:hint="eastAsia" w:ascii="宋体" w:hAnsi="宋体"/>
                <w:color w:val="auto"/>
                <w:highlight w:val="none"/>
              </w:rPr>
              <w:t>份数</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电子</w:t>
            </w:r>
            <w:r>
              <w:rPr>
                <w:rFonts w:hint="eastAsia" w:ascii="宋体" w:hAnsi="宋体"/>
                <w:color w:val="auto"/>
                <w:highlight w:val="none"/>
              </w:rPr>
              <w:t>磋商响应</w:t>
            </w:r>
            <w:r>
              <w:rPr>
                <w:rFonts w:hint="eastAsia" w:ascii="宋体" w:hAnsi="宋体"/>
                <w:color w:val="auto"/>
                <w:highlight w:val="none"/>
                <w:lang w:val="zh-CN"/>
              </w:rPr>
              <w:t>文件：加密电子</w:t>
            </w:r>
            <w:r>
              <w:rPr>
                <w:rFonts w:hint="eastAsia" w:ascii="宋体" w:hAnsi="宋体"/>
                <w:color w:val="auto"/>
                <w:highlight w:val="none"/>
              </w:rPr>
              <w:t>磋商响应</w:t>
            </w:r>
            <w:r>
              <w:rPr>
                <w:rFonts w:hint="eastAsia" w:ascii="宋体" w:hAnsi="宋体"/>
                <w:color w:val="auto"/>
                <w:highlight w:val="none"/>
                <w:lang w:val="zh-CN"/>
              </w:rPr>
              <w:t>文件一份，包括</w:t>
            </w:r>
            <w:r>
              <w:rPr>
                <w:rFonts w:hint="eastAsia"/>
                <w:color w:val="auto"/>
                <w:highlight w:val="none"/>
              </w:rPr>
              <w:t>“资格文件</w:t>
            </w:r>
            <w:r>
              <w:rPr>
                <w:rFonts w:hint="eastAsia"/>
                <w:color w:val="auto"/>
                <w:highlight w:val="none"/>
                <w:lang w:eastAsia="zh-CN"/>
              </w:rPr>
              <w:t>”“</w:t>
            </w:r>
            <w:r>
              <w:rPr>
                <w:rFonts w:hint="eastAsia"/>
                <w:color w:val="auto"/>
                <w:highlight w:val="none"/>
              </w:rPr>
              <w:t>报价文件”和“资信商务技术文件”三个部分组成</w:t>
            </w:r>
            <w:r>
              <w:rPr>
                <w:rFonts w:hint="eastAsia" w:ascii="宋体" w:hAnsi="宋体"/>
                <w:color w:val="auto"/>
                <w:highlight w:val="none"/>
                <w:lang w:val="zh-CN"/>
              </w:rPr>
              <w:t>，按规定上传至衢州市阳光交易服务平台。成交供应商在公示结束后，提供与投标时一致的纸质磋商响应文件</w:t>
            </w:r>
            <w:r>
              <w:rPr>
                <w:rFonts w:hint="eastAsia" w:ascii="宋体" w:hAnsi="宋体"/>
                <w:color w:val="auto"/>
                <w:highlight w:val="none"/>
                <w:lang w:val="en-US" w:eastAsia="zh-CN"/>
              </w:rPr>
              <w:t>三</w:t>
            </w:r>
            <w:r>
              <w:rPr>
                <w:rFonts w:hint="eastAsia" w:ascii="宋体" w:hAnsi="宋体"/>
                <w:color w:val="auto"/>
                <w:highlight w:val="none"/>
                <w:lang w:val="zh-CN"/>
              </w:rPr>
              <w:t>套。</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lang w:val="zh-CN"/>
              </w:rPr>
            </w:pPr>
            <w:r>
              <w:rPr>
                <w:rFonts w:hint="eastAsia" w:ascii="宋体" w:hAnsi="宋体"/>
                <w:color w:val="auto"/>
                <w:highlight w:val="none"/>
                <w:lang w:val="en-US" w:eastAsia="zh-CN"/>
              </w:rPr>
              <w:t>21</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磋商截止时间</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时  间：202</w:t>
            </w:r>
            <w:r>
              <w:rPr>
                <w:rFonts w:hint="eastAsia" w:ascii="宋体" w:hAnsi="宋体"/>
                <w:color w:val="auto"/>
                <w:highlight w:val="none"/>
                <w:lang w:val="en-US" w:eastAsia="zh-CN"/>
              </w:rPr>
              <w:t>4</w:t>
            </w:r>
            <w:r>
              <w:rPr>
                <w:rFonts w:hint="eastAsia" w:ascii="宋体" w:hAnsi="宋体"/>
                <w:color w:val="auto"/>
                <w:highlight w:val="none"/>
                <w:lang w:val="zh-CN"/>
              </w:rPr>
              <w:t>年</w:t>
            </w:r>
            <w:r>
              <w:rPr>
                <w:rFonts w:hint="eastAsia" w:ascii="宋体" w:hAnsi="宋体"/>
                <w:color w:val="auto"/>
                <w:highlight w:val="none"/>
                <w:lang w:val="en-US" w:eastAsia="zh-CN"/>
              </w:rPr>
              <w:t>7</w:t>
            </w:r>
            <w:r>
              <w:rPr>
                <w:rFonts w:hint="eastAsia" w:ascii="宋体" w:hAnsi="宋体"/>
                <w:color w:val="auto"/>
                <w:highlight w:val="none"/>
                <w:lang w:val="zh-CN"/>
              </w:rPr>
              <w:t>月</w:t>
            </w:r>
            <w:r>
              <w:rPr>
                <w:rFonts w:hint="eastAsia" w:ascii="宋体" w:hAnsi="宋体"/>
                <w:color w:val="auto"/>
                <w:highlight w:val="none"/>
                <w:lang w:val="en-US" w:eastAsia="zh-CN"/>
              </w:rPr>
              <w:t>11</w:t>
            </w:r>
            <w:r>
              <w:rPr>
                <w:rFonts w:hint="eastAsia" w:ascii="宋体" w:hAnsi="宋体"/>
                <w:color w:val="auto"/>
                <w:highlight w:val="none"/>
                <w:lang w:val="zh-CN"/>
              </w:rPr>
              <w:t>日</w:t>
            </w:r>
            <w:r>
              <w:rPr>
                <w:rFonts w:hint="eastAsia" w:ascii="宋体" w:hAnsi="宋体"/>
                <w:color w:val="auto"/>
                <w:highlight w:val="none"/>
                <w:lang w:val="en-US" w:eastAsia="zh-CN"/>
              </w:rPr>
              <w:t>09</w:t>
            </w:r>
            <w:r>
              <w:rPr>
                <w:rFonts w:hint="eastAsia" w:ascii="宋体" w:hAnsi="宋体"/>
                <w:color w:val="auto"/>
                <w:highlight w:val="none"/>
                <w:lang w:val="zh-CN"/>
              </w:rPr>
              <w:t>:</w:t>
            </w:r>
            <w:r>
              <w:rPr>
                <w:rFonts w:hint="eastAsia" w:ascii="宋体" w:hAnsi="宋体"/>
                <w:color w:val="auto"/>
                <w:highlight w:val="none"/>
              </w:rPr>
              <w:t>3</w:t>
            </w:r>
            <w:r>
              <w:rPr>
                <w:rFonts w:hint="eastAsia" w:ascii="宋体" w:hAnsi="宋体"/>
                <w:color w:val="auto"/>
                <w:highlight w:val="none"/>
                <w:lang w:val="zh-CN"/>
              </w:rPr>
              <w:t>0时（</w:t>
            </w:r>
            <w:r>
              <w:rPr>
                <w:rFonts w:hint="eastAsia" w:ascii="宋体" w:hAnsi="宋体"/>
                <w:color w:val="auto"/>
                <w:highlight w:val="none"/>
                <w:lang w:val="en-US" w:eastAsia="zh-CN"/>
              </w:rPr>
              <w:t>北京时间</w:t>
            </w:r>
            <w:r>
              <w:rPr>
                <w:rFonts w:hint="eastAsia" w:ascii="宋体" w:hAnsi="宋体"/>
                <w:color w:val="auto"/>
                <w:highlight w:val="none"/>
                <w:lang w:val="zh-CN"/>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lang w:val="zh-CN"/>
              </w:rPr>
            </w:pPr>
            <w:r>
              <w:rPr>
                <w:rFonts w:hint="eastAsia" w:ascii="宋体" w:hAnsi="宋体"/>
                <w:color w:val="auto"/>
                <w:highlight w:val="none"/>
                <w:lang w:val="en-US" w:eastAsia="zh-CN"/>
              </w:rPr>
              <w:t>22</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开标</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开标时间：同电子磋商响应文件上传截止时间。</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开标地点：衢州市公共资源交易龙游县分中心</w:t>
            </w:r>
            <w:r>
              <w:rPr>
                <w:rFonts w:hint="eastAsia" w:ascii="宋体" w:hAnsi="宋体"/>
                <w:color w:val="auto"/>
                <w:highlight w:val="none"/>
              </w:rPr>
              <w:t>2楼</w:t>
            </w:r>
            <w:r>
              <w:rPr>
                <w:rFonts w:hint="eastAsia" w:ascii="宋体" w:hAnsi="宋体"/>
                <w:color w:val="auto"/>
                <w:highlight w:val="none"/>
                <w:lang w:val="zh-CN"/>
              </w:rPr>
              <w:t>开标室</w:t>
            </w:r>
            <w:r>
              <w:rPr>
                <w:rFonts w:hint="eastAsia" w:ascii="宋体" w:hAnsi="宋体"/>
                <w:color w:val="auto"/>
                <w:highlight w:val="none"/>
                <w:lang w:val="en-US" w:eastAsia="zh-CN"/>
              </w:rPr>
              <w:t>3</w:t>
            </w:r>
            <w:r>
              <w:rPr>
                <w:rFonts w:hint="eastAsia" w:ascii="宋体" w:hAnsi="宋体"/>
                <w:color w:val="auto"/>
                <w:highlight w:val="none"/>
                <w:lang w:val="zh-CN"/>
              </w:rPr>
              <w:t>（龙游县龙翔路原香溢市场西侧）</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开标平台：衢州市阳光交易服务平台。</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lang w:val="zh-CN"/>
              </w:rPr>
            </w:pPr>
            <w:r>
              <w:rPr>
                <w:rFonts w:hint="eastAsia" w:ascii="宋体" w:hAnsi="宋体"/>
                <w:color w:val="auto"/>
                <w:highlight w:val="none"/>
                <w:lang w:val="en-US" w:eastAsia="zh-CN"/>
              </w:rPr>
              <w:t>23</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递交磋商响应文件的地点</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将由磋商响应文件制作工具制作生成的加密磋商响应文件在磋商截止时间前（以上传完成时间为准）上传至衢州市阳光交易服务平台（网址：</w:t>
            </w:r>
            <w:r>
              <w:rPr>
                <w:rFonts w:hint="eastAsia" w:ascii="宋体" w:hAnsi="宋体"/>
                <w:color w:val="auto"/>
                <w:highlight w:val="none"/>
              </w:rPr>
              <w:t>https://qzygjy.com/TPBidder/memberLogin?type=13</w:t>
            </w:r>
            <w:r>
              <w:rPr>
                <w:rFonts w:hint="eastAsia" w:ascii="宋体" w:hAnsi="宋体"/>
                <w:color w:val="auto"/>
                <w:highlight w:val="none"/>
                <w:lang w:val="zh-CN"/>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lang w:val="zh-CN"/>
              </w:rPr>
            </w:pPr>
            <w:r>
              <w:rPr>
                <w:rFonts w:hint="eastAsia" w:ascii="宋体" w:hAnsi="宋体"/>
                <w:color w:val="auto"/>
                <w:highlight w:val="none"/>
                <w:lang w:val="en-US" w:eastAsia="zh-CN"/>
              </w:rPr>
              <w:t>24</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磋商响应文件的外包装和密封要求</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电子招投标，无密封要求。</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lang w:val="en-US"/>
              </w:rPr>
            </w:pPr>
            <w:r>
              <w:rPr>
                <w:rFonts w:hint="eastAsia" w:ascii="宋体" w:hAnsi="宋体"/>
                <w:color w:val="auto"/>
                <w:highlight w:val="none"/>
                <w:lang w:val="en-US" w:eastAsia="zh-CN"/>
              </w:rPr>
              <w:t>25</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磋商响应文件封面上应载明的信息</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详见第六章</w:t>
            </w:r>
            <w:r>
              <w:rPr>
                <w:rFonts w:hint="eastAsia" w:ascii="宋体" w:hAnsi="宋体"/>
                <w:color w:val="auto"/>
                <w:highlight w:val="none"/>
              </w:rPr>
              <w:t xml:space="preserve"> </w:t>
            </w:r>
            <w:r>
              <w:rPr>
                <w:rFonts w:hint="eastAsia" w:ascii="宋体" w:hAnsi="宋体"/>
                <w:color w:val="auto"/>
                <w:highlight w:val="none"/>
                <w:lang w:val="zh-CN"/>
              </w:rPr>
              <w:t>磋商响应文件格式。</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lang w:val="zh-CN"/>
              </w:rPr>
            </w:pPr>
            <w:r>
              <w:rPr>
                <w:rFonts w:hint="eastAsia" w:ascii="宋体" w:hAnsi="宋体"/>
                <w:color w:val="auto"/>
                <w:highlight w:val="none"/>
                <w:lang w:val="en-US" w:eastAsia="zh-CN"/>
              </w:rPr>
              <w:t>26</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签字或盖章要求</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磋商响应文件格式文件要求供应商盖章、法定代表人印章的地方，供应商均应使用CA数字证书加盖供应商的单位电子印章、法定代表人个人电子印章。</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lang w:val="zh-CN"/>
              </w:rPr>
            </w:pPr>
            <w:r>
              <w:rPr>
                <w:rFonts w:hint="eastAsia" w:ascii="宋体" w:hAnsi="宋体"/>
                <w:color w:val="auto"/>
                <w:highlight w:val="none"/>
                <w:lang w:val="en-US" w:eastAsia="zh-CN"/>
              </w:rPr>
              <w:t>27</w:t>
            </w:r>
          </w:p>
        </w:tc>
        <w:tc>
          <w:tcPr>
            <w:tcW w:w="1960"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lang w:val="zh-CN"/>
              </w:rPr>
            </w:pPr>
            <w:r>
              <w:rPr>
                <w:rFonts w:hint="eastAsia" w:ascii="宋体" w:hAnsi="宋体" w:cs="宋体"/>
                <w:color w:val="auto"/>
                <w:highlight w:val="none"/>
                <w:lang w:val="zh-CN"/>
              </w:rPr>
              <w:t>是否允许提交备选投标方案</w:t>
            </w:r>
          </w:p>
        </w:tc>
        <w:tc>
          <w:tcPr>
            <w:tcW w:w="7255" w:type="dxa"/>
            <w:vAlign w:val="center"/>
          </w:tcPr>
          <w:p>
            <w:pPr>
              <w:keepNext w:val="0"/>
              <w:keepLines w:val="0"/>
              <w:suppressLineNumbers w:val="0"/>
              <w:spacing w:before="0" w:beforeAutospacing="0" w:after="0" w:afterAutospacing="0" w:line="240" w:lineRule="auto"/>
              <w:ind w:left="0" w:leftChars="0" w:right="0" w:rightChars="0" w:firstLine="0" w:firstLineChars="0"/>
              <w:jc w:val="left"/>
              <w:rPr>
                <w:rFonts w:hint="default" w:ascii="宋体" w:hAnsi="宋体"/>
                <w:color w:val="auto"/>
                <w:highlight w:val="none"/>
                <w:lang w:val="zh-CN"/>
              </w:rPr>
            </w:pPr>
            <w:r>
              <w:rPr>
                <w:rFonts w:hint="eastAsia" w:ascii="宋体" w:hAnsi="宋体" w:cs="宋体"/>
                <w:color w:val="auto"/>
                <w:highlight w:val="none"/>
                <w:lang w:val="zh-CN"/>
              </w:rPr>
              <w:t>不允许。</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olor w:val="auto"/>
                <w:highlight w:val="none"/>
                <w:lang w:val="zh-CN" w:eastAsia="zh-CN"/>
              </w:rPr>
            </w:pPr>
            <w:r>
              <w:rPr>
                <w:rFonts w:hint="eastAsia" w:ascii="宋体" w:hAnsi="宋体"/>
                <w:color w:val="auto"/>
                <w:highlight w:val="none"/>
                <w:lang w:val="en-US" w:eastAsia="zh-CN"/>
              </w:rPr>
              <w:t>28</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采购方式</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rPr>
              <w:t>竞争性磋商</w:t>
            </w:r>
            <w:r>
              <w:rPr>
                <w:rFonts w:hint="eastAsia" w:ascii="宋体" w:hAnsi="宋体"/>
                <w:color w:val="auto"/>
                <w:highlight w:val="none"/>
                <w:lang w:val="zh-CN"/>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olor w:val="auto"/>
                <w:highlight w:val="none"/>
                <w:lang w:val="zh-CN" w:eastAsia="zh-CN"/>
              </w:rPr>
            </w:pPr>
            <w:r>
              <w:rPr>
                <w:rFonts w:hint="eastAsia" w:ascii="宋体" w:hAnsi="宋体"/>
                <w:color w:val="auto"/>
                <w:highlight w:val="none"/>
                <w:lang w:val="en-US" w:eastAsia="zh-CN"/>
              </w:rPr>
              <w:t>29</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left"/>
              <w:rPr>
                <w:rFonts w:hint="eastAsia" w:ascii="宋体" w:hAnsi="宋体"/>
                <w:color w:val="auto"/>
                <w:highlight w:val="none"/>
                <w:lang w:val="zh-CN"/>
              </w:rPr>
            </w:pPr>
            <w:r>
              <w:rPr>
                <w:rFonts w:hint="eastAsia" w:ascii="宋体" w:hAnsi="宋体"/>
                <w:color w:val="auto"/>
                <w:highlight w:val="none"/>
                <w:lang w:val="zh-CN"/>
              </w:rPr>
              <w:t>磋商小组的组建</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eastAsia" w:ascii="宋体" w:hAnsi="宋体"/>
                <w:color w:val="auto"/>
                <w:sz w:val="24"/>
                <w:highlight w:val="none"/>
                <w:lang w:val="zh-CN"/>
              </w:rPr>
            </w:pPr>
            <w:r>
              <w:rPr>
                <w:rFonts w:hint="eastAsia" w:ascii="宋体" w:hAnsi="宋体"/>
                <w:color w:val="auto"/>
                <w:highlight w:val="none"/>
                <w:lang w:val="zh-CN"/>
              </w:rPr>
              <w:t>磋商小组构成：共</w:t>
            </w:r>
            <w:r>
              <w:rPr>
                <w:rFonts w:hint="eastAsia" w:ascii="宋体" w:hAnsi="宋体"/>
                <w:color w:val="auto"/>
                <w:highlight w:val="none"/>
                <w:u w:val="none"/>
                <w:lang w:val="zh-CN"/>
              </w:rPr>
              <w:t>3</w:t>
            </w:r>
            <w:r>
              <w:rPr>
                <w:rFonts w:hint="eastAsia" w:ascii="宋体" w:hAnsi="宋体"/>
                <w:color w:val="auto"/>
                <w:highlight w:val="none"/>
                <w:lang w:val="zh-CN"/>
              </w:rPr>
              <w:t>人（3人及以上单数）</w:t>
            </w:r>
            <w:r>
              <w:rPr>
                <w:rFonts w:hint="eastAsia" w:ascii="宋体" w:hAnsi="宋体"/>
                <w:color w:val="auto"/>
                <w:spacing w:val="0"/>
                <w:sz w:val="24"/>
                <w:highlight w:val="none"/>
                <w:lang w:val="zh-CN"/>
              </w:rPr>
              <w:t>评审专家不得少于总人数</w:t>
            </w:r>
            <w:r>
              <w:rPr>
                <w:rFonts w:hint="eastAsia" w:ascii="宋体" w:hAnsi="宋体"/>
                <w:color w:val="auto"/>
                <w:sz w:val="24"/>
                <w:highlight w:val="none"/>
                <w:lang w:val="zh-CN"/>
              </w:rPr>
              <w:t>的 2/3；</w:t>
            </w:r>
          </w:p>
          <w:p>
            <w:pPr>
              <w:keepNext w:val="0"/>
              <w:keepLines w:val="0"/>
              <w:suppressLineNumbers w:val="0"/>
              <w:spacing w:before="0" w:beforeAutospacing="0" w:after="0" w:afterAutospacing="0" w:line="240" w:lineRule="auto"/>
              <w:ind w:left="0" w:right="0" w:firstLine="0" w:firstLineChars="0"/>
              <w:jc w:val="left"/>
              <w:rPr>
                <w:rFonts w:hint="eastAsia" w:ascii="宋体" w:hAnsi="宋体"/>
                <w:color w:val="auto"/>
                <w:highlight w:val="none"/>
                <w:lang w:val="zh-CN"/>
              </w:rPr>
            </w:pPr>
            <w:r>
              <w:rPr>
                <w:rFonts w:hint="eastAsia" w:ascii="宋体" w:hAnsi="宋体"/>
                <w:color w:val="auto"/>
                <w:highlight w:val="none"/>
                <w:lang w:val="zh-CN"/>
              </w:rPr>
              <w:t>磋商小组</w:t>
            </w:r>
            <w:r>
              <w:rPr>
                <w:rFonts w:hint="eastAsia" w:ascii="宋体" w:hAnsi="宋体"/>
                <w:color w:val="auto"/>
                <w:sz w:val="24"/>
                <w:highlight w:val="none"/>
                <w:lang w:val="zh-CN"/>
              </w:rPr>
              <w:t>确定方式：按相关规定抽取。</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eastAsia="宋体"/>
                <w:color w:val="auto"/>
                <w:highlight w:val="none"/>
                <w:lang w:val="en-US" w:eastAsia="zh-CN"/>
              </w:rPr>
            </w:pPr>
            <w:r>
              <w:rPr>
                <w:rFonts w:hint="eastAsia" w:ascii="宋体" w:hAnsi="宋体"/>
                <w:color w:val="auto"/>
                <w:highlight w:val="none"/>
                <w:lang w:val="zh-CN"/>
              </w:rPr>
              <w:t>3</w:t>
            </w:r>
            <w:r>
              <w:rPr>
                <w:rFonts w:hint="eastAsia" w:ascii="宋体" w:hAnsi="宋体"/>
                <w:color w:val="auto"/>
                <w:highlight w:val="none"/>
                <w:lang w:val="en-US" w:eastAsia="zh-CN"/>
              </w:rPr>
              <w:t>0</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评审办法</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综合评分法。</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olor w:val="auto"/>
                <w:highlight w:val="none"/>
                <w:lang w:val="zh-CN" w:eastAsia="zh-CN"/>
              </w:rPr>
            </w:pPr>
            <w:r>
              <w:rPr>
                <w:rFonts w:hint="eastAsia" w:ascii="宋体" w:hAnsi="宋体"/>
                <w:color w:val="auto"/>
                <w:highlight w:val="none"/>
                <w:lang w:val="zh-CN"/>
              </w:rPr>
              <w:t>3</w:t>
            </w:r>
            <w:r>
              <w:rPr>
                <w:rFonts w:hint="eastAsia" w:ascii="宋体" w:hAnsi="宋体"/>
                <w:color w:val="auto"/>
                <w:highlight w:val="none"/>
                <w:lang w:val="en-US" w:eastAsia="zh-CN"/>
              </w:rPr>
              <w:t>1</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确定成交供应商</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确定</w:t>
            </w:r>
            <w:r>
              <w:rPr>
                <w:rFonts w:hint="eastAsia" w:ascii="宋体" w:hAnsi="宋体"/>
                <w:color w:val="auto"/>
                <w:highlight w:val="none"/>
                <w:lang w:val="en-US" w:eastAsia="zh-CN"/>
              </w:rPr>
              <w:t>1</w:t>
            </w:r>
            <w:r>
              <w:rPr>
                <w:rFonts w:hint="eastAsia" w:ascii="宋体" w:hAnsi="宋体"/>
                <w:color w:val="auto"/>
                <w:highlight w:val="none"/>
                <w:lang w:val="zh-CN"/>
              </w:rPr>
              <w:t>个成交供应商，成交结果在衢州市阳光交易服务平台、浙江政府采购网公告，</w:t>
            </w:r>
            <w:r>
              <w:rPr>
                <w:rFonts w:hint="eastAsia" w:ascii="宋体" w:hAnsi="宋体"/>
                <w:color w:val="auto"/>
                <w:highlight w:val="none"/>
              </w:rPr>
              <w:t>成交结果</w:t>
            </w:r>
            <w:r>
              <w:rPr>
                <w:rFonts w:hint="eastAsia" w:ascii="宋体" w:hAnsi="宋体"/>
                <w:color w:val="auto"/>
                <w:highlight w:val="none"/>
                <w:lang w:val="zh-CN"/>
              </w:rPr>
              <w:t>公告期限为1个工作日。</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olor w:val="auto"/>
                <w:highlight w:val="none"/>
                <w:lang w:val="zh-CN" w:eastAsia="zh-CN"/>
              </w:rPr>
            </w:pPr>
            <w:r>
              <w:rPr>
                <w:rFonts w:hint="eastAsia" w:ascii="宋体" w:hAnsi="宋体"/>
                <w:color w:val="auto"/>
                <w:highlight w:val="none"/>
                <w:lang w:val="zh-CN"/>
              </w:rPr>
              <w:t>3</w:t>
            </w:r>
            <w:r>
              <w:rPr>
                <w:rFonts w:hint="eastAsia" w:ascii="宋体" w:hAnsi="宋体"/>
                <w:color w:val="auto"/>
                <w:highlight w:val="none"/>
                <w:lang w:val="en-US" w:eastAsia="zh-CN"/>
              </w:rPr>
              <w:t>2</w:t>
            </w:r>
          </w:p>
        </w:tc>
        <w:tc>
          <w:tcPr>
            <w:tcW w:w="1960" w:type="dxa"/>
            <w:vAlign w:val="center"/>
          </w:tcPr>
          <w:p>
            <w:pPr>
              <w:keepNext w:val="0"/>
              <w:keepLines w:val="0"/>
              <w:suppressLineNumbers w:val="0"/>
              <w:autoSpaceDE/>
              <w:autoSpaceDN/>
              <w:adjustRightInd/>
              <w:spacing w:before="0" w:beforeAutospacing="0" w:after="0" w:afterAutospacing="0" w:line="240" w:lineRule="auto"/>
              <w:ind w:left="0" w:right="0" w:firstLine="0" w:firstLineChars="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zh-CN"/>
              </w:rPr>
              <w:t>履约保证金</w:t>
            </w:r>
            <w:r>
              <w:rPr>
                <w:rFonts w:hint="eastAsia" w:ascii="宋体" w:hAnsi="宋体" w:cs="宋体"/>
                <w:color w:val="auto"/>
                <w:highlight w:val="none"/>
                <w:lang w:val="en-US" w:eastAsia="zh-CN"/>
              </w:rPr>
              <w:t>缴纳与退还</w:t>
            </w:r>
          </w:p>
        </w:tc>
        <w:tc>
          <w:tcPr>
            <w:tcW w:w="72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u w:val="none"/>
                <w:lang w:eastAsia="zh-CN"/>
              </w:rPr>
              <w:t>□</w:t>
            </w:r>
            <w:r>
              <w:rPr>
                <w:rFonts w:hint="eastAsia" w:ascii="宋体" w:hAnsi="宋体" w:eastAsia="宋体" w:cs="宋体"/>
                <w:color w:val="auto"/>
                <w:kern w:val="0"/>
                <w:sz w:val="24"/>
                <w:szCs w:val="24"/>
                <w:u w:val="none"/>
                <w:lang w:val="en-US" w:eastAsia="zh-CN"/>
              </w:rPr>
              <w:t>无需缴纳</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u w:val="none"/>
                <w:lang w:eastAsia="zh-CN"/>
              </w:rPr>
              <w:t>☑</w:t>
            </w:r>
            <w:r>
              <w:rPr>
                <w:rFonts w:hint="eastAsia" w:ascii="宋体" w:hAnsi="宋体" w:eastAsia="宋体" w:cs="宋体"/>
                <w:color w:val="auto"/>
                <w:kern w:val="0"/>
                <w:sz w:val="24"/>
                <w:szCs w:val="24"/>
                <w:u w:val="none"/>
                <w:lang w:val="en-US" w:eastAsia="zh-CN"/>
              </w:rPr>
              <w:t>需缴纳</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eastAsia="zh-CN"/>
              </w:rPr>
              <w:t>1.交纳金额：合同价的1%；</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2.交纳方式：银行转账/银行保函；</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3.账户：龙游县百益市场管理有限公司 </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4.银行：中国建设银行有限公司龙游支行 </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5.账号： 33050168722700000104</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6.交纳时间：本项目合同签订前缴纳；</w:t>
            </w:r>
          </w:p>
          <w:p>
            <w:pPr>
              <w:keepNext w:val="0"/>
              <w:keepLines w:val="0"/>
              <w:suppressLineNumbers w:val="0"/>
              <w:tabs>
                <w:tab w:val="left" w:pos="0"/>
              </w:tabs>
              <w:autoSpaceDE w:val="0"/>
              <w:autoSpaceDN w:val="0"/>
              <w:adjustRightInd w:val="0"/>
              <w:spacing w:before="0" w:beforeAutospacing="0" w:after="0" w:afterAutospacing="0" w:line="240" w:lineRule="auto"/>
              <w:ind w:left="0" w:right="0" w:firstLine="0" w:firstLineChars="0"/>
              <w:jc w:val="left"/>
              <w:rPr>
                <w:rFonts w:hint="eastAsia" w:ascii="宋体" w:hAnsi="宋体" w:eastAsia="宋体" w:cs="宋体"/>
                <w:color w:val="auto"/>
                <w:highlight w:val="none"/>
                <w:lang w:val="zh-CN" w:eastAsia="zh-CN"/>
              </w:rPr>
            </w:pPr>
            <w:r>
              <w:rPr>
                <w:rFonts w:hint="eastAsia" w:ascii="宋体" w:hAnsi="宋体" w:eastAsia="宋体" w:cs="宋体"/>
                <w:color w:val="auto"/>
                <w:sz w:val="24"/>
                <w:szCs w:val="24"/>
                <w:lang w:val="en-US" w:eastAsia="zh-CN"/>
              </w:rPr>
              <w:t>7.</w:t>
            </w:r>
            <w:r>
              <w:rPr>
                <w:rFonts w:hint="eastAsia" w:ascii="宋体" w:hAnsi="宋体" w:eastAsia="宋体" w:cs="宋体"/>
                <w:snapToGrid w:val="0"/>
                <w:color w:val="auto"/>
                <w:kern w:val="0"/>
                <w:sz w:val="24"/>
                <w:szCs w:val="24"/>
                <w:lang w:val="en-US" w:eastAsia="zh-CN" w:bidi="ar"/>
              </w:rPr>
              <w:t>退还：</w:t>
            </w:r>
            <w:r>
              <w:rPr>
                <w:rFonts w:hint="eastAsia" w:ascii="宋体" w:hAnsi="宋体" w:eastAsia="宋体" w:cs="宋体"/>
                <w:color w:val="auto"/>
                <w:sz w:val="24"/>
                <w:szCs w:val="24"/>
                <w:lang w:val="en-US" w:eastAsia="zh-CN"/>
              </w:rPr>
              <w:t>合同到期后且无违约的情况下，一月内一次性退还。（不计息）</w:t>
            </w:r>
            <w:r>
              <w:rPr>
                <w:rFonts w:hint="eastAsia" w:ascii="宋体" w:hAnsi="宋体" w:eastAsia="宋体" w:cs="宋体"/>
                <w:color w:val="auto"/>
                <w:lang w:val="en-US" w:eastAsia="zh-CN"/>
              </w:rPr>
              <w:t xml:space="preserve">    </w:t>
            </w:r>
            <w:r>
              <w:rPr>
                <w:rFonts w:hint="eastAsia" w:ascii="宋体" w:hAnsi="宋体"/>
                <w:color w:val="auto"/>
                <w:lang w:val="en-US" w:eastAsia="zh-CN"/>
              </w:rPr>
              <w:t xml:space="preserve">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olor w:val="auto"/>
                <w:highlight w:val="none"/>
                <w:lang w:val="zh-CN" w:eastAsia="zh-CN"/>
              </w:rPr>
            </w:pPr>
            <w:r>
              <w:rPr>
                <w:rFonts w:hint="eastAsia" w:ascii="宋体" w:hAnsi="宋体"/>
                <w:color w:val="auto"/>
                <w:highlight w:val="none"/>
                <w:lang w:val="zh-CN"/>
              </w:rPr>
              <w:t>3</w:t>
            </w:r>
            <w:r>
              <w:rPr>
                <w:rFonts w:hint="eastAsia" w:ascii="宋体" w:hAnsi="宋体"/>
                <w:color w:val="auto"/>
                <w:highlight w:val="none"/>
                <w:lang w:val="en-US" w:eastAsia="zh-CN"/>
              </w:rPr>
              <w:t>3</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签订合同时间</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成交通知书发出后</w:t>
            </w:r>
            <w:r>
              <w:rPr>
                <w:rFonts w:hint="eastAsia" w:ascii="宋体" w:hAnsi="宋体"/>
                <w:color w:val="auto"/>
                <w:highlight w:val="none"/>
                <w:lang w:val="en-US" w:eastAsia="zh-CN"/>
              </w:rPr>
              <w:t>30</w:t>
            </w:r>
            <w:r>
              <w:rPr>
                <w:rFonts w:hint="eastAsia" w:ascii="宋体" w:hAnsi="宋体"/>
                <w:color w:val="auto"/>
                <w:highlight w:val="none"/>
                <w:lang w:val="zh-CN"/>
              </w:rPr>
              <w:t>日内</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olor w:val="auto"/>
                <w:highlight w:val="none"/>
                <w:lang w:val="zh-CN" w:eastAsia="zh-CN"/>
              </w:rPr>
            </w:pPr>
            <w:r>
              <w:rPr>
                <w:rFonts w:hint="eastAsia" w:ascii="宋体" w:hAnsi="宋体"/>
                <w:color w:val="auto"/>
                <w:highlight w:val="none"/>
                <w:lang w:val="zh-CN"/>
              </w:rPr>
              <w:t>3</w:t>
            </w:r>
            <w:r>
              <w:rPr>
                <w:rFonts w:hint="eastAsia" w:ascii="宋体" w:hAnsi="宋体"/>
                <w:color w:val="auto"/>
                <w:highlight w:val="none"/>
                <w:lang w:val="en-US" w:eastAsia="zh-CN"/>
              </w:rPr>
              <w:t>4</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采购信息发布媒体</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衢州市阳光交易服务平台（https://qzygjy.com/）、浙江省政府采购网（</w:t>
            </w:r>
            <w:r>
              <w:rPr>
                <w:rFonts w:hint="default"/>
                <w:color w:val="auto"/>
                <w:highlight w:val="none"/>
              </w:rPr>
              <w:fldChar w:fldCharType="begin"/>
            </w:r>
            <w:r>
              <w:rPr>
                <w:rFonts w:hint="default"/>
                <w:color w:val="auto"/>
                <w:highlight w:val="none"/>
              </w:rPr>
              <w:instrText xml:space="preserve"> HYPERLINK "http://zfcg.czt.zj.gov.cn/" </w:instrText>
            </w:r>
            <w:r>
              <w:rPr>
                <w:rFonts w:hint="default"/>
                <w:color w:val="auto"/>
                <w:highlight w:val="none"/>
              </w:rPr>
              <w:fldChar w:fldCharType="separate"/>
            </w:r>
            <w:r>
              <w:rPr>
                <w:rFonts w:hint="eastAsia" w:ascii="宋体" w:hAnsi="宋体"/>
                <w:color w:val="auto"/>
                <w:highlight w:val="none"/>
                <w:lang w:val="zh-CN"/>
              </w:rPr>
              <w:t>http://zfcg.czt.zj.gov.cn/</w:t>
            </w:r>
            <w:r>
              <w:rPr>
                <w:rFonts w:hint="eastAsia" w:ascii="宋体" w:hAnsi="宋体"/>
                <w:color w:val="auto"/>
                <w:highlight w:val="none"/>
                <w:lang w:val="zh-CN"/>
              </w:rPr>
              <w:fldChar w:fldCharType="end"/>
            </w:r>
            <w:r>
              <w:rPr>
                <w:rFonts w:hint="eastAsia" w:ascii="宋体" w:hAnsi="宋体"/>
                <w:color w:val="auto"/>
                <w:highlight w:val="none"/>
                <w:lang w:val="zh-CN"/>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olor w:val="auto"/>
                <w:highlight w:val="none"/>
                <w:lang w:val="zh-CN" w:eastAsia="zh-CN"/>
              </w:rPr>
            </w:pPr>
            <w:r>
              <w:rPr>
                <w:rFonts w:hint="eastAsia" w:ascii="宋体" w:hAnsi="宋体"/>
                <w:color w:val="auto"/>
                <w:highlight w:val="none"/>
                <w:lang w:val="zh-CN"/>
              </w:rPr>
              <w:t>3</w:t>
            </w:r>
            <w:r>
              <w:rPr>
                <w:rFonts w:hint="eastAsia" w:ascii="宋体" w:hAnsi="宋体"/>
                <w:color w:val="auto"/>
                <w:highlight w:val="none"/>
                <w:lang w:val="en-US" w:eastAsia="zh-CN"/>
              </w:rPr>
              <w:t>5</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落实</w:t>
            </w:r>
            <w:r>
              <w:rPr>
                <w:rFonts w:hint="eastAsia" w:ascii="宋体" w:hAnsi="宋体"/>
                <w:color w:val="auto"/>
                <w:highlight w:val="none"/>
              </w:rPr>
              <w:t>国企</w:t>
            </w:r>
            <w:r>
              <w:rPr>
                <w:rFonts w:hint="eastAsia" w:ascii="宋体" w:hAnsi="宋体"/>
                <w:color w:val="auto"/>
                <w:highlight w:val="none"/>
                <w:lang w:val="zh-CN"/>
              </w:rPr>
              <w:t>采购政策需满足的要求</w:t>
            </w:r>
          </w:p>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一、中小企业</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根据财政部工信部《关于印发政府采购促进中小企业发展管理办法的通知》财库〔2020〕46号（以下简称本办法）规定，本项目属于非专门面向中小企业采购，对符合本办法规定的小微企业报价给予</w:t>
            </w:r>
            <w:r>
              <w:rPr>
                <w:rFonts w:hint="eastAsia" w:ascii="宋体" w:hAnsi="宋体"/>
                <w:color w:val="auto"/>
                <w:highlight w:val="none"/>
                <w:lang w:val="en-US" w:eastAsia="zh-CN"/>
              </w:rPr>
              <w:t>20</w:t>
            </w:r>
            <w:r>
              <w:rPr>
                <w:rFonts w:hint="eastAsia" w:ascii="宋体" w:hAnsi="宋体"/>
                <w:color w:val="auto"/>
                <w:highlight w:val="none"/>
                <w:lang w:val="zh-CN"/>
              </w:rPr>
              <w:t>%的扣除，用扣除后的价格参加评审。</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（1）中小企业划分</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中小企业，是指在中华人民共和国境内依法设立，依据《关于印发中小企业划型标准规定的通知》（工信部联企业〔2011〕300号)确定的中型企业、小型企业和微型企业，但与大企业的负责人为同一人，或者与大企业存在直接控股、管理关系的除外。</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符合中小企业划分标准的个体工商户，在政府采购活动中视同中小企业。</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（2）行业划型标准</w:t>
            </w:r>
          </w:p>
          <w:p>
            <w:pPr>
              <w:keepNext w:val="0"/>
              <w:keepLines w:val="0"/>
              <w:suppressLineNumbers w:val="0"/>
              <w:spacing w:before="0" w:beforeAutospacing="0" w:after="0" w:afterAutospacing="0" w:line="240" w:lineRule="auto"/>
              <w:ind w:left="0" w:right="0" w:firstLine="0" w:firstLineChars="0"/>
              <w:jc w:val="left"/>
              <w:rPr>
                <w:rFonts w:hint="eastAsia" w:ascii="宋体" w:hAnsi="宋体"/>
                <w:color w:val="auto"/>
                <w:highlight w:val="none"/>
                <w:lang w:val="zh-CN"/>
              </w:rPr>
            </w:pPr>
            <w:r>
              <w:rPr>
                <w:rFonts w:hint="eastAsia" w:ascii="宋体" w:hAnsi="宋体"/>
                <w:color w:val="auto"/>
                <w:highlight w:val="none"/>
                <w:lang w:val="zh-CN"/>
              </w:rPr>
              <w:t>1.项目属性：</w:t>
            </w:r>
            <w:r>
              <w:rPr>
                <w:rFonts w:hint="eastAsia" w:ascii="宋体" w:hAnsi="宋体"/>
                <w:color w:val="auto"/>
                <w:highlight w:val="none"/>
                <w:u w:val="none"/>
                <w:lang w:val="zh-CN"/>
              </w:rPr>
              <w:t>服务类</w:t>
            </w:r>
            <w:r>
              <w:rPr>
                <w:rFonts w:hint="eastAsia" w:ascii="宋体" w:hAnsi="宋体"/>
                <w:color w:val="auto"/>
                <w:highlight w:val="none"/>
                <w:lang w:val="zh-CN"/>
              </w:rPr>
              <w:t>；采购标的对应所属行业：</w:t>
            </w:r>
            <w:r>
              <w:rPr>
                <w:rFonts w:hint="eastAsia" w:ascii="宋体" w:hAnsi="宋体" w:cs="宋体"/>
                <w:b w:val="0"/>
                <w:bCs w:val="0"/>
                <w:color w:val="auto"/>
                <w:sz w:val="24"/>
                <w:szCs w:val="24"/>
                <w:highlight w:val="none"/>
                <w:u w:val="none"/>
                <w:lang w:val="zh-CN" w:eastAsia="zh-CN"/>
              </w:rPr>
              <w:t>租赁和商务服务业</w:t>
            </w:r>
            <w:r>
              <w:rPr>
                <w:rFonts w:hint="eastAsia" w:ascii="宋体" w:hAnsi="宋体" w:eastAsia="宋体" w:cs="宋体"/>
                <w:color w:val="auto"/>
                <w:szCs w:val="24"/>
                <w:highlight w:val="none"/>
                <w:lang w:val="zh-CN"/>
              </w:rPr>
              <w:t>。</w:t>
            </w:r>
          </w:p>
          <w:p>
            <w:pPr>
              <w:keepNext w:val="0"/>
              <w:keepLines w:val="0"/>
              <w:widowControl/>
              <w:suppressLineNumbers w:val="0"/>
              <w:spacing w:before="0" w:beforeAutospacing="0" w:after="0" w:afterAutospacing="0" w:line="240" w:lineRule="auto"/>
              <w:ind w:left="0" w:right="0" w:firstLine="0" w:firstLineChars="0"/>
              <w:jc w:val="left"/>
              <w:rPr>
                <w:rFonts w:hint="default" w:ascii="宋体" w:hAnsi="宋体"/>
                <w:color w:val="0000FF"/>
                <w:highlight w:val="none"/>
              </w:rPr>
            </w:pPr>
            <w:r>
              <w:rPr>
                <w:rFonts w:hint="eastAsia" w:ascii="宋体" w:hAnsi="宋体"/>
                <w:color w:val="auto"/>
                <w:highlight w:val="none"/>
                <w:lang w:val="zh-CN"/>
              </w:rPr>
              <w:t>2.中小企业行业划分标准：</w:t>
            </w:r>
            <w:r>
              <w:rPr>
                <w:rFonts w:hint="eastAsia" w:ascii="宋体" w:hAnsi="宋体" w:cs="宋体"/>
                <w:color w:val="auto"/>
                <w:szCs w:val="24"/>
                <w:highlight w:val="none"/>
                <w:lang w:val="zh-CN"/>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（3）在本项目采购活动中，供应商提供的货物或服务符合下列情形的，可享受本办法规定的中小企业扶持政策：</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①货物由中小企业制造，即货物由中小企业生产且使用该中小企业商号或者注册商标，在货物采购项目中，供应商提供的货物既有中小企业制造货物，也有大型企业制造货物的，不享受本办法规定的中小企业扶持政策（本条服务采购项目不适用）。</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②中小企业参加政府采购活动，应当提供《中小企业声明函》。</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（4）不可享受本办法规定的中小企业扶持政策的情形</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①未提供《中小企业声明函》，或者提供的《中小企业声明函》不符合相关规定。(2)监狱企业、残疾人福利性单位属于小型微型企业的，不重复享受小微企业优惠政策。</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②事业单位和社会团体不属于企业，不享受小微企业扶持政策。</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二、监狱企业</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（1）根据财政部、司法部《关于政府采购支持监狱企业发展有关问题的通知》(财库〔2014〕68号)文件精神，监狱企业视同小微企业。</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（2）监狱企业应当提供《监狱企业声明函》及由省级以上监狱管理局、戒毒管理局(含新疆生产建设兵团)出具的属于监狱企业的证明文件，否则不予认可。</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三、残疾人福利性单位</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（1）根据财政部 民政部 中国残疾人联合会《关于促进残疾人就业政府采购政策的通知》(财库〔2017〕141号)文件精神，残疾人福利性单位视同小微企业。</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（2）残疾人福利性单位应当提供《残疾人福利性单位声明函》，否则不予认可。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olor w:val="auto"/>
                <w:highlight w:val="none"/>
                <w:lang w:val="zh-CN" w:eastAsia="zh-CN"/>
              </w:rPr>
            </w:pPr>
            <w:r>
              <w:rPr>
                <w:rFonts w:hint="eastAsia" w:ascii="宋体" w:hAnsi="宋体"/>
                <w:color w:val="auto"/>
                <w:highlight w:val="none"/>
              </w:rPr>
              <w:t>3</w:t>
            </w:r>
            <w:r>
              <w:rPr>
                <w:rFonts w:hint="eastAsia" w:ascii="宋体" w:hAnsi="宋体"/>
                <w:color w:val="auto"/>
                <w:highlight w:val="none"/>
                <w:lang w:val="en-US" w:eastAsia="zh-CN"/>
              </w:rPr>
              <w:t>6</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供应商质疑</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 xml:space="preserve">名称：衢州宇信工程咨询有限公司  </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地址：龙游县龙洲街道广和商务楼3楼306室</w:t>
            </w:r>
          </w:p>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联系人：祝女士</w:t>
            </w:r>
          </w:p>
          <w:p>
            <w:pPr>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olor w:val="auto"/>
                <w:highlight w:val="none"/>
                <w:lang w:val="en-US" w:eastAsia="zh-CN"/>
              </w:rPr>
            </w:pPr>
            <w:r>
              <w:rPr>
                <w:rFonts w:hint="eastAsia" w:ascii="宋体" w:hAnsi="宋体"/>
                <w:color w:val="auto"/>
                <w:highlight w:val="none"/>
                <w:lang w:val="zh-CN"/>
              </w:rPr>
              <w:t>联系方式：</w:t>
            </w:r>
            <w:r>
              <w:rPr>
                <w:rFonts w:hint="eastAsia" w:ascii="宋体" w:hAnsi="宋体"/>
                <w:color w:val="auto"/>
                <w:highlight w:val="none"/>
                <w:lang w:val="en-US" w:eastAsia="zh-CN"/>
              </w:rPr>
              <w:t>18367068335</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olor w:val="auto"/>
                <w:highlight w:val="none"/>
                <w:lang w:val="zh-CN" w:eastAsia="zh-CN"/>
              </w:rPr>
            </w:pPr>
            <w:r>
              <w:rPr>
                <w:rFonts w:hint="eastAsia" w:ascii="宋体" w:hAnsi="宋体"/>
                <w:color w:val="auto"/>
                <w:highlight w:val="none"/>
                <w:lang w:val="en-US" w:eastAsia="zh-CN"/>
              </w:rPr>
              <w:t>37</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供应商投诉</w:t>
            </w:r>
          </w:p>
        </w:tc>
        <w:tc>
          <w:tcPr>
            <w:tcW w:w="7255" w:type="dxa"/>
            <w:vAlign w:val="center"/>
          </w:tcPr>
          <w:p>
            <w:pPr>
              <w:keepNext w:val="0"/>
              <w:keepLines w:val="0"/>
              <w:widowControl/>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名称：龙游县奔康投资集团有限公司</w:t>
            </w:r>
          </w:p>
          <w:p>
            <w:pPr>
              <w:keepNext w:val="0"/>
              <w:keepLines w:val="0"/>
              <w:widowControl/>
              <w:suppressLineNumbers w:val="0"/>
              <w:spacing w:before="0" w:beforeAutospacing="0" w:after="0" w:afterAutospacing="0" w:line="240" w:lineRule="auto"/>
              <w:ind w:left="0" w:right="0" w:firstLine="0" w:firstLineChars="0"/>
              <w:jc w:val="left"/>
              <w:rPr>
                <w:rFonts w:hint="eastAsia" w:ascii="宋体" w:hAnsi="宋体"/>
                <w:color w:val="auto"/>
                <w:highlight w:val="none"/>
                <w:lang w:val="zh-CN"/>
              </w:rPr>
            </w:pPr>
            <w:r>
              <w:rPr>
                <w:rFonts w:hint="eastAsia" w:ascii="宋体" w:hAnsi="宋体"/>
                <w:color w:val="auto"/>
                <w:highlight w:val="none"/>
                <w:lang w:val="zh-CN"/>
              </w:rPr>
              <w:t>地址：龙游县龙洲街道龙翔路378号</w:t>
            </w:r>
          </w:p>
          <w:p>
            <w:pPr>
              <w:keepNext w:val="0"/>
              <w:keepLines w:val="0"/>
              <w:widowControl/>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联系人：郑先生</w:t>
            </w:r>
          </w:p>
          <w:p>
            <w:pPr>
              <w:keepNext w:val="0"/>
              <w:keepLines w:val="0"/>
              <w:widowControl/>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监督投诉方式：0570-7024307</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olor w:val="auto"/>
                <w:highlight w:val="none"/>
              </w:rPr>
            </w:pPr>
            <w:r>
              <w:rPr>
                <w:rFonts w:hint="eastAsia" w:ascii="宋体" w:hAnsi="宋体"/>
                <w:color w:val="auto"/>
                <w:highlight w:val="none"/>
                <w:lang w:val="en-US" w:eastAsia="zh-CN"/>
              </w:rPr>
              <w:t>38</w:t>
            </w:r>
          </w:p>
        </w:tc>
        <w:tc>
          <w:tcPr>
            <w:tcW w:w="1960"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color w:val="auto"/>
                <w:highlight w:val="none"/>
                <w:lang w:val="zh-CN"/>
              </w:rPr>
            </w:pPr>
            <w:r>
              <w:rPr>
                <w:rFonts w:hint="eastAsia" w:ascii="宋体" w:hAnsi="宋体"/>
                <w:color w:val="auto"/>
                <w:highlight w:val="none"/>
                <w:lang w:val="zh-CN"/>
              </w:rPr>
              <w:t>解释权</w:t>
            </w:r>
          </w:p>
        </w:tc>
        <w:tc>
          <w:tcPr>
            <w:tcW w:w="7255"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宋体" w:hAnsi="宋体"/>
                <w:color w:val="auto"/>
                <w:highlight w:val="none"/>
                <w:lang w:val="zh-CN"/>
              </w:rPr>
            </w:pPr>
            <w:r>
              <w:rPr>
                <w:rFonts w:hint="eastAsia" w:ascii="宋体" w:hAnsi="宋体"/>
                <w:color w:val="auto"/>
                <w:highlight w:val="none"/>
                <w:lang w:val="zh-CN"/>
              </w:rPr>
              <w:t>本文件的解释权属于采购人</w:t>
            </w:r>
          </w:p>
        </w:tc>
      </w:tr>
    </w:tbl>
    <w:p>
      <w:pPr>
        <w:pStyle w:val="3"/>
        <w:spacing w:beforeLines="0" w:afterLines="0" w:line="312" w:lineRule="auto"/>
        <w:ind w:firstLine="0" w:firstLineChars="0"/>
        <w:jc w:val="center"/>
        <w:outlineLvl w:val="1"/>
        <w:rPr>
          <w:rFonts w:ascii="宋体" w:hAnsi="宋体"/>
          <w:color w:val="auto"/>
          <w:sz w:val="28"/>
          <w:szCs w:val="28"/>
          <w:highlight w:val="none"/>
        </w:rPr>
      </w:pPr>
      <w:bookmarkStart w:id="384" w:name="_Toc31099"/>
      <w:bookmarkStart w:id="385" w:name="_Toc21903"/>
      <w:bookmarkStart w:id="386" w:name="_Toc18666"/>
      <w:bookmarkStart w:id="387" w:name="_Toc6094"/>
      <w:bookmarkStart w:id="388" w:name="_Toc1621"/>
      <w:bookmarkStart w:id="389" w:name="_Toc12958"/>
      <w:bookmarkStart w:id="390" w:name="_Toc26063"/>
      <w:bookmarkStart w:id="391" w:name="_Toc15313"/>
      <w:bookmarkStart w:id="392" w:name="_Toc16257"/>
      <w:bookmarkStart w:id="393" w:name="_Toc12381"/>
      <w:bookmarkStart w:id="394" w:name="_Toc3923"/>
      <w:bookmarkStart w:id="395" w:name="_Toc331"/>
      <w:bookmarkStart w:id="396" w:name="_Toc11179"/>
      <w:bookmarkStart w:id="397" w:name="_Toc20312"/>
      <w:bookmarkStart w:id="398" w:name="_Toc19715"/>
      <w:bookmarkStart w:id="399" w:name="_Toc4113"/>
      <w:bookmarkStart w:id="400" w:name="_Toc27407"/>
      <w:bookmarkStart w:id="401" w:name="_Toc5481"/>
      <w:bookmarkStart w:id="402" w:name="_Toc19659"/>
      <w:bookmarkStart w:id="403" w:name="_Toc24478"/>
      <w:bookmarkStart w:id="404" w:name="_Toc32668"/>
      <w:bookmarkStart w:id="405" w:name="_Toc22305"/>
      <w:bookmarkStart w:id="406" w:name="_Toc11023"/>
      <w:bookmarkStart w:id="407" w:name="_Toc12403"/>
      <w:bookmarkStart w:id="408" w:name="_Toc391298955"/>
      <w:bookmarkStart w:id="409" w:name="_Toc27241"/>
      <w:bookmarkStart w:id="410" w:name="_Toc27367"/>
      <w:bookmarkStart w:id="411" w:name="_Toc28742"/>
      <w:bookmarkStart w:id="412" w:name="_Toc17098"/>
      <w:bookmarkStart w:id="413" w:name="_Toc31505"/>
      <w:bookmarkStart w:id="414" w:name="_Toc4630"/>
      <w:bookmarkStart w:id="415" w:name="_Toc27406"/>
      <w:bookmarkStart w:id="416" w:name="_Toc30126"/>
      <w:bookmarkStart w:id="417" w:name="_Toc19731"/>
      <w:bookmarkStart w:id="418" w:name="_Toc5699"/>
      <w:bookmarkStart w:id="419" w:name="_Toc12769"/>
      <w:bookmarkStart w:id="420" w:name="_Toc25730"/>
      <w:bookmarkStart w:id="421" w:name="_Toc30408"/>
      <w:bookmarkStart w:id="422" w:name="_Toc29625"/>
      <w:r>
        <w:rPr>
          <w:rFonts w:hint="eastAsia" w:ascii="宋体" w:hAnsi="宋体"/>
          <w:color w:val="auto"/>
          <w:sz w:val="28"/>
          <w:szCs w:val="28"/>
          <w:highlight w:val="none"/>
        </w:rPr>
        <w:t>二、说明</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1.编制依据</w:t>
      </w:r>
    </w:p>
    <w:p>
      <w:pPr>
        <w:pStyle w:val="31"/>
        <w:widowControl w:val="0"/>
        <w:adjustRightInd w:val="0"/>
        <w:snapToGrid w:val="0"/>
        <w:spacing w:beforeLines="0" w:afterLines="0" w:line="308" w:lineRule="auto"/>
        <w:ind w:firstLine="480" w:firstLineChars="200"/>
        <w:jc w:val="both"/>
        <w:rPr>
          <w:rFonts w:ascii="宋体" w:hAnsi="宋体"/>
          <w:color w:val="auto"/>
          <w:highlight w:val="none"/>
        </w:rPr>
      </w:pPr>
      <w:r>
        <w:rPr>
          <w:rFonts w:hint="eastAsia" w:ascii="宋体" w:hAnsi="宋体"/>
          <w:color w:val="auto"/>
          <w:highlight w:val="none"/>
        </w:rPr>
        <w:t>根据《龙游县国有企业采购管理办法》（龙政办发〔2021〕58号），参照《中华人民共和国政府采购法》、《中华人民共和国政府采购法实施条例》、</w:t>
      </w:r>
      <w:r>
        <w:rPr>
          <w:rFonts w:hint="eastAsia" w:ascii="宋体" w:hAnsi="宋体"/>
          <w:color w:val="auto"/>
          <w:highlight w:val="none"/>
          <w:lang w:bidi="ar"/>
        </w:rPr>
        <w:t>《</w:t>
      </w:r>
      <w:r>
        <w:rPr>
          <w:rStyle w:val="130"/>
          <w:rFonts w:hint="eastAsia" w:ascii="宋体" w:hAnsi="宋体" w:cs="宋体"/>
          <w:b w:val="0"/>
          <w:color w:val="auto"/>
          <w:highlight w:val="none"/>
          <w:lang w:bidi="ar"/>
        </w:rPr>
        <w:t>政府采购竞争性磋商采购方式管理暂行办法</w:t>
      </w:r>
      <w:r>
        <w:rPr>
          <w:rFonts w:hint="eastAsia" w:ascii="宋体" w:hAnsi="宋体"/>
          <w:color w:val="auto"/>
          <w:highlight w:val="none"/>
          <w:lang w:bidi="ar"/>
        </w:rPr>
        <w:t>》</w:t>
      </w:r>
      <w:r>
        <w:rPr>
          <w:rFonts w:hint="eastAsia" w:ascii="宋体" w:hAnsi="宋体"/>
          <w:color w:val="auto"/>
          <w:highlight w:val="none"/>
        </w:rPr>
        <w:t>以及政府采购有关规定，编制本磋商文件。</w:t>
      </w:r>
    </w:p>
    <w:p>
      <w:pPr>
        <w:snapToGrid w:val="0"/>
        <w:spacing w:beforeLines="0" w:afterLines="0" w:line="308" w:lineRule="auto"/>
        <w:ind w:firstLine="0"/>
        <w:jc w:val="left"/>
        <w:rPr>
          <w:rFonts w:ascii="宋体" w:hAnsi="宋体"/>
          <w:color w:val="auto"/>
          <w:highlight w:val="none"/>
        </w:rPr>
      </w:pPr>
      <w:r>
        <w:rPr>
          <w:rFonts w:hint="eastAsia" w:ascii="宋体" w:hAnsi="宋体"/>
          <w:color w:val="auto"/>
          <w:highlight w:val="none"/>
        </w:rPr>
        <w:t>2.定义</w:t>
      </w:r>
    </w:p>
    <w:p>
      <w:pPr>
        <w:snapToGrid w:val="0"/>
        <w:spacing w:beforeLines="0" w:afterLines="0" w:line="308" w:lineRule="auto"/>
        <w:ind w:firstLine="0"/>
        <w:jc w:val="left"/>
        <w:rPr>
          <w:rFonts w:ascii="宋体" w:hAnsi="宋体"/>
          <w:color w:val="auto"/>
          <w:highlight w:val="none"/>
          <w:lang w:val="zh-CN"/>
        </w:rPr>
      </w:pPr>
      <w:r>
        <w:rPr>
          <w:rFonts w:hint="eastAsia" w:ascii="宋体" w:hAnsi="宋体"/>
          <w:color w:val="auto"/>
          <w:highlight w:val="none"/>
        </w:rPr>
        <w:t>2.1“</w:t>
      </w:r>
      <w:r>
        <w:rPr>
          <w:rFonts w:hint="eastAsia" w:ascii="宋体" w:hAnsi="宋体"/>
          <w:color w:val="auto"/>
          <w:highlight w:val="none"/>
          <w:lang w:val="zh-CN"/>
        </w:rPr>
        <w:t>采购人”系指“</w:t>
      </w:r>
      <w:r>
        <w:rPr>
          <w:rFonts w:hint="eastAsia" w:ascii="宋体" w:hAnsi="宋体"/>
          <w:color w:val="auto"/>
          <w:highlight w:val="none"/>
          <w:lang w:eastAsia="zh-CN"/>
        </w:rPr>
        <w:t>龙游县百益市场管理有限公司</w:t>
      </w:r>
      <w:r>
        <w:rPr>
          <w:rFonts w:hint="eastAsia" w:ascii="宋体" w:hAnsi="宋体"/>
          <w:color w:val="auto"/>
          <w:highlight w:val="none"/>
          <w:lang w:val="zh-CN"/>
        </w:rPr>
        <w:t>”。</w:t>
      </w:r>
    </w:p>
    <w:p>
      <w:pPr>
        <w:snapToGrid w:val="0"/>
        <w:spacing w:beforeLines="0" w:afterLines="0" w:line="308" w:lineRule="auto"/>
        <w:ind w:firstLine="0"/>
        <w:jc w:val="left"/>
        <w:rPr>
          <w:rFonts w:ascii="宋体" w:hAnsi="宋体"/>
          <w:color w:val="auto"/>
          <w:highlight w:val="none"/>
        </w:rPr>
      </w:pPr>
      <w:r>
        <w:rPr>
          <w:rFonts w:hint="eastAsia" w:ascii="宋体" w:hAnsi="宋体"/>
          <w:color w:val="auto"/>
          <w:highlight w:val="none"/>
        </w:rPr>
        <w:t>2.2“</w:t>
      </w:r>
      <w:r>
        <w:rPr>
          <w:rFonts w:hint="eastAsia" w:ascii="宋体" w:hAnsi="宋体"/>
          <w:color w:val="auto"/>
          <w:highlight w:val="none"/>
          <w:lang w:val="zh-CN"/>
        </w:rPr>
        <w:t>供应商</w:t>
      </w:r>
      <w:r>
        <w:rPr>
          <w:rFonts w:hint="eastAsia" w:ascii="宋体" w:hAnsi="宋体"/>
          <w:color w:val="auto"/>
          <w:highlight w:val="none"/>
        </w:rPr>
        <w:t>”系指向</w:t>
      </w:r>
      <w:r>
        <w:rPr>
          <w:rFonts w:hint="eastAsia" w:ascii="宋体" w:hAnsi="宋体"/>
          <w:color w:val="auto"/>
          <w:highlight w:val="none"/>
          <w:lang w:val="zh-CN"/>
        </w:rPr>
        <w:t>采购人</w:t>
      </w:r>
      <w:r>
        <w:rPr>
          <w:rFonts w:hint="eastAsia" w:ascii="宋体" w:hAnsi="宋体"/>
          <w:color w:val="auto"/>
          <w:highlight w:val="none"/>
        </w:rPr>
        <w:t>提交电子</w:t>
      </w:r>
      <w:r>
        <w:rPr>
          <w:rFonts w:hint="eastAsia" w:ascii="宋体" w:hAnsi="宋体"/>
          <w:color w:val="auto"/>
          <w:highlight w:val="none"/>
          <w:lang w:val="zh-CN"/>
        </w:rPr>
        <w:t>磋商响应</w:t>
      </w:r>
      <w:r>
        <w:rPr>
          <w:rFonts w:hint="eastAsia" w:ascii="宋体" w:hAnsi="宋体"/>
          <w:color w:val="auto"/>
          <w:highlight w:val="none"/>
        </w:rPr>
        <w:t>文件的供应商。</w:t>
      </w:r>
    </w:p>
    <w:p>
      <w:pPr>
        <w:snapToGrid w:val="0"/>
        <w:spacing w:beforeLines="0" w:afterLines="0" w:line="308" w:lineRule="auto"/>
        <w:ind w:firstLine="0"/>
        <w:jc w:val="left"/>
        <w:rPr>
          <w:rFonts w:ascii="宋体" w:hAnsi="宋体"/>
          <w:color w:val="auto"/>
          <w:highlight w:val="none"/>
        </w:rPr>
      </w:pPr>
      <w:r>
        <w:rPr>
          <w:rFonts w:hint="eastAsia" w:ascii="宋体" w:hAnsi="宋体"/>
          <w:color w:val="auto"/>
          <w:highlight w:val="none"/>
        </w:rPr>
        <w:t>2.3</w:t>
      </w:r>
      <w:r>
        <w:rPr>
          <w:rFonts w:hint="eastAsia" w:ascii="宋体" w:hAnsi="宋体"/>
          <w:color w:val="auto"/>
          <w:highlight w:val="none"/>
          <w:lang w:val="zh-CN"/>
        </w:rPr>
        <w:t>“采购代理机构”系指“</w:t>
      </w:r>
      <w:r>
        <w:rPr>
          <w:rFonts w:hint="eastAsia" w:ascii="宋体" w:hAnsi="宋体"/>
          <w:color w:val="auto"/>
          <w:highlight w:val="none"/>
        </w:rPr>
        <w:t>衢州宇信工程咨询有限公司</w:t>
      </w:r>
      <w:r>
        <w:rPr>
          <w:rFonts w:hint="eastAsia" w:ascii="宋体" w:hAnsi="宋体"/>
          <w:color w:val="auto"/>
          <w:highlight w:val="none"/>
          <w:lang w:val="zh-CN"/>
        </w:rPr>
        <w:t>”。</w:t>
      </w:r>
    </w:p>
    <w:p>
      <w:pPr>
        <w:snapToGrid w:val="0"/>
        <w:spacing w:beforeLines="0" w:afterLines="0" w:line="308" w:lineRule="auto"/>
        <w:ind w:firstLine="0"/>
        <w:jc w:val="left"/>
        <w:rPr>
          <w:rFonts w:ascii="宋体" w:hAnsi="宋体"/>
          <w:color w:val="auto"/>
          <w:highlight w:val="none"/>
        </w:rPr>
      </w:pPr>
      <w:r>
        <w:rPr>
          <w:rFonts w:hint="eastAsia" w:ascii="宋体" w:hAnsi="宋体"/>
          <w:color w:val="auto"/>
          <w:highlight w:val="none"/>
        </w:rPr>
        <w:t>2.4</w:t>
      </w:r>
      <w:r>
        <w:rPr>
          <w:rFonts w:hint="eastAsia" w:ascii="宋体" w:hAnsi="宋体"/>
          <w:color w:val="auto"/>
          <w:highlight w:val="none"/>
          <w:lang w:val="zh-CN"/>
        </w:rPr>
        <w:t>“货物”系指按本磋商文件中采购人所要求的</w:t>
      </w:r>
      <w:r>
        <w:rPr>
          <w:rFonts w:hint="eastAsia" w:ascii="宋体" w:hAnsi="宋体"/>
          <w:color w:val="auto"/>
          <w:highlight w:val="none"/>
        </w:rPr>
        <w:t>设备</w:t>
      </w:r>
      <w:r>
        <w:rPr>
          <w:rFonts w:hint="eastAsia" w:ascii="宋体" w:hAnsi="宋体"/>
          <w:color w:val="auto"/>
          <w:highlight w:val="none"/>
          <w:lang w:val="zh-CN"/>
        </w:rPr>
        <w:t>。</w:t>
      </w:r>
    </w:p>
    <w:p>
      <w:pPr>
        <w:snapToGrid w:val="0"/>
        <w:spacing w:beforeLines="0" w:afterLines="0" w:line="308" w:lineRule="auto"/>
        <w:ind w:firstLine="0"/>
        <w:jc w:val="left"/>
        <w:rPr>
          <w:rFonts w:ascii="宋体" w:hAnsi="宋体"/>
          <w:color w:val="auto"/>
          <w:highlight w:val="none"/>
          <w:lang w:val="zh-CN"/>
        </w:rPr>
      </w:pPr>
      <w:r>
        <w:rPr>
          <w:rFonts w:hint="eastAsia" w:ascii="宋体" w:hAnsi="宋体"/>
          <w:color w:val="auto"/>
          <w:highlight w:val="none"/>
        </w:rPr>
        <w:t>2.5</w:t>
      </w:r>
      <w:r>
        <w:rPr>
          <w:rFonts w:hint="eastAsia" w:ascii="宋体" w:hAnsi="宋体"/>
          <w:color w:val="auto"/>
          <w:highlight w:val="none"/>
          <w:lang w:val="zh-CN"/>
        </w:rPr>
        <w:t>“服务”系指供应商按磋商文件规定为采购人提供货物的相关服务。</w:t>
      </w:r>
    </w:p>
    <w:p>
      <w:pPr>
        <w:snapToGrid w:val="0"/>
        <w:spacing w:beforeLines="0" w:afterLines="0" w:line="308" w:lineRule="auto"/>
        <w:ind w:firstLine="0"/>
        <w:jc w:val="left"/>
        <w:rPr>
          <w:rFonts w:ascii="宋体" w:hAnsi="宋体"/>
          <w:color w:val="auto"/>
          <w:highlight w:val="none"/>
          <w:lang w:val="zh-CN"/>
        </w:rPr>
      </w:pPr>
      <w:r>
        <w:rPr>
          <w:rFonts w:hint="eastAsia" w:ascii="宋体" w:hAnsi="宋体"/>
          <w:color w:val="auto"/>
          <w:highlight w:val="none"/>
          <w:lang w:val="zh-CN"/>
        </w:rPr>
        <w:t>2.6“产品”系指供应商按磋商文件规定，须向采购人（使用单位或买方）提供一切仪器仪表、备品备件、工具、手册及其他有关技术资料和材料。</w:t>
      </w:r>
    </w:p>
    <w:p>
      <w:pPr>
        <w:snapToGrid w:val="0"/>
        <w:spacing w:beforeLines="0" w:afterLines="0" w:line="308" w:lineRule="auto"/>
        <w:ind w:firstLine="0"/>
        <w:jc w:val="left"/>
        <w:rPr>
          <w:rFonts w:ascii="宋体" w:hAnsi="宋体"/>
          <w:color w:val="auto"/>
          <w:highlight w:val="none"/>
          <w:lang w:val="zh-CN"/>
        </w:rPr>
      </w:pPr>
      <w:r>
        <w:rPr>
          <w:rFonts w:hint="eastAsia" w:ascii="宋体" w:hAnsi="宋体"/>
          <w:color w:val="auto"/>
          <w:highlight w:val="none"/>
        </w:rPr>
        <w:t>2.7</w:t>
      </w:r>
      <w:r>
        <w:rPr>
          <w:rFonts w:hint="eastAsia" w:ascii="宋体" w:hAnsi="宋体"/>
          <w:color w:val="auto"/>
          <w:highlight w:val="none"/>
          <w:lang w:val="zh-CN"/>
        </w:rPr>
        <w:t>“▲”系指按本磋商文件要求供应商必须实质性响应的条款，有任何一项缺失或非实质性响应即刻取消其磋商资格。供应商自行承担其参加磋商所涉及的一切费用。</w:t>
      </w:r>
    </w:p>
    <w:p>
      <w:pPr>
        <w:snapToGrid w:val="0"/>
        <w:spacing w:beforeLines="0" w:afterLines="0" w:line="308" w:lineRule="auto"/>
        <w:ind w:firstLine="0"/>
        <w:jc w:val="left"/>
        <w:rPr>
          <w:rFonts w:ascii="宋体" w:hAnsi="宋体"/>
          <w:color w:val="auto"/>
          <w:highlight w:val="none"/>
        </w:rPr>
      </w:pPr>
      <w:bookmarkStart w:id="423" w:name="_Toc26128"/>
      <w:bookmarkStart w:id="424" w:name="_Toc4520"/>
      <w:bookmarkStart w:id="425" w:name="_Toc24670"/>
      <w:bookmarkStart w:id="426" w:name="_Toc28373"/>
      <w:bookmarkStart w:id="427" w:name="_Toc31767"/>
      <w:bookmarkStart w:id="428" w:name="_Toc16235"/>
      <w:bookmarkStart w:id="429" w:name="_Toc22382"/>
      <w:r>
        <w:rPr>
          <w:rFonts w:hint="eastAsia" w:ascii="宋体" w:hAnsi="宋体"/>
          <w:color w:val="auto"/>
          <w:highlight w:val="none"/>
        </w:rPr>
        <w:t>3.采购方式</w:t>
      </w:r>
    </w:p>
    <w:p>
      <w:pPr>
        <w:spacing w:beforeLines="0" w:afterLines="0" w:line="308" w:lineRule="auto"/>
        <w:ind w:firstLine="0"/>
        <w:rPr>
          <w:rFonts w:ascii="宋体" w:hAnsi="宋体"/>
          <w:color w:val="auto"/>
          <w:highlight w:val="none"/>
        </w:rPr>
      </w:pPr>
      <w:r>
        <w:rPr>
          <w:rFonts w:hint="eastAsia" w:ascii="宋体" w:hAnsi="宋体"/>
          <w:color w:val="auto"/>
          <w:highlight w:val="none"/>
        </w:rPr>
        <w:t>3.1采购组织形式国企采购委托代理。</w:t>
      </w:r>
    </w:p>
    <w:p>
      <w:pPr>
        <w:spacing w:beforeLines="0" w:afterLines="0" w:line="308" w:lineRule="auto"/>
        <w:ind w:firstLine="0"/>
        <w:rPr>
          <w:rFonts w:ascii="宋体" w:hAnsi="宋体"/>
          <w:color w:val="auto"/>
          <w:highlight w:val="none"/>
        </w:rPr>
      </w:pPr>
      <w:r>
        <w:rPr>
          <w:rFonts w:hint="eastAsia" w:ascii="宋体" w:hAnsi="宋体"/>
          <w:color w:val="auto"/>
          <w:highlight w:val="none"/>
        </w:rPr>
        <w:t>3.2采用竞争性磋商采购方式。</w:t>
      </w:r>
    </w:p>
    <w:p>
      <w:pPr>
        <w:snapToGrid w:val="0"/>
        <w:spacing w:beforeLines="0" w:afterLines="0" w:line="308" w:lineRule="auto"/>
        <w:ind w:firstLine="0"/>
        <w:jc w:val="left"/>
        <w:rPr>
          <w:rFonts w:ascii="宋体" w:hAnsi="宋体"/>
          <w:color w:val="auto"/>
          <w:highlight w:val="none"/>
        </w:rPr>
      </w:pPr>
      <w:r>
        <w:rPr>
          <w:rFonts w:hint="eastAsia" w:ascii="宋体" w:hAnsi="宋体"/>
          <w:color w:val="auto"/>
          <w:highlight w:val="none"/>
        </w:rPr>
        <w:t>4.联合体</w:t>
      </w:r>
    </w:p>
    <w:p>
      <w:pPr>
        <w:snapToGrid w:val="0"/>
        <w:spacing w:beforeLines="0" w:afterLines="0" w:line="308" w:lineRule="auto"/>
        <w:ind w:firstLine="0"/>
        <w:jc w:val="left"/>
        <w:rPr>
          <w:rFonts w:ascii="宋体" w:hAnsi="宋体"/>
          <w:color w:val="auto"/>
          <w:highlight w:val="none"/>
        </w:rPr>
      </w:pPr>
      <w:r>
        <w:rPr>
          <w:rFonts w:hint="eastAsia" w:ascii="宋体" w:hAnsi="宋体"/>
          <w:color w:val="auto"/>
          <w:highlight w:val="none"/>
        </w:rPr>
        <w:t>本项目不接受联合体磋商。</w:t>
      </w:r>
    </w:p>
    <w:p>
      <w:pPr>
        <w:snapToGrid w:val="0"/>
        <w:spacing w:beforeLines="0" w:afterLines="0" w:line="308" w:lineRule="auto"/>
        <w:ind w:firstLine="0"/>
        <w:jc w:val="left"/>
        <w:rPr>
          <w:rFonts w:ascii="宋体" w:hAnsi="宋体"/>
          <w:color w:val="auto"/>
          <w:highlight w:val="none"/>
        </w:rPr>
      </w:pPr>
      <w:r>
        <w:rPr>
          <w:rFonts w:hint="eastAsia" w:ascii="宋体" w:hAnsi="宋体"/>
          <w:color w:val="auto"/>
          <w:highlight w:val="none"/>
        </w:rPr>
        <w:t>5.转包与分包</w:t>
      </w:r>
    </w:p>
    <w:p>
      <w:pPr>
        <w:snapToGrid w:val="0"/>
        <w:spacing w:beforeLines="0" w:afterLines="0" w:line="308" w:lineRule="auto"/>
        <w:ind w:firstLine="0"/>
        <w:jc w:val="left"/>
        <w:rPr>
          <w:rFonts w:ascii="宋体" w:hAnsi="宋体"/>
          <w:color w:val="auto"/>
          <w:highlight w:val="none"/>
        </w:rPr>
      </w:pPr>
      <w:r>
        <w:rPr>
          <w:rFonts w:hint="eastAsia" w:ascii="宋体" w:hAnsi="宋体"/>
          <w:color w:val="auto"/>
          <w:highlight w:val="none"/>
        </w:rPr>
        <w:t>本项目不允许转包和分包。</w:t>
      </w:r>
      <w:bookmarkEnd w:id="423"/>
      <w:bookmarkEnd w:id="424"/>
      <w:bookmarkEnd w:id="425"/>
      <w:bookmarkEnd w:id="426"/>
      <w:bookmarkEnd w:id="427"/>
      <w:bookmarkEnd w:id="428"/>
      <w:bookmarkEnd w:id="429"/>
    </w:p>
    <w:p>
      <w:pPr>
        <w:pStyle w:val="3"/>
        <w:spacing w:beforeLines="0" w:afterLines="0" w:line="308" w:lineRule="auto"/>
        <w:ind w:firstLine="562" w:firstLineChars="200"/>
        <w:jc w:val="center"/>
        <w:outlineLvl w:val="1"/>
        <w:rPr>
          <w:rFonts w:ascii="宋体" w:hAnsi="宋体"/>
          <w:color w:val="auto"/>
          <w:sz w:val="28"/>
          <w:szCs w:val="28"/>
          <w:highlight w:val="none"/>
        </w:rPr>
      </w:pPr>
      <w:bookmarkStart w:id="430" w:name="_Toc31945"/>
      <w:bookmarkStart w:id="431" w:name="_Toc17144"/>
      <w:bookmarkStart w:id="432" w:name="_Toc29252"/>
      <w:bookmarkStart w:id="433" w:name="_Toc29749"/>
      <w:bookmarkStart w:id="434" w:name="_Toc5191"/>
      <w:bookmarkStart w:id="435" w:name="_Toc17275"/>
      <w:bookmarkStart w:id="436" w:name="_Toc4162"/>
      <w:bookmarkStart w:id="437" w:name="_Toc20755"/>
      <w:bookmarkStart w:id="438" w:name="_Toc30552"/>
      <w:bookmarkStart w:id="439" w:name="_Toc3156"/>
      <w:bookmarkStart w:id="440" w:name="_Toc27482"/>
      <w:bookmarkStart w:id="441" w:name="_Toc1924"/>
      <w:bookmarkStart w:id="442" w:name="_Toc29806"/>
      <w:bookmarkStart w:id="443" w:name="_Toc26486"/>
      <w:bookmarkStart w:id="444" w:name="_Toc13927"/>
      <w:bookmarkStart w:id="445" w:name="_Toc9348"/>
      <w:bookmarkStart w:id="446" w:name="_Toc6916"/>
      <w:bookmarkStart w:id="447" w:name="_Toc19098"/>
      <w:bookmarkStart w:id="448" w:name="_Toc26161"/>
      <w:bookmarkStart w:id="449" w:name="_Toc10213"/>
      <w:bookmarkStart w:id="450" w:name="_Toc13177"/>
      <w:bookmarkStart w:id="451" w:name="_Toc11784"/>
      <w:bookmarkStart w:id="452" w:name="_Toc19389"/>
      <w:bookmarkStart w:id="453" w:name="_Toc27890"/>
      <w:bookmarkStart w:id="454" w:name="_Toc10002"/>
      <w:bookmarkStart w:id="455" w:name="_Toc4844"/>
      <w:bookmarkStart w:id="456" w:name="_Toc29952"/>
      <w:bookmarkStart w:id="457" w:name="_Toc391298956"/>
      <w:bookmarkStart w:id="458" w:name="_Toc27999"/>
      <w:bookmarkStart w:id="459" w:name="_Toc4727"/>
      <w:bookmarkStart w:id="460" w:name="_Toc9386"/>
      <w:bookmarkStart w:id="461" w:name="_Toc19378"/>
      <w:bookmarkStart w:id="462" w:name="_Toc17350"/>
      <w:bookmarkStart w:id="463" w:name="_Toc30221"/>
      <w:bookmarkStart w:id="464" w:name="_Toc14662"/>
      <w:bookmarkStart w:id="465" w:name="_Toc29317"/>
      <w:bookmarkStart w:id="466" w:name="_Toc15565"/>
      <w:bookmarkStart w:id="467" w:name="_Toc24650"/>
      <w:bookmarkStart w:id="468" w:name="_Toc1767"/>
      <w:r>
        <w:rPr>
          <w:rFonts w:hint="eastAsia" w:ascii="宋体" w:hAnsi="宋体"/>
          <w:color w:val="auto"/>
          <w:sz w:val="28"/>
          <w:szCs w:val="28"/>
          <w:highlight w:val="none"/>
        </w:rPr>
        <w:t>三、竞争性磋商文件</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spacing w:beforeLines="0" w:afterLines="0" w:line="308" w:lineRule="auto"/>
        <w:ind w:firstLine="0"/>
        <w:rPr>
          <w:rFonts w:ascii="宋体" w:hAnsi="宋体"/>
          <w:color w:val="auto"/>
          <w:highlight w:val="none"/>
        </w:rPr>
      </w:pPr>
      <w:r>
        <w:rPr>
          <w:rFonts w:hint="eastAsia" w:ascii="宋体" w:hAnsi="宋体"/>
          <w:color w:val="auto"/>
          <w:highlight w:val="none"/>
        </w:rPr>
        <w:t>6.竞争性磋商文件的组成</w:t>
      </w:r>
    </w:p>
    <w:p>
      <w:pPr>
        <w:spacing w:beforeLines="0" w:afterLines="0" w:line="308" w:lineRule="auto"/>
        <w:ind w:firstLine="0"/>
        <w:rPr>
          <w:rFonts w:ascii="宋体" w:hAnsi="宋体"/>
          <w:color w:val="auto"/>
          <w:highlight w:val="none"/>
        </w:rPr>
      </w:pPr>
      <w:r>
        <w:rPr>
          <w:rFonts w:hint="eastAsia" w:ascii="宋体" w:hAnsi="宋体"/>
          <w:color w:val="auto"/>
          <w:highlight w:val="none"/>
        </w:rPr>
        <w:t>6.1竞争性磋商文件用于阐明所需采购磋商程序和合同主要条款。竞争性磋商文件由下述部分组成：</w:t>
      </w:r>
    </w:p>
    <w:p>
      <w:pPr>
        <w:spacing w:beforeLines="0" w:afterLines="0" w:line="312" w:lineRule="auto"/>
        <w:ind w:firstLine="480"/>
        <w:rPr>
          <w:rFonts w:ascii="宋体" w:hAnsi="宋体"/>
          <w:color w:val="auto"/>
          <w:highlight w:val="none"/>
        </w:rPr>
      </w:pPr>
      <w:r>
        <w:rPr>
          <w:rFonts w:hint="eastAsia" w:ascii="宋体" w:hAnsi="宋体"/>
          <w:color w:val="auto"/>
          <w:highlight w:val="none"/>
        </w:rPr>
        <w:t>(1)磋商公告</w:t>
      </w:r>
    </w:p>
    <w:p>
      <w:pPr>
        <w:spacing w:beforeLines="0" w:afterLines="0" w:line="312" w:lineRule="auto"/>
        <w:ind w:firstLine="480"/>
        <w:rPr>
          <w:rFonts w:ascii="宋体" w:hAnsi="宋体"/>
          <w:color w:val="auto"/>
          <w:highlight w:val="none"/>
        </w:rPr>
      </w:pPr>
      <w:r>
        <w:rPr>
          <w:rFonts w:hint="eastAsia" w:ascii="宋体" w:hAnsi="宋体"/>
          <w:color w:val="auto"/>
          <w:highlight w:val="none"/>
        </w:rPr>
        <w:t xml:space="preserve">(2)供应商须知 </w:t>
      </w:r>
    </w:p>
    <w:p>
      <w:pPr>
        <w:spacing w:beforeLines="0" w:afterLines="0" w:line="312" w:lineRule="auto"/>
        <w:ind w:firstLine="480"/>
        <w:rPr>
          <w:rFonts w:ascii="宋体" w:hAnsi="宋体"/>
          <w:color w:val="auto"/>
          <w:highlight w:val="none"/>
        </w:rPr>
      </w:pPr>
      <w:r>
        <w:rPr>
          <w:rFonts w:hint="eastAsia" w:ascii="宋体" w:hAnsi="宋体"/>
          <w:color w:val="auto"/>
          <w:highlight w:val="none"/>
        </w:rPr>
        <w:t>(3)采购内容及要求</w:t>
      </w:r>
    </w:p>
    <w:p>
      <w:pPr>
        <w:spacing w:beforeLines="0" w:afterLines="0" w:line="312" w:lineRule="auto"/>
        <w:ind w:firstLine="480"/>
        <w:rPr>
          <w:rFonts w:ascii="宋体" w:hAnsi="宋体"/>
          <w:color w:val="auto"/>
          <w:highlight w:val="none"/>
        </w:rPr>
      </w:pPr>
      <w:bookmarkStart w:id="469" w:name="_Toc430488851"/>
      <w:bookmarkStart w:id="470" w:name="_Toc415567497"/>
      <w:bookmarkStart w:id="471" w:name="_Toc430492126"/>
      <w:bookmarkStart w:id="472" w:name="_Toc430489119"/>
      <w:bookmarkStart w:id="473" w:name="_Toc430488644"/>
      <w:bookmarkStart w:id="474" w:name="_Toc430422413"/>
      <w:bookmarkStart w:id="475" w:name="_Toc430490612"/>
      <w:r>
        <w:rPr>
          <w:rFonts w:hint="eastAsia" w:ascii="宋体" w:hAnsi="宋体"/>
          <w:color w:val="auto"/>
          <w:highlight w:val="none"/>
        </w:rPr>
        <w:t>(4)</w:t>
      </w:r>
      <w:r>
        <w:rPr>
          <w:rFonts w:hint="eastAsia" w:ascii="宋体" w:hAnsi="宋体"/>
          <w:bCs w:val="0"/>
          <w:color w:val="auto"/>
          <w:highlight w:val="none"/>
        </w:rPr>
        <w:t>磋商原则和磋商方法</w:t>
      </w:r>
    </w:p>
    <w:p>
      <w:pPr>
        <w:spacing w:beforeLines="0" w:afterLines="0" w:line="312" w:lineRule="auto"/>
        <w:ind w:firstLine="480" w:firstLineChars="200"/>
        <w:rPr>
          <w:rFonts w:hint="eastAsia" w:ascii="宋体" w:hAnsi="宋体"/>
          <w:color w:val="auto"/>
          <w:highlight w:val="none"/>
        </w:rPr>
      </w:pPr>
      <w:r>
        <w:rPr>
          <w:rFonts w:hint="eastAsia" w:ascii="宋体" w:hAnsi="宋体"/>
          <w:color w:val="auto"/>
          <w:highlight w:val="none"/>
        </w:rPr>
        <w:t>(5)合同主要条款</w:t>
      </w:r>
    </w:p>
    <w:p>
      <w:pPr>
        <w:spacing w:beforeLines="0" w:afterLines="0" w:line="312" w:lineRule="auto"/>
        <w:ind w:firstLine="480" w:firstLineChars="200"/>
        <w:rPr>
          <w:rFonts w:ascii="宋体" w:hAnsi="宋体"/>
          <w:color w:val="auto"/>
          <w:highlight w:val="none"/>
        </w:rPr>
      </w:pPr>
      <w:r>
        <w:rPr>
          <w:rFonts w:hint="eastAsia" w:ascii="宋体" w:hAnsi="宋体"/>
          <w:color w:val="auto"/>
          <w:highlight w:val="none"/>
        </w:rPr>
        <w:t>(6)竞争性磋商响应文件格式</w:t>
      </w:r>
      <w:bookmarkEnd w:id="469"/>
      <w:bookmarkEnd w:id="470"/>
      <w:bookmarkEnd w:id="471"/>
      <w:bookmarkEnd w:id="472"/>
      <w:bookmarkEnd w:id="473"/>
      <w:bookmarkEnd w:id="474"/>
      <w:bookmarkEnd w:id="475"/>
    </w:p>
    <w:p>
      <w:pPr>
        <w:spacing w:beforeLines="0" w:afterLines="0" w:line="308" w:lineRule="auto"/>
        <w:ind w:firstLine="0"/>
        <w:rPr>
          <w:rFonts w:ascii="宋体" w:hAnsi="宋体"/>
          <w:color w:val="auto"/>
          <w:highlight w:val="none"/>
        </w:rPr>
      </w:pPr>
      <w:r>
        <w:rPr>
          <w:rFonts w:hint="eastAsia" w:ascii="宋体" w:hAnsi="宋体"/>
          <w:color w:val="auto"/>
          <w:highlight w:val="none"/>
        </w:rPr>
        <w:t>7.竞争性磋商文件的澄清</w:t>
      </w:r>
    </w:p>
    <w:p>
      <w:pPr>
        <w:spacing w:beforeLines="0" w:afterLines="0" w:line="308" w:lineRule="auto"/>
        <w:ind w:firstLine="0"/>
        <w:rPr>
          <w:rFonts w:ascii="宋体" w:hAnsi="宋体"/>
          <w:bCs/>
          <w:color w:val="auto"/>
          <w:highlight w:val="none"/>
        </w:rPr>
      </w:pPr>
      <w:r>
        <w:rPr>
          <w:rFonts w:hint="eastAsia" w:ascii="宋体" w:hAnsi="宋体"/>
          <w:bCs/>
          <w:color w:val="auto"/>
          <w:highlight w:val="none"/>
        </w:rPr>
        <w:t>7.1供应商对竞争性磋商文件如有疑点，可要求澄清。按磋商</w:t>
      </w:r>
      <w:r>
        <w:rPr>
          <w:rFonts w:hint="eastAsia" w:ascii="宋体" w:hAnsi="宋体"/>
          <w:color w:val="auto"/>
          <w:highlight w:val="none"/>
        </w:rPr>
        <w:t>公告中的规定时间前在衢州市阳光交易服务平台（https://qzygjy.com/）、</w:t>
      </w:r>
      <w:r>
        <w:rPr>
          <w:rFonts w:hint="eastAsia" w:ascii="宋体" w:hAnsi="宋体"/>
          <w:color w:val="auto"/>
          <w:highlight w:val="none"/>
          <w:lang w:bidi="ar"/>
        </w:rPr>
        <w:t>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hint="eastAsia" w:ascii="宋体" w:hAnsi="宋体"/>
          <w:color w:val="auto"/>
          <w:highlight w:val="none"/>
          <w:lang w:bidi="ar"/>
        </w:rPr>
        <w:t>http://zfcg.czt.zj.gov.cn/</w:t>
      </w:r>
      <w:r>
        <w:rPr>
          <w:rFonts w:hint="eastAsia" w:ascii="宋体" w:hAnsi="宋体"/>
          <w:color w:val="auto"/>
          <w:highlight w:val="none"/>
          <w:lang w:bidi="ar"/>
        </w:rPr>
        <w:fldChar w:fldCharType="end"/>
      </w:r>
      <w:r>
        <w:rPr>
          <w:rFonts w:hint="eastAsia" w:ascii="宋体" w:hAnsi="宋体"/>
          <w:color w:val="auto"/>
          <w:highlight w:val="none"/>
          <w:lang w:bidi="ar"/>
        </w:rPr>
        <w:t>）</w:t>
      </w:r>
      <w:r>
        <w:rPr>
          <w:rFonts w:hint="eastAsia" w:ascii="宋体" w:hAnsi="宋体"/>
          <w:color w:val="auto"/>
          <w:highlight w:val="none"/>
        </w:rPr>
        <w:t>予以公布答复，请所有获取磋商文件的供应商必须注意。</w:t>
      </w:r>
      <w:r>
        <w:rPr>
          <w:rFonts w:hint="eastAsia" w:ascii="宋体" w:hAnsi="宋体"/>
          <w:bCs/>
          <w:color w:val="auto"/>
          <w:highlight w:val="none"/>
        </w:rPr>
        <w:t>该澄清内容为竞争性磋商文件的组成部分。</w:t>
      </w:r>
    </w:p>
    <w:p>
      <w:pPr>
        <w:spacing w:beforeLines="0" w:afterLines="0" w:line="308" w:lineRule="auto"/>
        <w:ind w:firstLine="0"/>
        <w:rPr>
          <w:rFonts w:ascii="宋体" w:hAnsi="宋体"/>
          <w:bCs/>
          <w:color w:val="auto"/>
          <w:highlight w:val="none"/>
        </w:rPr>
      </w:pPr>
      <w:bookmarkStart w:id="476" w:name="_Toc430492127"/>
      <w:bookmarkStart w:id="477" w:name="_Toc430488645"/>
      <w:bookmarkStart w:id="478" w:name="_Toc430422414"/>
      <w:bookmarkStart w:id="479" w:name="_Toc415567498"/>
      <w:bookmarkStart w:id="480" w:name="_Toc430488852"/>
      <w:bookmarkStart w:id="481" w:name="_Toc430489120"/>
      <w:bookmarkStart w:id="482" w:name="_Toc430490613"/>
      <w:r>
        <w:rPr>
          <w:rFonts w:hint="eastAsia" w:ascii="宋体" w:hAnsi="宋体"/>
          <w:bCs/>
          <w:color w:val="auto"/>
          <w:highlight w:val="none"/>
        </w:rPr>
        <w:t>8.竞争性磋商文件的修改</w:t>
      </w:r>
      <w:bookmarkEnd w:id="476"/>
      <w:bookmarkEnd w:id="477"/>
      <w:bookmarkEnd w:id="478"/>
      <w:bookmarkEnd w:id="479"/>
      <w:bookmarkEnd w:id="480"/>
      <w:bookmarkEnd w:id="481"/>
      <w:bookmarkEnd w:id="482"/>
    </w:p>
    <w:p>
      <w:pPr>
        <w:snapToGrid w:val="0"/>
        <w:spacing w:beforeLines="0" w:afterLines="0" w:line="308" w:lineRule="auto"/>
        <w:ind w:firstLine="0"/>
        <w:rPr>
          <w:rFonts w:ascii="宋体" w:hAnsi="宋体"/>
          <w:color w:val="auto"/>
          <w:highlight w:val="none"/>
        </w:rPr>
      </w:pPr>
      <w:r>
        <w:rPr>
          <w:rFonts w:hint="eastAsia" w:ascii="宋体" w:hAnsi="宋体"/>
          <w:bCs/>
          <w:color w:val="auto"/>
          <w:kern w:val="0"/>
          <w:highlight w:val="none"/>
        </w:rPr>
        <w:t>8.1采购人或者</w:t>
      </w:r>
      <w:r>
        <w:rPr>
          <w:rFonts w:hint="eastAsia" w:ascii="宋体" w:hAnsi="宋体"/>
          <w:color w:val="auto"/>
          <w:highlight w:val="none"/>
          <w:lang w:val="zh-CN"/>
        </w:rPr>
        <w:t>采购代理机构</w:t>
      </w:r>
      <w:r>
        <w:rPr>
          <w:rFonts w:hint="eastAsia" w:ascii="宋体" w:hAnsi="宋体"/>
          <w:bCs/>
          <w:color w:val="auto"/>
          <w:kern w:val="0"/>
          <w:highlight w:val="none"/>
        </w:rPr>
        <w:t>可以对已发出的磋商文件进行必要的澄清或者修改，以补充文件的形式</w:t>
      </w:r>
      <w:r>
        <w:rPr>
          <w:rFonts w:hint="eastAsia" w:ascii="宋体" w:hAnsi="宋体"/>
          <w:color w:val="auto"/>
          <w:highlight w:val="none"/>
        </w:rPr>
        <w:t>在衢州市阳光交易服务平台（https://qzygjy.com/）、</w:t>
      </w:r>
      <w:r>
        <w:rPr>
          <w:rFonts w:hint="eastAsia" w:ascii="宋体" w:hAnsi="宋体"/>
          <w:color w:val="auto"/>
          <w:highlight w:val="none"/>
          <w:lang w:bidi="ar"/>
        </w:rPr>
        <w:t>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hint="eastAsia" w:ascii="宋体" w:hAnsi="宋体"/>
          <w:color w:val="auto"/>
          <w:highlight w:val="none"/>
          <w:lang w:bidi="ar"/>
        </w:rPr>
        <w:t>http://zfcg.czt.zj.gov.cn/</w:t>
      </w:r>
      <w:r>
        <w:rPr>
          <w:rFonts w:hint="eastAsia" w:ascii="宋体" w:hAnsi="宋体"/>
          <w:color w:val="auto"/>
          <w:highlight w:val="none"/>
          <w:lang w:bidi="ar"/>
        </w:rPr>
        <w:fldChar w:fldCharType="end"/>
      </w:r>
      <w:r>
        <w:rPr>
          <w:rFonts w:hint="eastAsia" w:ascii="宋体" w:hAnsi="宋体"/>
          <w:color w:val="auto"/>
          <w:highlight w:val="none"/>
          <w:lang w:bidi="ar"/>
        </w:rPr>
        <w:t>）</w:t>
      </w:r>
      <w:r>
        <w:rPr>
          <w:rFonts w:hint="eastAsia" w:ascii="宋体" w:hAnsi="宋体"/>
          <w:color w:val="auto"/>
          <w:highlight w:val="none"/>
        </w:rPr>
        <w:t>予以公布</w:t>
      </w:r>
      <w:r>
        <w:rPr>
          <w:rFonts w:hint="eastAsia" w:ascii="宋体" w:hAnsi="宋体"/>
          <w:bCs/>
          <w:color w:val="auto"/>
          <w:kern w:val="0"/>
          <w:highlight w:val="none"/>
        </w:rPr>
        <w:t>，澄清或者修改的内容作为磋商文件的组成部分。</w:t>
      </w:r>
    </w:p>
    <w:p>
      <w:pPr>
        <w:snapToGrid w:val="0"/>
        <w:spacing w:beforeLines="0" w:afterLines="0" w:line="308" w:lineRule="auto"/>
        <w:ind w:firstLine="0"/>
        <w:rPr>
          <w:rFonts w:ascii="宋体" w:hAnsi="宋体"/>
          <w:bCs/>
          <w:color w:val="auto"/>
          <w:kern w:val="0"/>
          <w:highlight w:val="none"/>
        </w:rPr>
      </w:pPr>
      <w:r>
        <w:rPr>
          <w:rFonts w:hint="eastAsia" w:ascii="宋体" w:hAnsi="宋体"/>
          <w:bCs/>
          <w:color w:val="auto"/>
          <w:kern w:val="0"/>
          <w:highlight w:val="none"/>
        </w:rPr>
        <w:t>8.2▲特别说明：</w:t>
      </w:r>
    </w:p>
    <w:p>
      <w:pPr>
        <w:spacing w:beforeLines="0" w:afterLines="0" w:line="308" w:lineRule="auto"/>
        <w:ind w:firstLine="0"/>
        <w:rPr>
          <w:rFonts w:ascii="宋体" w:hAnsi="宋体" w:cs="宋体"/>
          <w:color w:val="auto"/>
        </w:rPr>
      </w:pPr>
      <w:r>
        <w:rPr>
          <w:rFonts w:hint="eastAsia" w:ascii="宋体" w:hAnsi="宋体" w:cs="宋体"/>
          <w:color w:val="auto"/>
        </w:rPr>
        <w:t>①▲单位负责人为同一人或者存在直接控股、管理关系的不同</w:t>
      </w:r>
      <w:r>
        <w:rPr>
          <w:rFonts w:hint="eastAsia" w:ascii="宋体" w:hAnsi="宋体" w:cs="宋体"/>
          <w:color w:val="auto"/>
          <w:lang w:eastAsia="zh-CN"/>
        </w:rPr>
        <w:t>供应商</w:t>
      </w:r>
      <w:r>
        <w:rPr>
          <w:rFonts w:hint="eastAsia" w:ascii="宋体" w:hAnsi="宋体" w:cs="宋体"/>
          <w:color w:val="auto"/>
        </w:rPr>
        <w:t>，不得参加本项目的政府采购活动。</w:t>
      </w:r>
    </w:p>
    <w:p>
      <w:pPr>
        <w:spacing w:beforeLines="0" w:afterLines="0" w:line="308" w:lineRule="auto"/>
        <w:ind w:firstLine="0"/>
        <w:rPr>
          <w:rFonts w:ascii="宋体" w:hAnsi="宋体" w:cs="宋体"/>
          <w:color w:val="auto"/>
        </w:rPr>
      </w:pPr>
      <w:r>
        <w:rPr>
          <w:rFonts w:hint="eastAsia" w:ascii="宋体" w:hAnsi="宋体" w:cs="宋体"/>
          <w:color w:val="auto"/>
        </w:rPr>
        <w:t>②▲</w:t>
      </w:r>
      <w:r>
        <w:rPr>
          <w:rFonts w:hint="eastAsia" w:ascii="宋体" w:hAnsi="宋体" w:cs="宋体"/>
          <w:color w:val="auto"/>
          <w:lang w:eastAsia="zh-CN"/>
        </w:rPr>
        <w:t>供应商</w:t>
      </w:r>
      <w:r>
        <w:rPr>
          <w:rFonts w:hint="eastAsia" w:ascii="宋体" w:hAnsi="宋体" w:cs="宋体"/>
          <w:color w:val="auto"/>
        </w:rPr>
        <w:t>投标所使用的资格、信誉、荣誉、业绩与企业认证必须为本法人所拥有。</w:t>
      </w:r>
      <w:r>
        <w:rPr>
          <w:rFonts w:hint="eastAsia" w:ascii="宋体" w:hAnsi="宋体" w:cs="宋体"/>
          <w:color w:val="auto"/>
          <w:lang w:eastAsia="zh-CN"/>
        </w:rPr>
        <w:t>供应商</w:t>
      </w:r>
      <w:r>
        <w:rPr>
          <w:rFonts w:hint="eastAsia" w:ascii="宋体" w:hAnsi="宋体" w:cs="宋体"/>
          <w:color w:val="auto"/>
        </w:rPr>
        <w:t>母公司（总机构）或者同一母公司下属的其他子公司（同一总机构下属的其他分支机构）的资格、信誉、荣誉、业绩与企业认证等，不为该</w:t>
      </w:r>
      <w:r>
        <w:rPr>
          <w:rFonts w:hint="eastAsia" w:ascii="宋体" w:hAnsi="宋体" w:cs="宋体"/>
          <w:color w:val="auto"/>
          <w:lang w:eastAsia="zh-CN"/>
        </w:rPr>
        <w:t>供应商</w:t>
      </w:r>
      <w:r>
        <w:rPr>
          <w:rFonts w:hint="eastAsia" w:ascii="宋体" w:hAnsi="宋体" w:cs="宋体"/>
          <w:color w:val="auto"/>
        </w:rPr>
        <w:t>所拥有。</w:t>
      </w:r>
    </w:p>
    <w:p>
      <w:pPr>
        <w:spacing w:beforeLines="0" w:afterLines="0" w:line="308" w:lineRule="auto"/>
        <w:ind w:firstLine="0"/>
        <w:rPr>
          <w:rFonts w:ascii="宋体" w:hAnsi="宋体" w:cs="宋体"/>
          <w:color w:val="auto"/>
        </w:rPr>
      </w:pPr>
      <w:r>
        <w:rPr>
          <w:rFonts w:hint="eastAsia" w:ascii="宋体" w:hAnsi="宋体" w:cs="宋体"/>
          <w:color w:val="auto"/>
        </w:rPr>
        <w:t>③▲</w:t>
      </w:r>
      <w:r>
        <w:rPr>
          <w:rFonts w:hint="eastAsia" w:ascii="宋体" w:hAnsi="宋体" w:cs="宋体"/>
          <w:color w:val="auto"/>
          <w:lang w:eastAsia="zh-CN"/>
        </w:rPr>
        <w:t>供应商</w:t>
      </w:r>
      <w:r>
        <w:rPr>
          <w:rFonts w:hint="eastAsia" w:ascii="宋体" w:hAnsi="宋体" w:cs="宋体"/>
          <w:color w:val="auto"/>
        </w:rPr>
        <w:t>应仔细阅读招标文件的所有内容，按照招标文件的要求提交投标文件，并对所提供的全部资料的真实性承担法律责任。</w:t>
      </w:r>
    </w:p>
    <w:p>
      <w:pPr>
        <w:spacing w:beforeLines="0" w:afterLines="0" w:line="308" w:lineRule="auto"/>
        <w:ind w:firstLine="0"/>
        <w:rPr>
          <w:rFonts w:ascii="宋体" w:hAnsi="宋体" w:cs="宋体"/>
          <w:color w:val="auto"/>
        </w:rPr>
      </w:pPr>
      <w:r>
        <w:rPr>
          <w:rFonts w:hint="eastAsia" w:ascii="宋体" w:hAnsi="宋体" w:cs="宋体"/>
          <w:color w:val="auto"/>
        </w:rPr>
        <w:t>④▲</w:t>
      </w:r>
      <w:r>
        <w:rPr>
          <w:rFonts w:hint="eastAsia" w:ascii="宋体" w:hAnsi="宋体" w:cs="宋体"/>
          <w:color w:val="auto"/>
          <w:lang w:eastAsia="zh-CN"/>
        </w:rPr>
        <w:t>供应商</w:t>
      </w:r>
      <w:r>
        <w:rPr>
          <w:rFonts w:hint="eastAsia" w:ascii="宋体" w:hAnsi="宋体" w:cs="宋体"/>
          <w:color w:val="auto"/>
        </w:rPr>
        <w:t>在投标活动中提供任何虚假材料</w:t>
      </w:r>
      <w:r>
        <w:rPr>
          <w:rFonts w:hint="eastAsia" w:ascii="宋体" w:hAnsi="宋体" w:cs="宋体"/>
          <w:color w:val="auto"/>
          <w:lang w:eastAsia="zh-CN"/>
        </w:rPr>
        <w:t>，</w:t>
      </w:r>
      <w:r>
        <w:rPr>
          <w:rFonts w:hint="eastAsia" w:ascii="宋体" w:hAnsi="宋体" w:cs="宋体"/>
          <w:color w:val="auto"/>
        </w:rPr>
        <w:t>其投标无效，并报监管部门查处中标后发现的</w:t>
      </w:r>
      <w:r>
        <w:rPr>
          <w:rFonts w:hint="eastAsia" w:ascii="宋体" w:hAnsi="宋体" w:cs="宋体"/>
          <w:color w:val="auto"/>
          <w:lang w:eastAsia="zh-CN"/>
        </w:rPr>
        <w:t>，</w:t>
      </w:r>
      <w:r>
        <w:rPr>
          <w:rFonts w:hint="eastAsia" w:ascii="宋体" w:hAnsi="宋体" w:cs="宋体"/>
          <w:color w:val="auto"/>
        </w:rPr>
        <w:t>中标人须依照《中华人民共和国消费者权益保护法》第49条之规定双倍赔偿采购人，且民事赔偿并不免除违法</w:t>
      </w:r>
      <w:r>
        <w:rPr>
          <w:rFonts w:hint="eastAsia" w:ascii="宋体" w:hAnsi="宋体" w:cs="宋体"/>
          <w:color w:val="auto"/>
          <w:lang w:eastAsia="zh-CN"/>
        </w:rPr>
        <w:t>供应商</w:t>
      </w:r>
      <w:r>
        <w:rPr>
          <w:rFonts w:hint="eastAsia" w:ascii="宋体" w:hAnsi="宋体" w:cs="宋体"/>
          <w:color w:val="auto"/>
        </w:rPr>
        <w:t>的行政与刑事责任。</w:t>
      </w:r>
    </w:p>
    <w:p>
      <w:pPr>
        <w:spacing w:beforeLines="0" w:afterLines="0" w:line="308" w:lineRule="auto"/>
        <w:ind w:firstLine="0"/>
        <w:rPr>
          <w:rFonts w:ascii="宋体" w:hAnsi="宋体" w:cs="宋体"/>
          <w:color w:val="auto"/>
        </w:rPr>
      </w:pPr>
      <w:r>
        <w:rPr>
          <w:rFonts w:hint="eastAsia" w:ascii="宋体" w:hAnsi="宋体" w:cs="宋体"/>
          <w:color w:val="auto"/>
        </w:rPr>
        <w:t>⑤</w:t>
      </w:r>
      <w:r>
        <w:rPr>
          <w:rFonts w:hint="eastAsia" w:ascii="宋体" w:hAnsi="宋体" w:cs="宋体"/>
          <w:color w:val="auto"/>
          <w:lang w:eastAsia="zh-CN"/>
        </w:rPr>
        <w:t>供应商</w:t>
      </w:r>
      <w:r>
        <w:rPr>
          <w:rFonts w:hint="eastAsia" w:ascii="宋体" w:hAnsi="宋体" w:cs="宋体"/>
          <w:color w:val="auto"/>
        </w:rPr>
        <w:t>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采购人可以拒绝其投标文件。</w:t>
      </w:r>
    </w:p>
    <w:p>
      <w:pPr>
        <w:pStyle w:val="3"/>
        <w:spacing w:beforeLines="0" w:afterLines="0" w:line="308" w:lineRule="auto"/>
        <w:ind w:firstLine="562" w:firstLineChars="200"/>
        <w:jc w:val="center"/>
        <w:outlineLvl w:val="1"/>
        <w:rPr>
          <w:rFonts w:ascii="宋体" w:hAnsi="宋体"/>
          <w:color w:val="auto"/>
          <w:sz w:val="28"/>
          <w:szCs w:val="28"/>
          <w:highlight w:val="none"/>
        </w:rPr>
      </w:pPr>
      <w:bookmarkStart w:id="483" w:name="_Toc26603"/>
      <w:bookmarkStart w:id="484" w:name="_Toc6387"/>
      <w:bookmarkStart w:id="485" w:name="_Toc16757"/>
      <w:bookmarkStart w:id="486" w:name="_Toc24622"/>
      <w:bookmarkStart w:id="487" w:name="_Toc11921"/>
      <w:bookmarkStart w:id="488" w:name="_Toc2929"/>
      <w:bookmarkStart w:id="489" w:name="_Toc30012"/>
      <w:bookmarkStart w:id="490" w:name="_Toc27301"/>
      <w:bookmarkStart w:id="491" w:name="_Toc30640"/>
      <w:bookmarkStart w:id="492" w:name="_Toc30162"/>
      <w:bookmarkStart w:id="493" w:name="_Toc391298957"/>
      <w:bookmarkStart w:id="494" w:name="_Toc8644"/>
      <w:bookmarkStart w:id="495" w:name="_Toc2461"/>
      <w:bookmarkStart w:id="496" w:name="_Toc31210"/>
      <w:bookmarkStart w:id="497" w:name="_Toc9195"/>
      <w:bookmarkStart w:id="498" w:name="_Toc8388"/>
      <w:bookmarkStart w:id="499" w:name="_Toc6273"/>
      <w:bookmarkStart w:id="500" w:name="_Toc1828"/>
      <w:bookmarkStart w:id="501" w:name="_Toc13462"/>
      <w:bookmarkStart w:id="502" w:name="_Toc8804"/>
      <w:bookmarkStart w:id="503" w:name="_Toc18702"/>
      <w:bookmarkStart w:id="504" w:name="_Toc26178"/>
      <w:bookmarkStart w:id="505" w:name="_Toc7782"/>
      <w:bookmarkStart w:id="506" w:name="_Toc15453"/>
      <w:bookmarkStart w:id="507" w:name="_Toc16617"/>
      <w:bookmarkStart w:id="508" w:name="_Toc30122"/>
      <w:bookmarkStart w:id="509" w:name="_Toc26050"/>
      <w:bookmarkStart w:id="510" w:name="_Toc8584"/>
      <w:bookmarkStart w:id="511" w:name="_Toc12898"/>
      <w:bookmarkStart w:id="512" w:name="_Toc32074"/>
      <w:bookmarkStart w:id="513" w:name="_Toc2007"/>
      <w:bookmarkStart w:id="514" w:name="_Toc16631"/>
      <w:bookmarkStart w:id="515" w:name="_Toc26251"/>
      <w:bookmarkStart w:id="516" w:name="_Toc8860"/>
      <w:bookmarkStart w:id="517" w:name="_Toc6563"/>
      <w:bookmarkStart w:id="518" w:name="_Toc30296"/>
      <w:bookmarkStart w:id="519" w:name="_Toc6766"/>
      <w:bookmarkStart w:id="520" w:name="_Toc10657"/>
      <w:bookmarkStart w:id="521" w:name="_Toc31204"/>
      <w:r>
        <w:rPr>
          <w:rFonts w:hint="eastAsia" w:ascii="宋体" w:hAnsi="宋体"/>
          <w:color w:val="auto"/>
          <w:sz w:val="28"/>
          <w:szCs w:val="28"/>
          <w:highlight w:val="none"/>
        </w:rPr>
        <w:t>四、竞争性磋商响应文件的编写</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spacing w:beforeLines="0" w:afterLines="0" w:line="308" w:lineRule="auto"/>
        <w:ind w:firstLine="0"/>
        <w:rPr>
          <w:rFonts w:ascii="宋体" w:hAnsi="宋体"/>
          <w:color w:val="auto"/>
          <w:highlight w:val="none"/>
        </w:rPr>
      </w:pPr>
      <w:r>
        <w:rPr>
          <w:rFonts w:hint="eastAsia" w:ascii="宋体" w:hAnsi="宋体"/>
          <w:color w:val="auto"/>
          <w:highlight w:val="none"/>
        </w:rPr>
        <w:t>9.要求</w:t>
      </w:r>
    </w:p>
    <w:p>
      <w:pPr>
        <w:spacing w:beforeLines="0" w:afterLines="0" w:line="308" w:lineRule="auto"/>
        <w:ind w:firstLine="0"/>
        <w:rPr>
          <w:rFonts w:ascii="宋体" w:hAnsi="宋体"/>
          <w:color w:val="auto"/>
          <w:highlight w:val="none"/>
        </w:rPr>
      </w:pPr>
      <w:r>
        <w:rPr>
          <w:rFonts w:hint="eastAsia" w:ascii="宋体" w:hAnsi="宋体"/>
          <w:color w:val="auto"/>
          <w:highlight w:val="none"/>
        </w:rPr>
        <w:t>9.1供应商应仔细阅读竞争性磋商文件的所有内容，按照竞争性磋商文件的要求提交竞争性磋商响应文件。竞争性磋商响应文件应对竞争性磋商文件的要求</w:t>
      </w:r>
      <w:r>
        <w:rPr>
          <w:rFonts w:hint="eastAsia" w:ascii="宋体" w:hAnsi="宋体"/>
          <w:color w:val="auto"/>
          <w:highlight w:val="none"/>
          <w:lang w:eastAsia="zh-CN"/>
        </w:rPr>
        <w:t>作出</w:t>
      </w:r>
      <w:r>
        <w:rPr>
          <w:rFonts w:hint="eastAsia" w:ascii="宋体" w:hAnsi="宋体"/>
          <w:color w:val="auto"/>
          <w:highlight w:val="none"/>
        </w:rPr>
        <w:t>实质性响应，并保证所提供的全部资料的真实性，否则视其为虚假响应，其响应将被否决。</w:t>
      </w:r>
    </w:p>
    <w:p>
      <w:pPr>
        <w:spacing w:beforeLines="0" w:afterLines="0" w:line="308" w:lineRule="auto"/>
        <w:ind w:firstLine="0"/>
        <w:rPr>
          <w:rFonts w:ascii="宋体" w:hAnsi="宋体"/>
          <w:color w:val="auto"/>
          <w:highlight w:val="none"/>
        </w:rPr>
      </w:pPr>
      <w:r>
        <w:rPr>
          <w:rFonts w:hint="eastAsia" w:ascii="宋体" w:hAnsi="宋体"/>
          <w:color w:val="auto"/>
          <w:highlight w:val="none"/>
        </w:rPr>
        <w:t>9.2报价</w:t>
      </w:r>
    </w:p>
    <w:p>
      <w:pPr>
        <w:spacing w:beforeLines="0" w:afterLines="0" w:line="308" w:lineRule="auto"/>
        <w:ind w:firstLine="0"/>
        <w:rPr>
          <w:rFonts w:ascii="宋体" w:hAnsi="宋体"/>
          <w:color w:val="auto"/>
          <w:highlight w:val="none"/>
          <w:shd w:val="clear" w:color="FFFFFF" w:fill="D9D9D9"/>
        </w:rPr>
      </w:pPr>
      <w:r>
        <w:rPr>
          <w:rFonts w:hint="eastAsia" w:ascii="宋体" w:hAnsi="宋体"/>
          <w:color w:val="auto"/>
          <w:highlight w:val="none"/>
          <w:shd w:val="clear" w:color="FFFFFF" w:fill="D9D9D9"/>
        </w:rPr>
        <w:t>9.2.1</w:t>
      </w:r>
      <w:r>
        <w:rPr>
          <w:rFonts w:hint="eastAsia" w:ascii="宋体" w:hAnsi="宋体"/>
          <w:color w:val="auto"/>
          <w:highlight w:val="none"/>
          <w:u w:val="single"/>
          <w:shd w:val="clear" w:color="FFFFFF" w:fill="D9D9D9"/>
        </w:rPr>
        <w:t>本次报价非一次性报价，报价</w:t>
      </w:r>
      <w:r>
        <w:rPr>
          <w:rFonts w:hint="eastAsia" w:ascii="宋体" w:hAnsi="宋体"/>
          <w:color w:val="auto"/>
          <w:highlight w:val="none"/>
          <w:u w:val="single"/>
          <w:shd w:val="clear" w:color="FFFFFF" w:fill="D9D9D9"/>
          <w:lang w:val="en-US" w:eastAsia="zh-CN"/>
        </w:rPr>
        <w:t>单位为元</w:t>
      </w:r>
      <w:r>
        <w:rPr>
          <w:rFonts w:hint="eastAsia" w:ascii="宋体" w:hAnsi="宋体"/>
          <w:color w:val="auto"/>
          <w:highlight w:val="none"/>
          <w:u w:val="single"/>
          <w:shd w:val="clear" w:color="FFFFFF" w:fill="D9D9D9"/>
        </w:rPr>
        <w:t>。</w:t>
      </w:r>
      <w:r>
        <w:rPr>
          <w:rFonts w:hint="eastAsia" w:ascii="宋体" w:hAnsi="宋体"/>
          <w:color w:val="auto"/>
          <w:highlight w:val="none"/>
          <w:lang w:val="zh-CN"/>
        </w:rPr>
        <w:t>报价次数由</w:t>
      </w:r>
      <w:r>
        <w:rPr>
          <w:rFonts w:hint="eastAsia" w:ascii="宋体" w:hAnsi="宋体"/>
          <w:color w:val="auto"/>
          <w:highlight w:val="none"/>
        </w:rPr>
        <w:t>磋商</w:t>
      </w:r>
      <w:r>
        <w:rPr>
          <w:rFonts w:hint="eastAsia" w:ascii="宋体" w:hAnsi="宋体"/>
          <w:color w:val="auto"/>
          <w:highlight w:val="none"/>
          <w:lang w:val="zh-CN"/>
        </w:rPr>
        <w:t>小组根据磋商情况决定。有一轮及以上报价的，当前报价不得高于对该项之前的报价，且不得高于最高限价。否则，</w:t>
      </w:r>
      <w:r>
        <w:rPr>
          <w:rFonts w:hint="eastAsia" w:ascii="宋体" w:hAnsi="宋体"/>
          <w:color w:val="auto"/>
          <w:highlight w:val="none"/>
        </w:rPr>
        <w:t>磋商</w:t>
      </w:r>
      <w:r>
        <w:rPr>
          <w:rFonts w:hint="eastAsia" w:ascii="宋体" w:hAnsi="宋体"/>
          <w:color w:val="auto"/>
          <w:highlight w:val="none"/>
          <w:lang w:val="zh-CN"/>
        </w:rPr>
        <w:t>小组按无效报价处理。</w:t>
      </w:r>
    </w:p>
    <w:p>
      <w:pPr>
        <w:spacing w:beforeLines="0" w:afterLines="0" w:line="308" w:lineRule="auto"/>
        <w:ind w:firstLine="0"/>
        <w:rPr>
          <w:rFonts w:hint="eastAsia" w:ascii="宋体" w:hAnsi="宋体" w:eastAsia="宋体" w:cs="宋体"/>
          <w:color w:val="auto"/>
          <w:highlight w:val="none"/>
          <w:shd w:val="clear" w:color="FFFFFF" w:fill="D9D9D9"/>
          <w:lang w:val="en-US"/>
        </w:rPr>
      </w:pPr>
      <w:r>
        <w:rPr>
          <w:rFonts w:hint="eastAsia" w:ascii="宋体" w:hAnsi="宋体"/>
          <w:color w:val="auto"/>
          <w:highlight w:val="none"/>
          <w:shd w:val="clear" w:color="FFFFFF" w:fill="D9D9D9"/>
        </w:rPr>
        <w:t>9.2.2磋商响应报价须包括为完成本项目可能</w:t>
      </w:r>
      <w:r>
        <w:rPr>
          <w:rFonts w:hint="eastAsia" w:ascii="宋体" w:hAnsi="宋体" w:eastAsia="宋体" w:cs="宋体"/>
          <w:color w:val="auto"/>
          <w:highlight w:val="none"/>
          <w:shd w:val="clear" w:color="FFFFFF" w:fill="D9D9D9"/>
        </w:rPr>
        <w:t>发生的所有费用，</w:t>
      </w:r>
      <w:r>
        <w:rPr>
          <w:rFonts w:hint="eastAsia" w:ascii="宋体" w:hAnsi="宋体" w:eastAsia="宋体" w:cs="宋体"/>
          <w:color w:val="auto"/>
          <w:highlight w:val="none"/>
          <w:shd w:val="clear" w:color="FFFFFF" w:fill="D9D9D9"/>
          <w:lang w:val="en-US"/>
        </w:rPr>
        <w:t>磋商报价包括供应商正确地完全履行合同义务后采购人应支付的货物和服务价格，包括但不限于</w:t>
      </w:r>
      <w:r>
        <w:rPr>
          <w:rFonts w:hint="eastAsia" w:ascii="宋体" w:hAnsi="宋体" w:eastAsia="宋体" w:cs="宋体"/>
          <w:color w:val="auto"/>
          <w:highlight w:val="none"/>
          <w:shd w:val="clear" w:color="FFFFFF" w:fill="D9D9D9"/>
          <w:lang w:val="en-US" w:eastAsia="zh-CN"/>
        </w:rPr>
        <w:t>人工费</w:t>
      </w:r>
      <w:r>
        <w:rPr>
          <w:rFonts w:hint="eastAsia" w:ascii="宋体" w:hAnsi="宋体" w:eastAsia="宋体" w:cs="宋体"/>
          <w:color w:val="auto"/>
          <w:highlight w:val="none"/>
          <w:shd w:val="clear" w:color="FFFFFF" w:fill="D9D9D9"/>
          <w:lang w:val="en-US"/>
        </w:rPr>
        <w:t>、</w:t>
      </w:r>
      <w:r>
        <w:rPr>
          <w:rFonts w:hint="eastAsia" w:ascii="宋体" w:hAnsi="宋体" w:eastAsia="宋体" w:cs="宋体"/>
          <w:color w:val="auto"/>
          <w:highlight w:val="none"/>
          <w:shd w:val="clear" w:color="FFFFFF" w:fill="D9D9D9"/>
          <w:lang w:val="en-US" w:eastAsia="zh-CN"/>
        </w:rPr>
        <w:t>机械费、材料费、保险、福利、人员工资、</w:t>
      </w:r>
      <w:r>
        <w:rPr>
          <w:rFonts w:hint="eastAsia" w:ascii="宋体" w:hAnsi="宋体" w:eastAsia="宋体" w:cs="宋体"/>
          <w:color w:val="auto"/>
          <w:highlight w:val="none"/>
          <w:shd w:val="clear" w:color="FFFFFF" w:fill="D9D9D9"/>
          <w:lang w:val="en-US"/>
        </w:rPr>
        <w:t>标准附件、备品备件、专用工具</w:t>
      </w:r>
      <w:r>
        <w:rPr>
          <w:rFonts w:hint="eastAsia" w:ascii="宋体" w:hAnsi="宋体" w:eastAsia="宋体" w:cs="宋体"/>
          <w:color w:val="auto"/>
          <w:highlight w:val="none"/>
          <w:shd w:val="clear" w:color="FFFFFF" w:fill="D9D9D9"/>
          <w:lang w:val="en-US" w:eastAsia="zh-CN"/>
        </w:rPr>
        <w:t>、</w:t>
      </w:r>
      <w:r>
        <w:rPr>
          <w:rFonts w:hint="eastAsia" w:ascii="宋体" w:hAnsi="宋体" w:eastAsia="宋体" w:cs="宋体"/>
          <w:color w:val="auto"/>
          <w:highlight w:val="none"/>
          <w:shd w:val="clear" w:color="FFFFFF" w:fill="D9D9D9"/>
          <w:lang w:val="en-US"/>
        </w:rPr>
        <w:t>验收、免费</w:t>
      </w:r>
      <w:r>
        <w:rPr>
          <w:rFonts w:hint="eastAsia" w:ascii="宋体" w:hAnsi="宋体" w:cs="宋体"/>
          <w:color w:val="auto"/>
          <w:highlight w:val="none"/>
          <w:shd w:val="clear" w:color="FFFFFF" w:fill="D9D9D9"/>
          <w:lang w:val="en-US" w:eastAsia="zh-CN"/>
        </w:rPr>
        <w:t>售后服务</w:t>
      </w:r>
      <w:r>
        <w:rPr>
          <w:rFonts w:hint="eastAsia" w:ascii="宋体" w:hAnsi="宋体" w:eastAsia="宋体" w:cs="宋体"/>
          <w:color w:val="auto"/>
          <w:highlight w:val="none"/>
          <w:shd w:val="clear" w:color="FFFFFF" w:fill="D9D9D9"/>
          <w:lang w:val="en-US"/>
        </w:rPr>
        <w:t>、培训费</w:t>
      </w:r>
      <w:r>
        <w:rPr>
          <w:rFonts w:hint="eastAsia" w:ascii="宋体" w:hAnsi="宋体" w:eastAsia="宋体" w:cs="宋体"/>
          <w:color w:val="auto"/>
          <w:highlight w:val="none"/>
          <w:shd w:val="clear" w:color="FFFFFF" w:fill="D9D9D9"/>
          <w:lang w:val="en-US" w:eastAsia="zh-CN"/>
        </w:rPr>
        <w:t>、招标代理费</w:t>
      </w:r>
      <w:r>
        <w:rPr>
          <w:rFonts w:hint="eastAsia" w:ascii="宋体" w:hAnsi="宋体" w:eastAsia="宋体" w:cs="宋体"/>
          <w:color w:val="auto"/>
          <w:highlight w:val="none"/>
          <w:shd w:val="clear" w:color="FFFFFF" w:fill="D9D9D9"/>
          <w:lang w:val="en-US"/>
        </w:rPr>
        <w:t>及合同实施过程中的应预见和不可预见费用、税金及合同包含的所有风险及责任等各项应有费用。</w:t>
      </w:r>
    </w:p>
    <w:p>
      <w:pPr>
        <w:spacing w:beforeLines="0" w:afterLines="0" w:line="308" w:lineRule="auto"/>
        <w:ind w:firstLine="0"/>
        <w:rPr>
          <w:rFonts w:ascii="宋体" w:hAnsi="宋体"/>
          <w:color w:val="auto"/>
          <w:highlight w:val="none"/>
        </w:rPr>
      </w:pPr>
      <w:r>
        <w:rPr>
          <w:rFonts w:hint="eastAsia" w:ascii="宋体" w:hAnsi="宋体"/>
          <w:color w:val="auto"/>
          <w:highlight w:val="none"/>
        </w:rPr>
        <w:t>10.竞争性磋商响应文件语言</w:t>
      </w:r>
    </w:p>
    <w:p>
      <w:pPr>
        <w:spacing w:beforeLines="0" w:afterLines="0" w:line="308" w:lineRule="auto"/>
        <w:ind w:firstLine="0"/>
        <w:rPr>
          <w:rFonts w:ascii="宋体" w:hAnsi="宋体"/>
          <w:color w:val="auto"/>
          <w:highlight w:val="none"/>
        </w:rPr>
      </w:pPr>
      <w:r>
        <w:rPr>
          <w:rFonts w:hint="eastAsia" w:ascii="宋体" w:hAnsi="宋体"/>
          <w:color w:val="auto"/>
          <w:highlight w:val="none"/>
        </w:rPr>
        <w:t>竞争性磋商响应文件应用中文书写。竞争性磋商响应文件中所附或所引用的原件不是中文时，应附中文译本。各种计量单位及符号应采用国际上统一使用的公制计量单位和符号。</w:t>
      </w:r>
    </w:p>
    <w:p>
      <w:pPr>
        <w:spacing w:beforeLines="0" w:afterLines="0" w:line="308" w:lineRule="auto"/>
        <w:ind w:firstLine="0"/>
        <w:rPr>
          <w:rFonts w:ascii="宋体" w:hAnsi="宋体"/>
          <w:color w:val="auto"/>
          <w:highlight w:val="none"/>
        </w:rPr>
      </w:pPr>
      <w:r>
        <w:rPr>
          <w:rFonts w:hint="eastAsia" w:ascii="宋体" w:hAnsi="宋体"/>
          <w:color w:val="auto"/>
          <w:highlight w:val="none"/>
        </w:rPr>
        <w:t>11.竞争性磋商响应文件的组成</w:t>
      </w:r>
    </w:p>
    <w:p>
      <w:pPr>
        <w:spacing w:beforeLines="0" w:afterLines="0" w:line="308" w:lineRule="auto"/>
        <w:ind w:firstLine="0"/>
        <w:rPr>
          <w:rFonts w:ascii="宋体" w:hAnsi="宋体"/>
          <w:color w:val="auto"/>
          <w:highlight w:val="none"/>
        </w:rPr>
      </w:pPr>
      <w:r>
        <w:rPr>
          <w:rFonts w:hint="eastAsia" w:ascii="宋体" w:hAnsi="宋体"/>
          <w:bCs w:val="0"/>
          <w:color w:val="auto"/>
          <w:highlight w:val="none"/>
        </w:rPr>
        <w:t>▲竞争性磋商响应文件由资格文件、资信商务技术文件及报价文件三部分组成。使用CA锁加盖供应商电子</w:t>
      </w:r>
      <w:r>
        <w:rPr>
          <w:rFonts w:hint="eastAsia" w:ascii="宋体" w:hAnsi="宋体"/>
          <w:bCs w:val="0"/>
          <w:color w:val="auto"/>
          <w:highlight w:val="none"/>
          <w:lang w:val="en-US" w:eastAsia="zh-CN"/>
        </w:rPr>
        <w:t>公</w:t>
      </w:r>
      <w:r>
        <w:rPr>
          <w:rFonts w:hint="eastAsia" w:ascii="宋体" w:hAnsi="宋体"/>
          <w:bCs w:val="0"/>
          <w:color w:val="auto"/>
          <w:highlight w:val="none"/>
          <w:lang w:eastAsia="zh-CN"/>
        </w:rPr>
        <w:t>章</w:t>
      </w:r>
      <w:r>
        <w:rPr>
          <w:rFonts w:hint="eastAsia" w:ascii="宋体" w:hAnsi="宋体"/>
          <w:bCs w:val="0"/>
          <w:color w:val="auto"/>
          <w:highlight w:val="none"/>
        </w:rPr>
        <w:t>及法定代表人电子签章，用投标工具生成文件格式为“已加密磋商响应文件”的电子磋商响应文件，并将该格式的电子磋商响应文件成功上传至衢州市阳光交易服务平台。</w:t>
      </w:r>
    </w:p>
    <w:p>
      <w:pPr>
        <w:pStyle w:val="7"/>
        <w:numPr>
          <w:ilvl w:val="4"/>
          <w:numId w:val="0"/>
        </w:numPr>
        <w:tabs>
          <w:tab w:val="left" w:pos="1458"/>
        </w:tabs>
        <w:spacing w:beforeLines="0" w:afterLines="0" w:line="308" w:lineRule="auto"/>
        <w:ind w:firstLine="482" w:firstLineChars="200"/>
        <w:rPr>
          <w:rFonts w:ascii="宋体" w:hAnsi="宋体"/>
          <w:bCs/>
          <w:color w:val="auto"/>
          <w:sz w:val="24"/>
          <w:highlight w:val="none"/>
        </w:rPr>
      </w:pPr>
      <w:bookmarkStart w:id="522" w:name="_Toc8291"/>
      <w:bookmarkStart w:id="523" w:name="_Toc23698"/>
      <w:r>
        <w:rPr>
          <w:rFonts w:hint="eastAsia" w:ascii="宋体" w:hAnsi="宋体"/>
          <w:bCs/>
          <w:color w:val="auto"/>
          <w:sz w:val="24"/>
          <w:highlight w:val="none"/>
        </w:rPr>
        <w:t>11.1 ▲</w:t>
      </w:r>
      <w:bookmarkEnd w:id="522"/>
      <w:r>
        <w:rPr>
          <w:rFonts w:hint="eastAsia" w:ascii="宋体" w:hAnsi="宋体"/>
          <w:bCs/>
          <w:color w:val="auto"/>
          <w:sz w:val="24"/>
          <w:highlight w:val="none"/>
        </w:rPr>
        <w:t>资格文件</w:t>
      </w:r>
      <w:bookmarkEnd w:id="523"/>
    </w:p>
    <w:p>
      <w:pPr>
        <w:numPr>
          <w:ilvl w:val="255"/>
          <w:numId w:val="0"/>
        </w:numPr>
        <w:tabs>
          <w:tab w:val="left" w:pos="397"/>
        </w:tabs>
        <w:adjustRightInd w:val="0"/>
        <w:snapToGrid w:val="0"/>
        <w:spacing w:line="288" w:lineRule="auto"/>
        <w:ind w:firstLine="480" w:firstLineChars="0"/>
        <w:rPr>
          <w:rFonts w:hint="eastAsia" w:ascii="宋体" w:hAnsi="宋体"/>
          <w:color w:val="auto"/>
        </w:rPr>
      </w:pPr>
      <w:r>
        <w:rPr>
          <w:rFonts w:hint="eastAsia" w:ascii="宋体" w:hAnsi="宋体"/>
          <w:color w:val="auto"/>
        </w:rPr>
        <w:t>（1）供应商基本情况表；（格式见附件1）</w:t>
      </w:r>
    </w:p>
    <w:p>
      <w:pPr>
        <w:numPr>
          <w:ilvl w:val="255"/>
          <w:numId w:val="0"/>
        </w:numPr>
        <w:tabs>
          <w:tab w:val="left" w:pos="397"/>
        </w:tabs>
        <w:adjustRightInd w:val="0"/>
        <w:snapToGrid w:val="0"/>
        <w:spacing w:line="288" w:lineRule="auto"/>
        <w:ind w:firstLine="480" w:firstLineChars="0"/>
        <w:rPr>
          <w:rFonts w:hint="eastAsia" w:ascii="宋体" w:hAnsi="宋体"/>
          <w:color w:val="auto"/>
        </w:rPr>
      </w:pPr>
      <w:r>
        <w:rPr>
          <w:rFonts w:hint="eastAsia" w:ascii="宋体" w:hAnsi="宋体"/>
          <w:color w:val="auto"/>
        </w:rPr>
        <w:t>（2）提供有效《企业营业执照》</w:t>
      </w:r>
      <w:r>
        <w:rPr>
          <w:rFonts w:hint="eastAsia" w:ascii="宋体" w:hAnsi="宋体"/>
          <w:color w:val="auto"/>
          <w:lang w:val="en-US" w:eastAsia="zh-CN"/>
        </w:rPr>
        <w:t>副本原件扫描件并</w:t>
      </w:r>
      <w:r>
        <w:rPr>
          <w:rFonts w:hint="eastAsia" w:ascii="宋体" w:hAnsi="宋体"/>
          <w:color w:val="auto"/>
        </w:rPr>
        <w:t>加盖</w:t>
      </w:r>
      <w:r>
        <w:rPr>
          <w:rFonts w:hint="eastAsia" w:ascii="宋体" w:hAnsi="宋体"/>
          <w:color w:val="auto"/>
          <w:lang w:val="en-US" w:eastAsia="zh-CN"/>
        </w:rPr>
        <w:t>电子公章</w:t>
      </w:r>
      <w:r>
        <w:rPr>
          <w:rFonts w:hint="eastAsia" w:ascii="宋体" w:hAnsi="宋体"/>
          <w:color w:val="auto"/>
        </w:rPr>
        <w:t xml:space="preserve">； </w:t>
      </w:r>
    </w:p>
    <w:p>
      <w:pPr>
        <w:numPr>
          <w:ilvl w:val="255"/>
          <w:numId w:val="0"/>
        </w:numPr>
        <w:tabs>
          <w:tab w:val="left" w:pos="397"/>
        </w:tabs>
        <w:adjustRightInd w:val="0"/>
        <w:snapToGrid w:val="0"/>
        <w:spacing w:line="288" w:lineRule="auto"/>
        <w:ind w:firstLine="480" w:firstLineChars="0"/>
        <w:rPr>
          <w:rFonts w:hint="eastAsia" w:ascii="宋体" w:hAnsi="宋体"/>
          <w:color w:val="auto"/>
        </w:rPr>
      </w:pPr>
      <w:r>
        <w:rPr>
          <w:rFonts w:hint="eastAsia" w:ascii="宋体" w:hAnsi="宋体"/>
          <w:color w:val="auto"/>
        </w:rPr>
        <w:t>（3）符合参加采购活动应当具备的一般条件的承诺函；（格式见附件2）</w:t>
      </w:r>
    </w:p>
    <w:p>
      <w:pPr>
        <w:numPr>
          <w:ilvl w:val="255"/>
          <w:numId w:val="0"/>
        </w:numPr>
        <w:tabs>
          <w:tab w:val="left" w:pos="397"/>
        </w:tabs>
        <w:adjustRightInd w:val="0"/>
        <w:snapToGrid w:val="0"/>
        <w:spacing w:line="288" w:lineRule="auto"/>
        <w:ind w:firstLine="480" w:firstLineChars="200"/>
        <w:jc w:val="left"/>
        <w:rPr>
          <w:rFonts w:hint="eastAsia" w:ascii="宋体" w:hAnsi="宋体" w:eastAsia="宋体" w:cs="宋体"/>
          <w:color w:val="auto"/>
          <w:szCs w:val="24"/>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Cs w:val="24"/>
        </w:rPr>
        <w:t>磋商函</w:t>
      </w:r>
      <w:r>
        <w:rPr>
          <w:rFonts w:hint="eastAsia" w:ascii="宋体" w:hAnsi="宋体" w:eastAsia="宋体" w:cs="宋体"/>
          <w:color w:val="auto"/>
          <w:szCs w:val="24"/>
          <w:lang w:eastAsia="zh-CN"/>
        </w:rPr>
        <w:t>；</w:t>
      </w:r>
      <w:r>
        <w:rPr>
          <w:rFonts w:hint="eastAsia" w:ascii="宋体" w:hAnsi="宋体" w:eastAsia="宋体" w:cs="宋体"/>
          <w:color w:val="auto"/>
          <w:szCs w:val="24"/>
        </w:rPr>
        <w:t>（格式见附件3）</w:t>
      </w:r>
    </w:p>
    <w:p>
      <w:pPr>
        <w:numPr>
          <w:ilvl w:val="255"/>
          <w:numId w:val="0"/>
        </w:numPr>
        <w:tabs>
          <w:tab w:val="left" w:pos="397"/>
        </w:tabs>
        <w:adjustRightInd w:val="0"/>
        <w:snapToGrid w:val="0"/>
        <w:spacing w:line="288" w:lineRule="auto"/>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w:t>
      </w:r>
      <w:r>
        <w:rPr>
          <w:rFonts w:hint="eastAsia" w:ascii="宋体" w:hAnsi="宋体" w:cs="宋体"/>
          <w:color w:val="auto"/>
          <w:szCs w:val="24"/>
          <w:lang w:val="en-US" w:eastAsia="zh-CN"/>
        </w:rPr>
        <w:t>5</w:t>
      </w:r>
      <w:r>
        <w:rPr>
          <w:rFonts w:hint="eastAsia" w:ascii="宋体" w:hAnsi="宋体" w:eastAsia="宋体" w:cs="宋体"/>
          <w:color w:val="auto"/>
          <w:szCs w:val="24"/>
        </w:rPr>
        <w:t>）法人证明或法人授权委托书</w:t>
      </w:r>
      <w:r>
        <w:rPr>
          <w:rFonts w:hint="eastAsia" w:ascii="宋体" w:hAnsi="宋体" w:eastAsia="宋体" w:cs="宋体"/>
          <w:color w:val="auto"/>
          <w:szCs w:val="24"/>
          <w:lang w:eastAsia="zh-CN"/>
        </w:rPr>
        <w:t>；</w:t>
      </w:r>
      <w:r>
        <w:rPr>
          <w:rFonts w:hint="eastAsia" w:ascii="宋体" w:hAnsi="宋体" w:eastAsia="宋体" w:cs="宋体"/>
          <w:color w:val="auto"/>
          <w:szCs w:val="24"/>
        </w:rPr>
        <w:t>（格式见附件4）</w:t>
      </w:r>
    </w:p>
    <w:p>
      <w:pPr>
        <w:numPr>
          <w:ilvl w:val="255"/>
          <w:numId w:val="0"/>
        </w:numPr>
        <w:tabs>
          <w:tab w:val="left" w:pos="397"/>
        </w:tabs>
        <w:adjustRightInd w:val="0"/>
        <w:snapToGrid w:val="0"/>
        <w:spacing w:beforeLines="0" w:afterLines="0" w:line="308" w:lineRule="auto"/>
        <w:ind w:firstLine="480" w:firstLineChars="200"/>
        <w:rPr>
          <w:rFonts w:ascii="宋体" w:hAnsi="宋体"/>
          <w:color w:val="auto"/>
          <w:highlight w:val="none"/>
        </w:rPr>
      </w:pPr>
      <w:r>
        <w:rPr>
          <w:rFonts w:hint="eastAsia" w:ascii="宋体" w:hAnsi="宋体"/>
          <w:color w:val="auto"/>
          <w:highlight w:val="none"/>
        </w:rPr>
        <w:t>▲注：以上资格文件为通过式评审</w:t>
      </w:r>
      <w:r>
        <w:rPr>
          <w:rFonts w:hint="eastAsia" w:ascii="宋体" w:hAnsi="宋体"/>
          <w:color w:val="auto"/>
          <w:highlight w:val="none"/>
          <w:lang w:eastAsia="zh-CN"/>
        </w:rPr>
        <w:t>，</w:t>
      </w:r>
      <w:r>
        <w:rPr>
          <w:rFonts w:hint="eastAsia" w:ascii="宋体" w:hAnsi="宋体"/>
          <w:color w:val="auto"/>
          <w:highlight w:val="none"/>
        </w:rPr>
        <w:t>如有缺少或不符合要求的</w:t>
      </w:r>
      <w:r>
        <w:rPr>
          <w:rFonts w:hint="eastAsia" w:ascii="宋体" w:hAnsi="宋体"/>
          <w:color w:val="auto"/>
          <w:highlight w:val="none"/>
          <w:lang w:eastAsia="zh-CN"/>
        </w:rPr>
        <w:t>，</w:t>
      </w:r>
      <w:r>
        <w:rPr>
          <w:rFonts w:hint="eastAsia" w:ascii="宋体" w:hAnsi="宋体"/>
          <w:color w:val="auto"/>
          <w:highlight w:val="none"/>
        </w:rPr>
        <w:t>则视为资格审查不予通过。</w:t>
      </w:r>
    </w:p>
    <w:p>
      <w:pPr>
        <w:pStyle w:val="111"/>
        <w:widowControl w:val="0"/>
        <w:numPr>
          <w:ilvl w:val="255"/>
          <w:numId w:val="0"/>
        </w:numPr>
        <w:tabs>
          <w:tab w:val="left" w:pos="0"/>
        </w:tabs>
        <w:adjustRightInd w:val="0"/>
        <w:snapToGrid w:val="0"/>
        <w:spacing w:beforeLines="0" w:afterLines="0" w:line="308" w:lineRule="auto"/>
        <w:ind w:firstLine="482" w:firstLineChars="200"/>
        <w:rPr>
          <w:rFonts w:ascii="宋体" w:hAnsi="宋体" w:cs="宋体"/>
          <w:b/>
          <w:bCs/>
          <w:color w:val="auto"/>
          <w:kern w:val="2"/>
          <w:sz w:val="24"/>
          <w:szCs w:val="24"/>
          <w:highlight w:val="none"/>
          <w:lang w:eastAsia="zh-CN" w:bidi="ar-SA"/>
        </w:rPr>
      </w:pPr>
      <w:r>
        <w:rPr>
          <w:rFonts w:hint="eastAsia" w:ascii="宋体" w:hAnsi="宋体" w:cs="宋体"/>
          <w:b/>
          <w:bCs/>
          <w:color w:val="auto"/>
          <w:kern w:val="2"/>
          <w:sz w:val="24"/>
          <w:szCs w:val="24"/>
          <w:highlight w:val="none"/>
          <w:lang w:eastAsia="zh-CN" w:bidi="ar-SA"/>
        </w:rPr>
        <w:t>11.2 资信商务技术文件</w:t>
      </w:r>
    </w:p>
    <w:p>
      <w:pPr>
        <w:numPr>
          <w:ilvl w:val="255"/>
          <w:numId w:val="0"/>
        </w:numPr>
        <w:tabs>
          <w:tab w:val="left" w:pos="397"/>
        </w:tabs>
        <w:adjustRightInd w:val="0"/>
        <w:snapToGrid w:val="0"/>
        <w:spacing w:line="288" w:lineRule="auto"/>
        <w:ind w:firstLine="480"/>
        <w:rPr>
          <w:rFonts w:hint="eastAsia" w:ascii="宋体" w:hAnsi="宋体" w:eastAsia="宋体" w:cs="宋体"/>
          <w:color w:val="auto"/>
          <w:szCs w:val="24"/>
        </w:rPr>
      </w:pPr>
      <w:r>
        <w:rPr>
          <w:rFonts w:hint="eastAsia" w:ascii="宋体" w:hAnsi="宋体" w:eastAsia="宋体" w:cs="宋体"/>
          <w:color w:val="auto"/>
          <w:szCs w:val="24"/>
        </w:rPr>
        <w:t>（</w:t>
      </w:r>
      <w:r>
        <w:rPr>
          <w:rFonts w:hint="eastAsia" w:ascii="宋体" w:hAnsi="宋体" w:eastAsia="宋体" w:cs="宋体"/>
          <w:color w:val="auto"/>
          <w:szCs w:val="24"/>
          <w:lang w:val="en-US" w:eastAsia="zh-CN"/>
        </w:rPr>
        <w:t>1</w:t>
      </w:r>
      <w:r>
        <w:rPr>
          <w:rFonts w:hint="eastAsia" w:ascii="宋体" w:hAnsi="宋体" w:eastAsia="宋体" w:cs="宋体"/>
          <w:color w:val="auto"/>
          <w:szCs w:val="24"/>
        </w:rPr>
        <w:t>）类似业绩一览表；（格式见附件5）</w:t>
      </w:r>
    </w:p>
    <w:p>
      <w:pPr>
        <w:numPr>
          <w:ilvl w:val="255"/>
          <w:numId w:val="0"/>
        </w:numPr>
        <w:tabs>
          <w:tab w:val="left" w:pos="397"/>
        </w:tabs>
        <w:adjustRightInd w:val="0"/>
        <w:snapToGrid w:val="0"/>
        <w:spacing w:line="288" w:lineRule="auto"/>
        <w:ind w:firstLine="480"/>
        <w:rPr>
          <w:rFonts w:hint="eastAsia" w:ascii="宋体" w:hAnsi="宋体" w:eastAsia="宋体" w:cs="宋体"/>
          <w:color w:val="auto"/>
          <w:szCs w:val="24"/>
        </w:rPr>
      </w:pPr>
      <w:r>
        <w:rPr>
          <w:rFonts w:hint="eastAsia" w:ascii="宋体" w:hAnsi="宋体" w:eastAsia="宋体" w:cs="宋体"/>
          <w:color w:val="auto"/>
          <w:szCs w:val="24"/>
        </w:rPr>
        <w:t>（</w:t>
      </w:r>
      <w:r>
        <w:rPr>
          <w:rFonts w:hint="eastAsia" w:ascii="宋体" w:hAnsi="宋体" w:eastAsia="宋体" w:cs="宋体"/>
          <w:color w:val="auto"/>
          <w:szCs w:val="24"/>
          <w:lang w:val="en-US" w:eastAsia="zh-CN"/>
        </w:rPr>
        <w:t>2</w:t>
      </w:r>
      <w:r>
        <w:rPr>
          <w:rFonts w:hint="eastAsia" w:ascii="宋体" w:hAnsi="宋体" w:eastAsia="宋体" w:cs="宋体"/>
          <w:color w:val="auto"/>
          <w:szCs w:val="24"/>
        </w:rPr>
        <w:t>）拟派项目</w:t>
      </w:r>
      <w:r>
        <w:rPr>
          <w:rFonts w:hint="eastAsia" w:ascii="宋体" w:hAnsi="宋体" w:cs="宋体"/>
          <w:color w:val="auto"/>
          <w:szCs w:val="24"/>
          <w:lang w:val="en-US" w:eastAsia="zh-CN"/>
        </w:rPr>
        <w:t>负责人情况</w:t>
      </w:r>
      <w:r>
        <w:rPr>
          <w:rFonts w:hint="eastAsia" w:ascii="宋体" w:hAnsi="宋体" w:eastAsia="宋体" w:cs="宋体"/>
          <w:color w:val="auto"/>
          <w:szCs w:val="24"/>
        </w:rPr>
        <w:t>表；（格式见附件</w:t>
      </w:r>
      <w:r>
        <w:rPr>
          <w:rFonts w:hint="eastAsia" w:ascii="宋体" w:hAnsi="宋体" w:eastAsia="宋体" w:cs="宋体"/>
          <w:color w:val="auto"/>
          <w:szCs w:val="24"/>
          <w:lang w:val="en-US" w:eastAsia="zh-CN"/>
        </w:rPr>
        <w:t>6</w:t>
      </w:r>
      <w:r>
        <w:rPr>
          <w:rFonts w:hint="eastAsia" w:ascii="宋体" w:hAnsi="宋体" w:eastAsia="宋体" w:cs="宋体"/>
          <w:color w:val="auto"/>
          <w:szCs w:val="24"/>
        </w:rPr>
        <w:t>）</w:t>
      </w:r>
    </w:p>
    <w:p>
      <w:pPr>
        <w:numPr>
          <w:ilvl w:val="255"/>
          <w:numId w:val="0"/>
        </w:numPr>
        <w:tabs>
          <w:tab w:val="left" w:pos="397"/>
        </w:tabs>
        <w:adjustRightInd w:val="0"/>
        <w:snapToGrid w:val="0"/>
        <w:spacing w:line="288" w:lineRule="auto"/>
        <w:ind w:firstLine="480"/>
        <w:rPr>
          <w:rFonts w:hint="eastAsia" w:ascii="宋体" w:hAnsi="宋体" w:eastAsia="宋体" w:cs="宋体"/>
          <w:color w:val="auto"/>
          <w:szCs w:val="24"/>
        </w:rPr>
      </w:pPr>
      <w:r>
        <w:rPr>
          <w:rFonts w:hint="eastAsia" w:ascii="宋体" w:hAnsi="宋体" w:eastAsia="宋体" w:cs="宋体"/>
          <w:color w:val="auto"/>
          <w:szCs w:val="24"/>
        </w:rPr>
        <w:t>（</w:t>
      </w:r>
      <w:r>
        <w:rPr>
          <w:rFonts w:hint="eastAsia" w:ascii="宋体" w:hAnsi="宋体" w:cs="宋体"/>
          <w:color w:val="auto"/>
          <w:szCs w:val="24"/>
          <w:lang w:val="en-US" w:eastAsia="zh-CN"/>
        </w:rPr>
        <w:t>3</w:t>
      </w:r>
      <w:r>
        <w:rPr>
          <w:rFonts w:hint="eastAsia" w:ascii="宋体" w:hAnsi="宋体" w:eastAsia="宋体" w:cs="宋体"/>
          <w:color w:val="auto"/>
          <w:szCs w:val="24"/>
        </w:rPr>
        <w:t>）商务响应承诺函；（格式见附件</w:t>
      </w:r>
      <w:r>
        <w:rPr>
          <w:rFonts w:hint="eastAsia" w:ascii="宋体" w:hAnsi="宋体" w:cs="宋体"/>
          <w:color w:val="auto"/>
          <w:szCs w:val="24"/>
          <w:lang w:val="en-US" w:eastAsia="zh-CN"/>
        </w:rPr>
        <w:t>7</w:t>
      </w:r>
      <w:r>
        <w:rPr>
          <w:rFonts w:hint="eastAsia" w:ascii="宋体" w:hAnsi="宋体" w:eastAsia="宋体" w:cs="宋体"/>
          <w:color w:val="auto"/>
          <w:szCs w:val="24"/>
        </w:rPr>
        <w:t>）</w:t>
      </w:r>
    </w:p>
    <w:p>
      <w:pPr>
        <w:numPr>
          <w:ilvl w:val="255"/>
          <w:numId w:val="0"/>
        </w:numPr>
        <w:tabs>
          <w:tab w:val="left" w:pos="397"/>
        </w:tabs>
        <w:adjustRightInd w:val="0"/>
        <w:snapToGrid w:val="0"/>
        <w:spacing w:line="288" w:lineRule="auto"/>
        <w:ind w:firstLine="480"/>
        <w:rPr>
          <w:rFonts w:hint="default" w:ascii="宋体" w:hAnsi="宋体" w:eastAsia="宋体" w:cs="宋体"/>
          <w:color w:val="auto"/>
          <w:szCs w:val="24"/>
          <w:lang w:val="en-US" w:eastAsia="zh-CN"/>
        </w:rPr>
      </w:pPr>
      <w:r>
        <w:rPr>
          <w:rFonts w:hint="eastAsia" w:ascii="宋体" w:hAnsi="宋体" w:eastAsia="宋体" w:cs="宋体"/>
          <w:color w:val="auto"/>
          <w:szCs w:val="24"/>
        </w:rPr>
        <w:t>（</w:t>
      </w:r>
      <w:r>
        <w:rPr>
          <w:rFonts w:hint="eastAsia" w:ascii="宋体" w:hAnsi="宋体" w:cs="宋体"/>
          <w:color w:val="auto"/>
          <w:szCs w:val="24"/>
          <w:lang w:val="en-US" w:eastAsia="zh-CN"/>
        </w:rPr>
        <w:t>4</w:t>
      </w:r>
      <w:r>
        <w:rPr>
          <w:rFonts w:hint="eastAsia" w:ascii="宋体" w:hAnsi="宋体" w:eastAsia="宋体" w:cs="宋体"/>
          <w:color w:val="auto"/>
          <w:szCs w:val="24"/>
        </w:rPr>
        <w:t>）</w:t>
      </w:r>
      <w:r>
        <w:rPr>
          <w:rFonts w:hint="eastAsia" w:ascii="宋体" w:hAnsi="宋体" w:eastAsia="宋体" w:cs="宋体"/>
          <w:b w:val="0"/>
          <w:bCs w:val="0"/>
          <w:kern w:val="2"/>
          <w:sz w:val="24"/>
          <w:szCs w:val="24"/>
          <w:lang w:val="en-US" w:bidi="ar"/>
        </w:rPr>
        <w:t>供应商企业管理制度</w:t>
      </w:r>
      <w:r>
        <w:rPr>
          <w:rFonts w:hint="eastAsia" w:ascii="宋体" w:hAnsi="宋体" w:eastAsia="宋体" w:cs="宋体"/>
          <w:color w:val="auto"/>
          <w:szCs w:val="24"/>
        </w:rPr>
        <w:t>；（格式自拟）</w:t>
      </w:r>
    </w:p>
    <w:p>
      <w:pPr>
        <w:numPr>
          <w:ilvl w:val="255"/>
          <w:numId w:val="0"/>
        </w:numPr>
        <w:tabs>
          <w:tab w:val="left" w:pos="397"/>
        </w:tabs>
        <w:adjustRightInd w:val="0"/>
        <w:snapToGrid w:val="0"/>
        <w:spacing w:line="288" w:lineRule="auto"/>
        <w:ind w:firstLine="480"/>
        <w:rPr>
          <w:rFonts w:hint="eastAsia" w:ascii="宋体" w:hAnsi="宋体" w:eastAsia="宋体" w:cs="宋体"/>
          <w:color w:val="auto"/>
          <w:szCs w:val="24"/>
        </w:rPr>
      </w:pPr>
      <w:r>
        <w:rPr>
          <w:rFonts w:hint="eastAsia" w:ascii="宋体" w:hAnsi="宋体" w:eastAsia="宋体" w:cs="宋体"/>
          <w:color w:val="auto"/>
          <w:szCs w:val="24"/>
        </w:rPr>
        <w:t>（</w:t>
      </w:r>
      <w:r>
        <w:rPr>
          <w:rFonts w:hint="eastAsia" w:ascii="宋体" w:hAnsi="宋体" w:cs="宋体"/>
          <w:color w:val="auto"/>
          <w:szCs w:val="24"/>
          <w:lang w:val="en-US" w:eastAsia="zh-CN"/>
        </w:rPr>
        <w:t>5</w:t>
      </w:r>
      <w:r>
        <w:rPr>
          <w:rFonts w:hint="eastAsia" w:ascii="宋体" w:hAnsi="宋体" w:eastAsia="宋体" w:cs="宋体"/>
          <w:color w:val="auto"/>
          <w:szCs w:val="24"/>
        </w:rPr>
        <w:t>）</w:t>
      </w:r>
      <w:r>
        <w:rPr>
          <w:rFonts w:hint="eastAsia" w:ascii="宋体" w:hAnsi="宋体" w:cs="宋体"/>
          <w:b w:val="0"/>
          <w:kern w:val="0"/>
          <w:sz w:val="24"/>
          <w:szCs w:val="24"/>
          <w:lang w:val="en-US" w:eastAsia="zh-CN" w:bidi="ar"/>
        </w:rPr>
        <w:t>实施方案</w:t>
      </w:r>
      <w:r>
        <w:rPr>
          <w:rFonts w:hint="eastAsia" w:ascii="宋体" w:hAnsi="宋体" w:eastAsia="宋体" w:cs="宋体"/>
          <w:color w:val="auto"/>
          <w:szCs w:val="24"/>
        </w:rPr>
        <w:t>；（格式自拟）</w:t>
      </w:r>
    </w:p>
    <w:p>
      <w:pPr>
        <w:numPr>
          <w:ilvl w:val="255"/>
          <w:numId w:val="0"/>
        </w:numPr>
        <w:tabs>
          <w:tab w:val="left" w:pos="397"/>
        </w:tabs>
        <w:adjustRightInd w:val="0"/>
        <w:snapToGrid w:val="0"/>
        <w:spacing w:line="288" w:lineRule="auto"/>
        <w:ind w:firstLine="480"/>
        <w:rPr>
          <w:rFonts w:hint="eastAsia" w:ascii="宋体" w:hAnsi="宋体" w:eastAsia="宋体" w:cs="宋体"/>
          <w:bCs w:val="0"/>
          <w:color w:val="auto"/>
          <w:szCs w:val="24"/>
        </w:rPr>
      </w:pPr>
      <w:r>
        <w:rPr>
          <w:rFonts w:hint="eastAsia" w:ascii="宋体" w:hAnsi="宋体" w:eastAsia="宋体" w:cs="宋体"/>
          <w:color w:val="auto"/>
          <w:szCs w:val="24"/>
        </w:rPr>
        <w:t>（</w:t>
      </w:r>
      <w:r>
        <w:rPr>
          <w:rFonts w:hint="eastAsia" w:ascii="宋体" w:hAnsi="宋体" w:cs="宋体"/>
          <w:color w:val="auto"/>
          <w:szCs w:val="24"/>
          <w:lang w:val="en-US" w:eastAsia="zh-CN"/>
        </w:rPr>
        <w:t>6</w:t>
      </w:r>
      <w:r>
        <w:rPr>
          <w:rFonts w:hint="eastAsia" w:ascii="宋体" w:hAnsi="宋体" w:eastAsia="宋体" w:cs="宋体"/>
          <w:color w:val="auto"/>
          <w:szCs w:val="24"/>
        </w:rPr>
        <w:t>）</w:t>
      </w:r>
      <w:r>
        <w:rPr>
          <w:rFonts w:hint="eastAsia" w:ascii="宋体" w:hAnsi="宋体" w:cs="宋体"/>
          <w:b w:val="0"/>
          <w:kern w:val="0"/>
          <w:sz w:val="24"/>
          <w:szCs w:val="24"/>
          <w:lang w:val="en-US" w:eastAsia="zh-CN" w:bidi="ar"/>
        </w:rPr>
        <w:t>应急预案</w:t>
      </w:r>
      <w:r>
        <w:rPr>
          <w:rFonts w:hint="eastAsia" w:ascii="宋体" w:hAnsi="宋体" w:eastAsia="宋体" w:cs="宋体"/>
          <w:color w:val="auto"/>
          <w:lang w:val="en-US"/>
        </w:rPr>
        <w:t>；</w:t>
      </w:r>
      <w:r>
        <w:rPr>
          <w:rFonts w:hint="eastAsia" w:ascii="宋体" w:hAnsi="宋体" w:eastAsia="宋体" w:cs="宋体"/>
          <w:color w:val="auto"/>
          <w:szCs w:val="24"/>
        </w:rPr>
        <w:t>（格式自拟）</w:t>
      </w:r>
    </w:p>
    <w:p>
      <w:pPr>
        <w:numPr>
          <w:ilvl w:val="255"/>
          <w:numId w:val="0"/>
        </w:numPr>
        <w:tabs>
          <w:tab w:val="left" w:pos="397"/>
        </w:tabs>
        <w:adjustRightInd w:val="0"/>
        <w:snapToGrid w:val="0"/>
        <w:spacing w:line="288" w:lineRule="auto"/>
        <w:ind w:firstLine="480"/>
        <w:rPr>
          <w:rFonts w:hint="eastAsia" w:ascii="宋体" w:hAnsi="宋体"/>
          <w:color w:val="auto"/>
          <w:szCs w:val="24"/>
          <w:highlight w:val="none"/>
        </w:rPr>
      </w:pPr>
      <w:r>
        <w:rPr>
          <w:rFonts w:hint="eastAsia" w:ascii="宋体" w:hAnsi="宋体" w:eastAsia="宋体" w:cs="宋体"/>
          <w:color w:val="auto"/>
          <w:szCs w:val="24"/>
        </w:rPr>
        <w:t>（</w:t>
      </w:r>
      <w:r>
        <w:rPr>
          <w:rFonts w:hint="eastAsia" w:ascii="宋体" w:hAnsi="宋体" w:cs="宋体"/>
          <w:color w:val="auto"/>
          <w:szCs w:val="24"/>
          <w:lang w:val="en-US" w:eastAsia="zh-CN"/>
        </w:rPr>
        <w:t>7</w:t>
      </w:r>
      <w:r>
        <w:rPr>
          <w:rFonts w:hint="eastAsia" w:ascii="宋体" w:hAnsi="宋体" w:eastAsia="宋体" w:cs="宋体"/>
          <w:color w:val="auto"/>
          <w:szCs w:val="24"/>
        </w:rPr>
        <w:t>）</w:t>
      </w:r>
      <w:r>
        <w:rPr>
          <w:rFonts w:hint="eastAsia" w:ascii="宋体" w:hAnsi="宋体"/>
          <w:color w:val="auto"/>
          <w:szCs w:val="24"/>
          <w:highlight w:val="none"/>
        </w:rPr>
        <w:t>其他内容根据第四章磋商原则和磋商方法3.综合评分明细表要求提供。</w:t>
      </w:r>
    </w:p>
    <w:p>
      <w:pPr>
        <w:pStyle w:val="111"/>
        <w:tabs>
          <w:tab w:val="left" w:pos="0"/>
        </w:tabs>
        <w:adjustRightInd w:val="0"/>
        <w:snapToGrid w:val="0"/>
        <w:spacing w:beforeLines="0" w:afterLines="0" w:line="308" w:lineRule="auto"/>
        <w:ind w:firstLine="482" w:firstLineChars="200"/>
        <w:rPr>
          <w:rFonts w:ascii="宋体" w:hAnsi="宋体" w:cs="宋体"/>
          <w:b/>
          <w:bCs/>
          <w:color w:val="auto"/>
          <w:kern w:val="2"/>
          <w:sz w:val="24"/>
          <w:szCs w:val="24"/>
          <w:highlight w:val="none"/>
          <w:lang w:eastAsia="zh-CN" w:bidi="ar-SA"/>
        </w:rPr>
      </w:pPr>
      <w:r>
        <w:rPr>
          <w:rFonts w:hint="eastAsia" w:ascii="宋体" w:hAnsi="宋体" w:cs="宋体"/>
          <w:b/>
          <w:bCs/>
          <w:color w:val="auto"/>
          <w:kern w:val="2"/>
          <w:sz w:val="24"/>
          <w:szCs w:val="24"/>
          <w:highlight w:val="none"/>
          <w:lang w:eastAsia="zh-CN" w:bidi="ar-SA"/>
        </w:rPr>
        <w:t>11.3 报价文件</w:t>
      </w:r>
    </w:p>
    <w:p>
      <w:pPr>
        <w:numPr>
          <w:ilvl w:val="255"/>
          <w:numId w:val="0"/>
        </w:numPr>
        <w:tabs>
          <w:tab w:val="left" w:pos="397"/>
        </w:tabs>
        <w:adjustRightInd w:val="0"/>
        <w:snapToGrid w:val="0"/>
        <w:spacing w:beforeLines="0" w:afterLines="0" w:line="308" w:lineRule="auto"/>
        <w:ind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（1）▲首次报价表；（</w:t>
      </w:r>
      <w:r>
        <w:rPr>
          <w:rFonts w:hint="eastAsia" w:ascii="宋体" w:hAnsi="宋体"/>
          <w:color w:val="auto"/>
          <w:szCs w:val="24"/>
          <w:highlight w:val="none"/>
        </w:rPr>
        <w:t>格式见</w:t>
      </w:r>
      <w:r>
        <w:rPr>
          <w:rFonts w:hint="eastAsia" w:ascii="宋体" w:hAnsi="宋体" w:eastAsia="宋体" w:cs="宋体"/>
          <w:color w:val="auto"/>
          <w:highlight w:val="none"/>
        </w:rPr>
        <w:t>附件</w:t>
      </w:r>
      <w:r>
        <w:rPr>
          <w:rFonts w:hint="eastAsia" w:ascii="宋体" w:hAnsi="宋体" w:cs="宋体"/>
          <w:color w:val="auto"/>
          <w:highlight w:val="none"/>
          <w:lang w:val="en-US" w:eastAsia="zh-CN"/>
        </w:rPr>
        <w:t>8</w:t>
      </w:r>
      <w:r>
        <w:rPr>
          <w:rFonts w:hint="eastAsia" w:ascii="宋体" w:hAnsi="宋体" w:eastAsia="宋体" w:cs="宋体"/>
          <w:color w:val="auto"/>
          <w:highlight w:val="none"/>
        </w:rPr>
        <w:t>）</w:t>
      </w:r>
    </w:p>
    <w:p>
      <w:pPr>
        <w:numPr>
          <w:ilvl w:val="255"/>
          <w:numId w:val="0"/>
        </w:numPr>
        <w:tabs>
          <w:tab w:val="left" w:pos="397"/>
        </w:tabs>
        <w:adjustRightInd w:val="0"/>
        <w:snapToGrid w:val="0"/>
        <w:spacing w:beforeLines="0" w:afterLines="0" w:line="308" w:lineRule="auto"/>
        <w:ind w:firstLine="480"/>
        <w:rPr>
          <w:rFonts w:hint="eastAsia" w:ascii="宋体" w:hAnsi="宋体" w:eastAsia="宋体" w:cs="宋体"/>
          <w:color w:val="auto"/>
          <w:sz w:val="24"/>
          <w:highlight w:val="none"/>
        </w:rPr>
      </w:pP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w:t>
      </w:r>
      <w:r>
        <w:rPr>
          <w:rFonts w:hint="eastAsia" w:ascii="宋体" w:hAnsi="宋体" w:eastAsia="宋体" w:cs="宋体"/>
          <w:color w:val="auto"/>
          <w:sz w:val="24"/>
          <w:highlight w:val="none"/>
          <w:lang w:val="en-US"/>
        </w:rPr>
        <w:t>报价明细表</w:t>
      </w:r>
      <w:r>
        <w:rPr>
          <w:rFonts w:hint="eastAsia" w:ascii="宋体" w:hAnsi="宋体" w:eastAsia="宋体" w:cs="宋体"/>
          <w:color w:val="auto"/>
          <w:highlight w:val="none"/>
        </w:rPr>
        <w:t>；（</w:t>
      </w:r>
      <w:r>
        <w:rPr>
          <w:rFonts w:hint="eastAsia" w:ascii="宋体" w:hAnsi="宋体"/>
          <w:color w:val="auto"/>
          <w:szCs w:val="24"/>
          <w:highlight w:val="none"/>
        </w:rPr>
        <w:t>格式见</w:t>
      </w:r>
      <w:r>
        <w:rPr>
          <w:rFonts w:hint="eastAsia" w:ascii="宋体" w:hAnsi="宋体" w:eastAsia="宋体" w:cs="宋体"/>
          <w:color w:val="auto"/>
          <w:highlight w:val="none"/>
        </w:rPr>
        <w:t>附件</w:t>
      </w:r>
      <w:r>
        <w:rPr>
          <w:rFonts w:hint="eastAsia" w:ascii="宋体" w:hAnsi="宋体" w:cs="宋体"/>
          <w:color w:val="auto"/>
          <w:highlight w:val="none"/>
          <w:lang w:val="en-US" w:eastAsia="zh-CN"/>
        </w:rPr>
        <w:t>9</w:t>
      </w:r>
      <w:r>
        <w:rPr>
          <w:rFonts w:hint="eastAsia" w:ascii="宋体" w:hAnsi="宋体" w:eastAsia="宋体" w:cs="宋体"/>
          <w:color w:val="auto"/>
          <w:highlight w:val="none"/>
        </w:rPr>
        <w:t>）</w:t>
      </w:r>
    </w:p>
    <w:p>
      <w:pPr>
        <w:numPr>
          <w:ilvl w:val="255"/>
          <w:numId w:val="0"/>
        </w:numPr>
        <w:tabs>
          <w:tab w:val="left" w:pos="397"/>
        </w:tabs>
        <w:adjustRightInd w:val="0"/>
        <w:snapToGrid w:val="0"/>
        <w:spacing w:beforeLines="0" w:afterLines="0" w:line="308" w:lineRule="auto"/>
        <w:ind w:firstLine="480" w:firstLineChars="200"/>
        <w:jc w:val="left"/>
        <w:rPr>
          <w:rFonts w:hint="eastAsia" w:ascii="宋体" w:hAnsi="宋体" w:eastAsia="宋体" w:cs="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w:t>
      </w:r>
      <w:r>
        <w:rPr>
          <w:rFonts w:hint="eastAsia" w:ascii="宋体" w:hAnsi="宋体" w:cs="宋体"/>
          <w:color w:val="auto"/>
          <w:highlight w:val="none"/>
          <w:lang w:eastAsia="zh-CN"/>
        </w:rPr>
        <w:t>最终报价</w:t>
      </w:r>
      <w:r>
        <w:rPr>
          <w:rFonts w:hint="eastAsia" w:ascii="宋体" w:hAnsi="宋体" w:eastAsia="宋体" w:cs="宋体"/>
          <w:color w:val="auto"/>
          <w:highlight w:val="none"/>
        </w:rPr>
        <w:t>一览表；（</w:t>
      </w:r>
      <w:r>
        <w:rPr>
          <w:rFonts w:hint="eastAsia" w:ascii="宋体" w:hAnsi="宋体"/>
          <w:color w:val="auto"/>
          <w:szCs w:val="24"/>
          <w:highlight w:val="none"/>
        </w:rPr>
        <w:t>格式见</w:t>
      </w:r>
      <w:r>
        <w:rPr>
          <w:rFonts w:hint="eastAsia" w:ascii="宋体" w:hAnsi="宋体" w:eastAsia="宋体" w:cs="宋体"/>
          <w:color w:val="auto"/>
          <w:highlight w:val="none"/>
        </w:rPr>
        <w:t>附件</w:t>
      </w:r>
      <w:r>
        <w:rPr>
          <w:rFonts w:hint="eastAsia" w:ascii="宋体" w:hAnsi="宋体" w:cs="宋体"/>
          <w:color w:val="auto"/>
          <w:highlight w:val="none"/>
          <w:lang w:val="en-US" w:eastAsia="zh-CN"/>
        </w:rPr>
        <w:t>10</w:t>
      </w:r>
      <w:r>
        <w:rPr>
          <w:rFonts w:hint="eastAsia" w:ascii="宋体" w:hAnsi="宋体" w:eastAsia="宋体" w:cs="宋体"/>
          <w:color w:val="auto"/>
          <w:highlight w:val="none"/>
        </w:rPr>
        <w:t>）</w:t>
      </w:r>
    </w:p>
    <w:p>
      <w:pPr>
        <w:numPr>
          <w:ilvl w:val="255"/>
          <w:numId w:val="0"/>
        </w:numPr>
        <w:tabs>
          <w:tab w:val="left" w:pos="397"/>
        </w:tabs>
        <w:adjustRightInd w:val="0"/>
        <w:snapToGrid w:val="0"/>
        <w:spacing w:beforeLines="0" w:afterLines="0" w:line="308" w:lineRule="auto"/>
        <w:ind w:firstLine="480" w:firstLineChars="200"/>
        <w:jc w:val="left"/>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）中小企业、监狱企业、残疾人福利性单位声明函；（</w:t>
      </w:r>
      <w:r>
        <w:rPr>
          <w:rFonts w:hint="eastAsia" w:ascii="宋体" w:hAnsi="宋体"/>
          <w:color w:val="auto"/>
          <w:szCs w:val="24"/>
          <w:highlight w:val="none"/>
        </w:rPr>
        <w:t>格</w:t>
      </w:r>
      <w:r>
        <w:rPr>
          <w:rFonts w:hint="eastAsia" w:hAnsi="宋体"/>
          <w:color w:val="auto"/>
          <w:szCs w:val="24"/>
        </w:rPr>
        <w:t>式见</w:t>
      </w:r>
      <w:r>
        <w:rPr>
          <w:rFonts w:hint="eastAsia" w:ascii="宋体" w:hAnsi="宋体"/>
          <w:color w:val="auto"/>
          <w:highlight w:val="none"/>
        </w:rPr>
        <w:t>附件</w:t>
      </w:r>
      <w:r>
        <w:rPr>
          <w:rFonts w:hint="eastAsia" w:ascii="宋体" w:hAnsi="宋体"/>
          <w:color w:val="auto"/>
          <w:highlight w:val="none"/>
          <w:lang w:val="en-US" w:eastAsia="zh-CN"/>
        </w:rPr>
        <w:t>11</w:t>
      </w:r>
      <w:r>
        <w:rPr>
          <w:rFonts w:hint="eastAsia" w:ascii="宋体" w:hAnsi="宋体"/>
          <w:color w:val="auto"/>
          <w:highlight w:val="none"/>
        </w:rPr>
        <w:t>）</w:t>
      </w:r>
    </w:p>
    <w:p>
      <w:pPr>
        <w:spacing w:beforeLines="0" w:afterLines="0" w:line="308" w:lineRule="auto"/>
        <w:ind w:firstLine="0"/>
        <w:rPr>
          <w:rFonts w:ascii="宋体" w:hAnsi="宋体"/>
          <w:color w:val="auto"/>
          <w:highlight w:val="none"/>
        </w:rPr>
      </w:pPr>
      <w:r>
        <w:rPr>
          <w:rFonts w:hint="eastAsia" w:ascii="宋体" w:hAnsi="宋体"/>
          <w:color w:val="auto"/>
          <w:highlight w:val="none"/>
          <w:lang w:val="en-US" w:eastAsia="zh-CN"/>
        </w:rPr>
        <w:t>注：</w:t>
      </w:r>
      <w:r>
        <w:rPr>
          <w:rFonts w:hint="eastAsia" w:ascii="宋体" w:hAnsi="宋体"/>
          <w:color w:val="auto"/>
          <w:highlight w:val="none"/>
        </w:rPr>
        <w:t>以上文件组成磋商响应文件。供应商应对磋商文件</w:t>
      </w:r>
      <w:r>
        <w:rPr>
          <w:rFonts w:hint="eastAsia" w:ascii="宋体" w:hAnsi="宋体"/>
          <w:color w:val="auto"/>
          <w:highlight w:val="none"/>
          <w:lang w:eastAsia="zh-CN"/>
        </w:rPr>
        <w:t>作出</w:t>
      </w:r>
      <w:r>
        <w:rPr>
          <w:rFonts w:hint="eastAsia" w:ascii="宋体" w:hAnsi="宋体"/>
          <w:color w:val="auto"/>
          <w:highlight w:val="none"/>
        </w:rPr>
        <w:t>实质性响应，该项内容将作为投标的重要指标。一旦开标后，经审核确定磋商资格和技术能力不能响应磋商文件要求，则供应商即刻被废标或被拒绝进入报价阶段。</w:t>
      </w:r>
    </w:p>
    <w:p>
      <w:pPr>
        <w:pStyle w:val="22"/>
        <w:spacing w:beforeLines="0" w:afterLines="0" w:line="308" w:lineRule="auto"/>
        <w:ind w:firstLine="0"/>
        <w:jc w:val="left"/>
        <w:rPr>
          <w:rFonts w:hAnsi="宋体"/>
          <w:color w:val="auto"/>
          <w:szCs w:val="24"/>
          <w:highlight w:val="none"/>
        </w:rPr>
      </w:pPr>
      <w:r>
        <w:rPr>
          <w:rFonts w:hint="eastAsia" w:hAnsi="宋体"/>
          <w:color w:val="auto"/>
          <w:szCs w:val="24"/>
          <w:highlight w:val="none"/>
        </w:rPr>
        <w:t>12.竞争性磋商响应文件有效期</w:t>
      </w:r>
    </w:p>
    <w:p>
      <w:pPr>
        <w:pStyle w:val="22"/>
        <w:spacing w:beforeLines="0" w:afterLines="0" w:line="308" w:lineRule="auto"/>
        <w:ind w:firstLine="0"/>
        <w:jc w:val="left"/>
        <w:rPr>
          <w:rFonts w:hAnsi="宋体"/>
          <w:color w:val="auto"/>
          <w:szCs w:val="24"/>
          <w:highlight w:val="none"/>
        </w:rPr>
      </w:pPr>
      <w:r>
        <w:rPr>
          <w:rFonts w:hint="eastAsia" w:hAnsi="宋体"/>
          <w:color w:val="auto"/>
          <w:szCs w:val="24"/>
          <w:highlight w:val="none"/>
        </w:rPr>
        <w:t>12.1竞争性磋商响应文件从磋商响应文件递交截止时间之日起90个日历天内有效。</w:t>
      </w:r>
    </w:p>
    <w:p>
      <w:pPr>
        <w:spacing w:beforeLines="0" w:afterLines="0" w:line="308" w:lineRule="auto"/>
        <w:ind w:firstLine="0"/>
        <w:rPr>
          <w:rFonts w:ascii="宋体" w:hAnsi="宋体"/>
          <w:color w:val="auto"/>
          <w:highlight w:val="none"/>
        </w:rPr>
      </w:pPr>
      <w:r>
        <w:rPr>
          <w:rFonts w:hint="eastAsia" w:ascii="宋体" w:hAnsi="宋体"/>
          <w:color w:val="auto"/>
          <w:highlight w:val="none"/>
        </w:rPr>
        <w:t>12.2特殊情况下采购人可于竞争性磋商响应文件有效期届满前书面要求</w:t>
      </w:r>
      <w:r>
        <w:rPr>
          <w:rFonts w:hint="eastAsia" w:ascii="宋体" w:hAnsi="宋体"/>
          <w:bCs/>
          <w:color w:val="auto"/>
          <w:highlight w:val="none"/>
        </w:rPr>
        <w:t>供应商</w:t>
      </w:r>
      <w:r>
        <w:rPr>
          <w:rFonts w:hint="eastAsia" w:ascii="宋体" w:hAnsi="宋体"/>
          <w:color w:val="auto"/>
          <w:highlight w:val="none"/>
        </w:rPr>
        <w:t>同意延长有效期，</w:t>
      </w:r>
      <w:r>
        <w:rPr>
          <w:rFonts w:hint="eastAsia" w:ascii="宋体" w:hAnsi="宋体"/>
          <w:bCs/>
          <w:color w:val="auto"/>
          <w:highlight w:val="none"/>
        </w:rPr>
        <w:t>供应商</w:t>
      </w:r>
      <w:r>
        <w:rPr>
          <w:rFonts w:hint="eastAsia" w:ascii="宋体" w:hAnsi="宋体"/>
          <w:color w:val="auto"/>
          <w:highlight w:val="none"/>
        </w:rPr>
        <w:t>应在采购人规定的期限内以书面形式予以答复。</w:t>
      </w:r>
      <w:r>
        <w:rPr>
          <w:rFonts w:hint="eastAsia" w:ascii="宋体" w:hAnsi="宋体"/>
          <w:bCs/>
          <w:color w:val="auto"/>
          <w:highlight w:val="none"/>
        </w:rPr>
        <w:t>供应商</w:t>
      </w:r>
      <w:r>
        <w:rPr>
          <w:rFonts w:hint="eastAsia" w:ascii="宋体" w:hAnsi="宋体"/>
          <w:color w:val="auto"/>
          <w:highlight w:val="none"/>
        </w:rPr>
        <w:t>答复不明确或者逾期未答复的，均视为拒绝上述要求。对于接受该要求的</w:t>
      </w:r>
      <w:r>
        <w:rPr>
          <w:rFonts w:hint="eastAsia" w:ascii="宋体" w:hAnsi="宋体"/>
          <w:bCs/>
          <w:color w:val="auto"/>
          <w:highlight w:val="none"/>
        </w:rPr>
        <w:t>供应商</w:t>
      </w:r>
      <w:r>
        <w:rPr>
          <w:rFonts w:hint="eastAsia" w:ascii="宋体" w:hAnsi="宋体"/>
          <w:color w:val="auto"/>
          <w:highlight w:val="none"/>
        </w:rPr>
        <w:t>，既不要求也不允许其修改竞争性磋商响应文件。</w:t>
      </w:r>
    </w:p>
    <w:p>
      <w:pPr>
        <w:spacing w:beforeLines="0" w:afterLines="0" w:line="308" w:lineRule="auto"/>
        <w:ind w:firstLine="0"/>
        <w:rPr>
          <w:rFonts w:ascii="宋体" w:hAnsi="宋体"/>
          <w:color w:val="auto"/>
          <w:highlight w:val="none"/>
        </w:rPr>
      </w:pPr>
      <w:r>
        <w:rPr>
          <w:rFonts w:hint="eastAsia" w:ascii="宋体" w:hAnsi="宋体"/>
          <w:color w:val="auto"/>
          <w:highlight w:val="none"/>
          <w:lang w:val="en-US" w:eastAsia="zh-CN"/>
        </w:rPr>
        <w:t>+</w:t>
      </w:r>
      <w:r>
        <w:rPr>
          <w:rFonts w:hint="eastAsia" w:ascii="宋体" w:hAnsi="宋体"/>
          <w:color w:val="auto"/>
          <w:highlight w:val="none"/>
        </w:rPr>
        <w:t>13.竞争性磋商响应文件的格式</w:t>
      </w:r>
    </w:p>
    <w:p>
      <w:pPr>
        <w:wordWrap w:val="0"/>
        <w:spacing w:beforeLines="0" w:afterLines="0" w:line="308" w:lineRule="auto"/>
        <w:ind w:firstLine="0"/>
        <w:rPr>
          <w:rFonts w:ascii="宋体" w:hAnsi="宋体"/>
          <w:color w:val="auto"/>
          <w:highlight w:val="none"/>
        </w:rPr>
      </w:pPr>
      <w:r>
        <w:rPr>
          <w:rFonts w:hint="eastAsia" w:ascii="宋体" w:hAnsi="宋体"/>
          <w:color w:val="auto"/>
          <w:highlight w:val="none"/>
        </w:rPr>
        <w:t>13.1磋商响应文件应按第六章“磋商响应文件格式”进行编写，如有必要，可以增加附页，作为磋商响应文件的组成部分。其中，</w:t>
      </w:r>
      <w:r>
        <w:rPr>
          <w:rFonts w:hint="eastAsia" w:ascii="宋体" w:hAnsi="宋体"/>
          <w:color w:val="auto"/>
          <w:szCs w:val="21"/>
          <w:highlight w:val="none"/>
        </w:rPr>
        <w:t>磋商</w:t>
      </w:r>
      <w:r>
        <w:rPr>
          <w:rFonts w:ascii="宋体" w:hAnsi="宋体"/>
          <w:color w:val="auto"/>
          <w:szCs w:val="21"/>
          <w:highlight w:val="none"/>
        </w:rPr>
        <w:t>函在满足</w:t>
      </w:r>
      <w:r>
        <w:rPr>
          <w:rFonts w:hint="eastAsia" w:ascii="宋体" w:hAnsi="宋体"/>
          <w:color w:val="auto"/>
          <w:szCs w:val="21"/>
          <w:highlight w:val="none"/>
        </w:rPr>
        <w:t>磋商</w:t>
      </w:r>
      <w:r>
        <w:rPr>
          <w:rFonts w:ascii="宋体" w:hAnsi="宋体"/>
          <w:color w:val="auto"/>
          <w:szCs w:val="21"/>
          <w:highlight w:val="none"/>
        </w:rPr>
        <w:t>文件实质性要求的基础上，可以提出比</w:t>
      </w:r>
      <w:r>
        <w:rPr>
          <w:rFonts w:hint="eastAsia" w:ascii="宋体" w:hAnsi="宋体"/>
          <w:color w:val="auto"/>
          <w:szCs w:val="21"/>
          <w:highlight w:val="none"/>
        </w:rPr>
        <w:t>磋商</w:t>
      </w:r>
      <w:r>
        <w:rPr>
          <w:rFonts w:ascii="宋体" w:hAnsi="宋体"/>
          <w:color w:val="auto"/>
          <w:szCs w:val="21"/>
          <w:highlight w:val="none"/>
        </w:rPr>
        <w:t>文件要求更有利于</w:t>
      </w:r>
      <w:r>
        <w:rPr>
          <w:rFonts w:hint="eastAsia" w:ascii="宋体" w:hAnsi="宋体"/>
          <w:color w:val="auto"/>
          <w:szCs w:val="21"/>
          <w:highlight w:val="none"/>
        </w:rPr>
        <w:t>采购人</w:t>
      </w:r>
      <w:r>
        <w:rPr>
          <w:rFonts w:ascii="宋体" w:hAnsi="宋体"/>
          <w:color w:val="auto"/>
          <w:szCs w:val="21"/>
          <w:highlight w:val="none"/>
        </w:rPr>
        <w:t>的承诺。</w:t>
      </w:r>
    </w:p>
    <w:p>
      <w:pPr>
        <w:wordWrap w:val="0"/>
        <w:snapToGrid w:val="0"/>
        <w:spacing w:beforeLines="0" w:afterLines="0" w:line="308" w:lineRule="auto"/>
        <w:ind w:firstLine="0"/>
        <w:rPr>
          <w:rFonts w:ascii="宋体" w:hAnsi="宋体"/>
          <w:color w:val="auto"/>
          <w:szCs w:val="21"/>
          <w:highlight w:val="none"/>
        </w:rPr>
      </w:pPr>
      <w:r>
        <w:rPr>
          <w:rFonts w:hint="eastAsia" w:ascii="宋体" w:hAnsi="宋体"/>
          <w:color w:val="auto"/>
          <w:highlight w:val="none"/>
        </w:rPr>
        <w:t>13.2</w:t>
      </w:r>
      <w:r>
        <w:rPr>
          <w:rFonts w:hint="eastAsia" w:ascii="宋体" w:hAnsi="宋体" w:cs="Times New Roman"/>
          <w:color w:val="auto"/>
          <w:highlight w:val="none"/>
        </w:rPr>
        <w:t>磋商响应文件的制作要求详见本章“电子投标说明”</w:t>
      </w:r>
      <w:r>
        <w:rPr>
          <w:rFonts w:ascii="宋体" w:hAnsi="宋体"/>
          <w:color w:val="auto"/>
          <w:szCs w:val="21"/>
          <w:highlight w:val="none"/>
        </w:rPr>
        <w:t>。</w:t>
      </w:r>
    </w:p>
    <w:p>
      <w:pPr>
        <w:snapToGrid w:val="0"/>
        <w:spacing w:beforeLines="0" w:afterLines="0" w:line="308" w:lineRule="auto"/>
        <w:ind w:firstLine="0"/>
        <w:rPr>
          <w:color w:val="auto"/>
          <w:highlight w:val="none"/>
        </w:rPr>
      </w:pPr>
      <w:r>
        <w:rPr>
          <w:rFonts w:hint="eastAsia" w:ascii="宋体" w:hAnsi="宋体"/>
          <w:color w:val="auto"/>
          <w:highlight w:val="none"/>
        </w:rPr>
        <w:t>13.3</w:t>
      </w:r>
      <w:r>
        <w:rPr>
          <w:rFonts w:hint="eastAsia" w:ascii="宋体" w:hAnsi="宋体"/>
          <w:color w:val="auto"/>
          <w:kern w:val="0"/>
          <w:szCs w:val="21"/>
          <w:highlight w:val="none"/>
        </w:rPr>
        <w:t>磋商响应文件中的</w:t>
      </w:r>
      <w:r>
        <w:rPr>
          <w:rFonts w:hint="eastAsia" w:ascii="宋体" w:hAnsi="宋体"/>
          <w:color w:val="auto"/>
          <w:highlight w:val="none"/>
        </w:rPr>
        <w:t>资格文件、资信商务技术文件及报价文件</w:t>
      </w:r>
      <w:r>
        <w:rPr>
          <w:rFonts w:hint="eastAsia" w:ascii="宋体" w:hAnsi="宋体"/>
          <w:color w:val="auto"/>
          <w:kern w:val="0"/>
          <w:szCs w:val="21"/>
          <w:highlight w:val="none"/>
        </w:rPr>
        <w:t>按磋商响应文件格式文件要求供应商盖章、法定代表人印章的地方，供应商均应使用CA数字证书加盖供应商的单位电子印章、法定代表人个人电子印章，上传至衢州市阳光交易服务平台，作为磋商响应文件正本，其余详见供应商须知前附表。</w:t>
      </w:r>
    </w:p>
    <w:p>
      <w:pPr>
        <w:pStyle w:val="3"/>
        <w:spacing w:beforeLines="0" w:afterLines="0" w:line="308" w:lineRule="auto"/>
        <w:ind w:firstLine="562" w:firstLineChars="200"/>
        <w:jc w:val="center"/>
        <w:outlineLvl w:val="1"/>
        <w:rPr>
          <w:rFonts w:ascii="宋体" w:hAnsi="宋体"/>
          <w:color w:val="auto"/>
          <w:sz w:val="28"/>
          <w:szCs w:val="28"/>
          <w:highlight w:val="none"/>
        </w:rPr>
      </w:pPr>
      <w:bookmarkStart w:id="524" w:name="_Toc10699"/>
      <w:bookmarkStart w:id="525" w:name="_Toc29320"/>
      <w:bookmarkStart w:id="526" w:name="_Toc8235"/>
      <w:bookmarkStart w:id="527" w:name="_Toc12012"/>
      <w:bookmarkStart w:id="528" w:name="_Toc20241"/>
      <w:bookmarkStart w:id="529" w:name="_Toc4382"/>
      <w:bookmarkStart w:id="530" w:name="_Toc1902"/>
      <w:bookmarkStart w:id="531" w:name="_Toc3766"/>
      <w:bookmarkStart w:id="532" w:name="_Toc6705"/>
      <w:bookmarkStart w:id="533" w:name="_Toc3975"/>
      <w:bookmarkStart w:id="534" w:name="_Toc16051"/>
      <w:bookmarkStart w:id="535" w:name="_Toc391298958"/>
      <w:bookmarkStart w:id="536" w:name="_Toc29452"/>
      <w:bookmarkStart w:id="537" w:name="_Toc21411"/>
      <w:bookmarkStart w:id="538" w:name="_Toc19872"/>
      <w:bookmarkStart w:id="539" w:name="_Toc13506"/>
      <w:bookmarkStart w:id="540" w:name="_Toc1836"/>
      <w:bookmarkStart w:id="541" w:name="_Toc25659"/>
      <w:bookmarkStart w:id="542" w:name="_Toc25012"/>
      <w:bookmarkStart w:id="543" w:name="_Toc7775"/>
      <w:bookmarkStart w:id="544" w:name="_Toc19745"/>
      <w:bookmarkStart w:id="545" w:name="_Toc9094"/>
      <w:bookmarkStart w:id="546" w:name="_Toc15758"/>
      <w:bookmarkStart w:id="547" w:name="_Toc9536"/>
      <w:bookmarkStart w:id="548" w:name="_Toc1636"/>
      <w:bookmarkStart w:id="549" w:name="_Toc8749"/>
      <w:bookmarkStart w:id="550" w:name="_Toc29085"/>
      <w:bookmarkStart w:id="551" w:name="_Toc29059"/>
      <w:bookmarkStart w:id="552" w:name="_Toc6197"/>
      <w:bookmarkStart w:id="553" w:name="_Toc31866"/>
      <w:bookmarkStart w:id="554" w:name="_Toc26751"/>
      <w:bookmarkStart w:id="555" w:name="_Toc21093"/>
      <w:bookmarkStart w:id="556" w:name="_Toc6074"/>
      <w:bookmarkStart w:id="557" w:name="_Toc13246"/>
      <w:bookmarkStart w:id="558" w:name="_Toc5533"/>
      <w:bookmarkStart w:id="559" w:name="_Toc31201"/>
      <w:bookmarkStart w:id="560" w:name="_Toc19875"/>
      <w:bookmarkStart w:id="561" w:name="_Toc7837"/>
      <w:r>
        <w:rPr>
          <w:rFonts w:hint="eastAsia" w:ascii="宋体" w:hAnsi="宋体"/>
          <w:color w:val="auto"/>
          <w:sz w:val="28"/>
          <w:szCs w:val="28"/>
          <w:highlight w:val="none"/>
        </w:rPr>
        <w:t>五、竞争性磋商响应文件的提交</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31"/>
        <w:numPr>
          <w:ilvl w:val="255"/>
          <w:numId w:val="0"/>
        </w:numPr>
        <w:tabs>
          <w:tab w:val="left" w:pos="0"/>
        </w:tabs>
        <w:spacing w:beforeLines="0" w:afterLines="0" w:line="308" w:lineRule="auto"/>
        <w:ind w:left="0" w:firstLine="48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14.递交磋商响应文件方式和地点</w:t>
      </w:r>
    </w:p>
    <w:p>
      <w:pPr>
        <w:pStyle w:val="31"/>
        <w:numPr>
          <w:ilvl w:val="255"/>
          <w:numId w:val="0"/>
        </w:numPr>
        <w:tabs>
          <w:tab w:val="left" w:pos="0"/>
        </w:tabs>
        <w:adjustRightInd/>
        <w:snapToGrid/>
        <w:spacing w:beforeLines="0" w:afterLines="0" w:line="308" w:lineRule="auto"/>
        <w:ind w:firstLine="480" w:firstLineChars="200"/>
        <w:rPr>
          <w:rFonts w:hint="eastAsia" w:ascii="宋体" w:hAnsi="宋体" w:eastAsia="宋体" w:cs="宋体"/>
          <w:b w:val="0"/>
          <w:bCs w:val="0"/>
          <w:caps w:val="0"/>
          <w:color w:val="auto"/>
          <w:sz w:val="24"/>
          <w:szCs w:val="24"/>
          <w:highlight w:val="none"/>
          <w:lang w:bidi="ar"/>
        </w:rPr>
      </w:pPr>
      <w:r>
        <w:rPr>
          <w:rFonts w:hint="eastAsia" w:ascii="宋体" w:hAnsi="宋体" w:eastAsia="宋体" w:cs="宋体"/>
          <w:b w:val="0"/>
          <w:bCs w:val="0"/>
          <w:caps w:val="0"/>
          <w:color w:val="auto"/>
          <w:sz w:val="24"/>
          <w:szCs w:val="24"/>
          <w:highlight w:val="none"/>
          <w:lang w:bidi="ar"/>
        </w:rPr>
        <w:t>将由磋商响应文件制作工具制作生成的加密磋商响应文件（.QZCGTF）在磋商截止时间前（以上传完成时间为准）上传至衢州市阳光交易服务平台（https://qzygjy.com/TPBidder/memberLogin?type=13）。</w:t>
      </w:r>
    </w:p>
    <w:p>
      <w:pPr>
        <w:pStyle w:val="31"/>
        <w:numPr>
          <w:ilvl w:val="255"/>
          <w:numId w:val="0"/>
        </w:numPr>
        <w:tabs>
          <w:tab w:val="left" w:pos="0"/>
        </w:tabs>
        <w:adjustRightInd/>
        <w:spacing w:beforeLines="0" w:afterLines="0" w:line="308" w:lineRule="auto"/>
        <w:ind w:left="0" w:leftChars="0" w:firstLine="480" w:firstLineChars="200"/>
        <w:jc w:val="left"/>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15.递交磋商响应文件截止期</w:t>
      </w:r>
    </w:p>
    <w:p>
      <w:pPr>
        <w:pStyle w:val="31"/>
        <w:numPr>
          <w:ilvl w:val="255"/>
          <w:numId w:val="0"/>
        </w:numPr>
        <w:tabs>
          <w:tab w:val="left" w:pos="0"/>
        </w:tabs>
        <w:snapToGrid/>
        <w:spacing w:beforeLines="0" w:afterLines="0" w:line="308" w:lineRule="auto"/>
        <w:ind w:firstLine="480" w:firstLineChars="200"/>
        <w:rPr>
          <w:rFonts w:hint="eastAsia" w:ascii="宋体" w:hAnsi="宋体" w:eastAsia="宋体" w:cs="宋体"/>
          <w:color w:val="auto"/>
          <w:szCs w:val="24"/>
          <w:highlight w:val="none"/>
          <w:lang w:bidi="ar"/>
        </w:rPr>
      </w:pPr>
      <w:r>
        <w:rPr>
          <w:rFonts w:hint="eastAsia" w:ascii="宋体" w:hAnsi="宋体" w:eastAsia="宋体" w:cs="宋体"/>
          <w:color w:val="auto"/>
          <w:szCs w:val="24"/>
          <w:highlight w:val="none"/>
          <w:lang w:bidi="ar"/>
        </w:rPr>
        <w:t>15.1供应商应在供应商须知前附表规定的磋商截止时间前递交磋商响应文件。</w:t>
      </w:r>
    </w:p>
    <w:p>
      <w:pPr>
        <w:pStyle w:val="31"/>
        <w:numPr>
          <w:ilvl w:val="255"/>
          <w:numId w:val="0"/>
        </w:numPr>
        <w:tabs>
          <w:tab w:val="left" w:pos="0"/>
        </w:tabs>
        <w:snapToGrid/>
        <w:spacing w:beforeLines="0" w:afterLines="0" w:line="308" w:lineRule="auto"/>
        <w:ind w:firstLine="480" w:firstLineChars="200"/>
        <w:rPr>
          <w:rFonts w:hint="eastAsia" w:ascii="宋体" w:hAnsi="宋体" w:eastAsia="宋体" w:cs="宋体"/>
          <w:color w:val="auto"/>
          <w:szCs w:val="24"/>
          <w:highlight w:val="none"/>
          <w:lang w:bidi="ar"/>
        </w:rPr>
      </w:pPr>
      <w:r>
        <w:rPr>
          <w:rFonts w:hint="eastAsia" w:ascii="宋体" w:hAnsi="宋体" w:eastAsia="宋体" w:cs="宋体"/>
          <w:color w:val="auto"/>
          <w:szCs w:val="24"/>
          <w:highlight w:val="none"/>
          <w:lang w:bidi="ar"/>
        </w:rPr>
        <w:t>15.2 供应商递交磋商响应文件的地点：见供应商须知前附表。</w:t>
      </w:r>
    </w:p>
    <w:p>
      <w:pPr>
        <w:pStyle w:val="31"/>
        <w:numPr>
          <w:ilvl w:val="255"/>
          <w:numId w:val="0"/>
        </w:numPr>
        <w:tabs>
          <w:tab w:val="left" w:pos="0"/>
        </w:tabs>
        <w:spacing w:beforeLines="0" w:afterLines="0" w:line="308" w:lineRule="auto"/>
        <w:ind w:firstLine="480" w:firstLineChars="200"/>
        <w:rPr>
          <w:rFonts w:hint="eastAsia" w:ascii="宋体" w:hAnsi="宋体" w:eastAsia="宋体" w:cs="宋体"/>
          <w:color w:val="auto"/>
          <w:szCs w:val="24"/>
          <w:highlight w:val="none"/>
          <w:lang w:bidi="ar"/>
        </w:rPr>
      </w:pPr>
      <w:r>
        <w:rPr>
          <w:rFonts w:hint="eastAsia" w:ascii="宋体" w:hAnsi="宋体" w:eastAsia="宋体" w:cs="宋体"/>
          <w:color w:val="auto"/>
          <w:szCs w:val="24"/>
          <w:highlight w:val="none"/>
          <w:lang w:bidi="ar"/>
        </w:rPr>
        <w:t>15.3 除供应商须知前附表另有规定外，供应商所递交的磋商响应文件不予退还。</w:t>
      </w:r>
    </w:p>
    <w:p>
      <w:pPr>
        <w:pStyle w:val="31"/>
        <w:numPr>
          <w:ilvl w:val="255"/>
          <w:numId w:val="0"/>
        </w:numPr>
        <w:tabs>
          <w:tab w:val="left" w:pos="0"/>
        </w:tabs>
        <w:spacing w:beforeLines="0" w:afterLines="0" w:line="308" w:lineRule="auto"/>
        <w:ind w:left="0" w:firstLine="48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16.磋商响应文件的修改和撤销</w:t>
      </w:r>
    </w:p>
    <w:p>
      <w:pPr>
        <w:pStyle w:val="31"/>
        <w:numPr>
          <w:ilvl w:val="255"/>
          <w:numId w:val="0"/>
        </w:numPr>
        <w:tabs>
          <w:tab w:val="left" w:pos="0"/>
        </w:tabs>
        <w:spacing w:beforeLines="0" w:afterLines="0" w:line="308" w:lineRule="auto"/>
        <w:ind w:firstLine="48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在本章第15.1项规定的磋商截止时间前，供应商可以修改或撤回已递交的磋商响应文件，但应以书面形式通知采购人。</w:t>
      </w:r>
    </w:p>
    <w:p>
      <w:pPr>
        <w:pStyle w:val="4"/>
        <w:spacing w:beforeLines="0" w:afterLines="0" w:line="308" w:lineRule="auto"/>
        <w:ind w:firstLine="562" w:firstLineChars="200"/>
        <w:jc w:val="center"/>
        <w:rPr>
          <w:rFonts w:ascii="宋体" w:hAnsi="宋体"/>
          <w:b/>
          <w:bCs w:val="0"/>
          <w:color w:val="auto"/>
          <w:sz w:val="28"/>
          <w:szCs w:val="28"/>
          <w:highlight w:val="none"/>
        </w:rPr>
      </w:pPr>
      <w:bookmarkStart w:id="562" w:name="_Toc23980"/>
      <w:bookmarkStart w:id="563" w:name="_Toc1681"/>
      <w:bookmarkStart w:id="564" w:name="_Toc22551"/>
      <w:bookmarkStart w:id="565" w:name="_Toc26938"/>
      <w:bookmarkStart w:id="566" w:name="_Toc19730"/>
      <w:bookmarkStart w:id="567" w:name="_Toc15901"/>
      <w:bookmarkStart w:id="568" w:name="_Toc32015"/>
      <w:bookmarkStart w:id="569" w:name="_Toc25627"/>
      <w:bookmarkStart w:id="570" w:name="_Toc13368"/>
      <w:bookmarkStart w:id="571" w:name="_Toc17312"/>
      <w:bookmarkStart w:id="572" w:name="_Toc3139"/>
      <w:bookmarkStart w:id="573" w:name="_Toc9865"/>
      <w:bookmarkStart w:id="574" w:name="_Toc8825"/>
      <w:bookmarkStart w:id="575" w:name="_Toc4084"/>
      <w:bookmarkStart w:id="576" w:name="_Toc18216"/>
      <w:bookmarkStart w:id="577" w:name="_Toc14836"/>
      <w:bookmarkStart w:id="578" w:name="_Toc8021"/>
      <w:bookmarkStart w:id="579" w:name="_Toc3004"/>
      <w:bookmarkStart w:id="580" w:name="_Toc4712"/>
      <w:bookmarkStart w:id="581" w:name="_Toc16674"/>
      <w:bookmarkStart w:id="582" w:name="_Toc3645"/>
      <w:bookmarkStart w:id="583" w:name="_Toc17633"/>
      <w:bookmarkStart w:id="584" w:name="_Toc31717"/>
      <w:bookmarkStart w:id="585" w:name="_Toc16612"/>
      <w:bookmarkStart w:id="586" w:name="_Toc1409"/>
      <w:bookmarkStart w:id="587" w:name="_Toc16427"/>
      <w:bookmarkStart w:id="588" w:name="_Toc5657"/>
      <w:bookmarkStart w:id="589" w:name="_Toc6381"/>
      <w:bookmarkStart w:id="590" w:name="_Toc30721"/>
      <w:bookmarkStart w:id="591" w:name="_Toc9748"/>
      <w:bookmarkStart w:id="592" w:name="_Toc28947"/>
      <w:bookmarkStart w:id="593" w:name="_Toc804"/>
      <w:bookmarkStart w:id="594" w:name="_Toc4335"/>
      <w:bookmarkStart w:id="595" w:name="_Toc24662"/>
      <w:bookmarkStart w:id="596" w:name="_Toc24177"/>
      <w:bookmarkStart w:id="597" w:name="_Toc27745"/>
      <w:bookmarkStart w:id="598" w:name="_Toc22970"/>
      <w:bookmarkStart w:id="599" w:name="_Toc3636"/>
      <w:bookmarkStart w:id="600" w:name="_Toc24759"/>
      <w:bookmarkStart w:id="601" w:name="_Toc20775"/>
      <w:bookmarkStart w:id="602" w:name="_Toc2080"/>
      <w:bookmarkStart w:id="603" w:name="_Toc27912"/>
      <w:bookmarkStart w:id="604" w:name="_Toc30812"/>
      <w:bookmarkStart w:id="605" w:name="_Toc8551"/>
      <w:bookmarkStart w:id="606" w:name="_Toc14187"/>
      <w:bookmarkStart w:id="607" w:name="_Toc28965"/>
      <w:bookmarkStart w:id="608" w:name="_Toc22130"/>
      <w:bookmarkStart w:id="609" w:name="_Toc22066"/>
      <w:bookmarkStart w:id="610" w:name="_Toc544"/>
      <w:bookmarkStart w:id="611" w:name="_Toc142"/>
      <w:bookmarkStart w:id="612" w:name="_Toc12914"/>
      <w:bookmarkStart w:id="613" w:name="_Toc25143"/>
      <w:bookmarkStart w:id="614" w:name="_Toc11986"/>
      <w:bookmarkStart w:id="615" w:name="_Toc26527"/>
      <w:bookmarkStart w:id="616" w:name="_Toc7875"/>
      <w:bookmarkStart w:id="617" w:name="_Toc9753"/>
      <w:bookmarkStart w:id="618" w:name="_Toc23856"/>
      <w:bookmarkStart w:id="619" w:name="_Toc12241"/>
      <w:bookmarkStart w:id="620" w:name="_Toc19227"/>
      <w:bookmarkStart w:id="621" w:name="_Toc22867"/>
      <w:bookmarkStart w:id="622" w:name="_Toc1573"/>
      <w:bookmarkStart w:id="623" w:name="_Toc25660"/>
      <w:bookmarkStart w:id="624" w:name="_Toc9318"/>
      <w:bookmarkStart w:id="625" w:name="_Toc11937"/>
      <w:bookmarkStart w:id="626" w:name="_Toc391298959"/>
      <w:r>
        <w:rPr>
          <w:rFonts w:hint="eastAsia" w:ascii="宋体" w:hAnsi="宋体"/>
          <w:b/>
          <w:bCs w:val="0"/>
          <w:color w:val="auto"/>
          <w:sz w:val="28"/>
          <w:szCs w:val="28"/>
          <w:highlight w:val="none"/>
        </w:rPr>
        <w:t>六、开 标</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31"/>
        <w:numPr>
          <w:ilvl w:val="255"/>
          <w:numId w:val="0"/>
        </w:numPr>
        <w:tabs>
          <w:tab w:val="left" w:pos="0"/>
        </w:tabs>
        <w:adjustRightInd w:val="0"/>
        <w:spacing w:beforeLines="0" w:afterLines="0" w:line="308" w:lineRule="auto"/>
        <w:ind w:firstLine="480" w:firstLineChars="200"/>
        <w:jc w:val="both"/>
        <w:rPr>
          <w:rFonts w:ascii="宋体" w:hAnsi="宋体"/>
          <w:color w:val="auto"/>
          <w:highlight w:val="none"/>
          <w:lang w:bidi="ar"/>
        </w:rPr>
      </w:pPr>
      <w:bookmarkStart w:id="627" w:name="_Toc25996"/>
      <w:bookmarkStart w:id="628" w:name="_Toc375297166"/>
      <w:bookmarkStart w:id="629" w:name="_Toc27632"/>
      <w:bookmarkStart w:id="630" w:name="_Toc341864028"/>
      <w:bookmarkStart w:id="631" w:name="_Toc325548456"/>
      <w:bookmarkStart w:id="632" w:name="_Toc41549081"/>
      <w:bookmarkStart w:id="633" w:name="_Toc40685929"/>
      <w:bookmarkStart w:id="634" w:name="_Toc2054"/>
      <w:r>
        <w:rPr>
          <w:rFonts w:hint="eastAsia" w:ascii="宋体" w:hAnsi="宋体"/>
          <w:color w:val="auto"/>
          <w:highlight w:val="none"/>
          <w:lang w:bidi="ar"/>
        </w:rPr>
        <w:t>16.开标时间、地点</w:t>
      </w:r>
      <w:bookmarkEnd w:id="627"/>
      <w:bookmarkEnd w:id="628"/>
      <w:bookmarkEnd w:id="629"/>
      <w:bookmarkEnd w:id="630"/>
      <w:bookmarkEnd w:id="631"/>
      <w:bookmarkEnd w:id="632"/>
      <w:bookmarkEnd w:id="633"/>
      <w:bookmarkEnd w:id="634"/>
      <w:r>
        <w:rPr>
          <w:rFonts w:hint="eastAsia" w:ascii="宋体" w:hAnsi="宋体"/>
          <w:color w:val="auto"/>
          <w:highlight w:val="none"/>
          <w:lang w:bidi="ar"/>
        </w:rPr>
        <w:t>、</w:t>
      </w:r>
      <w:bookmarkStart w:id="635" w:name="_Toc10620"/>
      <w:bookmarkStart w:id="636" w:name="_Toc506120418"/>
      <w:r>
        <w:rPr>
          <w:rFonts w:hint="eastAsia" w:ascii="宋体" w:hAnsi="宋体"/>
          <w:color w:val="auto"/>
          <w:highlight w:val="none"/>
          <w:lang w:bidi="ar"/>
        </w:rPr>
        <w:t>参加开标会议的要求</w:t>
      </w:r>
    </w:p>
    <w:p>
      <w:pPr>
        <w:pStyle w:val="31"/>
        <w:numPr>
          <w:ilvl w:val="255"/>
          <w:numId w:val="0"/>
        </w:numPr>
        <w:tabs>
          <w:tab w:val="left" w:pos="0"/>
          <w:tab w:val="left" w:pos="171"/>
        </w:tabs>
        <w:adjustRightInd w:val="0"/>
        <w:spacing w:beforeLines="0" w:afterLines="0" w:line="308" w:lineRule="auto"/>
        <w:ind w:firstLine="480" w:firstLineChars="200"/>
        <w:rPr>
          <w:rFonts w:ascii="宋体" w:hAnsi="宋体"/>
          <w:color w:val="auto"/>
          <w:highlight w:val="none"/>
          <w:lang w:bidi="ar"/>
        </w:rPr>
      </w:pPr>
      <w:r>
        <w:rPr>
          <w:rFonts w:hint="eastAsia" w:ascii="宋体" w:hAnsi="宋体"/>
          <w:color w:val="auto"/>
          <w:highlight w:val="none"/>
          <w:lang w:bidi="ar"/>
        </w:rPr>
        <w:t>16.1开标时间：同磋商截止时间。</w:t>
      </w:r>
    </w:p>
    <w:p>
      <w:pPr>
        <w:pStyle w:val="31"/>
        <w:numPr>
          <w:ilvl w:val="255"/>
          <w:numId w:val="0"/>
        </w:numPr>
        <w:tabs>
          <w:tab w:val="left" w:pos="0"/>
          <w:tab w:val="left" w:pos="171"/>
        </w:tabs>
        <w:adjustRightInd w:val="0"/>
        <w:spacing w:beforeLines="0" w:afterLines="0" w:line="308" w:lineRule="auto"/>
        <w:ind w:firstLine="480" w:firstLineChars="200"/>
        <w:rPr>
          <w:rFonts w:ascii="宋体" w:hAnsi="宋体"/>
          <w:color w:val="auto"/>
          <w:highlight w:val="none"/>
          <w:lang w:bidi="ar"/>
        </w:rPr>
      </w:pPr>
      <w:r>
        <w:rPr>
          <w:rFonts w:hint="eastAsia" w:ascii="宋体" w:hAnsi="宋体"/>
          <w:color w:val="auto"/>
          <w:highlight w:val="none"/>
          <w:lang w:bidi="ar"/>
        </w:rPr>
        <w:t>16.2开标大厅：（https://qzygjy.com/BidOpening/bidopeninghallaction/hall/login）</w:t>
      </w:r>
    </w:p>
    <w:p>
      <w:pPr>
        <w:pStyle w:val="31"/>
        <w:numPr>
          <w:ilvl w:val="255"/>
          <w:numId w:val="0"/>
        </w:numPr>
        <w:tabs>
          <w:tab w:val="left" w:pos="0"/>
          <w:tab w:val="left" w:pos="171"/>
        </w:tabs>
        <w:adjustRightInd w:val="0"/>
        <w:spacing w:beforeLines="0" w:afterLines="0" w:line="308" w:lineRule="auto"/>
        <w:ind w:firstLine="480" w:firstLineChars="200"/>
        <w:rPr>
          <w:rFonts w:ascii="宋体" w:hAnsi="宋体"/>
          <w:color w:val="auto"/>
          <w:highlight w:val="none"/>
          <w:lang w:bidi="ar"/>
        </w:rPr>
      </w:pPr>
      <w:r>
        <w:rPr>
          <w:rFonts w:hint="eastAsia" w:ascii="宋体" w:hAnsi="宋体"/>
          <w:color w:val="auto"/>
          <w:highlight w:val="none"/>
          <w:lang w:bidi="ar"/>
        </w:rPr>
        <w:t>16.3参加开标会议的要求</w:t>
      </w:r>
    </w:p>
    <w:p>
      <w:pPr>
        <w:pStyle w:val="135"/>
        <w:tabs>
          <w:tab w:val="right" w:leader="dot" w:pos="8295"/>
        </w:tabs>
        <w:snapToGrid w:val="0"/>
        <w:spacing w:beforeLines="0" w:afterLines="0" w:line="308" w:lineRule="auto"/>
        <w:ind w:firstLine="480" w:firstLineChars="200"/>
        <w:rPr>
          <w:rFonts w:ascii="宋体" w:hAnsi="宋体" w:cs="宋体"/>
          <w:color w:val="auto"/>
          <w:sz w:val="24"/>
          <w:szCs w:val="24"/>
          <w:highlight w:val="none"/>
          <w:lang w:bidi="ar"/>
        </w:rPr>
      </w:pPr>
      <w:r>
        <w:rPr>
          <w:rFonts w:hint="eastAsia" w:ascii="宋体" w:hAnsi="宋体" w:cs="宋体"/>
          <w:color w:val="auto"/>
          <w:sz w:val="24"/>
          <w:szCs w:val="24"/>
          <w:highlight w:val="none"/>
          <w:lang w:bidi="ar"/>
        </w:rPr>
        <w:t>16.3.1开标过程中，供应商参与远程音视频交互的</w:t>
      </w:r>
      <w:r>
        <w:rPr>
          <w:rFonts w:hint="eastAsia" w:ascii="宋体" w:hAnsi="宋体" w:cs="宋体"/>
          <w:color w:val="auto"/>
          <w:sz w:val="24"/>
          <w:szCs w:val="24"/>
          <w:highlight w:val="none"/>
          <w:lang w:eastAsia="zh-CN" w:bidi="ar"/>
        </w:rPr>
        <w:t>法定代表人</w:t>
      </w:r>
      <w:r>
        <w:rPr>
          <w:rFonts w:hint="eastAsia" w:ascii="宋体" w:hAnsi="宋体" w:cs="宋体"/>
          <w:color w:val="auto"/>
          <w:sz w:val="24"/>
          <w:szCs w:val="24"/>
          <w:highlight w:val="none"/>
          <w:lang w:bidi="ar"/>
        </w:rPr>
        <w:t>或授权委托人应始终为同一人，中途不得更换，并能及时响应开标要求。供应商终端操作人员均被视为供应商法人代表或授权委托人，供应商自行承担随意更换人员所导致的一切后果。</w:t>
      </w:r>
    </w:p>
    <w:p>
      <w:pPr>
        <w:pStyle w:val="31"/>
        <w:numPr>
          <w:ilvl w:val="255"/>
          <w:numId w:val="0"/>
        </w:numPr>
        <w:tabs>
          <w:tab w:val="left" w:pos="0"/>
        </w:tabs>
        <w:adjustRightInd w:val="0"/>
        <w:spacing w:beforeLines="0" w:afterLines="0" w:line="308" w:lineRule="auto"/>
        <w:ind w:firstLine="480" w:firstLineChars="200"/>
        <w:jc w:val="both"/>
        <w:rPr>
          <w:rFonts w:ascii="宋体" w:hAnsi="宋体"/>
          <w:color w:val="auto"/>
          <w:highlight w:val="none"/>
          <w:lang w:bidi="ar"/>
        </w:rPr>
      </w:pPr>
      <w:r>
        <w:rPr>
          <w:rFonts w:hint="eastAsia" w:ascii="宋体" w:hAnsi="宋体"/>
          <w:color w:val="auto"/>
          <w:highlight w:val="none"/>
          <w:lang w:bidi="ar"/>
        </w:rPr>
        <w:t>17.开标程序</w:t>
      </w:r>
    </w:p>
    <w:p>
      <w:pPr>
        <w:pStyle w:val="31"/>
        <w:numPr>
          <w:ilvl w:val="255"/>
          <w:numId w:val="0"/>
        </w:numPr>
        <w:tabs>
          <w:tab w:val="left" w:pos="171"/>
        </w:tabs>
        <w:spacing w:beforeLines="0" w:afterLines="0" w:line="308" w:lineRule="auto"/>
        <w:ind w:firstLine="480" w:firstLineChars="200"/>
        <w:rPr>
          <w:rFonts w:ascii="宋体" w:hAnsi="宋体"/>
          <w:color w:val="auto"/>
          <w:highlight w:val="none"/>
          <w:lang w:bidi="ar"/>
        </w:rPr>
      </w:pPr>
      <w:r>
        <w:rPr>
          <w:rFonts w:hint="eastAsia" w:ascii="宋体" w:hAnsi="宋体"/>
          <w:color w:val="auto"/>
          <w:highlight w:val="none"/>
          <w:lang w:bidi="ar"/>
        </w:rPr>
        <w:t>供应商须准备好加密磋商响应文件的CA数字证书以供开标时远程解密磋商响应文件。</w:t>
      </w:r>
    </w:p>
    <w:p>
      <w:pPr>
        <w:pStyle w:val="132"/>
        <w:tabs>
          <w:tab w:val="right" w:leader="dot" w:pos="8295"/>
        </w:tabs>
        <w:snapToGrid w:val="0"/>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bidi="ar"/>
        </w:rPr>
        <w:t>磋商</w:t>
      </w:r>
      <w:r>
        <w:rPr>
          <w:rFonts w:hint="eastAsia" w:ascii="宋体" w:hAnsi="宋体" w:cs="宋体"/>
          <w:color w:val="auto"/>
          <w:sz w:val="24"/>
          <w:szCs w:val="24"/>
          <w:highlight w:val="none"/>
        </w:rPr>
        <w:t>截止时间</w:t>
      </w:r>
    </w:p>
    <w:p>
      <w:pPr>
        <w:pStyle w:val="135"/>
        <w:tabs>
          <w:tab w:val="right" w:leader="dot" w:pos="8295"/>
        </w:tabs>
        <w:snapToGrid w:val="0"/>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eastAsia="zh-CN"/>
        </w:rPr>
        <w:t>采购代理机构</w:t>
      </w:r>
      <w:r>
        <w:rPr>
          <w:rFonts w:hint="eastAsia" w:ascii="宋体" w:hAnsi="宋体" w:cs="宋体"/>
          <w:color w:val="auto"/>
          <w:sz w:val="24"/>
          <w:szCs w:val="24"/>
          <w:highlight w:val="none"/>
        </w:rPr>
        <w:t>（或公证处工作人员）宣布开始开标，宣布开标项目名称、采购人代表等有关人员姓名，公布在投标截止时间前受理的磋商响应文件的供应商名称。</w:t>
      </w:r>
    </w:p>
    <w:p>
      <w:pPr>
        <w:pStyle w:val="135"/>
        <w:tabs>
          <w:tab w:val="right" w:leader="dot" w:pos="8295"/>
        </w:tabs>
        <w:snapToGrid w:val="0"/>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（二）供应商解密</w:t>
      </w:r>
    </w:p>
    <w:p>
      <w:pPr>
        <w:pStyle w:val="135"/>
        <w:widowControl w:val="0"/>
        <w:tabs>
          <w:tab w:val="right" w:leader="dot" w:pos="8295"/>
        </w:tabs>
        <w:snapToGrid w:val="0"/>
        <w:spacing w:beforeLines="0" w:afterLines="0" w:line="30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供应商解密时间：</w:t>
      </w:r>
      <w:r>
        <w:rPr>
          <w:rFonts w:hint="eastAsia" w:ascii="宋体" w:hAnsi="宋体" w:cs="宋体"/>
          <w:color w:val="auto"/>
          <w:sz w:val="24"/>
          <w:szCs w:val="24"/>
          <w:highlight w:val="none"/>
          <w:lang w:eastAsia="zh-CN"/>
        </w:rPr>
        <w:t>采购代理机构</w:t>
      </w:r>
      <w:r>
        <w:rPr>
          <w:rFonts w:hint="eastAsia" w:ascii="宋体" w:hAnsi="宋体" w:cs="宋体"/>
          <w:color w:val="auto"/>
          <w:sz w:val="24"/>
          <w:szCs w:val="24"/>
          <w:highlight w:val="none"/>
        </w:rPr>
        <w:t>（或公证处工作人员）宣布开始解密后30分钟以内。供应商解密方式：供应商自行登录衢州市阳光交易服务平台不见面开标大厅（</w:t>
      </w:r>
      <w:r>
        <w:rPr>
          <w:rFonts w:hint="eastAsia" w:ascii="宋体" w:hAnsi="宋体" w:cs="宋体"/>
          <w:snapToGrid w:val="0"/>
          <w:color w:val="auto"/>
          <w:spacing w:val="-6"/>
          <w:sz w:val="24"/>
          <w:szCs w:val="24"/>
          <w:highlight w:val="none"/>
        </w:rPr>
        <w:t>https://qzygjy.com/BidOpening/bidopeninghallaction/hall/login</w:t>
      </w:r>
      <w:r>
        <w:rPr>
          <w:rFonts w:hint="eastAsia" w:ascii="宋体" w:hAnsi="宋体" w:cs="宋体"/>
          <w:color w:val="auto"/>
          <w:sz w:val="24"/>
          <w:szCs w:val="24"/>
          <w:highlight w:val="none"/>
        </w:rPr>
        <w:t>)——我的项目——选择标段——待招标代理开启解密后进行解密操作。</w:t>
      </w:r>
    </w:p>
    <w:p>
      <w:pPr>
        <w:pStyle w:val="135"/>
        <w:tabs>
          <w:tab w:val="right" w:leader="dot" w:pos="8295"/>
        </w:tabs>
        <w:snapToGrid w:val="0"/>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（三）供应商使用生成磋商响应文件的CA数字证书解密磋商响应文件。</w:t>
      </w:r>
    </w:p>
    <w:p>
      <w:pPr>
        <w:pStyle w:val="135"/>
        <w:tabs>
          <w:tab w:val="right" w:leader="dot" w:pos="8295"/>
        </w:tabs>
        <w:snapToGrid w:val="0"/>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（四）磋商响应文件解密完成后，开标系统公布供应商名称、投标报价及其他内容。</w:t>
      </w:r>
    </w:p>
    <w:p>
      <w:pPr>
        <w:pStyle w:val="135"/>
        <w:tabs>
          <w:tab w:val="right" w:leader="dot" w:pos="8295"/>
        </w:tabs>
        <w:snapToGrid w:val="0"/>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（五）供应商确认</w:t>
      </w:r>
    </w:p>
    <w:p>
      <w:pPr>
        <w:pStyle w:val="135"/>
        <w:tabs>
          <w:tab w:val="right" w:leader="dot" w:pos="8295"/>
        </w:tabs>
        <w:snapToGrid w:val="0"/>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唱标完成后，供应商可通过衢州市阳光交易服务平台不见面开标大厅系统对唱标结果进行确认，未在开标结束前完成在线确认的供应商，衢州市阳光交易服务平台不见面开标大厅系统将视作自动确认。</w:t>
      </w:r>
    </w:p>
    <w:p>
      <w:pPr>
        <w:pStyle w:val="135"/>
        <w:widowControl w:val="0"/>
        <w:snapToGrid w:val="0"/>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对开标过程有异议的，应通过衢州市阳光交易服务平台不见面开标大厅系统的“开标异议文字提问”按钮进行异议，采购人通过衢州市阳光交易服务平台不见面开标大厅系统文字答复，供应商提出异议的时间截止至开标结果公布后5分钟；</w:t>
      </w:r>
    </w:p>
    <w:p>
      <w:pPr>
        <w:pStyle w:val="135"/>
        <w:tabs>
          <w:tab w:val="right" w:leader="dot" w:pos="8295"/>
        </w:tabs>
        <w:snapToGrid w:val="0"/>
        <w:spacing w:beforeLines="0" w:afterLines="0" w:line="30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（六）进入评标环节，首先对解密成功的供应商进行资格审查，然后对通过资格审查的供应商进行资信商务技术文件评审，最后进行</w:t>
      </w:r>
      <w:r>
        <w:rPr>
          <w:rFonts w:hint="eastAsia" w:ascii="宋体" w:hAnsi="宋体" w:cs="宋体"/>
          <w:color w:val="auto"/>
          <w:sz w:val="24"/>
          <w:szCs w:val="24"/>
          <w:highlight w:val="none"/>
          <w:lang w:eastAsia="zh-CN"/>
        </w:rPr>
        <w:t>最终报价</w:t>
      </w:r>
      <w:r>
        <w:rPr>
          <w:rFonts w:hint="eastAsia" w:ascii="宋体" w:hAnsi="宋体" w:cs="宋体"/>
          <w:color w:val="auto"/>
          <w:sz w:val="24"/>
          <w:szCs w:val="24"/>
          <w:highlight w:val="none"/>
        </w:rPr>
        <w:t>磋商及评分；</w:t>
      </w:r>
    </w:p>
    <w:p>
      <w:pPr>
        <w:pStyle w:val="135"/>
        <w:tabs>
          <w:tab w:val="right" w:leader="dot" w:pos="8295"/>
        </w:tabs>
        <w:snapToGrid w:val="0"/>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（七）评标结束后，</w:t>
      </w:r>
      <w:r>
        <w:rPr>
          <w:rFonts w:hint="eastAsia" w:ascii="宋体" w:hAnsi="宋体" w:cs="宋体"/>
          <w:color w:val="auto"/>
          <w:sz w:val="24"/>
          <w:szCs w:val="24"/>
          <w:highlight w:val="none"/>
          <w:lang w:eastAsia="zh-CN"/>
        </w:rPr>
        <w:t>采购代理机构</w:t>
      </w:r>
      <w:r>
        <w:rPr>
          <w:rFonts w:hint="eastAsia" w:ascii="宋体" w:hAnsi="宋体" w:cs="宋体"/>
          <w:color w:val="auto"/>
          <w:sz w:val="24"/>
          <w:szCs w:val="24"/>
          <w:highlight w:val="none"/>
        </w:rPr>
        <w:t>（或公证处工作人员）宣布成交候选人。</w:t>
      </w:r>
      <w:r>
        <w:rPr>
          <w:rFonts w:hint="eastAsia" w:ascii="宋体" w:hAnsi="宋体" w:cs="宋体"/>
          <w:color w:val="auto"/>
          <w:sz w:val="24"/>
          <w:szCs w:val="24"/>
          <w:highlight w:val="none"/>
          <w:lang w:eastAsia="zh-CN"/>
        </w:rPr>
        <w:t>采购代理机构</w:t>
      </w:r>
      <w:r>
        <w:rPr>
          <w:rFonts w:hint="eastAsia" w:ascii="宋体" w:hAnsi="宋体" w:cs="宋体"/>
          <w:color w:val="auto"/>
          <w:sz w:val="24"/>
          <w:szCs w:val="24"/>
          <w:highlight w:val="none"/>
        </w:rPr>
        <w:t>（或公证处工作人员）宣布开标会议结束。</w:t>
      </w:r>
    </w:p>
    <w:p>
      <w:pPr>
        <w:pStyle w:val="31"/>
        <w:numPr>
          <w:ilvl w:val="255"/>
          <w:numId w:val="0"/>
        </w:numPr>
        <w:tabs>
          <w:tab w:val="left" w:pos="0"/>
        </w:tabs>
        <w:adjustRightInd w:val="0"/>
        <w:spacing w:beforeLines="0" w:afterLines="0" w:line="308" w:lineRule="auto"/>
        <w:ind w:left="0" w:leftChars="0" w:firstLine="480" w:firstLineChars="200"/>
        <w:jc w:val="both"/>
        <w:rPr>
          <w:rFonts w:ascii="宋体" w:hAnsi="宋体"/>
          <w:color w:val="auto"/>
          <w:highlight w:val="none"/>
          <w:lang w:bidi="ar"/>
        </w:rPr>
      </w:pPr>
      <w:r>
        <w:rPr>
          <w:rFonts w:hint="eastAsia" w:ascii="宋体" w:hAnsi="宋体"/>
          <w:color w:val="auto"/>
          <w:highlight w:val="none"/>
          <w:lang w:bidi="ar"/>
        </w:rPr>
        <w:t>18.开标特别说明</w:t>
      </w:r>
    </w:p>
    <w:p>
      <w:pPr>
        <w:pStyle w:val="132"/>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（一）开标解密使用供应商上传的电子磋商响应文件。 </w:t>
      </w:r>
    </w:p>
    <w:p>
      <w:pPr>
        <w:pStyle w:val="132"/>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（二）因供应商原因（包括供应商自主选择的CA证书、投标工具等），造成其电子磋商响应文件未解密的，或磋商响应文件解密了，但磋商响应文件无法识别、读取的，视为撤销其磋商响应文件。</w:t>
      </w:r>
    </w:p>
    <w:p>
      <w:pPr>
        <w:pStyle w:val="132"/>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（三）部分供应商的电子磋商响应文件无法解密（识别、读取）的，其他磋商响应文件的开标可以继续进行，但最终解密（识别、读取）成功的应不少于3家。</w:t>
      </w:r>
    </w:p>
    <w:p>
      <w:pPr>
        <w:pStyle w:val="132"/>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（四）供应商必须使用生成电子磋商响应文件的CA数字证书解密电子磋商响应文件。</w:t>
      </w:r>
    </w:p>
    <w:bookmarkEnd w:id="635"/>
    <w:bookmarkEnd w:id="636"/>
    <w:p>
      <w:pPr>
        <w:spacing w:beforeLines="0" w:afterLines="0" w:line="308" w:lineRule="auto"/>
        <w:ind w:firstLine="0"/>
        <w:rPr>
          <w:rFonts w:ascii="宋体" w:hAnsi="宋体"/>
          <w:color w:val="auto"/>
          <w:highlight w:val="none"/>
        </w:rPr>
      </w:pPr>
      <w:r>
        <w:rPr>
          <w:rFonts w:hint="eastAsia" w:ascii="宋体" w:hAnsi="宋体"/>
          <w:color w:val="auto"/>
          <w:highlight w:val="none"/>
        </w:rPr>
        <w:t>特别说明：如遇“衢州市阳光交易服务平台”电子化开标或评审程序调整的，按调整后程序执行。</w:t>
      </w:r>
    </w:p>
    <w:p>
      <w:pPr>
        <w:pStyle w:val="3"/>
        <w:spacing w:beforeLines="0" w:afterLines="0" w:line="308" w:lineRule="auto"/>
        <w:ind w:firstLine="562" w:firstLineChars="200"/>
        <w:jc w:val="center"/>
        <w:outlineLvl w:val="1"/>
        <w:rPr>
          <w:rFonts w:ascii="宋体" w:hAnsi="宋体"/>
          <w:color w:val="auto"/>
          <w:sz w:val="28"/>
          <w:szCs w:val="28"/>
          <w:highlight w:val="none"/>
        </w:rPr>
      </w:pPr>
      <w:bookmarkStart w:id="637" w:name="_Toc7804"/>
      <w:bookmarkStart w:id="638" w:name="_Toc10407"/>
      <w:r>
        <w:rPr>
          <w:rFonts w:hint="eastAsia" w:ascii="宋体" w:hAnsi="宋体"/>
          <w:color w:val="auto"/>
          <w:sz w:val="28"/>
          <w:szCs w:val="28"/>
          <w:highlight w:val="none"/>
        </w:rPr>
        <w:t>七、竞争性磋商响应文件的评审</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37"/>
      <w:bookmarkEnd w:id="638"/>
    </w:p>
    <w:p>
      <w:pPr>
        <w:pStyle w:val="31"/>
        <w:numPr>
          <w:ilvl w:val="255"/>
          <w:numId w:val="0"/>
        </w:numPr>
        <w:tabs>
          <w:tab w:val="left" w:pos="0"/>
        </w:tabs>
        <w:adjustRightInd w:val="0"/>
        <w:spacing w:beforeLines="0" w:afterLines="0" w:line="308" w:lineRule="auto"/>
        <w:ind w:left="0" w:leftChars="0" w:firstLine="480" w:firstLineChars="200"/>
        <w:jc w:val="both"/>
        <w:rPr>
          <w:rFonts w:ascii="宋体" w:hAnsi="宋体"/>
          <w:color w:val="auto"/>
          <w:highlight w:val="none"/>
          <w:lang w:bidi="ar"/>
        </w:rPr>
      </w:pPr>
      <w:r>
        <w:rPr>
          <w:rFonts w:hint="eastAsia" w:ascii="宋体" w:hAnsi="宋体"/>
          <w:color w:val="auto"/>
          <w:highlight w:val="none"/>
          <w:lang w:bidi="ar"/>
        </w:rPr>
        <w:t>19.评审、磋商时间</w:t>
      </w:r>
    </w:p>
    <w:p>
      <w:pPr>
        <w:pStyle w:val="60"/>
        <w:tabs>
          <w:tab w:val="left" w:pos="0"/>
        </w:tabs>
        <w:adjustRightInd w:val="0"/>
        <w:snapToGrid w:val="0"/>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19.1</w:t>
      </w:r>
      <w:r>
        <w:rPr>
          <w:rFonts w:hint="eastAsia" w:ascii="宋体" w:hAnsi="宋体" w:cs="宋体"/>
          <w:color w:val="auto"/>
          <w:sz w:val="24"/>
          <w:szCs w:val="24"/>
          <w:highlight w:val="none"/>
          <w:lang w:val="zh-CN"/>
        </w:rPr>
        <w:t>采购代理机构</w:t>
      </w:r>
      <w:r>
        <w:rPr>
          <w:rFonts w:hint="eastAsia" w:ascii="宋体" w:hAnsi="宋体" w:cs="宋体"/>
          <w:color w:val="auto"/>
          <w:sz w:val="24"/>
          <w:szCs w:val="24"/>
          <w:highlight w:val="none"/>
        </w:rPr>
        <w:t>按照供应商须知前附表规定的磋商截止时间及地点进行公开进行。</w:t>
      </w:r>
    </w:p>
    <w:p>
      <w:pPr>
        <w:pStyle w:val="60"/>
        <w:tabs>
          <w:tab w:val="left" w:pos="0"/>
        </w:tabs>
        <w:adjustRightInd w:val="0"/>
        <w:snapToGrid w:val="0"/>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bCs/>
          <w:color w:val="auto"/>
          <w:sz w:val="24"/>
          <w:szCs w:val="24"/>
          <w:highlight w:val="none"/>
        </w:rPr>
        <w:t>19.2开启评审磋商程序</w:t>
      </w:r>
    </w:p>
    <w:p>
      <w:pPr>
        <w:pStyle w:val="60"/>
        <w:tabs>
          <w:tab w:val="left" w:pos="0"/>
        </w:tabs>
        <w:adjustRightInd w:val="0"/>
        <w:snapToGrid w:val="0"/>
        <w:spacing w:beforeLines="0" w:afterLines="0" w:line="308"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19.2.1电子磋商响应文件开启及评审程序</w:t>
      </w:r>
    </w:p>
    <w:p>
      <w:pPr>
        <w:pStyle w:val="60"/>
        <w:tabs>
          <w:tab w:val="left" w:pos="0"/>
        </w:tabs>
        <w:adjustRightInd w:val="0"/>
        <w:snapToGrid w:val="0"/>
        <w:spacing w:beforeLines="0" w:afterLines="0" w:line="308"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19.2.2由磋商小组对供应商资格进行审查，</w:t>
      </w:r>
      <w:r>
        <w:rPr>
          <w:rFonts w:hint="eastAsia" w:ascii="宋体" w:hAnsi="宋体" w:cs="宋体"/>
          <w:bCs/>
          <w:iCs/>
          <w:color w:val="auto"/>
          <w:sz w:val="24"/>
          <w:szCs w:val="24"/>
          <w:highlight w:val="none"/>
        </w:rPr>
        <w:t>资信商务和技术部分</w:t>
      </w:r>
      <w:r>
        <w:rPr>
          <w:rFonts w:hint="eastAsia" w:ascii="宋体" w:hAnsi="宋体" w:cs="宋体"/>
          <w:color w:val="auto"/>
          <w:sz w:val="24"/>
          <w:szCs w:val="24"/>
          <w:highlight w:val="none"/>
        </w:rPr>
        <w:t>评审</w:t>
      </w:r>
      <w:r>
        <w:rPr>
          <w:rFonts w:hint="eastAsia" w:ascii="宋体" w:hAnsi="宋体" w:cs="宋体"/>
          <w:color w:val="auto"/>
          <w:sz w:val="24"/>
          <w:szCs w:val="24"/>
          <w:highlight w:val="none"/>
          <w:lang w:val="zh-CN"/>
        </w:rPr>
        <w:t>。</w:t>
      </w:r>
    </w:p>
    <w:p>
      <w:pPr>
        <w:pStyle w:val="60"/>
        <w:tabs>
          <w:tab w:val="left" w:pos="0"/>
        </w:tabs>
        <w:adjustRightInd w:val="0"/>
        <w:snapToGrid w:val="0"/>
        <w:spacing w:beforeLines="0" w:afterLines="0" w:line="308"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19.2.3在系统上公开资格审查和</w:t>
      </w:r>
      <w:r>
        <w:rPr>
          <w:rFonts w:hint="eastAsia" w:ascii="宋体" w:hAnsi="宋体" w:cs="宋体"/>
          <w:bCs/>
          <w:iCs/>
          <w:color w:val="auto"/>
          <w:sz w:val="24"/>
          <w:szCs w:val="24"/>
          <w:highlight w:val="none"/>
        </w:rPr>
        <w:t>资信</w:t>
      </w:r>
      <w:r>
        <w:rPr>
          <w:rFonts w:hint="eastAsia" w:ascii="宋体" w:hAnsi="宋体" w:cs="宋体"/>
          <w:color w:val="auto"/>
          <w:sz w:val="24"/>
          <w:szCs w:val="24"/>
          <w:highlight w:val="none"/>
        </w:rPr>
        <w:t>技术商务评审符合性结果，不公开评分结果。</w:t>
      </w:r>
    </w:p>
    <w:p>
      <w:pPr>
        <w:pStyle w:val="60"/>
        <w:tabs>
          <w:tab w:val="left" w:pos="0"/>
        </w:tabs>
        <w:adjustRightInd w:val="0"/>
        <w:snapToGrid w:val="0"/>
        <w:spacing w:beforeLines="0" w:afterLines="0" w:line="308"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19.2.4磋商小组按照磋商方法</w:t>
      </w:r>
      <w:r>
        <w:rPr>
          <w:rFonts w:hint="eastAsia" w:ascii="宋体" w:hAnsi="宋体" w:cs="宋体"/>
          <w:b/>
          <w:bCs/>
          <w:color w:val="auto"/>
          <w:sz w:val="24"/>
          <w:szCs w:val="24"/>
          <w:highlight w:val="none"/>
        </w:rPr>
        <w:t>在系统上</w:t>
      </w:r>
      <w:r>
        <w:rPr>
          <w:rFonts w:hint="eastAsia" w:ascii="宋体" w:hAnsi="宋体" w:cs="宋体"/>
          <w:color w:val="auto"/>
          <w:sz w:val="24"/>
          <w:szCs w:val="24"/>
          <w:highlight w:val="none"/>
        </w:rPr>
        <w:t>与各供应商就服务质量、技术要求等进行磋商，磋商结束后供应商在规定时间内提交</w:t>
      </w:r>
      <w:r>
        <w:rPr>
          <w:rFonts w:hint="eastAsia" w:ascii="宋体" w:hAnsi="宋体" w:cs="宋体"/>
          <w:color w:val="auto"/>
          <w:sz w:val="24"/>
          <w:szCs w:val="24"/>
          <w:highlight w:val="none"/>
          <w:lang w:eastAsia="zh-CN"/>
        </w:rPr>
        <w:t>最终报价</w:t>
      </w:r>
      <w:r>
        <w:rPr>
          <w:rFonts w:hint="eastAsia" w:ascii="宋体" w:hAnsi="宋体" w:cs="宋体"/>
          <w:color w:val="auto"/>
          <w:sz w:val="24"/>
          <w:szCs w:val="24"/>
          <w:highlight w:val="none"/>
        </w:rPr>
        <w:t>一览表（实际以衢州市阳光交易服务平台系统操作方法为准）。</w:t>
      </w:r>
    </w:p>
    <w:p>
      <w:pPr>
        <w:pStyle w:val="60"/>
        <w:tabs>
          <w:tab w:val="left" w:pos="0"/>
        </w:tabs>
        <w:adjustRightInd w:val="0"/>
        <w:snapToGrid w:val="0"/>
        <w:spacing w:beforeLines="0" w:afterLines="0" w:line="308"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19.2.5由磋商小组对报价进行评审。</w:t>
      </w:r>
    </w:p>
    <w:p>
      <w:pPr>
        <w:pStyle w:val="60"/>
        <w:tabs>
          <w:tab w:val="left" w:pos="0"/>
        </w:tabs>
        <w:adjustRightInd w:val="0"/>
        <w:snapToGrid w:val="0"/>
        <w:spacing w:beforeLines="0" w:afterLines="0" w:line="308" w:lineRule="auto"/>
        <w:ind w:firstLine="480" w:firstLineChars="200"/>
        <w:rPr>
          <w:rFonts w:ascii="宋体" w:hAnsi="宋体" w:cs="宋体"/>
          <w:snapToGrid w:val="0"/>
          <w:color w:val="auto"/>
          <w:sz w:val="24"/>
          <w:szCs w:val="24"/>
          <w:highlight w:val="none"/>
        </w:rPr>
      </w:pPr>
      <w:r>
        <w:rPr>
          <w:rFonts w:hint="eastAsia" w:ascii="宋体" w:hAnsi="宋体" w:cs="宋体"/>
          <w:color w:val="auto"/>
          <w:sz w:val="24"/>
          <w:szCs w:val="24"/>
          <w:highlight w:val="none"/>
        </w:rPr>
        <w:t>19.2.6</w:t>
      </w:r>
      <w:r>
        <w:rPr>
          <w:rFonts w:hint="eastAsia" w:ascii="宋体" w:hAnsi="宋体" w:cs="宋体"/>
          <w:color w:val="auto"/>
          <w:sz w:val="24"/>
          <w:szCs w:val="24"/>
          <w:highlight w:val="none"/>
          <w:lang w:val="zh-CN"/>
        </w:rPr>
        <w:t>在系统上公布评审结果。</w:t>
      </w:r>
    </w:p>
    <w:p>
      <w:pPr>
        <w:spacing w:beforeLines="0" w:afterLines="0" w:line="308" w:lineRule="auto"/>
        <w:ind w:firstLine="0"/>
        <w:rPr>
          <w:rFonts w:ascii="宋体" w:hAnsi="宋体"/>
          <w:color w:val="auto"/>
          <w:highlight w:val="none"/>
        </w:rPr>
      </w:pPr>
      <w:r>
        <w:rPr>
          <w:rFonts w:hint="eastAsia" w:ascii="宋体" w:hAnsi="宋体"/>
          <w:color w:val="auto"/>
          <w:highlight w:val="none"/>
        </w:rPr>
        <w:t>特别说明：如遇“衢州市阳光交易服务平台”电子化开标或评审程序调整的，按调整后程序执行。</w:t>
      </w:r>
    </w:p>
    <w:p>
      <w:pPr>
        <w:spacing w:beforeLines="0" w:afterLines="0" w:line="308" w:lineRule="auto"/>
        <w:ind w:firstLine="0"/>
        <w:rPr>
          <w:rFonts w:ascii="宋体" w:hAnsi="宋体"/>
          <w:color w:val="auto"/>
          <w:highlight w:val="none"/>
        </w:rPr>
      </w:pPr>
      <w:r>
        <w:rPr>
          <w:rFonts w:hint="eastAsia" w:ascii="宋体" w:hAnsi="宋体"/>
          <w:color w:val="auto"/>
          <w:highlight w:val="none"/>
        </w:rPr>
        <w:t>20.组建磋商小组</w:t>
      </w:r>
    </w:p>
    <w:p>
      <w:pPr>
        <w:spacing w:beforeLines="0" w:afterLines="0" w:line="308" w:lineRule="auto"/>
        <w:ind w:firstLine="0"/>
        <w:rPr>
          <w:rFonts w:ascii="宋体" w:hAnsi="宋体"/>
          <w:color w:val="auto"/>
          <w:highlight w:val="none"/>
        </w:rPr>
      </w:pPr>
      <w:r>
        <w:rPr>
          <w:rFonts w:hint="eastAsia" w:ascii="宋体" w:hAnsi="宋体"/>
          <w:color w:val="auto"/>
          <w:highlight w:val="none"/>
        </w:rPr>
        <w:t>20.1采购人根据项目的特点依法组建磋商小组，磋商小组成员共3人。磋商小组负责对竞争性磋商响应文件进行评审和比较，并出具评审结果。</w:t>
      </w:r>
    </w:p>
    <w:p>
      <w:pPr>
        <w:spacing w:beforeLines="0" w:afterLines="0" w:line="308" w:lineRule="auto"/>
        <w:ind w:firstLine="0"/>
        <w:rPr>
          <w:rFonts w:ascii="宋体" w:hAnsi="宋体"/>
          <w:color w:val="auto"/>
          <w:highlight w:val="none"/>
          <w:lang w:bidi="ar"/>
        </w:rPr>
      </w:pPr>
      <w:r>
        <w:rPr>
          <w:rFonts w:hint="eastAsia" w:ascii="宋体" w:hAnsi="宋体"/>
          <w:color w:val="auto"/>
          <w:highlight w:val="none"/>
          <w:lang w:bidi="ar"/>
        </w:rPr>
        <w:t>21.评标的保密</w:t>
      </w:r>
    </w:p>
    <w:p>
      <w:pPr>
        <w:pStyle w:val="31"/>
        <w:numPr>
          <w:ilvl w:val="255"/>
          <w:numId w:val="0"/>
        </w:numPr>
        <w:tabs>
          <w:tab w:val="left" w:pos="0"/>
          <w:tab w:val="left" w:pos="171"/>
        </w:tabs>
        <w:spacing w:beforeLines="0" w:afterLines="0" w:line="308" w:lineRule="auto"/>
        <w:ind w:left="0" w:leftChars="0" w:firstLine="480" w:firstLineChars="200"/>
        <w:rPr>
          <w:rFonts w:ascii="宋体" w:hAnsi="宋体"/>
          <w:color w:val="auto"/>
          <w:highlight w:val="none"/>
          <w:lang w:bidi="ar"/>
        </w:rPr>
      </w:pPr>
      <w:r>
        <w:rPr>
          <w:rFonts w:hint="eastAsia" w:ascii="宋体" w:hAnsi="宋体"/>
          <w:color w:val="auto"/>
          <w:highlight w:val="none"/>
          <w:lang w:bidi="ar"/>
        </w:rPr>
        <w:t>21.1评标采用保密的方式进行。</w:t>
      </w:r>
    </w:p>
    <w:p>
      <w:pPr>
        <w:pStyle w:val="31"/>
        <w:numPr>
          <w:ilvl w:val="255"/>
          <w:numId w:val="0"/>
        </w:numPr>
        <w:tabs>
          <w:tab w:val="left" w:pos="0"/>
          <w:tab w:val="left" w:pos="171"/>
        </w:tabs>
        <w:spacing w:beforeLines="0" w:afterLines="0" w:line="308" w:lineRule="auto"/>
        <w:ind w:left="0" w:leftChars="0" w:firstLine="480" w:firstLineChars="200"/>
        <w:rPr>
          <w:rFonts w:ascii="宋体" w:hAnsi="宋体"/>
          <w:color w:val="auto"/>
          <w:highlight w:val="none"/>
          <w:lang w:bidi="ar"/>
        </w:rPr>
      </w:pPr>
      <w:r>
        <w:rPr>
          <w:rFonts w:hint="eastAsia" w:ascii="宋体" w:hAnsi="宋体"/>
          <w:color w:val="auto"/>
          <w:highlight w:val="none"/>
          <w:lang w:bidi="ar"/>
        </w:rPr>
        <w:t>21.2</w:t>
      </w:r>
      <w:r>
        <w:rPr>
          <w:rFonts w:hint="eastAsia" w:ascii="宋体" w:hAnsi="宋体"/>
          <w:color w:val="auto"/>
          <w:highlight w:val="none"/>
          <w:lang w:val="en-US" w:eastAsia="zh-CN" w:bidi="ar"/>
        </w:rPr>
        <w:t xml:space="preserve"> </w:t>
      </w:r>
      <w:r>
        <w:rPr>
          <w:rFonts w:hint="eastAsia" w:ascii="宋体" w:hAnsi="宋体"/>
          <w:color w:val="auto"/>
          <w:highlight w:val="none"/>
          <w:lang w:bidi="ar"/>
        </w:rPr>
        <w:t>磋商小组和参与评标的有关工作人员不得透露对磋商响应文件的评审和比较、成交候选人的推荐情况以及与评标有关的其他情况。</w:t>
      </w:r>
    </w:p>
    <w:p>
      <w:pPr>
        <w:pStyle w:val="31"/>
        <w:numPr>
          <w:ilvl w:val="255"/>
          <w:numId w:val="0"/>
        </w:numPr>
        <w:tabs>
          <w:tab w:val="left" w:pos="0"/>
          <w:tab w:val="left" w:pos="171"/>
        </w:tabs>
        <w:spacing w:beforeLines="0" w:afterLines="0" w:line="308" w:lineRule="auto"/>
        <w:ind w:left="0" w:leftChars="0" w:firstLine="480" w:firstLineChars="200"/>
        <w:rPr>
          <w:rFonts w:ascii="宋体" w:hAnsi="宋体"/>
          <w:color w:val="auto"/>
          <w:highlight w:val="none"/>
          <w:lang w:bidi="ar"/>
        </w:rPr>
      </w:pPr>
      <w:r>
        <w:rPr>
          <w:rFonts w:hint="eastAsia" w:ascii="宋体" w:hAnsi="宋体"/>
          <w:color w:val="auto"/>
          <w:highlight w:val="none"/>
          <w:lang w:bidi="ar"/>
        </w:rPr>
        <w:t>21.3</w:t>
      </w:r>
      <w:r>
        <w:rPr>
          <w:rFonts w:hint="eastAsia" w:ascii="宋体" w:hAnsi="宋体"/>
          <w:color w:val="auto"/>
          <w:highlight w:val="none"/>
          <w:lang w:val="en-US" w:eastAsia="zh-CN" w:bidi="ar"/>
        </w:rPr>
        <w:t xml:space="preserve"> </w:t>
      </w:r>
      <w:r>
        <w:rPr>
          <w:rFonts w:hint="eastAsia" w:ascii="宋体" w:hAnsi="宋体"/>
          <w:color w:val="auto"/>
          <w:highlight w:val="none"/>
          <w:lang w:bidi="ar"/>
        </w:rPr>
        <w:t>在磋商响应文件的评审和比较、成交候选人推荐以及授予合同的过程中，供应商向采购人和磋商小组施加影响的任何行为，都将导致其投标被拒绝。</w:t>
      </w:r>
    </w:p>
    <w:p>
      <w:pPr>
        <w:pStyle w:val="31"/>
        <w:numPr>
          <w:ilvl w:val="255"/>
          <w:numId w:val="0"/>
        </w:numPr>
        <w:tabs>
          <w:tab w:val="left" w:pos="0"/>
          <w:tab w:val="left" w:pos="171"/>
        </w:tabs>
        <w:spacing w:beforeLines="0" w:afterLines="0" w:line="308" w:lineRule="auto"/>
        <w:ind w:left="0" w:leftChars="0" w:firstLine="480" w:firstLineChars="200"/>
        <w:rPr>
          <w:rFonts w:ascii="宋体" w:hAnsi="宋体"/>
          <w:color w:val="auto"/>
          <w:highlight w:val="none"/>
          <w:lang w:bidi="ar"/>
        </w:rPr>
      </w:pPr>
      <w:r>
        <w:rPr>
          <w:rFonts w:hint="eastAsia" w:ascii="宋体" w:hAnsi="宋体"/>
          <w:color w:val="auto"/>
          <w:highlight w:val="none"/>
          <w:lang w:bidi="ar"/>
        </w:rPr>
        <w:t>21.4</w:t>
      </w:r>
      <w:r>
        <w:rPr>
          <w:rFonts w:hint="eastAsia" w:ascii="宋体" w:hAnsi="宋体"/>
          <w:color w:val="auto"/>
          <w:highlight w:val="none"/>
          <w:lang w:val="en-US" w:eastAsia="zh-CN" w:bidi="ar"/>
        </w:rPr>
        <w:t xml:space="preserve"> </w:t>
      </w:r>
      <w:r>
        <w:rPr>
          <w:rFonts w:hint="eastAsia" w:ascii="宋体" w:hAnsi="宋体"/>
          <w:color w:val="auto"/>
          <w:highlight w:val="none"/>
          <w:lang w:bidi="ar"/>
        </w:rPr>
        <w:t>磋商小组对未成交供应商就评标过程以及未能成交原因不作解释。</w:t>
      </w:r>
    </w:p>
    <w:p>
      <w:pPr>
        <w:pStyle w:val="31"/>
        <w:numPr>
          <w:ilvl w:val="255"/>
          <w:numId w:val="0"/>
        </w:numPr>
        <w:tabs>
          <w:tab w:val="left" w:pos="0"/>
          <w:tab w:val="left" w:pos="171"/>
        </w:tabs>
        <w:spacing w:beforeLines="0" w:afterLines="0" w:line="308" w:lineRule="auto"/>
        <w:ind w:left="0" w:leftChars="0" w:firstLine="480" w:firstLineChars="200"/>
        <w:rPr>
          <w:rFonts w:ascii="宋体" w:hAnsi="宋体"/>
          <w:color w:val="auto"/>
          <w:highlight w:val="none"/>
          <w:lang w:bidi="ar"/>
        </w:rPr>
      </w:pPr>
      <w:r>
        <w:rPr>
          <w:rFonts w:hint="eastAsia" w:ascii="宋体" w:hAnsi="宋体"/>
          <w:color w:val="auto"/>
          <w:highlight w:val="none"/>
          <w:lang w:bidi="ar"/>
        </w:rPr>
        <w:t>21.5</w:t>
      </w:r>
      <w:r>
        <w:rPr>
          <w:rFonts w:hint="eastAsia" w:ascii="宋体" w:hAnsi="宋体"/>
          <w:color w:val="auto"/>
          <w:highlight w:val="none"/>
          <w:lang w:val="en-US" w:eastAsia="zh-CN" w:bidi="ar"/>
        </w:rPr>
        <w:t xml:space="preserve"> </w:t>
      </w:r>
      <w:r>
        <w:rPr>
          <w:rFonts w:hint="eastAsia" w:ascii="宋体" w:hAnsi="宋体"/>
          <w:color w:val="auto"/>
          <w:highlight w:val="none"/>
          <w:lang w:bidi="ar"/>
        </w:rPr>
        <w:t>采购人不得在成交供应商确定前，与供应商就投标价格、投标方案等实质性内容进行谈判。</w:t>
      </w:r>
    </w:p>
    <w:p>
      <w:pPr>
        <w:pStyle w:val="31"/>
        <w:numPr>
          <w:ilvl w:val="255"/>
          <w:numId w:val="0"/>
        </w:numPr>
        <w:tabs>
          <w:tab w:val="left" w:pos="0"/>
          <w:tab w:val="left" w:pos="171"/>
        </w:tabs>
        <w:spacing w:beforeLines="0" w:afterLines="0" w:line="308" w:lineRule="auto"/>
        <w:ind w:left="0" w:leftChars="0" w:firstLine="480" w:firstLineChars="200"/>
        <w:rPr>
          <w:rFonts w:ascii="宋体" w:hAnsi="宋体"/>
          <w:color w:val="auto"/>
          <w:highlight w:val="none"/>
          <w:lang w:bidi="ar"/>
        </w:rPr>
      </w:pPr>
      <w:r>
        <w:rPr>
          <w:rFonts w:hint="eastAsia" w:ascii="宋体" w:hAnsi="宋体"/>
          <w:color w:val="auto"/>
          <w:highlight w:val="none"/>
          <w:lang w:bidi="ar"/>
        </w:rPr>
        <w:t>22.</w:t>
      </w:r>
      <w:bookmarkStart w:id="639" w:name="_Toc10615"/>
      <w:bookmarkStart w:id="640" w:name="_Toc503"/>
      <w:bookmarkStart w:id="641" w:name="_Toc20793"/>
      <w:bookmarkStart w:id="642" w:name="_Toc22061"/>
      <w:bookmarkStart w:id="643" w:name="_Toc55"/>
      <w:bookmarkStart w:id="644" w:name="_Toc16938"/>
      <w:bookmarkStart w:id="645" w:name="_Toc12283"/>
      <w:bookmarkStart w:id="646" w:name="_Toc7447"/>
      <w:bookmarkStart w:id="647" w:name="_Toc10572"/>
      <w:bookmarkStart w:id="648" w:name="_Toc21156"/>
      <w:r>
        <w:rPr>
          <w:rFonts w:hint="eastAsia" w:ascii="宋体" w:hAnsi="宋体"/>
          <w:color w:val="auto"/>
          <w:highlight w:val="none"/>
          <w:lang w:bidi="ar"/>
        </w:rPr>
        <w:t>磋商原则和磋商方法</w:t>
      </w:r>
      <w:bookmarkEnd w:id="639"/>
      <w:bookmarkEnd w:id="640"/>
      <w:bookmarkEnd w:id="641"/>
      <w:bookmarkEnd w:id="642"/>
      <w:bookmarkEnd w:id="643"/>
      <w:bookmarkEnd w:id="644"/>
      <w:bookmarkEnd w:id="645"/>
      <w:bookmarkEnd w:id="646"/>
      <w:bookmarkEnd w:id="647"/>
      <w:bookmarkEnd w:id="648"/>
      <w:r>
        <w:rPr>
          <w:rFonts w:hint="eastAsia" w:ascii="宋体" w:hAnsi="宋体"/>
          <w:color w:val="auto"/>
          <w:highlight w:val="none"/>
          <w:lang w:bidi="ar"/>
        </w:rPr>
        <w:t>（详见第四章）。</w:t>
      </w:r>
    </w:p>
    <w:p>
      <w:pPr>
        <w:pStyle w:val="31"/>
        <w:tabs>
          <w:tab w:val="left" w:pos="0"/>
          <w:tab w:val="left" w:pos="171"/>
        </w:tabs>
        <w:spacing w:beforeLines="0" w:afterLines="0" w:line="308" w:lineRule="auto"/>
        <w:ind w:left="0" w:leftChars="0" w:firstLine="480" w:firstLineChars="200"/>
        <w:rPr>
          <w:rFonts w:ascii="宋体" w:hAnsi="宋体"/>
          <w:color w:val="auto"/>
          <w:highlight w:val="none"/>
        </w:rPr>
      </w:pPr>
      <w:r>
        <w:rPr>
          <w:rFonts w:hint="eastAsia" w:ascii="宋体" w:hAnsi="宋体"/>
          <w:color w:val="auto"/>
          <w:highlight w:val="none"/>
          <w:lang w:bidi="ar"/>
        </w:rPr>
        <w:t>23.算术错误将按以下</w:t>
      </w:r>
      <w:r>
        <w:rPr>
          <w:rFonts w:hint="eastAsia" w:ascii="宋体" w:hAnsi="宋体"/>
          <w:color w:val="auto"/>
          <w:highlight w:val="none"/>
        </w:rPr>
        <w:t>方法更正：</w:t>
      </w:r>
    </w:p>
    <w:p>
      <w:pPr>
        <w:spacing w:beforeLines="0" w:afterLines="0" w:line="308" w:lineRule="auto"/>
        <w:ind w:firstLine="0"/>
        <w:rPr>
          <w:rFonts w:ascii="宋体" w:hAnsi="宋体"/>
          <w:color w:val="auto"/>
          <w:highlight w:val="none"/>
        </w:rPr>
      </w:pPr>
      <w:r>
        <w:rPr>
          <w:rFonts w:hint="eastAsia" w:ascii="宋体" w:hAnsi="宋体"/>
          <w:color w:val="auto"/>
          <w:highlight w:val="none"/>
        </w:rPr>
        <w:t>23.1竞争性磋商响应文件中评审一览表(首次报价表)内容与竞争性磋商响应文件中明细表内容不一致的，以评审一览表(首次报价表)为准。</w:t>
      </w:r>
    </w:p>
    <w:p>
      <w:pPr>
        <w:spacing w:beforeLines="0" w:afterLines="0" w:line="308" w:lineRule="auto"/>
        <w:ind w:firstLine="0"/>
        <w:rPr>
          <w:rFonts w:ascii="宋体" w:hAnsi="宋体"/>
          <w:color w:val="auto"/>
          <w:highlight w:val="none"/>
        </w:rPr>
      </w:pPr>
      <w:r>
        <w:rPr>
          <w:rFonts w:hint="eastAsia" w:ascii="宋体" w:hAnsi="宋体"/>
          <w:color w:val="auto"/>
          <w:highlight w:val="none"/>
        </w:rPr>
        <w:t>23.2竞争性磋商响应文件的大写金额和小写金额不一致的，以大写金额为准；总价金额与按单价汇总金额不一致的，以单价金额计算结果为准；对不同文字文本导致竞争性磋商响应文件的解释发生异议的，以中文文本为准。</w:t>
      </w:r>
    </w:p>
    <w:p>
      <w:pPr>
        <w:spacing w:beforeLines="0" w:afterLines="0" w:line="308" w:lineRule="auto"/>
        <w:ind w:firstLine="0"/>
        <w:rPr>
          <w:rFonts w:ascii="宋体" w:hAnsi="宋体"/>
          <w:color w:val="auto"/>
          <w:highlight w:val="none"/>
        </w:rPr>
      </w:pPr>
      <w:r>
        <w:rPr>
          <w:rFonts w:hint="eastAsia" w:ascii="宋体" w:hAnsi="宋体"/>
          <w:color w:val="auto"/>
          <w:highlight w:val="none"/>
        </w:rPr>
        <w:t>23.3如果</w:t>
      </w:r>
      <w:r>
        <w:rPr>
          <w:rFonts w:hint="eastAsia" w:ascii="宋体" w:hAnsi="宋体"/>
          <w:bCs/>
          <w:color w:val="auto"/>
          <w:highlight w:val="none"/>
        </w:rPr>
        <w:t>供应商</w:t>
      </w:r>
      <w:r>
        <w:rPr>
          <w:rFonts w:hint="eastAsia" w:ascii="宋体" w:hAnsi="宋体"/>
          <w:color w:val="auto"/>
          <w:highlight w:val="none"/>
        </w:rPr>
        <w:t>不接受按上述方法对竞争性磋商响应文件中的算术错误进行更正，其磋商响应文件将被否决。</w:t>
      </w:r>
    </w:p>
    <w:p>
      <w:pPr>
        <w:spacing w:beforeLines="0" w:afterLines="0" w:line="308" w:lineRule="auto"/>
        <w:ind w:firstLine="0"/>
        <w:rPr>
          <w:rFonts w:ascii="宋体" w:hAnsi="宋体"/>
          <w:color w:val="auto"/>
          <w:highlight w:val="none"/>
        </w:rPr>
      </w:pPr>
      <w:r>
        <w:rPr>
          <w:rFonts w:hint="eastAsia" w:ascii="宋体" w:hAnsi="宋体"/>
          <w:color w:val="auto"/>
          <w:highlight w:val="none"/>
        </w:rPr>
        <w:t>24.竞争性磋商小组在评审过程中发现供应商存在下列情形之一的，可认定其有串通响应行为，并做出其响应无效的决定：</w:t>
      </w:r>
    </w:p>
    <w:p>
      <w:pPr>
        <w:spacing w:beforeLines="0" w:afterLines="0" w:line="308" w:lineRule="auto"/>
        <w:ind w:firstLine="0"/>
        <w:rPr>
          <w:rFonts w:ascii="宋体" w:hAnsi="宋体"/>
          <w:color w:val="auto"/>
          <w:highlight w:val="none"/>
        </w:rPr>
      </w:pPr>
      <w:r>
        <w:rPr>
          <w:rFonts w:hint="eastAsia" w:ascii="宋体" w:hAnsi="宋体"/>
          <w:color w:val="auto"/>
          <w:highlight w:val="none"/>
        </w:rPr>
        <w:t>24.1不同</w:t>
      </w:r>
      <w:r>
        <w:rPr>
          <w:rFonts w:hint="eastAsia" w:ascii="宋体" w:hAnsi="宋体"/>
          <w:bCs/>
          <w:color w:val="auto"/>
          <w:highlight w:val="none"/>
        </w:rPr>
        <w:t>供应商</w:t>
      </w:r>
      <w:r>
        <w:rPr>
          <w:rFonts w:hint="eastAsia" w:ascii="宋体" w:hAnsi="宋体"/>
          <w:color w:val="auto"/>
          <w:highlight w:val="none"/>
        </w:rPr>
        <w:t>的竞争性磋商响应文件错、漏之处一致或雷同，且不能合理解释的；</w:t>
      </w:r>
    </w:p>
    <w:p>
      <w:pPr>
        <w:spacing w:beforeLines="0" w:afterLines="0" w:line="308" w:lineRule="auto"/>
        <w:ind w:firstLine="0"/>
        <w:rPr>
          <w:rFonts w:ascii="宋体" w:hAnsi="宋体"/>
          <w:color w:val="auto"/>
          <w:highlight w:val="none"/>
        </w:rPr>
      </w:pPr>
      <w:r>
        <w:rPr>
          <w:rFonts w:hint="eastAsia" w:ascii="宋体" w:hAnsi="宋体"/>
          <w:color w:val="auto"/>
          <w:highlight w:val="none"/>
        </w:rPr>
        <w:t>24.2不同的</w:t>
      </w:r>
      <w:r>
        <w:rPr>
          <w:rFonts w:hint="eastAsia" w:ascii="宋体" w:hAnsi="宋体"/>
          <w:bCs/>
          <w:color w:val="auto"/>
          <w:highlight w:val="none"/>
        </w:rPr>
        <w:t>供应商</w:t>
      </w:r>
      <w:r>
        <w:rPr>
          <w:rFonts w:hint="eastAsia" w:ascii="宋体" w:hAnsi="宋体"/>
          <w:color w:val="auto"/>
          <w:highlight w:val="none"/>
        </w:rPr>
        <w:t>的法定代表人、委托代理人等由同一个单位缴纳社会保险的；</w:t>
      </w:r>
    </w:p>
    <w:p>
      <w:pPr>
        <w:spacing w:beforeLines="0" w:afterLines="0" w:line="308" w:lineRule="auto"/>
        <w:ind w:firstLine="0"/>
        <w:rPr>
          <w:rFonts w:ascii="宋体" w:hAnsi="宋体"/>
          <w:color w:val="auto"/>
          <w:highlight w:val="none"/>
        </w:rPr>
      </w:pPr>
      <w:r>
        <w:rPr>
          <w:rFonts w:hint="eastAsia" w:ascii="宋体" w:hAnsi="宋体"/>
          <w:color w:val="auto"/>
          <w:highlight w:val="none"/>
        </w:rPr>
        <w:t>24.3有关</w:t>
      </w:r>
      <w:r>
        <w:rPr>
          <w:rFonts w:hint="eastAsia" w:ascii="宋体" w:hAnsi="宋体"/>
          <w:color w:val="auto"/>
          <w:highlight w:val="none"/>
          <w:lang w:eastAsia="zh-CN"/>
        </w:rPr>
        <w:t>法律法规</w:t>
      </w:r>
      <w:r>
        <w:rPr>
          <w:rFonts w:hint="eastAsia" w:ascii="宋体" w:hAnsi="宋体"/>
          <w:color w:val="auto"/>
          <w:highlight w:val="none"/>
        </w:rPr>
        <w:t>或规章规定的其他串通磋商活动的行为。</w:t>
      </w:r>
    </w:p>
    <w:p>
      <w:pPr>
        <w:spacing w:beforeLines="0" w:afterLines="0" w:line="308" w:lineRule="auto"/>
        <w:ind w:firstLine="0"/>
        <w:rPr>
          <w:rFonts w:ascii="宋体" w:hAnsi="宋体"/>
          <w:color w:val="auto"/>
          <w:highlight w:val="none"/>
        </w:rPr>
      </w:pPr>
      <w:r>
        <w:rPr>
          <w:rFonts w:hint="eastAsia" w:ascii="宋体" w:hAnsi="宋体"/>
          <w:color w:val="auto"/>
          <w:highlight w:val="none"/>
        </w:rPr>
        <w:t>25.竞争性磋商响应文件的澄清</w:t>
      </w:r>
    </w:p>
    <w:p>
      <w:pPr>
        <w:pStyle w:val="31"/>
        <w:numPr>
          <w:ilvl w:val="255"/>
          <w:numId w:val="0"/>
        </w:numPr>
        <w:tabs>
          <w:tab w:val="left" w:pos="0"/>
          <w:tab w:val="left" w:pos="171"/>
        </w:tabs>
        <w:spacing w:beforeLines="0" w:afterLines="0" w:line="308" w:lineRule="auto"/>
        <w:ind w:firstLine="480" w:firstLineChars="200"/>
        <w:rPr>
          <w:rFonts w:ascii="宋体" w:hAnsi="宋体"/>
          <w:color w:val="auto"/>
          <w:highlight w:val="none"/>
          <w:lang w:bidi="ar"/>
        </w:rPr>
      </w:pPr>
      <w:r>
        <w:rPr>
          <w:rFonts w:hint="eastAsia" w:ascii="宋体" w:hAnsi="宋体"/>
          <w:color w:val="auto"/>
          <w:highlight w:val="none"/>
          <w:lang w:bidi="ar"/>
        </w:rPr>
        <w:t>25.1为有助于磋商响应文件的审查、评价和比较，</w:t>
      </w:r>
      <w:r>
        <w:rPr>
          <w:rFonts w:hint="eastAsia" w:ascii="宋体" w:hAnsi="宋体"/>
          <w:color w:val="auto"/>
          <w:highlight w:val="none"/>
          <w:lang w:eastAsia="zh-CN" w:bidi="ar"/>
        </w:rPr>
        <w:t>磋商小组</w:t>
      </w:r>
      <w:r>
        <w:rPr>
          <w:rFonts w:hint="eastAsia" w:ascii="宋体" w:hAnsi="宋体"/>
          <w:color w:val="auto"/>
          <w:highlight w:val="none"/>
          <w:lang w:bidi="ar"/>
        </w:rPr>
        <w:t>可以通过衢州市公共资源电子交易平台要求供应商对磋商响应文件含义不明确的内容作必要的澄清或者说明。供应商通过该平台作出澄清回复，澄清回复时间不得超过在发出通知后15分钟，供应商逾期或未按要求澄清回复的，将视为不予回复或确认，</w:t>
      </w:r>
      <w:r>
        <w:rPr>
          <w:rFonts w:hint="eastAsia" w:ascii="宋体" w:hAnsi="宋体"/>
          <w:color w:val="auto"/>
          <w:highlight w:val="none"/>
          <w:lang w:eastAsia="zh-CN" w:bidi="ar"/>
        </w:rPr>
        <w:t>磋商小组</w:t>
      </w:r>
      <w:r>
        <w:rPr>
          <w:rFonts w:hint="eastAsia" w:ascii="宋体" w:hAnsi="宋体"/>
          <w:color w:val="auto"/>
          <w:highlight w:val="none"/>
          <w:lang w:bidi="ar"/>
        </w:rPr>
        <w:t>有权否决其投标。供应商通讯不畅通，导致不能及时联系的，视</w:t>
      </w:r>
      <w:r>
        <w:rPr>
          <w:rFonts w:hint="eastAsia" w:ascii="宋体" w:hAnsi="宋体"/>
          <w:color w:val="auto"/>
          <w:highlight w:val="none"/>
          <w:lang w:eastAsia="zh-CN" w:bidi="ar"/>
        </w:rPr>
        <w:t>为</w:t>
      </w:r>
      <w:r>
        <w:rPr>
          <w:rFonts w:hint="eastAsia" w:ascii="宋体" w:hAnsi="宋体"/>
          <w:color w:val="auto"/>
          <w:highlight w:val="none"/>
          <w:lang w:bidi="ar"/>
        </w:rPr>
        <w:t>供应商不予回复或确认。</w:t>
      </w:r>
      <w:r>
        <w:rPr>
          <w:rFonts w:hint="eastAsia" w:ascii="宋体" w:hAnsi="宋体"/>
          <w:color w:val="auto"/>
          <w:highlight w:val="none"/>
          <w:lang w:eastAsia="zh-CN" w:bidi="ar"/>
        </w:rPr>
        <w:t>磋商小组</w:t>
      </w:r>
      <w:r>
        <w:rPr>
          <w:rFonts w:hint="eastAsia" w:ascii="宋体" w:hAnsi="宋体"/>
          <w:color w:val="auto"/>
          <w:highlight w:val="none"/>
          <w:lang w:bidi="ar"/>
        </w:rPr>
        <w:t>对供应商提交的澄清、说明或补正有疑问的，可以要求供应商进一步澄清、说明或补正，直至满足</w:t>
      </w:r>
      <w:r>
        <w:rPr>
          <w:rFonts w:hint="eastAsia" w:ascii="宋体" w:hAnsi="宋体"/>
          <w:color w:val="auto"/>
          <w:highlight w:val="none"/>
          <w:lang w:eastAsia="zh-CN" w:bidi="ar"/>
        </w:rPr>
        <w:t>磋商小组</w:t>
      </w:r>
      <w:r>
        <w:rPr>
          <w:rFonts w:hint="eastAsia" w:ascii="宋体" w:hAnsi="宋体"/>
          <w:color w:val="auto"/>
          <w:highlight w:val="none"/>
          <w:lang w:bidi="ar"/>
        </w:rPr>
        <w:t>的要求。</w:t>
      </w:r>
    </w:p>
    <w:p>
      <w:pPr>
        <w:pStyle w:val="31"/>
        <w:numPr>
          <w:ilvl w:val="255"/>
          <w:numId w:val="0"/>
        </w:numPr>
        <w:tabs>
          <w:tab w:val="left" w:pos="0"/>
          <w:tab w:val="left" w:pos="171"/>
        </w:tabs>
        <w:spacing w:beforeLines="0" w:afterLines="0" w:line="308" w:lineRule="auto"/>
        <w:ind w:firstLine="480" w:firstLineChars="200"/>
        <w:rPr>
          <w:rFonts w:ascii="宋体" w:hAnsi="宋体"/>
          <w:color w:val="auto"/>
          <w:highlight w:val="none"/>
          <w:lang w:bidi="ar"/>
        </w:rPr>
      </w:pPr>
      <w:r>
        <w:rPr>
          <w:rFonts w:hint="eastAsia" w:ascii="宋体" w:hAnsi="宋体"/>
          <w:color w:val="auto"/>
          <w:highlight w:val="none"/>
          <w:lang w:bidi="ar"/>
        </w:rPr>
        <w:t>25.2澄清将作为投标内容的一部分，供应商对磋商响应文件的澄清或说明不得超出磋商响应文件的范围或改变磋商响应文件的实质性的内容。凡属于</w:t>
      </w:r>
      <w:r>
        <w:rPr>
          <w:rFonts w:hint="eastAsia" w:ascii="宋体" w:hAnsi="宋体"/>
          <w:color w:val="auto"/>
          <w:highlight w:val="none"/>
          <w:lang w:eastAsia="zh-CN" w:bidi="ar"/>
        </w:rPr>
        <w:t>磋商小组</w:t>
      </w:r>
      <w:r>
        <w:rPr>
          <w:rFonts w:hint="eastAsia" w:ascii="宋体" w:hAnsi="宋体"/>
          <w:color w:val="auto"/>
          <w:highlight w:val="none"/>
          <w:lang w:bidi="ar"/>
        </w:rPr>
        <w:t>在评标中发现的计算错误并进行核实的修改不在此列。</w:t>
      </w:r>
    </w:p>
    <w:p>
      <w:pPr>
        <w:pStyle w:val="31"/>
        <w:numPr>
          <w:ilvl w:val="255"/>
          <w:numId w:val="0"/>
        </w:numPr>
        <w:tabs>
          <w:tab w:val="left" w:pos="0"/>
          <w:tab w:val="left" w:pos="171"/>
        </w:tabs>
        <w:spacing w:beforeLines="0" w:afterLines="0" w:line="308" w:lineRule="auto"/>
        <w:ind w:firstLine="480" w:firstLineChars="200"/>
        <w:rPr>
          <w:rFonts w:ascii="宋体" w:hAnsi="宋体"/>
          <w:color w:val="auto"/>
          <w:highlight w:val="none"/>
          <w:lang w:bidi="ar"/>
        </w:rPr>
      </w:pPr>
      <w:r>
        <w:rPr>
          <w:rFonts w:hint="eastAsia" w:ascii="宋体" w:hAnsi="宋体"/>
          <w:color w:val="auto"/>
          <w:highlight w:val="none"/>
          <w:lang w:bidi="ar"/>
        </w:rPr>
        <w:t>25.3</w:t>
      </w:r>
      <w:r>
        <w:rPr>
          <w:rFonts w:hint="eastAsia" w:ascii="宋体" w:hAnsi="宋体"/>
          <w:color w:val="auto"/>
          <w:highlight w:val="none"/>
          <w:lang w:eastAsia="zh-CN" w:bidi="ar"/>
        </w:rPr>
        <w:t>磋商小组</w:t>
      </w:r>
      <w:r>
        <w:rPr>
          <w:rFonts w:hint="eastAsia" w:ascii="宋体" w:hAnsi="宋体"/>
          <w:color w:val="auto"/>
          <w:highlight w:val="none"/>
          <w:lang w:bidi="ar"/>
        </w:rPr>
        <w:t>对磋商响应文件修正原则：用数字表示的数额与用文字表示的数额不一致时，以文字数额为准；单价与数量的乘积与总价之间不一致时，以单价为准，但单价有明显的小数点错位的，以总价为准，并修改单价。</w:t>
      </w:r>
    </w:p>
    <w:p>
      <w:pPr>
        <w:pStyle w:val="31"/>
        <w:numPr>
          <w:ilvl w:val="255"/>
          <w:numId w:val="0"/>
        </w:numPr>
        <w:tabs>
          <w:tab w:val="left" w:pos="0"/>
          <w:tab w:val="left" w:pos="171"/>
        </w:tabs>
        <w:spacing w:beforeLines="0" w:afterLines="0" w:line="308" w:lineRule="auto"/>
        <w:ind w:firstLine="480" w:firstLineChars="200"/>
        <w:rPr>
          <w:rFonts w:ascii="宋体" w:hAnsi="宋体"/>
          <w:color w:val="auto"/>
          <w:highlight w:val="none"/>
          <w:lang w:bidi="ar"/>
        </w:rPr>
      </w:pPr>
      <w:r>
        <w:rPr>
          <w:rFonts w:hint="eastAsia" w:ascii="宋体" w:hAnsi="宋体"/>
          <w:color w:val="auto"/>
          <w:highlight w:val="none"/>
          <w:lang w:bidi="ar"/>
        </w:rPr>
        <w:t>25.4供应商拒不按照要求对磋商响应文件进行澄清、说明或者补正的，</w:t>
      </w:r>
      <w:r>
        <w:rPr>
          <w:rFonts w:hint="eastAsia" w:ascii="宋体" w:hAnsi="宋体"/>
          <w:color w:val="auto"/>
          <w:highlight w:val="none"/>
          <w:lang w:eastAsia="zh-CN" w:bidi="ar"/>
        </w:rPr>
        <w:t>磋商小组</w:t>
      </w:r>
      <w:r>
        <w:rPr>
          <w:rFonts w:hint="eastAsia" w:ascii="宋体" w:hAnsi="宋体"/>
          <w:color w:val="auto"/>
          <w:highlight w:val="none"/>
          <w:lang w:bidi="ar"/>
        </w:rPr>
        <w:t>可以否决其投标。</w:t>
      </w:r>
    </w:p>
    <w:p>
      <w:pPr>
        <w:spacing w:beforeLines="0" w:afterLines="0" w:line="308" w:lineRule="auto"/>
        <w:ind w:firstLine="0"/>
        <w:rPr>
          <w:rFonts w:ascii="宋体" w:hAnsi="宋体"/>
          <w:color w:val="auto"/>
          <w:highlight w:val="none"/>
        </w:rPr>
      </w:pPr>
      <w:r>
        <w:rPr>
          <w:rFonts w:hint="eastAsia" w:ascii="宋体" w:hAnsi="宋体"/>
          <w:color w:val="auto"/>
          <w:highlight w:val="none"/>
        </w:rPr>
        <w:t>26.比较与评审</w:t>
      </w:r>
    </w:p>
    <w:p>
      <w:pPr>
        <w:spacing w:beforeLines="0" w:afterLines="0" w:line="308" w:lineRule="auto"/>
        <w:ind w:firstLine="0"/>
        <w:rPr>
          <w:rFonts w:ascii="宋体" w:hAnsi="宋体"/>
          <w:color w:val="auto"/>
          <w:highlight w:val="none"/>
        </w:rPr>
      </w:pPr>
      <w:r>
        <w:rPr>
          <w:rFonts w:hint="eastAsia" w:ascii="宋体" w:hAnsi="宋体"/>
          <w:color w:val="auto"/>
          <w:highlight w:val="none"/>
        </w:rPr>
        <w:t>26.1磋商小组将按竞争性磋商文件第四章规定的磋商原则和磋商方法，对资格性检查和符合性检查合格的竞争性磋商响应文件进行资信商务技术部分和报价部分详细评审，进行综合打分。</w:t>
      </w:r>
    </w:p>
    <w:p>
      <w:pPr>
        <w:spacing w:beforeLines="0" w:afterLines="0" w:line="308" w:lineRule="auto"/>
        <w:ind w:firstLine="0"/>
        <w:rPr>
          <w:rFonts w:ascii="宋体" w:hAnsi="宋体"/>
          <w:color w:val="auto"/>
          <w:highlight w:val="none"/>
        </w:rPr>
      </w:pPr>
      <w:r>
        <w:rPr>
          <w:rFonts w:hint="eastAsia" w:ascii="宋体" w:hAnsi="宋体"/>
          <w:color w:val="auto"/>
          <w:highlight w:val="none"/>
        </w:rPr>
        <w:t>26.2若</w:t>
      </w:r>
      <w:r>
        <w:rPr>
          <w:rFonts w:hint="eastAsia" w:ascii="宋体" w:hAnsi="宋体"/>
          <w:bCs/>
          <w:color w:val="auto"/>
          <w:highlight w:val="none"/>
        </w:rPr>
        <w:t>供应商</w:t>
      </w:r>
      <w:r>
        <w:rPr>
          <w:rFonts w:hint="eastAsia" w:ascii="宋体" w:hAnsi="宋体"/>
          <w:color w:val="auto"/>
          <w:highlight w:val="none"/>
        </w:rPr>
        <w:t>的报价明显低于其他报价，使得其项目报价可能低于其个别成本的，有可能影响服务质量或诚信履约的，</w:t>
      </w:r>
      <w:r>
        <w:rPr>
          <w:rFonts w:hint="eastAsia" w:ascii="宋体" w:hAnsi="宋体"/>
          <w:bCs/>
          <w:color w:val="auto"/>
          <w:highlight w:val="none"/>
        </w:rPr>
        <w:t>供应商</w:t>
      </w:r>
      <w:r>
        <w:rPr>
          <w:rFonts w:hint="eastAsia" w:ascii="宋体" w:hAnsi="宋体"/>
          <w:color w:val="auto"/>
          <w:highlight w:val="none"/>
        </w:rPr>
        <w:t>应按磋商小组要求作出书面说明并提供相关证明材料，否则其响应文件将被否决。</w:t>
      </w:r>
    </w:p>
    <w:p>
      <w:pPr>
        <w:spacing w:beforeLines="0" w:afterLines="0" w:line="308" w:lineRule="auto"/>
        <w:ind w:firstLine="0"/>
        <w:rPr>
          <w:rFonts w:ascii="宋体" w:hAnsi="宋体"/>
          <w:color w:val="auto"/>
          <w:highlight w:val="none"/>
        </w:rPr>
      </w:pPr>
      <w:r>
        <w:rPr>
          <w:rFonts w:hint="eastAsia" w:ascii="宋体" w:hAnsi="宋体"/>
          <w:color w:val="auto"/>
          <w:highlight w:val="none"/>
        </w:rPr>
        <w:t>26.3</w:t>
      </w:r>
      <w:r>
        <w:rPr>
          <w:rFonts w:hint="eastAsia" w:ascii="宋体" w:hAnsi="宋体"/>
          <w:bCs/>
          <w:color w:val="auto"/>
          <w:kern w:val="0"/>
          <w:highlight w:val="none"/>
        </w:rPr>
        <w:t>磋商小组应当从质量和规格均能满足竞争性磋商文件实质性要求的供应商中，按照综合得分由高到低的顺序推荐3名成交候选人。</w:t>
      </w:r>
    </w:p>
    <w:p>
      <w:pPr>
        <w:pStyle w:val="4"/>
        <w:numPr>
          <w:ilvl w:val="1"/>
          <w:numId w:val="0"/>
        </w:numPr>
        <w:spacing w:beforeLines="0" w:afterLines="0" w:line="308" w:lineRule="auto"/>
        <w:ind w:firstLine="0"/>
        <w:rPr>
          <w:rFonts w:ascii="宋体" w:hAnsi="宋体"/>
          <w:b/>
          <w:bCs w:val="0"/>
          <w:color w:val="auto"/>
          <w:highlight w:val="none"/>
          <w:lang w:bidi="ar"/>
        </w:rPr>
      </w:pPr>
      <w:bookmarkStart w:id="649" w:name="_Toc8132"/>
      <w:bookmarkStart w:id="650" w:name="_Toc26225"/>
      <w:bookmarkStart w:id="651" w:name="_Toc18868"/>
      <w:bookmarkStart w:id="652" w:name="_Toc13658"/>
      <w:bookmarkStart w:id="653" w:name="_Toc2177"/>
      <w:bookmarkStart w:id="654" w:name="_Toc3563"/>
      <w:bookmarkStart w:id="655" w:name="_Toc29322"/>
      <w:bookmarkStart w:id="656" w:name="_Toc14206"/>
      <w:bookmarkStart w:id="657" w:name="_Toc7529"/>
      <w:bookmarkStart w:id="658" w:name="_Toc18454"/>
      <w:bookmarkStart w:id="659" w:name="_Toc25727"/>
      <w:bookmarkStart w:id="660" w:name="_Toc26716"/>
      <w:bookmarkStart w:id="661" w:name="_Toc31543"/>
      <w:bookmarkStart w:id="662" w:name="_Toc16516"/>
      <w:bookmarkStart w:id="663" w:name="_Toc30939"/>
      <w:bookmarkStart w:id="664" w:name="_Toc25658"/>
      <w:bookmarkStart w:id="665" w:name="_Toc10965"/>
      <w:bookmarkStart w:id="666" w:name="_Toc8659"/>
      <w:bookmarkStart w:id="667" w:name="_Toc22739"/>
      <w:bookmarkStart w:id="668" w:name="_Toc20488"/>
      <w:bookmarkStart w:id="669" w:name="_Toc31962"/>
      <w:bookmarkStart w:id="670" w:name="_Toc5989"/>
      <w:bookmarkStart w:id="671" w:name="_Toc1242"/>
      <w:bookmarkStart w:id="672" w:name="_Toc19436"/>
      <w:bookmarkStart w:id="673" w:name="_Toc15294"/>
      <w:bookmarkStart w:id="674" w:name="_Toc8879"/>
      <w:bookmarkStart w:id="675" w:name="_Toc319"/>
      <w:bookmarkStart w:id="676" w:name="_Toc20933"/>
      <w:bookmarkStart w:id="677" w:name="_Toc826"/>
      <w:bookmarkStart w:id="678" w:name="_Toc27033"/>
      <w:bookmarkStart w:id="679" w:name="_Toc4433"/>
      <w:bookmarkStart w:id="680" w:name="_Toc13611"/>
      <w:bookmarkStart w:id="681" w:name="_Toc9974"/>
      <w:bookmarkStart w:id="682" w:name="_Toc27820"/>
      <w:bookmarkStart w:id="683" w:name="_Toc24664"/>
      <w:bookmarkStart w:id="684" w:name="_Toc17604"/>
      <w:bookmarkStart w:id="685" w:name="_Toc27036"/>
      <w:bookmarkStart w:id="686" w:name="_Toc4715"/>
      <w:bookmarkStart w:id="687" w:name="_Toc7610"/>
      <w:bookmarkStart w:id="688" w:name="_Toc391298960"/>
      <w:r>
        <w:rPr>
          <w:rFonts w:hint="eastAsia" w:ascii="宋体" w:hAnsi="宋体"/>
          <w:b/>
          <w:bCs w:val="0"/>
          <w:color w:val="auto"/>
          <w:highlight w:val="none"/>
          <w:lang w:bidi="ar"/>
        </w:rPr>
        <w:t>八、电子投标说明</w:t>
      </w:r>
      <w:bookmarkEnd w:id="649"/>
      <w:bookmarkEnd w:id="650"/>
      <w:bookmarkEnd w:id="651"/>
    </w:p>
    <w:p>
      <w:pPr>
        <w:pStyle w:val="31"/>
        <w:numPr>
          <w:ilvl w:val="255"/>
          <w:numId w:val="0"/>
        </w:numPr>
        <w:tabs>
          <w:tab w:val="left" w:pos="0"/>
        </w:tabs>
        <w:spacing w:beforeLines="0" w:afterLines="0" w:line="308" w:lineRule="auto"/>
        <w:ind w:firstLine="480" w:firstLineChars="200"/>
        <w:rPr>
          <w:rFonts w:ascii="宋体" w:hAnsi="宋体"/>
          <w:color w:val="auto"/>
          <w:highlight w:val="none"/>
          <w:lang w:bidi="ar"/>
        </w:rPr>
      </w:pPr>
      <w:r>
        <w:rPr>
          <w:rFonts w:hint="eastAsia" w:ascii="宋体" w:hAnsi="宋体"/>
          <w:color w:val="auto"/>
          <w:highlight w:val="none"/>
          <w:lang w:bidi="ar"/>
        </w:rPr>
        <w:t>27.供应商应检查标书完整性和有效性，确保电子磋商响应文件能否正常打开解密。开标时，以电子交易平台上传规定格式的电子磋商响应文件为正本。</w:t>
      </w:r>
    </w:p>
    <w:p>
      <w:pPr>
        <w:pStyle w:val="31"/>
        <w:numPr>
          <w:ilvl w:val="255"/>
          <w:numId w:val="0"/>
        </w:numPr>
        <w:tabs>
          <w:tab w:val="left" w:pos="0"/>
        </w:tabs>
        <w:spacing w:beforeLines="0" w:afterLines="0" w:line="308" w:lineRule="auto"/>
        <w:ind w:firstLine="480" w:firstLineChars="200"/>
        <w:rPr>
          <w:rFonts w:ascii="宋体" w:hAnsi="宋体"/>
          <w:color w:val="auto"/>
          <w:highlight w:val="none"/>
          <w:lang w:bidi="ar"/>
        </w:rPr>
      </w:pPr>
      <w:r>
        <w:rPr>
          <w:rFonts w:hint="eastAsia" w:ascii="宋体" w:hAnsi="宋体"/>
          <w:color w:val="auto"/>
          <w:highlight w:val="none"/>
          <w:lang w:bidi="ar"/>
        </w:rPr>
        <w:t>28.磋商响应文件相应要求盖章处应按要求使用CA加盖单位</w:t>
      </w:r>
      <w:r>
        <w:rPr>
          <w:rFonts w:hint="eastAsia" w:ascii="宋体" w:hAnsi="宋体"/>
          <w:color w:val="auto"/>
          <w:highlight w:val="none"/>
          <w:lang w:eastAsia="zh-CN" w:bidi="ar"/>
        </w:rPr>
        <w:t>电子公章</w:t>
      </w:r>
      <w:r>
        <w:rPr>
          <w:rFonts w:hint="eastAsia" w:ascii="宋体" w:hAnsi="宋体"/>
          <w:color w:val="auto"/>
          <w:highlight w:val="none"/>
          <w:lang w:bidi="ar"/>
        </w:rPr>
        <w:t>和法定代表人电子章。</w:t>
      </w:r>
    </w:p>
    <w:p>
      <w:pPr>
        <w:pStyle w:val="4"/>
        <w:numPr>
          <w:ilvl w:val="255"/>
          <w:numId w:val="0"/>
        </w:numPr>
        <w:spacing w:beforeLines="0" w:afterLines="0" w:line="308" w:lineRule="auto"/>
        <w:ind w:firstLine="0"/>
        <w:rPr>
          <w:rFonts w:ascii="宋体" w:hAnsi="宋体"/>
          <w:b/>
          <w:bCs w:val="0"/>
          <w:color w:val="auto"/>
          <w:sz w:val="28"/>
          <w:szCs w:val="28"/>
          <w:highlight w:val="none"/>
          <w:lang w:bidi="ar"/>
        </w:rPr>
      </w:pPr>
      <w:bookmarkStart w:id="689" w:name="_Toc31863"/>
      <w:bookmarkStart w:id="690" w:name="_Toc361338280"/>
      <w:bookmarkStart w:id="691" w:name="_Toc152045574"/>
      <w:bookmarkStart w:id="692" w:name="_Toc152042350"/>
      <w:bookmarkStart w:id="693" w:name="_Toc11697"/>
      <w:bookmarkStart w:id="694" w:name="_Toc144974542"/>
      <w:bookmarkStart w:id="695" w:name="_Toc506120286"/>
      <w:bookmarkStart w:id="696" w:name="_Toc16889"/>
      <w:r>
        <w:rPr>
          <w:rFonts w:hint="eastAsia" w:ascii="宋体" w:hAnsi="宋体"/>
          <w:b/>
          <w:bCs w:val="0"/>
          <w:color w:val="auto"/>
          <w:sz w:val="28"/>
          <w:szCs w:val="28"/>
          <w:highlight w:val="none"/>
          <w:lang w:bidi="ar"/>
        </w:rPr>
        <w:t>九、纪律和监督</w:t>
      </w:r>
      <w:bookmarkEnd w:id="689"/>
      <w:bookmarkEnd w:id="690"/>
      <w:bookmarkEnd w:id="691"/>
      <w:bookmarkEnd w:id="692"/>
      <w:bookmarkEnd w:id="693"/>
      <w:bookmarkEnd w:id="694"/>
      <w:bookmarkEnd w:id="695"/>
      <w:bookmarkEnd w:id="696"/>
    </w:p>
    <w:p>
      <w:pPr>
        <w:pStyle w:val="31"/>
        <w:numPr>
          <w:ilvl w:val="255"/>
          <w:numId w:val="0"/>
        </w:numPr>
        <w:tabs>
          <w:tab w:val="left" w:pos="0"/>
        </w:tabs>
        <w:spacing w:beforeLines="0" w:afterLines="0" w:line="308" w:lineRule="auto"/>
        <w:ind w:left="0" w:leftChars="0" w:firstLine="480" w:firstLineChars="200"/>
        <w:rPr>
          <w:rFonts w:ascii="宋体" w:hAnsi="宋体"/>
          <w:color w:val="auto"/>
          <w:highlight w:val="none"/>
          <w:lang w:bidi="ar"/>
        </w:rPr>
      </w:pPr>
      <w:bookmarkStart w:id="697" w:name="_Toc27650"/>
      <w:bookmarkStart w:id="698" w:name="_Toc361338281"/>
      <w:bookmarkStart w:id="699" w:name="_Toc506120287"/>
      <w:bookmarkStart w:id="700" w:name="_Toc144974543"/>
      <w:bookmarkStart w:id="701" w:name="_Toc506120434"/>
      <w:bookmarkStart w:id="702" w:name="_Toc152045575"/>
      <w:bookmarkStart w:id="703" w:name="_Toc152042351"/>
      <w:r>
        <w:rPr>
          <w:rFonts w:hint="eastAsia" w:ascii="宋体" w:hAnsi="宋体"/>
          <w:color w:val="auto"/>
          <w:highlight w:val="none"/>
          <w:lang w:bidi="ar"/>
        </w:rPr>
        <w:t>29.对采购人的纪律要求</w:t>
      </w:r>
      <w:bookmarkEnd w:id="697"/>
      <w:bookmarkEnd w:id="698"/>
      <w:bookmarkEnd w:id="699"/>
      <w:bookmarkEnd w:id="700"/>
      <w:bookmarkEnd w:id="701"/>
      <w:bookmarkEnd w:id="702"/>
      <w:bookmarkEnd w:id="703"/>
    </w:p>
    <w:p>
      <w:pPr>
        <w:wordWrap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采购人不得</w:t>
      </w:r>
      <w:r>
        <w:rPr>
          <w:rFonts w:hint="eastAsia" w:ascii="宋体" w:hAnsi="宋体"/>
          <w:color w:val="auto"/>
          <w:highlight w:val="none"/>
          <w:lang w:eastAsia="zh-CN"/>
        </w:rPr>
        <w:t>泄露</w:t>
      </w:r>
      <w:r>
        <w:rPr>
          <w:rFonts w:hint="eastAsia" w:ascii="宋体" w:hAnsi="宋体"/>
          <w:color w:val="auto"/>
          <w:highlight w:val="none"/>
        </w:rPr>
        <w:t>招标投标活动中应当保密的情况和资料，不得与供应商串通损害国家利益、社会公共利益或者他人合法权益。</w:t>
      </w:r>
    </w:p>
    <w:p>
      <w:pPr>
        <w:pStyle w:val="31"/>
        <w:numPr>
          <w:ilvl w:val="255"/>
          <w:numId w:val="0"/>
        </w:numPr>
        <w:tabs>
          <w:tab w:val="left" w:pos="0"/>
        </w:tabs>
        <w:spacing w:beforeLines="0" w:afterLines="0" w:line="308" w:lineRule="auto"/>
        <w:ind w:left="0" w:leftChars="0" w:firstLine="480" w:firstLineChars="200"/>
        <w:rPr>
          <w:rFonts w:ascii="宋体" w:hAnsi="宋体"/>
          <w:color w:val="auto"/>
          <w:highlight w:val="none"/>
          <w:lang w:bidi="ar"/>
        </w:rPr>
      </w:pPr>
      <w:bookmarkStart w:id="704" w:name="_Toc506120435"/>
      <w:bookmarkStart w:id="705" w:name="_Toc144974544"/>
      <w:bookmarkStart w:id="706" w:name="_Toc152042352"/>
      <w:bookmarkStart w:id="707" w:name="_Toc361338282"/>
      <w:bookmarkStart w:id="708" w:name="_Toc506120288"/>
      <w:bookmarkStart w:id="709" w:name="_Toc152045576"/>
      <w:bookmarkStart w:id="710" w:name="_Toc31664"/>
      <w:r>
        <w:rPr>
          <w:rFonts w:hint="eastAsia" w:ascii="宋体" w:hAnsi="宋体"/>
          <w:color w:val="auto"/>
          <w:highlight w:val="none"/>
          <w:lang w:bidi="ar"/>
        </w:rPr>
        <w:t>30.对供应商的纪律要求</w:t>
      </w:r>
      <w:bookmarkEnd w:id="704"/>
      <w:bookmarkEnd w:id="705"/>
      <w:bookmarkEnd w:id="706"/>
      <w:bookmarkEnd w:id="707"/>
      <w:bookmarkEnd w:id="708"/>
      <w:bookmarkEnd w:id="709"/>
      <w:bookmarkEnd w:id="710"/>
    </w:p>
    <w:p>
      <w:pPr>
        <w:wordWrap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供应商不得相互串通投标或者与采购人串通投标，不得向采购人或者磋商小组行贿谋取中标，不得以他人名义投标或者以其他方式弄虚作假骗取中标；供应商不得以任何方式干扰、影响评标工作。</w:t>
      </w:r>
    </w:p>
    <w:p>
      <w:pPr>
        <w:pStyle w:val="31"/>
        <w:numPr>
          <w:ilvl w:val="255"/>
          <w:numId w:val="0"/>
        </w:numPr>
        <w:tabs>
          <w:tab w:val="left" w:pos="0"/>
        </w:tabs>
        <w:spacing w:beforeLines="0" w:afterLines="0" w:line="308" w:lineRule="auto"/>
        <w:ind w:left="0" w:leftChars="0" w:firstLine="480" w:firstLineChars="200"/>
        <w:rPr>
          <w:rFonts w:ascii="宋体" w:hAnsi="宋体"/>
          <w:color w:val="auto"/>
          <w:highlight w:val="none"/>
          <w:lang w:bidi="ar"/>
        </w:rPr>
      </w:pPr>
      <w:bookmarkStart w:id="711" w:name="_Toc152045577"/>
      <w:bookmarkStart w:id="712" w:name="_Toc361338283"/>
      <w:bookmarkStart w:id="713" w:name="_Toc144974545"/>
      <w:bookmarkStart w:id="714" w:name="_Toc152042353"/>
      <w:bookmarkStart w:id="715" w:name="_Toc506120436"/>
      <w:bookmarkStart w:id="716" w:name="_Toc506120289"/>
      <w:r>
        <w:rPr>
          <w:rFonts w:hint="eastAsia" w:ascii="宋体" w:hAnsi="宋体"/>
          <w:color w:val="auto"/>
          <w:highlight w:val="none"/>
          <w:lang w:bidi="ar"/>
        </w:rPr>
        <w:t>31.对磋商小组的纪律要求</w:t>
      </w:r>
      <w:bookmarkEnd w:id="711"/>
      <w:bookmarkEnd w:id="712"/>
      <w:bookmarkEnd w:id="713"/>
      <w:bookmarkEnd w:id="714"/>
      <w:bookmarkEnd w:id="715"/>
      <w:bookmarkEnd w:id="716"/>
    </w:p>
    <w:p>
      <w:pPr>
        <w:pStyle w:val="3"/>
        <w:spacing w:beforeLines="0" w:afterLines="0" w:line="308" w:lineRule="auto"/>
        <w:ind w:firstLine="0"/>
        <w:jc w:val="left"/>
        <w:rPr>
          <w:rFonts w:ascii="宋体" w:hAnsi="宋体"/>
          <w:b w:val="0"/>
          <w:color w:val="auto"/>
          <w:sz w:val="24"/>
          <w:szCs w:val="24"/>
          <w:highlight w:val="none"/>
        </w:rPr>
      </w:pPr>
      <w:bookmarkStart w:id="717" w:name="_Toc17362"/>
      <w:bookmarkStart w:id="718" w:name="_Toc6081"/>
      <w:bookmarkStart w:id="719" w:name="_Toc2331"/>
      <w:bookmarkStart w:id="720" w:name="_Toc10190"/>
      <w:bookmarkStart w:id="721" w:name="_Toc24477"/>
      <w:bookmarkStart w:id="722" w:name="_Toc18167"/>
      <w:bookmarkStart w:id="723" w:name="_Toc28727"/>
      <w:r>
        <w:rPr>
          <w:rFonts w:hint="eastAsia" w:ascii="宋体" w:hAnsi="宋体"/>
          <w:b w:val="0"/>
          <w:color w:val="auto"/>
          <w:sz w:val="24"/>
          <w:szCs w:val="24"/>
          <w:highlight w:val="none"/>
        </w:rPr>
        <w:t>磋商小组不得收受他人的财物或者其他好处，不得向他人</w:t>
      </w:r>
      <w:r>
        <w:rPr>
          <w:rFonts w:hint="eastAsia" w:ascii="宋体" w:hAnsi="宋体"/>
          <w:b w:val="0"/>
          <w:color w:val="auto"/>
          <w:sz w:val="24"/>
          <w:szCs w:val="24"/>
          <w:highlight w:val="none"/>
          <w:lang w:eastAsia="zh-CN"/>
        </w:rPr>
        <w:t>透露</w:t>
      </w:r>
      <w:r>
        <w:rPr>
          <w:rFonts w:hint="eastAsia" w:ascii="宋体" w:hAnsi="宋体"/>
          <w:b w:val="0"/>
          <w:color w:val="auto"/>
          <w:sz w:val="24"/>
          <w:szCs w:val="24"/>
          <w:highlight w:val="none"/>
        </w:rPr>
        <w:t>对磋商响应文件的评审和比较、中标候选人的推荐情况以及评标有关的其他情况。在评标活动中，磋商小组不得擅离职守，影响评标程序正常进行，不得使用第四章 磋商原则和磋商方法没有规定的评审因素和标准进行评标。</w:t>
      </w:r>
      <w:bookmarkEnd w:id="717"/>
      <w:bookmarkEnd w:id="718"/>
      <w:bookmarkEnd w:id="719"/>
      <w:bookmarkEnd w:id="720"/>
      <w:bookmarkEnd w:id="721"/>
      <w:bookmarkEnd w:id="722"/>
      <w:bookmarkEnd w:id="723"/>
    </w:p>
    <w:p>
      <w:pPr>
        <w:pStyle w:val="31"/>
        <w:numPr>
          <w:ilvl w:val="255"/>
          <w:numId w:val="0"/>
        </w:numPr>
        <w:tabs>
          <w:tab w:val="left" w:pos="0"/>
        </w:tabs>
        <w:spacing w:beforeLines="0" w:afterLines="0" w:line="308" w:lineRule="auto"/>
        <w:ind w:left="0" w:leftChars="0" w:firstLine="480" w:firstLineChars="200"/>
        <w:rPr>
          <w:rFonts w:ascii="宋体" w:hAnsi="宋体"/>
          <w:color w:val="auto"/>
          <w:highlight w:val="none"/>
          <w:lang w:bidi="ar"/>
        </w:rPr>
      </w:pPr>
      <w:bookmarkStart w:id="724" w:name="_Toc361338284"/>
      <w:bookmarkStart w:id="725" w:name="_Toc506120290"/>
      <w:bookmarkStart w:id="726" w:name="_Toc152042354"/>
      <w:bookmarkStart w:id="727" w:name="_Toc152045578"/>
      <w:bookmarkStart w:id="728" w:name="_Toc506120437"/>
      <w:r>
        <w:rPr>
          <w:rFonts w:hint="eastAsia" w:ascii="宋体" w:hAnsi="宋体"/>
          <w:color w:val="auto"/>
          <w:highlight w:val="none"/>
          <w:lang w:bidi="ar"/>
        </w:rPr>
        <w:t>32.对与评标活动有关的工作人员的纪律要求</w:t>
      </w:r>
      <w:bookmarkEnd w:id="724"/>
      <w:bookmarkEnd w:id="725"/>
      <w:bookmarkEnd w:id="726"/>
      <w:bookmarkEnd w:id="727"/>
      <w:bookmarkEnd w:id="728"/>
    </w:p>
    <w:p>
      <w:pPr>
        <w:wordWrap w:val="0"/>
        <w:snapToGrid w:val="0"/>
        <w:spacing w:beforeLines="0" w:afterLines="0" w:line="308" w:lineRule="auto"/>
        <w:ind w:firstLine="0"/>
        <w:rPr>
          <w:rFonts w:hint="eastAsia" w:ascii="宋体" w:hAnsi="宋体"/>
          <w:color w:val="auto"/>
          <w:highlight w:val="none"/>
        </w:rPr>
      </w:pPr>
      <w:bookmarkStart w:id="729" w:name="_Toc152042355"/>
      <w:r>
        <w:rPr>
          <w:rFonts w:hint="eastAsia" w:ascii="宋体" w:hAnsi="宋体"/>
          <w:color w:val="auto"/>
          <w:highlight w:val="none"/>
        </w:rPr>
        <w:t>与评标活动有关的工作人员不得收受他人的财物或者其他好处，不得向他人</w:t>
      </w:r>
      <w:r>
        <w:rPr>
          <w:rFonts w:hint="eastAsia" w:ascii="宋体" w:hAnsi="宋体"/>
          <w:color w:val="auto"/>
          <w:highlight w:val="none"/>
          <w:lang w:eastAsia="zh-CN"/>
        </w:rPr>
        <w:t>透露</w:t>
      </w:r>
      <w:r>
        <w:rPr>
          <w:rFonts w:hint="eastAsia" w:ascii="宋体" w:hAnsi="宋体"/>
          <w:color w:val="auto"/>
          <w:highlight w:val="none"/>
        </w:rPr>
        <w:t>对磋商响应文件的评审和比较、中标候选人的推荐情况以及评标有关的其他情况。在评标活动中，与评标活动有关的工作人员不得擅离职守，影响评标程序正常进行。</w:t>
      </w:r>
      <w:bookmarkEnd w:id="729"/>
    </w:p>
    <w:p>
      <w:pPr>
        <w:pStyle w:val="3"/>
        <w:spacing w:beforeLines="0" w:afterLines="0" w:line="308" w:lineRule="auto"/>
        <w:ind w:firstLine="562"/>
        <w:jc w:val="center"/>
        <w:outlineLvl w:val="1"/>
        <w:rPr>
          <w:rFonts w:ascii="宋体" w:hAnsi="宋体"/>
          <w:color w:val="auto"/>
          <w:sz w:val="28"/>
          <w:szCs w:val="28"/>
          <w:highlight w:val="none"/>
        </w:rPr>
      </w:pPr>
      <w:bookmarkStart w:id="730" w:name="_Toc29565"/>
      <w:bookmarkStart w:id="731" w:name="_Toc5304"/>
      <w:r>
        <w:rPr>
          <w:rFonts w:hint="eastAsia" w:ascii="宋体" w:hAnsi="宋体"/>
          <w:color w:val="auto"/>
          <w:sz w:val="28"/>
          <w:szCs w:val="28"/>
          <w:highlight w:val="none"/>
        </w:rPr>
        <w:t>十、磋商无效的情形</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730"/>
      <w:bookmarkEnd w:id="731"/>
    </w:p>
    <w:p>
      <w:pPr>
        <w:spacing w:beforeLines="0" w:afterLines="0" w:line="308" w:lineRule="auto"/>
        <w:ind w:firstLine="0"/>
        <w:rPr>
          <w:rFonts w:ascii="宋体" w:hAnsi="宋体"/>
          <w:color w:val="auto"/>
          <w:highlight w:val="none"/>
        </w:rPr>
      </w:pPr>
      <w:r>
        <w:rPr>
          <w:rFonts w:hint="eastAsia" w:ascii="宋体" w:hAnsi="宋体"/>
          <w:color w:val="auto"/>
          <w:highlight w:val="none"/>
        </w:rPr>
        <w:t>33.实质上没有响应磋商文件要求的响应文件将被视为无效磋商。供应商不得通过修正或</w:t>
      </w:r>
      <w:r>
        <w:rPr>
          <w:rFonts w:hint="eastAsia" w:ascii="宋体" w:hAnsi="宋体"/>
          <w:color w:val="auto"/>
          <w:highlight w:val="none"/>
          <w:lang w:eastAsia="zh-CN"/>
        </w:rPr>
        <w:t>撤销</w:t>
      </w:r>
      <w:r>
        <w:rPr>
          <w:rFonts w:hint="eastAsia" w:ascii="宋体" w:hAnsi="宋体"/>
          <w:color w:val="auto"/>
          <w:highlight w:val="none"/>
        </w:rPr>
        <w:t>不合要求的偏离或保留从而使其磋商成为实质上响应的磋商。如发生下列情况之一的，其响应文件视为无效：</w:t>
      </w:r>
    </w:p>
    <w:p>
      <w:pPr>
        <w:spacing w:beforeLines="0" w:afterLines="0" w:line="308" w:lineRule="auto"/>
        <w:ind w:firstLine="0"/>
        <w:rPr>
          <w:rFonts w:ascii="宋体" w:hAnsi="宋体"/>
          <w:color w:val="auto"/>
          <w:highlight w:val="none"/>
        </w:rPr>
      </w:pPr>
      <w:r>
        <w:rPr>
          <w:rFonts w:hint="eastAsia" w:ascii="宋体" w:hAnsi="宋体"/>
          <w:color w:val="auto"/>
          <w:highlight w:val="none"/>
        </w:rPr>
        <w:t>33.1</w:t>
      </w:r>
      <w:r>
        <w:rPr>
          <w:rFonts w:hint="eastAsia" w:ascii="宋体" w:hAnsi="宋体"/>
          <w:color w:val="auto"/>
          <w:highlight w:val="none"/>
          <w:lang w:bidi="ar"/>
        </w:rPr>
        <w:t>响应文件逾期上传标书的</w:t>
      </w:r>
      <w:r>
        <w:rPr>
          <w:rFonts w:hint="eastAsia" w:ascii="宋体" w:hAnsi="宋体"/>
          <w:color w:val="auto"/>
          <w:highlight w:val="none"/>
        </w:rPr>
        <w:t>；</w:t>
      </w:r>
    </w:p>
    <w:p>
      <w:pPr>
        <w:spacing w:beforeLines="0" w:afterLines="0" w:line="308" w:lineRule="auto"/>
        <w:ind w:firstLine="0"/>
        <w:rPr>
          <w:rFonts w:ascii="宋体" w:hAnsi="宋体"/>
          <w:color w:val="auto"/>
          <w:highlight w:val="none"/>
        </w:rPr>
      </w:pPr>
      <w:r>
        <w:rPr>
          <w:rFonts w:hint="eastAsia" w:ascii="宋体" w:hAnsi="宋体"/>
          <w:color w:val="auto"/>
          <w:highlight w:val="none"/>
        </w:rPr>
        <w:t>33.2不具备磋商文件规</w:t>
      </w:r>
      <w:r>
        <w:rPr>
          <w:rFonts w:hint="eastAsia" w:ascii="宋体" w:hAnsi="宋体"/>
          <w:color w:val="auto"/>
          <w:highlight w:val="none"/>
          <w:lang w:eastAsia="zh-CN"/>
        </w:rPr>
        <w:t>定的</w:t>
      </w:r>
      <w:r>
        <w:rPr>
          <w:rFonts w:hint="eastAsia" w:ascii="宋体" w:hAnsi="宋体"/>
          <w:color w:val="auto"/>
          <w:highlight w:val="none"/>
        </w:rPr>
        <w:t>资格要求；</w:t>
      </w:r>
    </w:p>
    <w:p>
      <w:pPr>
        <w:pStyle w:val="31"/>
        <w:numPr>
          <w:ilvl w:val="255"/>
          <w:numId w:val="0"/>
        </w:numPr>
        <w:tabs>
          <w:tab w:val="left" w:pos="171"/>
        </w:tabs>
        <w:adjustRightInd w:val="0"/>
        <w:spacing w:beforeLines="0" w:afterLines="0" w:line="308" w:lineRule="auto"/>
        <w:ind w:firstLine="480" w:firstLineChars="200"/>
        <w:rPr>
          <w:rFonts w:ascii="宋体" w:hAnsi="宋体"/>
          <w:color w:val="auto"/>
          <w:highlight w:val="none"/>
          <w:lang w:bidi="ar"/>
        </w:rPr>
      </w:pPr>
      <w:r>
        <w:rPr>
          <w:rFonts w:hint="eastAsia" w:ascii="宋体" w:hAnsi="宋体"/>
          <w:color w:val="auto"/>
          <w:highlight w:val="none"/>
        </w:rPr>
        <w:t>33.3</w:t>
      </w:r>
      <w:r>
        <w:rPr>
          <w:rFonts w:hint="eastAsia" w:ascii="宋体" w:hAnsi="宋体"/>
          <w:color w:val="auto"/>
          <w:highlight w:val="none"/>
          <w:lang w:bidi="ar"/>
        </w:rPr>
        <w:t>磋商响应文件未按磋商文件的要求加盖单位</w:t>
      </w:r>
      <w:r>
        <w:rPr>
          <w:rFonts w:hint="eastAsia" w:ascii="宋体" w:hAnsi="宋体"/>
          <w:color w:val="auto"/>
          <w:highlight w:val="none"/>
          <w:lang w:eastAsia="zh-CN" w:bidi="ar"/>
        </w:rPr>
        <w:t>电子公章</w:t>
      </w:r>
      <w:r>
        <w:rPr>
          <w:rFonts w:hint="eastAsia" w:ascii="宋体" w:hAnsi="宋体"/>
          <w:color w:val="auto"/>
          <w:highlight w:val="none"/>
          <w:lang w:bidi="ar"/>
        </w:rPr>
        <w:t>，或供应商的法定代表人未按磋商文件要求签字或盖章的；</w:t>
      </w:r>
    </w:p>
    <w:p>
      <w:pPr>
        <w:spacing w:beforeLines="0" w:afterLines="0" w:line="308" w:lineRule="auto"/>
        <w:ind w:firstLine="0"/>
        <w:rPr>
          <w:rFonts w:ascii="宋体" w:hAnsi="宋体"/>
          <w:color w:val="auto"/>
          <w:highlight w:val="none"/>
        </w:rPr>
      </w:pPr>
      <w:r>
        <w:rPr>
          <w:rFonts w:hint="eastAsia" w:ascii="宋体" w:hAnsi="宋体"/>
          <w:color w:val="auto"/>
          <w:highlight w:val="none"/>
        </w:rPr>
        <w:t>33.4磋商响应文件中有▲处条款供应商未作实质性响应的；</w:t>
      </w:r>
    </w:p>
    <w:p>
      <w:pPr>
        <w:spacing w:beforeLines="0" w:afterLines="0" w:line="308" w:lineRule="auto"/>
        <w:ind w:firstLine="0"/>
        <w:rPr>
          <w:rFonts w:ascii="宋体" w:hAnsi="宋体"/>
          <w:color w:val="auto"/>
          <w:highlight w:val="none"/>
        </w:rPr>
      </w:pPr>
      <w:r>
        <w:rPr>
          <w:rFonts w:hint="eastAsia" w:ascii="宋体" w:hAnsi="宋体"/>
          <w:color w:val="auto"/>
          <w:highlight w:val="none"/>
        </w:rPr>
        <w:t>33.5供应商的报价</w:t>
      </w:r>
      <w:r>
        <w:rPr>
          <w:rFonts w:hint="eastAsia" w:ascii="宋体" w:hAnsi="宋体"/>
          <w:color w:val="auto"/>
          <w:highlight w:val="none"/>
          <w:lang w:val="zh-CN"/>
        </w:rPr>
        <w:t>明显低于其他通过符合性审查供应商的报价，有可能影响产品质量或者不能诚信履约的</w:t>
      </w:r>
      <w:r>
        <w:rPr>
          <w:rFonts w:hint="eastAsia" w:ascii="宋体" w:hAnsi="宋体"/>
          <w:color w:val="auto"/>
          <w:highlight w:val="none"/>
        </w:rPr>
        <w:t>，不能合理说明原因并提供证明材料的；</w:t>
      </w:r>
    </w:p>
    <w:p>
      <w:pPr>
        <w:spacing w:beforeLines="0" w:afterLines="0" w:line="308" w:lineRule="auto"/>
        <w:ind w:firstLine="0"/>
        <w:rPr>
          <w:rFonts w:ascii="宋体" w:hAnsi="宋体"/>
          <w:color w:val="auto"/>
          <w:highlight w:val="none"/>
        </w:rPr>
      </w:pPr>
      <w:r>
        <w:rPr>
          <w:rFonts w:hint="eastAsia" w:ascii="宋体" w:hAnsi="宋体"/>
          <w:color w:val="auto"/>
          <w:highlight w:val="none"/>
        </w:rPr>
        <w:t>33.6响应文件关键内容字迹模糊、无法辨认的；</w:t>
      </w:r>
    </w:p>
    <w:p>
      <w:pPr>
        <w:spacing w:beforeLines="0" w:afterLines="0" w:line="308" w:lineRule="auto"/>
        <w:ind w:firstLine="0"/>
        <w:rPr>
          <w:rFonts w:ascii="宋体" w:hAnsi="宋体"/>
          <w:color w:val="auto"/>
          <w:highlight w:val="none"/>
        </w:rPr>
      </w:pPr>
      <w:r>
        <w:rPr>
          <w:rFonts w:hint="eastAsia" w:ascii="宋体" w:hAnsi="宋体"/>
          <w:color w:val="auto"/>
          <w:highlight w:val="none"/>
        </w:rPr>
        <w:t>33.7报价超出采购预算价的；</w:t>
      </w:r>
    </w:p>
    <w:p>
      <w:pPr>
        <w:spacing w:beforeLines="0" w:afterLines="0" w:line="308" w:lineRule="auto"/>
        <w:ind w:firstLine="0"/>
        <w:rPr>
          <w:rFonts w:ascii="宋体" w:hAnsi="宋体"/>
          <w:color w:val="auto"/>
          <w:highlight w:val="none"/>
        </w:rPr>
      </w:pPr>
      <w:r>
        <w:rPr>
          <w:rFonts w:hint="eastAsia" w:ascii="宋体" w:hAnsi="宋体"/>
          <w:color w:val="auto"/>
          <w:highlight w:val="none"/>
        </w:rPr>
        <w:t>33.8提供虚假材料谋取成交的；</w:t>
      </w:r>
    </w:p>
    <w:p>
      <w:pPr>
        <w:spacing w:beforeLines="0" w:afterLines="0" w:line="308" w:lineRule="auto"/>
        <w:ind w:firstLine="0"/>
        <w:rPr>
          <w:rFonts w:ascii="宋体" w:hAnsi="宋体"/>
          <w:color w:val="auto"/>
          <w:highlight w:val="none"/>
        </w:rPr>
      </w:pPr>
      <w:r>
        <w:rPr>
          <w:rFonts w:hint="eastAsia" w:ascii="宋体" w:hAnsi="宋体"/>
          <w:color w:val="auto"/>
          <w:highlight w:val="none"/>
        </w:rPr>
        <w:t>33.9不符合</w:t>
      </w:r>
      <w:r>
        <w:rPr>
          <w:rFonts w:hint="eastAsia" w:ascii="宋体" w:hAnsi="宋体"/>
          <w:color w:val="auto"/>
          <w:highlight w:val="none"/>
          <w:lang w:eastAsia="zh-CN"/>
        </w:rPr>
        <w:t>法律法规</w:t>
      </w:r>
      <w:r>
        <w:rPr>
          <w:rFonts w:hint="eastAsia" w:ascii="宋体" w:hAnsi="宋体"/>
          <w:color w:val="auto"/>
          <w:highlight w:val="none"/>
        </w:rPr>
        <w:t>和磋商文件规定的其他实质性要求的。</w:t>
      </w:r>
    </w:p>
    <w:p>
      <w:pPr>
        <w:pStyle w:val="3"/>
        <w:spacing w:beforeLines="0" w:afterLines="0" w:line="308" w:lineRule="auto"/>
        <w:ind w:firstLine="562" w:firstLineChars="200"/>
        <w:jc w:val="center"/>
        <w:outlineLvl w:val="1"/>
        <w:rPr>
          <w:rFonts w:ascii="宋体" w:hAnsi="宋体"/>
          <w:color w:val="auto"/>
          <w:sz w:val="28"/>
          <w:szCs w:val="28"/>
          <w:highlight w:val="none"/>
        </w:rPr>
      </w:pPr>
      <w:bookmarkStart w:id="732" w:name="_Toc28543"/>
      <w:bookmarkStart w:id="733" w:name="_Toc13408"/>
      <w:bookmarkStart w:id="734" w:name="_Toc24359"/>
      <w:bookmarkStart w:id="735" w:name="_Toc14576"/>
      <w:bookmarkStart w:id="736" w:name="_Toc13195"/>
      <w:bookmarkStart w:id="737" w:name="_Toc3812"/>
      <w:bookmarkStart w:id="738" w:name="_Toc15011"/>
      <w:bookmarkStart w:id="739" w:name="_Toc11948"/>
      <w:bookmarkStart w:id="740" w:name="_Toc10086"/>
      <w:bookmarkStart w:id="741" w:name="_Toc28864"/>
      <w:bookmarkStart w:id="742" w:name="_Toc11370"/>
      <w:bookmarkStart w:id="743" w:name="_Toc3135"/>
      <w:bookmarkStart w:id="744" w:name="_Toc25176"/>
      <w:bookmarkStart w:id="745" w:name="_Toc14186"/>
      <w:bookmarkStart w:id="746" w:name="_Toc31993"/>
      <w:bookmarkStart w:id="747" w:name="_Toc20068"/>
      <w:bookmarkStart w:id="748" w:name="_Toc20074"/>
      <w:bookmarkStart w:id="749" w:name="_Toc14913"/>
      <w:bookmarkStart w:id="750" w:name="_Toc20290"/>
      <w:bookmarkStart w:id="751" w:name="_Toc5848"/>
      <w:bookmarkStart w:id="752" w:name="_Toc27425"/>
      <w:bookmarkStart w:id="753" w:name="_Toc18497"/>
      <w:bookmarkStart w:id="754" w:name="_Toc6271"/>
      <w:bookmarkStart w:id="755" w:name="_Toc10296"/>
      <w:bookmarkStart w:id="756" w:name="_Toc25815"/>
      <w:bookmarkStart w:id="757" w:name="_Toc27232"/>
      <w:bookmarkStart w:id="758" w:name="_Toc3944"/>
      <w:bookmarkStart w:id="759" w:name="_Toc15375"/>
      <w:bookmarkStart w:id="760" w:name="_Toc26422"/>
      <w:bookmarkStart w:id="761" w:name="_Toc3073"/>
      <w:bookmarkStart w:id="762" w:name="_Toc16533"/>
      <w:r>
        <w:rPr>
          <w:rFonts w:hint="eastAsia" w:ascii="宋体" w:hAnsi="宋体"/>
          <w:color w:val="auto"/>
          <w:sz w:val="28"/>
          <w:szCs w:val="28"/>
          <w:highlight w:val="none"/>
        </w:rPr>
        <w:t>十一、废标的情形</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spacing w:beforeLines="0" w:afterLines="0" w:line="308" w:lineRule="auto"/>
        <w:ind w:firstLine="0"/>
        <w:rPr>
          <w:rFonts w:ascii="宋体" w:hAnsi="宋体"/>
          <w:color w:val="auto"/>
          <w:highlight w:val="none"/>
        </w:rPr>
      </w:pPr>
      <w:r>
        <w:rPr>
          <w:rFonts w:hint="eastAsia" w:ascii="宋体" w:hAnsi="宋体"/>
          <w:color w:val="auto"/>
          <w:highlight w:val="none"/>
        </w:rPr>
        <w:t>34.采购中，出现下列情形之一的，应予废标。废标后，采购人应将废标理由通知所有供应商：</w:t>
      </w:r>
    </w:p>
    <w:p>
      <w:pPr>
        <w:spacing w:beforeLines="0" w:afterLines="0" w:line="308" w:lineRule="auto"/>
        <w:ind w:firstLine="0"/>
        <w:rPr>
          <w:rFonts w:ascii="宋体" w:hAnsi="宋体"/>
          <w:color w:val="auto"/>
          <w:highlight w:val="none"/>
        </w:rPr>
      </w:pPr>
      <w:r>
        <w:rPr>
          <w:rFonts w:hint="eastAsia" w:ascii="宋体" w:hAnsi="宋体"/>
          <w:color w:val="auto"/>
          <w:highlight w:val="none"/>
        </w:rPr>
        <w:t>34.1因情况变化，不再符合规定的竞争性磋商采购方式适用情形的；</w:t>
      </w:r>
    </w:p>
    <w:p>
      <w:pPr>
        <w:spacing w:beforeLines="0" w:afterLines="0" w:line="308" w:lineRule="auto"/>
        <w:ind w:firstLine="0"/>
        <w:rPr>
          <w:rFonts w:ascii="宋体" w:hAnsi="宋体"/>
          <w:color w:val="auto"/>
          <w:highlight w:val="none"/>
        </w:rPr>
      </w:pPr>
      <w:r>
        <w:rPr>
          <w:rFonts w:hint="eastAsia" w:ascii="宋体" w:hAnsi="宋体"/>
          <w:color w:val="auto"/>
          <w:highlight w:val="none"/>
        </w:rPr>
        <w:t>34.2符合专业条件的供应商或者对磋商文件实质响应的供应商不足三家的；</w:t>
      </w:r>
    </w:p>
    <w:p>
      <w:pPr>
        <w:spacing w:beforeLines="0" w:afterLines="0" w:line="308" w:lineRule="auto"/>
        <w:ind w:firstLine="0"/>
        <w:rPr>
          <w:rFonts w:ascii="宋体" w:hAnsi="宋体"/>
          <w:color w:val="auto"/>
          <w:highlight w:val="none"/>
        </w:rPr>
      </w:pPr>
      <w:r>
        <w:rPr>
          <w:rFonts w:hint="eastAsia" w:ascii="宋体" w:hAnsi="宋体"/>
          <w:color w:val="auto"/>
          <w:highlight w:val="none"/>
        </w:rPr>
        <w:t>34.3出现影响采购</w:t>
      </w:r>
      <w:r>
        <w:rPr>
          <w:rFonts w:hint="eastAsia" w:ascii="宋体" w:hAnsi="宋体"/>
          <w:color w:val="auto"/>
          <w:highlight w:val="none"/>
          <w:lang w:eastAsia="zh-CN"/>
        </w:rPr>
        <w:t>公正</w:t>
      </w:r>
      <w:r>
        <w:rPr>
          <w:rFonts w:hint="eastAsia" w:ascii="宋体" w:hAnsi="宋体"/>
          <w:color w:val="auto"/>
          <w:highlight w:val="none"/>
        </w:rPr>
        <w:t>的违法、违规行为的；</w:t>
      </w:r>
    </w:p>
    <w:p>
      <w:pPr>
        <w:spacing w:beforeLines="0" w:afterLines="0" w:line="308" w:lineRule="auto"/>
        <w:ind w:firstLine="0"/>
        <w:rPr>
          <w:rFonts w:ascii="宋体" w:hAnsi="宋体"/>
          <w:color w:val="auto"/>
          <w:highlight w:val="none"/>
        </w:rPr>
      </w:pPr>
      <w:r>
        <w:rPr>
          <w:rFonts w:hint="eastAsia" w:ascii="宋体" w:hAnsi="宋体"/>
          <w:color w:val="auto"/>
          <w:highlight w:val="none"/>
        </w:rPr>
        <w:t>34.4供应商的报价均超过了采购预算，采购人不能支付的；</w:t>
      </w:r>
    </w:p>
    <w:p>
      <w:pPr>
        <w:spacing w:beforeLines="0" w:afterLines="0" w:line="308" w:lineRule="auto"/>
        <w:ind w:firstLine="0"/>
        <w:rPr>
          <w:rFonts w:ascii="宋体" w:hAnsi="宋体"/>
          <w:color w:val="auto"/>
          <w:highlight w:val="none"/>
        </w:rPr>
      </w:pPr>
      <w:r>
        <w:rPr>
          <w:rFonts w:hint="eastAsia" w:ascii="宋体" w:hAnsi="宋体"/>
          <w:color w:val="auto"/>
          <w:highlight w:val="none"/>
        </w:rPr>
        <w:t>34.5因重大变故，采购任务取消的。</w:t>
      </w:r>
    </w:p>
    <w:p>
      <w:pPr>
        <w:pStyle w:val="3"/>
        <w:spacing w:beforeLines="0" w:afterLines="0" w:line="308" w:lineRule="auto"/>
        <w:ind w:firstLine="562" w:firstLineChars="200"/>
        <w:jc w:val="center"/>
        <w:outlineLvl w:val="1"/>
        <w:rPr>
          <w:rFonts w:ascii="宋体" w:hAnsi="宋体"/>
          <w:color w:val="auto"/>
          <w:sz w:val="28"/>
          <w:szCs w:val="28"/>
          <w:highlight w:val="none"/>
        </w:rPr>
      </w:pPr>
      <w:bookmarkStart w:id="763" w:name="_Toc15120"/>
      <w:bookmarkStart w:id="764" w:name="_Toc9841"/>
      <w:bookmarkStart w:id="765" w:name="_Toc27854"/>
      <w:bookmarkStart w:id="766" w:name="_Toc19363"/>
      <w:bookmarkStart w:id="767" w:name="_Toc9831"/>
      <w:bookmarkStart w:id="768" w:name="_Toc11181"/>
      <w:bookmarkStart w:id="769" w:name="_Toc23403"/>
      <w:bookmarkStart w:id="770" w:name="_Toc20983"/>
      <w:bookmarkStart w:id="771" w:name="_Toc10326"/>
      <w:bookmarkStart w:id="772" w:name="_Toc24803"/>
      <w:bookmarkStart w:id="773" w:name="_Toc14086"/>
      <w:bookmarkStart w:id="774" w:name="_Toc19750"/>
      <w:bookmarkStart w:id="775" w:name="_Toc15151"/>
      <w:bookmarkStart w:id="776" w:name="_Toc9107"/>
      <w:bookmarkStart w:id="777" w:name="_Toc16788"/>
      <w:bookmarkStart w:id="778" w:name="_Toc24988"/>
      <w:bookmarkStart w:id="779" w:name="_Toc32686"/>
      <w:bookmarkStart w:id="780" w:name="_Toc19293"/>
      <w:bookmarkStart w:id="781" w:name="_Toc28165"/>
      <w:bookmarkStart w:id="782" w:name="_Toc24033"/>
      <w:bookmarkStart w:id="783" w:name="_Toc22913"/>
      <w:bookmarkStart w:id="784" w:name="_Toc20271"/>
      <w:bookmarkStart w:id="785" w:name="_Toc2702"/>
      <w:bookmarkStart w:id="786" w:name="_Toc15254"/>
      <w:bookmarkStart w:id="787" w:name="_Toc26677"/>
      <w:bookmarkStart w:id="788" w:name="_Toc12786"/>
      <w:bookmarkStart w:id="789" w:name="_Toc24966"/>
      <w:bookmarkStart w:id="790" w:name="_Toc15882"/>
      <w:bookmarkStart w:id="791" w:name="_Toc23284"/>
      <w:bookmarkStart w:id="792" w:name="_Toc32412"/>
      <w:bookmarkStart w:id="793" w:name="_Toc22820"/>
      <w:r>
        <w:rPr>
          <w:rFonts w:hint="eastAsia" w:ascii="宋体" w:hAnsi="宋体"/>
          <w:color w:val="auto"/>
          <w:sz w:val="28"/>
          <w:szCs w:val="28"/>
          <w:highlight w:val="none"/>
        </w:rPr>
        <w:t>十二、确定成交供应商与签订合同</w:t>
      </w:r>
      <w:bookmarkEnd w:id="682"/>
      <w:bookmarkEnd w:id="683"/>
      <w:bookmarkEnd w:id="684"/>
      <w:bookmarkEnd w:id="685"/>
      <w:bookmarkEnd w:id="686"/>
      <w:bookmarkEnd w:id="687"/>
      <w:bookmarkEnd w:id="688"/>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spacing w:beforeLines="0" w:afterLines="0" w:line="308" w:lineRule="auto"/>
        <w:ind w:firstLine="0"/>
        <w:rPr>
          <w:rFonts w:ascii="宋体" w:hAnsi="宋体"/>
          <w:color w:val="auto"/>
          <w:highlight w:val="none"/>
        </w:rPr>
      </w:pPr>
      <w:r>
        <w:rPr>
          <w:rFonts w:hint="eastAsia" w:ascii="宋体" w:hAnsi="宋体"/>
          <w:color w:val="auto"/>
          <w:highlight w:val="none"/>
        </w:rPr>
        <w:t>35.确定成交供应商准则</w:t>
      </w:r>
    </w:p>
    <w:p>
      <w:pPr>
        <w:spacing w:beforeLines="0" w:afterLines="0" w:line="308" w:lineRule="auto"/>
        <w:ind w:firstLine="0"/>
        <w:rPr>
          <w:rFonts w:ascii="宋体" w:hAnsi="宋体"/>
          <w:color w:val="auto"/>
          <w:highlight w:val="none"/>
        </w:rPr>
      </w:pPr>
      <w:r>
        <w:rPr>
          <w:rFonts w:hint="eastAsia" w:ascii="宋体" w:hAnsi="宋体"/>
          <w:color w:val="auto"/>
          <w:highlight w:val="none"/>
        </w:rPr>
        <w:t>35.1本项目采用综合评分法，评审出得分最高的</w:t>
      </w:r>
      <w:r>
        <w:rPr>
          <w:rFonts w:hint="eastAsia" w:ascii="宋体" w:hAnsi="宋体"/>
          <w:bCs/>
          <w:color w:val="auto"/>
          <w:kern w:val="0"/>
          <w:highlight w:val="none"/>
        </w:rPr>
        <w:t>3名成交候选人</w:t>
      </w:r>
      <w:r>
        <w:rPr>
          <w:rFonts w:hint="eastAsia" w:ascii="宋体" w:hAnsi="宋体"/>
          <w:color w:val="auto"/>
          <w:highlight w:val="none"/>
        </w:rPr>
        <w:t>。</w:t>
      </w:r>
    </w:p>
    <w:p>
      <w:pPr>
        <w:spacing w:beforeLines="0" w:afterLines="0" w:line="308" w:lineRule="auto"/>
        <w:ind w:firstLine="0"/>
        <w:rPr>
          <w:rFonts w:hint="eastAsia" w:ascii="宋体" w:hAnsi="宋体"/>
          <w:color w:val="auto"/>
        </w:rPr>
      </w:pPr>
      <w:r>
        <w:rPr>
          <w:rFonts w:hint="eastAsia" w:ascii="宋体" w:hAnsi="宋体"/>
          <w:color w:val="auto"/>
          <w:highlight w:val="none"/>
        </w:rPr>
        <w:t>35.2</w:t>
      </w:r>
      <w:r>
        <w:rPr>
          <w:rFonts w:hint="eastAsia" w:ascii="宋体" w:hAnsi="宋体"/>
          <w:color w:val="auto"/>
        </w:rPr>
        <w:t>采购人原则上应确定排名第一的成交候选人作为成交供应商。</w:t>
      </w:r>
    </w:p>
    <w:p>
      <w:pPr>
        <w:spacing w:beforeLines="0" w:afterLines="0" w:line="308" w:lineRule="auto"/>
        <w:ind w:firstLine="0"/>
        <w:rPr>
          <w:rFonts w:ascii="宋体" w:hAnsi="宋体"/>
          <w:color w:val="auto"/>
          <w:highlight w:val="none"/>
        </w:rPr>
      </w:pPr>
      <w:r>
        <w:rPr>
          <w:rFonts w:hint="eastAsia" w:ascii="宋体" w:hAnsi="宋体"/>
          <w:color w:val="auto"/>
          <w:highlight w:val="none"/>
        </w:rPr>
        <w:t>35.3 采购人只对评审结果负责，不对评审结果</w:t>
      </w:r>
      <w:r>
        <w:rPr>
          <w:rFonts w:hint="eastAsia" w:ascii="宋体" w:hAnsi="宋体"/>
          <w:color w:val="auto"/>
          <w:highlight w:val="none"/>
          <w:lang w:eastAsia="zh-CN"/>
        </w:rPr>
        <w:t>做</w:t>
      </w:r>
      <w:r>
        <w:rPr>
          <w:rFonts w:hint="eastAsia" w:ascii="宋体" w:hAnsi="宋体"/>
          <w:color w:val="auto"/>
          <w:highlight w:val="none"/>
        </w:rPr>
        <w:t>任何解释。</w:t>
      </w:r>
    </w:p>
    <w:p>
      <w:pPr>
        <w:spacing w:beforeLines="0" w:afterLines="0" w:line="308" w:lineRule="auto"/>
        <w:ind w:firstLine="0"/>
        <w:rPr>
          <w:rFonts w:ascii="宋体" w:hAnsi="宋体"/>
          <w:color w:val="auto"/>
          <w:highlight w:val="none"/>
        </w:rPr>
      </w:pPr>
      <w:r>
        <w:rPr>
          <w:rFonts w:hint="eastAsia" w:ascii="宋体" w:hAnsi="宋体"/>
          <w:color w:val="auto"/>
          <w:highlight w:val="none"/>
        </w:rPr>
        <w:t>36.成交通知</w:t>
      </w:r>
    </w:p>
    <w:p>
      <w:pPr>
        <w:spacing w:beforeLines="0" w:afterLines="0" w:line="308" w:lineRule="auto"/>
        <w:ind w:firstLine="0"/>
        <w:rPr>
          <w:rFonts w:ascii="宋体" w:hAnsi="宋体"/>
          <w:color w:val="auto"/>
          <w:highlight w:val="none"/>
        </w:rPr>
      </w:pPr>
      <w:r>
        <w:rPr>
          <w:rFonts w:hint="eastAsia" w:ascii="宋体" w:hAnsi="宋体"/>
          <w:color w:val="auto"/>
          <w:highlight w:val="none"/>
        </w:rPr>
        <w:t>36.1采购人确定成交供应商后应及时向成交供应商发出《成交通知书》。《成交通知书》对采购人和成交供应商具有同等法律效力。《成交通知书》发出后，采购人改变成交结果，或者成交供应商放弃成交，应按相关法律、规章、规范性文件的要求承担相应的法律责任。</w:t>
      </w:r>
    </w:p>
    <w:p>
      <w:pPr>
        <w:spacing w:beforeLines="0" w:afterLines="0" w:line="308" w:lineRule="auto"/>
        <w:ind w:firstLine="0"/>
        <w:rPr>
          <w:rFonts w:ascii="宋体" w:hAnsi="宋体"/>
          <w:color w:val="auto"/>
          <w:highlight w:val="none"/>
        </w:rPr>
      </w:pPr>
      <w:r>
        <w:rPr>
          <w:rFonts w:hint="eastAsia" w:ascii="宋体" w:hAnsi="宋体"/>
          <w:color w:val="auto"/>
          <w:highlight w:val="none"/>
        </w:rPr>
        <w:t>36.2《成交通知书》将作为签订合同的依据。《合同》签订后，《成交通知书》成为《合同》的一部分。</w:t>
      </w:r>
    </w:p>
    <w:p>
      <w:pPr>
        <w:spacing w:beforeLines="0" w:afterLines="0" w:line="308" w:lineRule="auto"/>
        <w:ind w:firstLine="0"/>
        <w:rPr>
          <w:rFonts w:ascii="宋体" w:hAnsi="宋体"/>
          <w:color w:val="auto"/>
          <w:highlight w:val="none"/>
        </w:rPr>
      </w:pPr>
      <w:r>
        <w:rPr>
          <w:rFonts w:hint="eastAsia" w:ascii="宋体" w:hAnsi="宋体"/>
          <w:bCs/>
          <w:color w:val="auto"/>
          <w:highlight w:val="none"/>
        </w:rPr>
        <w:t>37.</w:t>
      </w:r>
      <w:r>
        <w:rPr>
          <w:rFonts w:hint="eastAsia" w:ascii="宋体" w:hAnsi="宋体"/>
          <w:color w:val="auto"/>
          <w:highlight w:val="none"/>
        </w:rPr>
        <w:t>签订合同</w:t>
      </w:r>
    </w:p>
    <w:p>
      <w:pPr>
        <w:spacing w:beforeLines="0" w:afterLines="0" w:line="308" w:lineRule="auto"/>
        <w:ind w:firstLine="0"/>
        <w:rPr>
          <w:rFonts w:ascii="宋体" w:hAnsi="宋体"/>
          <w:color w:val="auto"/>
          <w:highlight w:val="none"/>
        </w:rPr>
      </w:pPr>
      <w:r>
        <w:rPr>
          <w:rFonts w:hint="eastAsia" w:ascii="宋体" w:hAnsi="宋体"/>
          <w:color w:val="auto"/>
          <w:highlight w:val="none"/>
        </w:rPr>
        <w:t>37.1采购人、成交供应商应在《成交通知书》发出之日起30日内，根据竞争性磋商文件确定的事项和成交供应商竞争性磋商响应文件的内容签署服务采购合同，双方所签订的合同不得对竞争性磋商文件和成交供应商竞争性磋商响应文件作实质性修改。成交供应商逾期未签订合同，按照有关法律规定承担相应的法律责任。</w:t>
      </w:r>
    </w:p>
    <w:p>
      <w:pPr>
        <w:spacing w:beforeLines="0" w:afterLines="0" w:line="308" w:lineRule="auto"/>
        <w:ind w:firstLine="0"/>
        <w:rPr>
          <w:rFonts w:ascii="宋体" w:hAnsi="宋体"/>
          <w:color w:val="auto"/>
          <w:highlight w:val="none"/>
        </w:rPr>
      </w:pPr>
      <w:r>
        <w:rPr>
          <w:rFonts w:hint="eastAsia" w:ascii="宋体" w:hAnsi="宋体"/>
          <w:color w:val="auto"/>
          <w:highlight w:val="none"/>
        </w:rPr>
        <w:t>37.2竞争性磋商文件、竞争性磋商文件的修改文件、成交供应商的竞争性磋商响应文件、补充或修改的文件及澄清或承诺文件等，均为双方签订合同的组成部分，与合同具体条款具有同等法律效力。</w:t>
      </w:r>
    </w:p>
    <w:p>
      <w:pPr>
        <w:spacing w:beforeLines="0" w:afterLines="0" w:line="308" w:lineRule="auto"/>
        <w:ind w:firstLine="0"/>
        <w:rPr>
          <w:rFonts w:ascii="宋体" w:hAnsi="宋体"/>
          <w:bCs/>
          <w:color w:val="auto"/>
          <w:highlight w:val="none"/>
        </w:rPr>
      </w:pPr>
      <w:r>
        <w:rPr>
          <w:rFonts w:hint="eastAsia" w:ascii="宋体" w:hAnsi="宋体"/>
          <w:bCs/>
          <w:color w:val="auto"/>
          <w:highlight w:val="none"/>
        </w:rPr>
        <w:t>37.3</w:t>
      </w:r>
      <w:r>
        <w:rPr>
          <w:rFonts w:hint="eastAsia" w:ascii="宋体" w:hAnsi="宋体"/>
          <w:bCs/>
          <w:color w:val="auto"/>
        </w:rPr>
        <w:t>排名第一的成交候选人放弃中标；</w:t>
      </w:r>
      <w:r>
        <w:rPr>
          <w:rFonts w:hint="eastAsia" w:ascii="宋体" w:hAnsi="宋体"/>
          <w:bCs/>
          <w:color w:val="auto"/>
          <w:highlight w:val="none"/>
        </w:rPr>
        <w:t>因不可抗力提出不能履行合同或未能在规定时间内与采购人签订合同的，或者经质疑，采购人审查后，确因</w:t>
      </w:r>
      <w:r>
        <w:rPr>
          <w:rFonts w:hint="eastAsia" w:ascii="宋体" w:hAnsi="宋体"/>
          <w:bCs/>
          <w:color w:val="auto"/>
        </w:rPr>
        <w:t>排名第一的成交</w:t>
      </w:r>
      <w:r>
        <w:rPr>
          <w:rFonts w:hint="eastAsia" w:ascii="宋体" w:hAnsi="宋体"/>
          <w:bCs/>
          <w:color w:val="auto"/>
          <w:highlight w:val="none"/>
        </w:rPr>
        <w:t>候选人在本次采购活动中存在违法违规行为或其他原因使质疑成立的，采购人可以按照</w:t>
      </w:r>
      <w:r>
        <w:rPr>
          <w:rFonts w:hint="eastAsia" w:ascii="宋体" w:hAnsi="宋体"/>
          <w:bCs/>
          <w:color w:val="auto"/>
          <w:highlight w:val="none"/>
          <w:lang w:eastAsia="zh-CN"/>
        </w:rPr>
        <w:t>磋商小组</w:t>
      </w:r>
      <w:r>
        <w:rPr>
          <w:rFonts w:hint="eastAsia" w:ascii="宋体" w:hAnsi="宋体"/>
          <w:bCs/>
          <w:color w:val="auto"/>
          <w:highlight w:val="none"/>
        </w:rPr>
        <w:t>提出的成交候选人名单排序依次确定其他成交候选人为成交供应商，也可以重新招标。对于无正当理由放弃中标的</w:t>
      </w:r>
      <w:r>
        <w:rPr>
          <w:rFonts w:hint="eastAsia" w:ascii="宋体" w:hAnsi="宋体"/>
          <w:bCs/>
          <w:color w:val="auto"/>
        </w:rPr>
        <w:t>排名第一</w:t>
      </w:r>
      <w:r>
        <w:rPr>
          <w:rFonts w:hint="eastAsia" w:ascii="宋体" w:hAnsi="宋体"/>
          <w:bCs/>
          <w:color w:val="auto"/>
          <w:highlight w:val="none"/>
        </w:rPr>
        <w:t>成交候选人，采购人可以要求其赔偿实际损失。</w:t>
      </w:r>
    </w:p>
    <w:p>
      <w:pPr>
        <w:snapToGrid w:val="0"/>
        <w:spacing w:beforeLines="0" w:afterLines="0" w:line="308" w:lineRule="auto"/>
        <w:ind w:firstLine="0"/>
        <w:rPr>
          <w:rFonts w:ascii="宋体" w:hAnsi="宋体"/>
          <w:bCs/>
          <w:color w:val="auto"/>
          <w:highlight w:val="none"/>
        </w:rPr>
      </w:pPr>
      <w:r>
        <w:rPr>
          <w:rFonts w:hint="eastAsia" w:ascii="宋体" w:hAnsi="宋体"/>
          <w:bCs/>
          <w:color w:val="auto"/>
          <w:highlight w:val="none"/>
        </w:rPr>
        <w:t>38.付款方式：见合同主要条款。</w:t>
      </w:r>
    </w:p>
    <w:p>
      <w:pPr>
        <w:spacing w:beforeLines="0" w:afterLines="0" w:line="312" w:lineRule="auto"/>
        <w:ind w:firstLine="0"/>
        <w:rPr>
          <w:rFonts w:hint="eastAsia" w:ascii="宋体" w:hAnsi="宋体"/>
          <w:bCs w:val="0"/>
          <w:color w:val="auto"/>
          <w:highlight w:val="none"/>
        </w:rPr>
      </w:pPr>
      <w:r>
        <w:rPr>
          <w:rFonts w:hint="eastAsia" w:ascii="宋体" w:hAnsi="宋体"/>
          <w:bCs w:val="0"/>
          <w:color w:val="auto"/>
          <w:highlight w:val="none"/>
        </w:rPr>
        <w:t>39.采购代理服务费</w:t>
      </w:r>
    </w:p>
    <w:p>
      <w:pPr>
        <w:spacing w:beforeLines="0" w:afterLines="0" w:line="312" w:lineRule="auto"/>
        <w:ind w:firstLine="0"/>
        <w:rPr>
          <w:rFonts w:hint="eastAsia" w:ascii="宋体" w:hAnsi="宋体" w:eastAsia="宋体"/>
          <w:bCs w:val="0"/>
          <w:color w:val="auto"/>
          <w:highlight w:val="none"/>
          <w:lang w:val="zh-CN" w:eastAsia="zh-CN" w:bidi="ar"/>
        </w:rPr>
      </w:pPr>
      <w:bookmarkStart w:id="794" w:name="_Toc10535"/>
      <w:bookmarkStart w:id="795" w:name="_Toc366144040"/>
      <w:bookmarkStart w:id="796" w:name="_Toc19656"/>
      <w:bookmarkStart w:id="797" w:name="_Toc23307"/>
      <w:bookmarkStart w:id="798" w:name="_Toc11236"/>
      <w:bookmarkStart w:id="799" w:name="_Toc356371441"/>
      <w:bookmarkStart w:id="800" w:name="_Toc1171"/>
      <w:bookmarkStart w:id="801" w:name="_Toc32460"/>
      <w:bookmarkStart w:id="802" w:name="_Toc26749"/>
      <w:bookmarkStart w:id="803" w:name="_Toc31746"/>
      <w:bookmarkStart w:id="804" w:name="_Toc25612"/>
      <w:bookmarkStart w:id="805" w:name="_Toc391298961"/>
      <w:bookmarkStart w:id="806" w:name="_Toc12922"/>
      <w:bookmarkStart w:id="807" w:name="_Toc7744"/>
      <w:bookmarkStart w:id="808" w:name="_Toc16590"/>
      <w:bookmarkStart w:id="809" w:name="_Toc16318"/>
      <w:r>
        <w:rPr>
          <w:rFonts w:hint="eastAsia" w:ascii="宋体" w:hAnsi="宋体"/>
          <w:bCs w:val="0"/>
          <w:color w:val="auto"/>
          <w:highlight w:val="none"/>
          <w:lang w:val="zh-CN" w:bidi="ar"/>
        </w:rPr>
        <w:t>39.1本项目招标</w:t>
      </w:r>
      <w:r>
        <w:rPr>
          <w:rFonts w:hint="eastAsia" w:ascii="宋体" w:hAnsi="宋体"/>
          <w:color w:val="auto"/>
          <w:spacing w:val="0"/>
          <w:highlight w:val="none"/>
          <w:lang w:val="zh-CN" w:bidi="ar"/>
        </w:rPr>
        <w:t>代理费</w:t>
      </w:r>
      <w:r>
        <w:rPr>
          <w:rFonts w:hint="eastAsia" w:ascii="宋体" w:hAnsi="宋体" w:eastAsia="宋体" w:cs="宋体"/>
          <w:i w:val="0"/>
          <w:iCs w:val="0"/>
          <w:caps w:val="0"/>
          <w:color w:val="auto"/>
          <w:spacing w:val="0"/>
          <w:sz w:val="24"/>
          <w:szCs w:val="24"/>
          <w:highlight w:val="none"/>
          <w:u w:val="none"/>
          <w:shd w:val="clear" w:fill="auto"/>
          <w:lang w:val="zh-CN" w:bidi="ar"/>
        </w:rPr>
        <w:t>参照《招标代理服务收费管理暂行办法》（国家计委计价格﹝2002﹞1980号）文件标准取费的45%计取</w:t>
      </w:r>
      <w:r>
        <w:rPr>
          <w:rFonts w:hint="eastAsia" w:ascii="宋体" w:hAnsi="宋体"/>
          <w:color w:val="auto"/>
          <w:spacing w:val="0"/>
          <w:highlight w:val="none"/>
          <w:lang w:val="zh-CN" w:bidi="ar"/>
        </w:rPr>
        <w:t>，由成交供应商承担，在领取成交通知书前一次性支付给采购代理机构</w:t>
      </w:r>
      <w:r>
        <w:rPr>
          <w:rFonts w:hint="eastAsia" w:ascii="宋体" w:hAnsi="宋体"/>
          <w:color w:val="auto"/>
          <w:spacing w:val="0"/>
          <w:highlight w:val="none"/>
          <w:lang w:val="zh-CN" w:eastAsia="zh-CN" w:bidi="ar"/>
        </w:rPr>
        <w:t>；</w:t>
      </w:r>
    </w:p>
    <w:p>
      <w:pPr>
        <w:spacing w:beforeLines="0" w:afterLines="0" w:line="312" w:lineRule="auto"/>
        <w:ind w:firstLine="0"/>
        <w:rPr>
          <w:rFonts w:hint="eastAsia" w:ascii="宋体" w:hAnsi="宋体" w:eastAsia="宋体"/>
          <w:color w:val="auto"/>
          <w:spacing w:val="0"/>
          <w:sz w:val="24"/>
          <w:szCs w:val="24"/>
          <w:highlight w:val="none"/>
          <w:lang w:val="zh-CN" w:eastAsia="zh-CN" w:bidi="ar"/>
        </w:rPr>
      </w:pPr>
      <w:r>
        <w:rPr>
          <w:rFonts w:hint="eastAsia" w:ascii="宋体" w:hAnsi="宋体"/>
          <w:color w:val="auto"/>
          <w:highlight w:val="none"/>
          <w:lang w:val="zh-CN" w:bidi="ar"/>
        </w:rPr>
        <w:t>39.</w:t>
      </w:r>
      <w:r>
        <w:rPr>
          <w:rFonts w:hint="eastAsia" w:ascii="宋体" w:hAnsi="宋体"/>
          <w:color w:val="auto"/>
          <w:highlight w:val="none"/>
          <w:lang w:val="zh-CN" w:eastAsia="zh-CN" w:bidi="ar"/>
        </w:rPr>
        <w:t>2</w:t>
      </w:r>
      <w:r>
        <w:rPr>
          <w:rFonts w:hint="eastAsia" w:ascii="宋体" w:hAnsi="宋体"/>
          <w:color w:val="auto"/>
          <w:spacing w:val="0"/>
          <w:sz w:val="24"/>
          <w:szCs w:val="24"/>
          <w:highlight w:val="none"/>
          <w:lang w:val="zh-CN" w:bidi="ar"/>
        </w:rPr>
        <w:t>评审费（按实）结算，由采购人支付</w:t>
      </w:r>
      <w:r>
        <w:rPr>
          <w:rFonts w:hint="eastAsia" w:ascii="宋体" w:hAnsi="宋体"/>
          <w:color w:val="auto"/>
          <w:spacing w:val="0"/>
          <w:sz w:val="24"/>
          <w:szCs w:val="24"/>
          <w:highlight w:val="none"/>
          <w:lang w:val="zh-CN" w:eastAsia="zh-CN" w:bidi="ar"/>
        </w:rPr>
        <w:t>；</w:t>
      </w:r>
    </w:p>
    <w:p>
      <w:pPr>
        <w:spacing w:beforeLines="0" w:afterLines="0" w:line="312" w:lineRule="auto"/>
        <w:ind w:firstLine="0"/>
        <w:rPr>
          <w:rFonts w:hint="eastAsia" w:ascii="宋体" w:hAnsi="宋体"/>
          <w:color w:val="auto"/>
          <w:highlight w:val="none"/>
          <w:lang w:bidi="ar"/>
        </w:rPr>
      </w:pPr>
      <w:r>
        <w:rPr>
          <w:rFonts w:hint="eastAsia" w:ascii="宋体" w:hAnsi="宋体"/>
          <w:color w:val="auto"/>
          <w:highlight w:val="none"/>
          <w:lang w:val="zh-CN" w:bidi="ar"/>
        </w:rPr>
        <w:t>39.</w:t>
      </w:r>
      <w:r>
        <w:rPr>
          <w:rFonts w:hint="eastAsia" w:ascii="宋体" w:hAnsi="宋体"/>
          <w:color w:val="auto"/>
          <w:highlight w:val="none"/>
          <w:lang w:val="zh-CN" w:eastAsia="zh-CN" w:bidi="ar"/>
        </w:rPr>
        <w:t>3</w:t>
      </w:r>
      <w:r>
        <w:rPr>
          <w:rFonts w:hint="eastAsia" w:ascii="宋体" w:hAnsi="宋体"/>
          <w:color w:val="auto"/>
          <w:highlight w:val="none"/>
          <w:lang w:val="zh-CN" w:bidi="ar"/>
        </w:rPr>
        <w:t>若出现终止采购情形的，上</w:t>
      </w:r>
      <w:r>
        <w:rPr>
          <w:rFonts w:hint="eastAsia" w:ascii="宋体" w:hAnsi="宋体"/>
          <w:color w:val="auto"/>
          <w:highlight w:val="none"/>
          <w:lang w:bidi="ar"/>
        </w:rPr>
        <w:t>述费用由采购人支付。</w:t>
      </w:r>
    </w:p>
    <w:p>
      <w:pPr>
        <w:spacing w:beforeLines="0" w:afterLines="0" w:line="312" w:lineRule="auto"/>
        <w:ind w:firstLine="0"/>
        <w:rPr>
          <w:rFonts w:ascii="宋体" w:hAnsi="宋体"/>
          <w:color w:val="auto"/>
          <w:highlight w:val="none"/>
        </w:rPr>
      </w:pPr>
      <w:bookmarkStart w:id="810" w:name="_Toc17717"/>
      <w:bookmarkStart w:id="811" w:name="_Toc17768"/>
      <w:bookmarkStart w:id="812" w:name="_Toc21388"/>
      <w:bookmarkStart w:id="813" w:name="_Toc3774"/>
      <w:bookmarkStart w:id="814" w:name="_Toc21379"/>
      <w:bookmarkStart w:id="815" w:name="_Toc29020"/>
      <w:bookmarkStart w:id="816" w:name="_Toc831"/>
      <w:bookmarkStart w:id="817" w:name="_Toc24934"/>
      <w:bookmarkStart w:id="818" w:name="_Toc19042"/>
      <w:bookmarkStart w:id="819" w:name="_Toc5073"/>
      <w:bookmarkStart w:id="820" w:name="_Toc16495"/>
      <w:bookmarkStart w:id="821" w:name="_Toc18124"/>
      <w:bookmarkStart w:id="822" w:name="_Toc7269"/>
      <w:bookmarkStart w:id="823" w:name="_Toc6214"/>
      <w:bookmarkStart w:id="824" w:name="_Toc8017"/>
      <w:bookmarkStart w:id="825" w:name="_Toc30984"/>
      <w:bookmarkStart w:id="826" w:name="_Toc3372"/>
      <w:bookmarkStart w:id="827" w:name="_Toc8016"/>
      <w:bookmarkStart w:id="828" w:name="_Toc28896"/>
      <w:bookmarkStart w:id="829" w:name="_Toc17331"/>
      <w:r>
        <w:rPr>
          <w:rFonts w:hint="eastAsia" w:ascii="宋体" w:hAnsi="宋体"/>
          <w:color w:val="auto"/>
          <w:highlight w:val="none"/>
        </w:rPr>
        <w:t>以上费用不在报价中单列，请供应商在报价中予以考虑。</w:t>
      </w:r>
    </w:p>
    <w:p>
      <w:pPr>
        <w:pStyle w:val="3"/>
        <w:spacing w:beforeLines="0" w:afterLines="0" w:line="308" w:lineRule="auto"/>
        <w:ind w:firstLine="562" w:firstLineChars="200"/>
        <w:jc w:val="center"/>
        <w:outlineLvl w:val="1"/>
        <w:rPr>
          <w:rFonts w:ascii="宋体" w:hAnsi="宋体"/>
          <w:color w:val="auto"/>
          <w:sz w:val="28"/>
          <w:szCs w:val="28"/>
          <w:highlight w:val="none"/>
        </w:rPr>
      </w:pPr>
      <w:bookmarkStart w:id="830" w:name="_Toc17850"/>
      <w:bookmarkStart w:id="831" w:name="_Toc8169"/>
      <w:bookmarkStart w:id="832" w:name="_Toc8538"/>
      <w:bookmarkStart w:id="833" w:name="_Toc32726"/>
      <w:bookmarkStart w:id="834" w:name="_Toc23437"/>
      <w:bookmarkStart w:id="835" w:name="_Toc13764"/>
      <w:bookmarkStart w:id="836" w:name="_Toc17590"/>
      <w:r>
        <w:rPr>
          <w:rFonts w:hint="eastAsia" w:ascii="宋体" w:hAnsi="宋体"/>
          <w:color w:val="auto"/>
          <w:sz w:val="28"/>
          <w:szCs w:val="28"/>
          <w:highlight w:val="none"/>
        </w:rPr>
        <w:t>十三、法律责任</w:t>
      </w:r>
      <w:bookmarkEnd w:id="794"/>
      <w:bookmarkEnd w:id="795"/>
      <w:bookmarkEnd w:id="796"/>
      <w:bookmarkEnd w:id="797"/>
      <w:bookmarkEnd w:id="798"/>
      <w:bookmarkEnd w:id="799"/>
      <w:bookmarkEnd w:id="800"/>
      <w:bookmarkEnd w:id="801"/>
      <w:bookmarkEnd w:id="802"/>
      <w:bookmarkEnd w:id="803"/>
      <w:bookmarkEnd w:id="80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snapToGrid w:val="0"/>
        <w:spacing w:beforeLines="0" w:afterLines="0" w:line="308" w:lineRule="auto"/>
        <w:ind w:firstLine="0"/>
        <w:rPr>
          <w:rFonts w:ascii="宋体" w:hAnsi="宋体"/>
          <w:color w:val="auto"/>
          <w:highlight w:val="none"/>
        </w:rPr>
      </w:pPr>
      <w:r>
        <w:rPr>
          <w:rFonts w:hint="eastAsia" w:ascii="宋体" w:hAnsi="宋体"/>
          <w:color w:val="auto"/>
          <w:highlight w:val="none"/>
        </w:rPr>
        <w:t>40.供应商有下列情形之一的</w:t>
      </w:r>
      <w:r>
        <w:rPr>
          <w:rFonts w:hint="eastAsia" w:ascii="宋体" w:hAnsi="宋体"/>
          <w:color w:val="auto"/>
          <w:highlight w:val="none"/>
          <w:lang w:eastAsia="zh-CN"/>
        </w:rPr>
        <w:t>，</w:t>
      </w:r>
      <w:r>
        <w:rPr>
          <w:rFonts w:hint="eastAsia" w:ascii="宋体" w:hAnsi="宋体"/>
          <w:color w:val="auto"/>
          <w:highlight w:val="none"/>
        </w:rPr>
        <w:t>处以采购项目成交金额千分之五以上千分之十以下的罚款</w:t>
      </w:r>
      <w:r>
        <w:rPr>
          <w:rFonts w:hint="eastAsia" w:ascii="宋体" w:hAnsi="宋体"/>
          <w:color w:val="auto"/>
          <w:highlight w:val="none"/>
          <w:lang w:eastAsia="zh-CN"/>
        </w:rPr>
        <w:t>，</w:t>
      </w:r>
      <w:r>
        <w:rPr>
          <w:rFonts w:hint="eastAsia" w:ascii="宋体" w:hAnsi="宋体"/>
          <w:color w:val="auto"/>
          <w:highlight w:val="none"/>
        </w:rPr>
        <w:t>列入不良行为记录名单</w:t>
      </w:r>
      <w:r>
        <w:rPr>
          <w:rFonts w:hint="eastAsia" w:ascii="宋体" w:hAnsi="宋体"/>
          <w:color w:val="auto"/>
          <w:highlight w:val="none"/>
          <w:lang w:eastAsia="zh-CN"/>
        </w:rPr>
        <w:t>，</w:t>
      </w:r>
      <w:r>
        <w:rPr>
          <w:rFonts w:hint="eastAsia" w:ascii="宋体" w:hAnsi="宋体"/>
          <w:color w:val="auto"/>
          <w:highlight w:val="none"/>
        </w:rPr>
        <w:t>在一至三年内禁止参加采购活动</w:t>
      </w:r>
      <w:r>
        <w:rPr>
          <w:rFonts w:hint="eastAsia" w:ascii="宋体" w:hAnsi="宋体"/>
          <w:color w:val="auto"/>
          <w:highlight w:val="none"/>
          <w:lang w:eastAsia="zh-CN"/>
        </w:rPr>
        <w:t>，</w:t>
      </w:r>
      <w:r>
        <w:rPr>
          <w:rFonts w:hint="eastAsia" w:ascii="宋体" w:hAnsi="宋体"/>
          <w:color w:val="auto"/>
          <w:highlight w:val="none"/>
        </w:rPr>
        <w:t>并予以公告</w:t>
      </w:r>
      <w:r>
        <w:rPr>
          <w:rFonts w:hint="eastAsia" w:ascii="宋体" w:hAnsi="宋体"/>
          <w:color w:val="auto"/>
          <w:highlight w:val="none"/>
          <w:lang w:eastAsia="zh-CN"/>
        </w:rPr>
        <w:t>，</w:t>
      </w:r>
      <w:r>
        <w:rPr>
          <w:rFonts w:hint="eastAsia" w:ascii="宋体" w:hAnsi="宋体"/>
          <w:color w:val="auto"/>
          <w:highlight w:val="none"/>
        </w:rPr>
        <w:t>有违法所得的</w:t>
      </w:r>
      <w:r>
        <w:rPr>
          <w:rFonts w:hint="eastAsia" w:ascii="宋体" w:hAnsi="宋体"/>
          <w:color w:val="auto"/>
          <w:highlight w:val="none"/>
          <w:lang w:eastAsia="zh-CN"/>
        </w:rPr>
        <w:t>，</w:t>
      </w:r>
      <w:r>
        <w:rPr>
          <w:rFonts w:hint="eastAsia" w:ascii="宋体" w:hAnsi="宋体"/>
          <w:color w:val="auto"/>
          <w:highlight w:val="none"/>
        </w:rPr>
        <w:t>并处没收违法所得</w:t>
      </w:r>
      <w:r>
        <w:rPr>
          <w:rFonts w:hint="eastAsia" w:ascii="宋体" w:hAnsi="宋体"/>
          <w:color w:val="auto"/>
          <w:highlight w:val="none"/>
          <w:lang w:eastAsia="zh-CN"/>
        </w:rPr>
        <w:t>，</w:t>
      </w:r>
      <w:r>
        <w:rPr>
          <w:rFonts w:hint="eastAsia" w:ascii="宋体" w:hAnsi="宋体"/>
          <w:color w:val="auto"/>
          <w:highlight w:val="none"/>
        </w:rPr>
        <w:t>情节严重的</w:t>
      </w:r>
      <w:r>
        <w:rPr>
          <w:rFonts w:hint="eastAsia" w:ascii="宋体" w:hAnsi="宋体"/>
          <w:color w:val="auto"/>
          <w:highlight w:val="none"/>
          <w:lang w:eastAsia="zh-CN"/>
        </w:rPr>
        <w:t>，</w:t>
      </w:r>
      <w:r>
        <w:rPr>
          <w:rFonts w:hint="eastAsia" w:ascii="宋体" w:hAnsi="宋体"/>
          <w:color w:val="auto"/>
          <w:highlight w:val="none"/>
        </w:rPr>
        <w:t>由市场监督管理机关吊销营业执照</w:t>
      </w:r>
      <w:r>
        <w:rPr>
          <w:rFonts w:hint="eastAsia" w:ascii="宋体" w:hAnsi="宋体"/>
          <w:color w:val="auto"/>
          <w:highlight w:val="none"/>
          <w:lang w:eastAsia="zh-CN"/>
        </w:rPr>
        <w:t>；</w:t>
      </w:r>
      <w:r>
        <w:rPr>
          <w:rFonts w:hint="eastAsia" w:ascii="宋体" w:hAnsi="宋体"/>
          <w:color w:val="auto"/>
          <w:highlight w:val="none"/>
        </w:rPr>
        <w:t>构成犯罪的</w:t>
      </w:r>
      <w:r>
        <w:rPr>
          <w:rFonts w:hint="eastAsia" w:ascii="宋体" w:hAnsi="宋体"/>
          <w:color w:val="auto"/>
          <w:highlight w:val="none"/>
          <w:lang w:eastAsia="zh-CN"/>
        </w:rPr>
        <w:t>，</w:t>
      </w:r>
      <w:r>
        <w:rPr>
          <w:rFonts w:hint="eastAsia" w:ascii="宋体" w:hAnsi="宋体"/>
          <w:color w:val="auto"/>
          <w:highlight w:val="none"/>
        </w:rPr>
        <w:t>依法追究刑事责任</w:t>
      </w:r>
      <w:r>
        <w:rPr>
          <w:rFonts w:hint="eastAsia" w:ascii="宋体" w:hAnsi="宋体"/>
          <w:color w:val="auto"/>
          <w:highlight w:val="none"/>
          <w:lang w:eastAsia="zh-CN"/>
        </w:rPr>
        <w:t>：</w:t>
      </w:r>
    </w:p>
    <w:p>
      <w:pPr>
        <w:snapToGrid w:val="0"/>
        <w:spacing w:beforeLines="0" w:afterLines="0" w:line="308" w:lineRule="auto"/>
        <w:ind w:firstLine="0"/>
        <w:rPr>
          <w:rFonts w:ascii="宋体" w:hAnsi="宋体"/>
          <w:color w:val="auto"/>
          <w:highlight w:val="none"/>
        </w:rPr>
      </w:pPr>
      <w:r>
        <w:rPr>
          <w:rFonts w:hint="eastAsia" w:ascii="宋体" w:hAnsi="宋体"/>
          <w:color w:val="auto"/>
          <w:highlight w:val="none"/>
        </w:rPr>
        <w:t>40.1提供虚假材料谋取成交的；</w:t>
      </w:r>
    </w:p>
    <w:p>
      <w:pPr>
        <w:snapToGrid w:val="0"/>
        <w:spacing w:beforeLines="0" w:afterLines="0" w:line="308" w:lineRule="auto"/>
        <w:ind w:firstLine="0"/>
        <w:rPr>
          <w:rFonts w:ascii="宋体" w:hAnsi="宋体"/>
          <w:color w:val="auto"/>
          <w:highlight w:val="none"/>
        </w:rPr>
      </w:pPr>
      <w:r>
        <w:rPr>
          <w:rFonts w:hint="eastAsia" w:ascii="宋体" w:hAnsi="宋体"/>
          <w:color w:val="auto"/>
          <w:highlight w:val="none"/>
        </w:rPr>
        <w:t>40.2采取不正当手段诋毁、排挤其他供应商的；</w:t>
      </w:r>
    </w:p>
    <w:p>
      <w:pPr>
        <w:snapToGrid w:val="0"/>
        <w:spacing w:beforeLines="0" w:afterLines="0" w:line="308" w:lineRule="auto"/>
        <w:ind w:firstLine="0"/>
        <w:rPr>
          <w:rFonts w:ascii="宋体" w:hAnsi="宋体"/>
          <w:color w:val="auto"/>
          <w:highlight w:val="none"/>
        </w:rPr>
      </w:pPr>
      <w:r>
        <w:rPr>
          <w:rFonts w:hint="eastAsia" w:ascii="宋体" w:hAnsi="宋体"/>
          <w:color w:val="auto"/>
          <w:highlight w:val="none"/>
        </w:rPr>
        <w:t>40.3与采购人、</w:t>
      </w:r>
      <w:r>
        <w:rPr>
          <w:rFonts w:hint="eastAsia" w:ascii="宋体" w:hAnsi="宋体"/>
          <w:color w:val="auto"/>
          <w:highlight w:val="none"/>
          <w:lang w:eastAsia="zh-CN"/>
        </w:rPr>
        <w:t>采购代理机构</w:t>
      </w:r>
      <w:r>
        <w:rPr>
          <w:rFonts w:hint="eastAsia" w:ascii="宋体" w:hAnsi="宋体"/>
          <w:color w:val="auto"/>
          <w:highlight w:val="none"/>
        </w:rPr>
        <w:t>、其他供应商恶意串通的；</w:t>
      </w:r>
    </w:p>
    <w:p>
      <w:pPr>
        <w:snapToGrid w:val="0"/>
        <w:spacing w:beforeLines="0" w:afterLines="0" w:line="308" w:lineRule="auto"/>
        <w:ind w:firstLine="0"/>
        <w:rPr>
          <w:rFonts w:ascii="宋体" w:hAnsi="宋体"/>
          <w:color w:val="auto"/>
          <w:highlight w:val="none"/>
        </w:rPr>
      </w:pPr>
      <w:r>
        <w:rPr>
          <w:rFonts w:hint="eastAsia" w:ascii="宋体" w:hAnsi="宋体"/>
          <w:color w:val="auto"/>
          <w:highlight w:val="none"/>
        </w:rPr>
        <w:t>40.4向采购人、</w:t>
      </w:r>
      <w:r>
        <w:rPr>
          <w:rFonts w:hint="eastAsia" w:ascii="宋体" w:hAnsi="宋体"/>
          <w:color w:val="auto"/>
          <w:highlight w:val="none"/>
          <w:lang w:eastAsia="zh-CN"/>
        </w:rPr>
        <w:t>采购代理机构</w:t>
      </w:r>
      <w:r>
        <w:rPr>
          <w:rFonts w:hint="eastAsia" w:ascii="宋体" w:hAnsi="宋体"/>
          <w:color w:val="auto"/>
          <w:highlight w:val="none"/>
        </w:rPr>
        <w:t>行贿或者提供其他不正当利益的；</w:t>
      </w:r>
    </w:p>
    <w:p>
      <w:pPr>
        <w:snapToGrid w:val="0"/>
        <w:spacing w:beforeLines="0" w:afterLines="0" w:line="308" w:lineRule="auto"/>
        <w:ind w:firstLine="0"/>
        <w:rPr>
          <w:rFonts w:ascii="宋体" w:hAnsi="宋体"/>
          <w:color w:val="auto"/>
          <w:highlight w:val="none"/>
        </w:rPr>
      </w:pPr>
      <w:r>
        <w:rPr>
          <w:rFonts w:hint="eastAsia" w:ascii="宋体" w:hAnsi="宋体"/>
          <w:color w:val="auto"/>
          <w:highlight w:val="none"/>
        </w:rPr>
        <w:t>40.5在磋商过程中与采购人进行协商磋商、不按照磋商文件和成交供应商的磋商响应文件订立合同</w:t>
      </w:r>
      <w:r>
        <w:rPr>
          <w:rFonts w:hint="eastAsia" w:ascii="宋体" w:hAnsi="宋体"/>
          <w:color w:val="auto"/>
          <w:highlight w:val="none"/>
          <w:lang w:eastAsia="zh-CN"/>
        </w:rPr>
        <w:t>，</w:t>
      </w:r>
      <w:r>
        <w:rPr>
          <w:rFonts w:hint="eastAsia" w:ascii="宋体" w:hAnsi="宋体"/>
          <w:color w:val="auto"/>
          <w:highlight w:val="none"/>
        </w:rPr>
        <w:t>或者与采购人另行订立背离合同实质性内容的协议的；</w:t>
      </w:r>
    </w:p>
    <w:p>
      <w:pPr>
        <w:snapToGrid w:val="0"/>
        <w:spacing w:beforeLines="0" w:afterLines="0" w:line="308" w:lineRule="auto"/>
        <w:ind w:firstLine="0"/>
        <w:rPr>
          <w:rFonts w:ascii="宋体" w:hAnsi="宋体"/>
          <w:b/>
          <w:color w:val="auto"/>
          <w:highlight w:val="none"/>
        </w:rPr>
      </w:pPr>
      <w:r>
        <w:rPr>
          <w:rFonts w:hint="eastAsia" w:ascii="宋体" w:hAnsi="宋体"/>
          <w:color w:val="auto"/>
          <w:highlight w:val="none"/>
        </w:rPr>
        <w:t>40.6拒绝有关部门监督检查或者提供虚假情况的</w:t>
      </w:r>
      <w:bookmarkStart w:id="837" w:name="_Toc366144042"/>
      <w:bookmarkStart w:id="838" w:name="_Toc356371442"/>
      <w:r>
        <w:rPr>
          <w:rFonts w:hint="eastAsia" w:ascii="宋体" w:hAnsi="宋体"/>
          <w:color w:val="auto"/>
          <w:highlight w:val="none"/>
        </w:rPr>
        <w:t>。</w:t>
      </w:r>
    </w:p>
    <w:p>
      <w:pPr>
        <w:pStyle w:val="3"/>
        <w:spacing w:beforeLines="0" w:afterLines="0" w:line="308" w:lineRule="auto"/>
        <w:ind w:firstLine="562" w:firstLineChars="200"/>
        <w:jc w:val="center"/>
        <w:outlineLvl w:val="1"/>
        <w:rPr>
          <w:rFonts w:ascii="宋体" w:hAnsi="宋体"/>
          <w:color w:val="auto"/>
          <w:sz w:val="28"/>
          <w:szCs w:val="28"/>
          <w:highlight w:val="none"/>
        </w:rPr>
      </w:pPr>
      <w:bookmarkStart w:id="839" w:name="_Toc12857"/>
      <w:bookmarkStart w:id="840" w:name="_Toc30402"/>
      <w:bookmarkStart w:id="841" w:name="_Toc24705"/>
      <w:bookmarkStart w:id="842" w:name="_Toc25674"/>
      <w:bookmarkStart w:id="843" w:name="_Toc11456"/>
      <w:bookmarkStart w:id="844" w:name="_Toc21495"/>
      <w:bookmarkStart w:id="845" w:name="_Toc22546"/>
      <w:bookmarkStart w:id="846" w:name="_Toc27161"/>
      <w:bookmarkStart w:id="847" w:name="_Toc2356"/>
      <w:bookmarkStart w:id="848" w:name="_Toc32408"/>
      <w:bookmarkStart w:id="849" w:name="_Toc5733"/>
      <w:bookmarkStart w:id="850" w:name="_Toc2501"/>
      <w:bookmarkStart w:id="851" w:name="_Toc11102"/>
      <w:bookmarkStart w:id="852" w:name="_Toc22223"/>
      <w:bookmarkStart w:id="853" w:name="_Toc23051"/>
      <w:bookmarkStart w:id="854" w:name="_Toc10243"/>
      <w:bookmarkStart w:id="855" w:name="_Toc26522"/>
      <w:bookmarkStart w:id="856" w:name="_Toc22501"/>
      <w:bookmarkStart w:id="857" w:name="_Toc31117"/>
      <w:bookmarkStart w:id="858" w:name="_Toc23450"/>
      <w:bookmarkStart w:id="859" w:name="_Toc22519"/>
      <w:bookmarkStart w:id="860" w:name="_Toc24196"/>
      <w:bookmarkStart w:id="861" w:name="_Toc8570"/>
      <w:bookmarkStart w:id="862" w:name="_Toc3582"/>
      <w:bookmarkStart w:id="863" w:name="_Toc27582"/>
      <w:bookmarkStart w:id="864" w:name="_Toc27766"/>
      <w:bookmarkStart w:id="865" w:name="_Toc84"/>
      <w:bookmarkStart w:id="866" w:name="_Toc26190"/>
      <w:bookmarkStart w:id="867" w:name="_Toc20782"/>
      <w:bookmarkStart w:id="868" w:name="_Toc24148"/>
      <w:bookmarkStart w:id="869" w:name="_Toc23468"/>
      <w:bookmarkStart w:id="870" w:name="_Toc25686"/>
      <w:bookmarkStart w:id="871" w:name="_Toc30533"/>
      <w:bookmarkStart w:id="872" w:name="_Toc10184"/>
      <w:bookmarkStart w:id="873" w:name="_Toc11086"/>
      <w:bookmarkStart w:id="874" w:name="_Toc18472"/>
      <w:bookmarkStart w:id="875" w:name="_Toc29343"/>
      <w:bookmarkStart w:id="876" w:name="_Toc9263"/>
      <w:bookmarkStart w:id="877" w:name="_Toc7617"/>
      <w:bookmarkStart w:id="878" w:name="_Toc11576"/>
      <w:bookmarkStart w:id="879" w:name="_Toc11060"/>
      <w:bookmarkStart w:id="880" w:name="_Toc27206"/>
      <w:bookmarkStart w:id="881" w:name="_Toc25883"/>
      <w:bookmarkStart w:id="882" w:name="_Toc8958"/>
      <w:bookmarkStart w:id="883" w:name="_Toc31011"/>
      <w:bookmarkStart w:id="884" w:name="_Toc20217"/>
      <w:bookmarkStart w:id="885" w:name="_Toc26773"/>
      <w:bookmarkStart w:id="886" w:name="_Toc9566"/>
      <w:bookmarkStart w:id="887" w:name="_Toc17532"/>
      <w:bookmarkStart w:id="888" w:name="_Toc26121"/>
      <w:bookmarkStart w:id="889" w:name="_Toc3748"/>
      <w:bookmarkStart w:id="890" w:name="_Toc8256"/>
      <w:bookmarkStart w:id="891" w:name="_Toc15513"/>
      <w:bookmarkStart w:id="892" w:name="_Toc26738"/>
      <w:bookmarkStart w:id="893" w:name="_Toc25928"/>
      <w:bookmarkStart w:id="894" w:name="_Toc2010"/>
      <w:bookmarkStart w:id="895" w:name="_Toc5668"/>
      <w:bookmarkStart w:id="896" w:name="_Toc8943"/>
      <w:bookmarkStart w:id="897" w:name="_Toc29689"/>
      <w:bookmarkStart w:id="898" w:name="_Toc12991"/>
      <w:bookmarkStart w:id="899" w:name="_Toc18234"/>
      <w:bookmarkStart w:id="900" w:name="_Toc22953"/>
      <w:bookmarkStart w:id="901" w:name="_Toc2512"/>
      <w:bookmarkStart w:id="902" w:name="_Toc6276"/>
      <w:bookmarkStart w:id="903" w:name="_Toc29090"/>
      <w:bookmarkStart w:id="904" w:name="_Toc20598"/>
      <w:bookmarkStart w:id="905" w:name="_Toc22345"/>
      <w:bookmarkStart w:id="906" w:name="_Toc32254"/>
      <w:bookmarkStart w:id="907" w:name="_Toc23367"/>
      <w:r>
        <w:rPr>
          <w:rFonts w:hint="eastAsia" w:ascii="宋体" w:hAnsi="宋体"/>
          <w:color w:val="auto"/>
          <w:sz w:val="28"/>
          <w:szCs w:val="28"/>
          <w:highlight w:val="none"/>
        </w:rPr>
        <w:t>十四、诚信管理</w:t>
      </w:r>
      <w:bookmarkEnd w:id="839"/>
      <w:bookmarkEnd w:id="840"/>
      <w:bookmarkEnd w:id="841"/>
      <w:bookmarkEnd w:id="842"/>
      <w:bookmarkEnd w:id="843"/>
      <w:bookmarkEnd w:id="844"/>
      <w:bookmarkEnd w:id="845"/>
      <w:bookmarkEnd w:id="846"/>
      <w:bookmarkEnd w:id="847"/>
      <w:bookmarkEnd w:id="848"/>
    </w:p>
    <w:p>
      <w:pPr>
        <w:adjustRightInd w:val="0"/>
        <w:snapToGrid w:val="0"/>
        <w:spacing w:beforeLines="0" w:afterLines="0" w:line="308" w:lineRule="auto"/>
        <w:ind w:firstLine="0"/>
        <w:rPr>
          <w:rFonts w:ascii="宋体" w:hAnsi="宋体"/>
          <w:b/>
          <w:bCs/>
          <w:color w:val="auto"/>
          <w:highlight w:val="none"/>
        </w:rPr>
      </w:pPr>
      <w:r>
        <w:rPr>
          <w:rFonts w:hint="eastAsia" w:ascii="宋体" w:hAnsi="宋体"/>
          <w:b/>
          <w:bCs/>
          <w:color w:val="auto"/>
          <w:highlight w:val="none"/>
        </w:rPr>
        <w:t>41.供应商有下列情形之一的，依据《关于印发浙江省政府供应商注册及诚信管理暂行办</w:t>
      </w:r>
      <w:r>
        <w:rPr>
          <w:rFonts w:hint="eastAsia" w:ascii="宋体" w:hAnsi="宋体"/>
          <w:b/>
          <w:bCs/>
          <w:color w:val="auto"/>
          <w:highlight w:val="none"/>
          <w:lang w:eastAsia="zh-CN"/>
        </w:rPr>
        <w:t>法的</w:t>
      </w:r>
      <w:r>
        <w:rPr>
          <w:rFonts w:hint="eastAsia" w:ascii="宋体" w:hAnsi="宋体"/>
          <w:b/>
          <w:bCs/>
          <w:color w:val="auto"/>
          <w:highlight w:val="none"/>
        </w:rPr>
        <w:t>通知》[浙财采监字〔2009〕28号]文件第三十八条和第三十九条的规定记录不良行为、黑名单及处罚。</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 xml:space="preserve">41.1 </w:t>
      </w:r>
      <w:r>
        <w:rPr>
          <w:rFonts w:hint="eastAsia" w:ascii="宋体" w:hAnsi="宋体"/>
          <w:b w:val="0"/>
          <w:bCs w:val="0"/>
          <w:color w:val="auto"/>
          <w:highlight w:val="none"/>
        </w:rPr>
        <w:t>第三十八条</w:t>
      </w:r>
      <w:r>
        <w:rPr>
          <w:rFonts w:hint="eastAsia" w:ascii="宋体" w:hAnsi="宋体"/>
          <w:b w:val="0"/>
          <w:bCs w:val="0"/>
          <w:color w:val="auto"/>
          <w:highlight w:val="none"/>
          <w:lang w:val="en-US" w:eastAsia="zh-CN"/>
        </w:rPr>
        <w:t xml:space="preserve"> </w:t>
      </w:r>
      <w:r>
        <w:rPr>
          <w:rFonts w:hint="eastAsia" w:ascii="宋体" w:hAnsi="宋体"/>
          <w:color w:val="auto"/>
          <w:highlight w:val="none"/>
        </w:rPr>
        <w:t>注册供应商有下列情形之一的，采购人或</w:t>
      </w:r>
      <w:r>
        <w:rPr>
          <w:rFonts w:hint="eastAsia" w:ascii="宋体" w:hAnsi="宋体"/>
          <w:color w:val="auto"/>
          <w:highlight w:val="none"/>
          <w:lang w:eastAsia="zh-CN"/>
        </w:rPr>
        <w:t>采购代理机构</w:t>
      </w:r>
      <w:r>
        <w:rPr>
          <w:rFonts w:hint="eastAsia" w:ascii="宋体" w:hAnsi="宋体"/>
          <w:color w:val="auto"/>
          <w:highlight w:val="none"/>
        </w:rPr>
        <w:t>应按不良行为记入该注册供应商诚信档案中：</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（一）开标后擅自撤回采购响应文件，或扰乱开标现场，影响采购活动继续进行的；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（二）成交、成交后无正当理由拒绝签订采购合同，或者与采购人另行订立背离合同实质内容的协议的；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（三）无正当理由拒绝履行合同和有关承诺，或擅自变更、中止（终止）采购合同的；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（四）成交、成交后，将采购合同转包或擅自分包给其他供应商的；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（五）提供假冒伪劣产品或走私物品的；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（六）擅自降低产品质量等次和售后服务，或以次充好、偷工减料的；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（七）实际提供的有关产品性能指标和技术服务能力明显低于采购响应文件或询标、磋商时的承诺；</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（八）在供应商库中发布的产品服务信息或在政府采购网上宣传的信息与实际明显不符，或故意误导采购人的；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（九）不按规定或不及时变更供应商库中的有关信息的；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（十）1年内在全省被质疑或投诉累计分别在20和10次以上且60%以上被驳回的，或恶意举报给采购人或</w:t>
      </w:r>
      <w:r>
        <w:rPr>
          <w:rFonts w:hint="eastAsia" w:ascii="宋体" w:hAnsi="宋体"/>
          <w:color w:val="auto"/>
          <w:highlight w:val="none"/>
          <w:lang w:eastAsia="zh-CN"/>
        </w:rPr>
        <w:t>采购代理机构</w:t>
      </w:r>
      <w:r>
        <w:rPr>
          <w:rFonts w:hint="eastAsia" w:ascii="宋体" w:hAnsi="宋体"/>
          <w:color w:val="auto"/>
          <w:highlight w:val="none"/>
        </w:rPr>
        <w:t>造成损害的；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（十一）各级财政部门认定</w:t>
      </w:r>
      <w:r>
        <w:rPr>
          <w:rFonts w:hint="eastAsia" w:ascii="宋体" w:hAnsi="宋体"/>
          <w:color w:val="auto"/>
          <w:highlight w:val="none"/>
          <w:lang w:eastAsia="zh-CN"/>
        </w:rPr>
        <w:t>的其他</w:t>
      </w:r>
      <w:r>
        <w:rPr>
          <w:rFonts w:hint="eastAsia" w:ascii="宋体" w:hAnsi="宋体"/>
          <w:color w:val="auto"/>
          <w:highlight w:val="none"/>
        </w:rPr>
        <w:t>有违诚实信用的行为。</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41.2</w:t>
      </w:r>
      <w:r>
        <w:rPr>
          <w:rFonts w:hint="eastAsia" w:ascii="宋体" w:hAnsi="宋体"/>
          <w:b w:val="0"/>
          <w:bCs w:val="0"/>
          <w:color w:val="auto"/>
          <w:highlight w:val="none"/>
        </w:rPr>
        <w:t xml:space="preserve"> 第三十</w:t>
      </w:r>
      <w:r>
        <w:rPr>
          <w:rFonts w:hint="eastAsia" w:ascii="宋体" w:hAnsi="宋体"/>
          <w:b w:val="0"/>
          <w:bCs w:val="0"/>
          <w:color w:val="auto"/>
          <w:highlight w:val="none"/>
          <w:lang w:val="en-US" w:eastAsia="zh-CN"/>
        </w:rPr>
        <w:t>九</w:t>
      </w:r>
      <w:r>
        <w:rPr>
          <w:rFonts w:hint="eastAsia" w:ascii="宋体" w:hAnsi="宋体"/>
          <w:b w:val="0"/>
          <w:bCs w:val="0"/>
          <w:color w:val="auto"/>
          <w:highlight w:val="none"/>
        </w:rPr>
        <w:t>条</w:t>
      </w:r>
      <w:r>
        <w:rPr>
          <w:rFonts w:hint="eastAsia" w:ascii="宋体" w:hAnsi="宋体"/>
          <w:b w:val="0"/>
          <w:bCs w:val="0"/>
          <w:color w:val="auto"/>
          <w:highlight w:val="none"/>
          <w:lang w:val="en-US" w:eastAsia="zh-CN"/>
        </w:rPr>
        <w:t xml:space="preserve"> </w:t>
      </w:r>
      <w:r>
        <w:rPr>
          <w:rFonts w:hint="eastAsia" w:ascii="宋体" w:hAnsi="宋体"/>
          <w:b w:val="0"/>
          <w:bCs w:val="0"/>
          <w:color w:val="auto"/>
          <w:highlight w:val="none"/>
        </w:rPr>
        <w:t>注册供</w:t>
      </w:r>
      <w:r>
        <w:rPr>
          <w:rFonts w:hint="eastAsia" w:ascii="宋体" w:hAnsi="宋体"/>
          <w:color w:val="auto"/>
          <w:highlight w:val="none"/>
        </w:rPr>
        <w:t>应商有下列情形之一的，采购人或</w:t>
      </w:r>
      <w:r>
        <w:rPr>
          <w:rFonts w:hint="eastAsia" w:ascii="宋体" w:hAnsi="宋体"/>
          <w:color w:val="auto"/>
          <w:highlight w:val="none"/>
          <w:lang w:eastAsia="zh-CN"/>
        </w:rPr>
        <w:t>采购代理机构</w:t>
      </w:r>
      <w:r>
        <w:rPr>
          <w:rFonts w:hint="eastAsia" w:ascii="宋体" w:hAnsi="宋体"/>
          <w:color w:val="auto"/>
          <w:highlight w:val="none"/>
        </w:rPr>
        <w:t>应向同级主管部门书面报告，并提请主管部门将其列入“黑名单”或者依法作出处罚；各级主管部门在依法处罚的同时，应将该情况按不良行为记入该供应商诚信档案中，同时将该供应商列入“黑名单”公开曝光：</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（一）提供虚假材料谋取成交、成交的；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（二）采取不正当手段诋毁、排挤其他供应商的；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（三）与采购人、其他供应商或者</w:t>
      </w:r>
      <w:r>
        <w:rPr>
          <w:rFonts w:hint="eastAsia" w:ascii="宋体" w:hAnsi="宋体"/>
          <w:color w:val="auto"/>
          <w:highlight w:val="none"/>
          <w:lang w:eastAsia="zh-CN"/>
        </w:rPr>
        <w:t>采购代理机构</w:t>
      </w:r>
      <w:r>
        <w:rPr>
          <w:rFonts w:hint="eastAsia" w:ascii="宋体" w:hAnsi="宋体"/>
          <w:color w:val="auto"/>
          <w:highlight w:val="none"/>
        </w:rPr>
        <w:t>恶意串通的；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（四）向采购人、</w:t>
      </w:r>
      <w:r>
        <w:rPr>
          <w:rFonts w:hint="eastAsia" w:ascii="宋体" w:hAnsi="宋体"/>
          <w:color w:val="auto"/>
          <w:highlight w:val="none"/>
          <w:lang w:eastAsia="zh-CN"/>
        </w:rPr>
        <w:t>采购代理机构</w:t>
      </w:r>
      <w:r>
        <w:rPr>
          <w:rFonts w:hint="eastAsia" w:ascii="宋体" w:hAnsi="宋体"/>
          <w:color w:val="auto"/>
          <w:highlight w:val="none"/>
        </w:rPr>
        <w:t>行贿或提供其他不正当利益，或因此被其他国家机关立案</w:t>
      </w:r>
      <w:r>
        <w:rPr>
          <w:rFonts w:hint="eastAsia" w:ascii="宋体" w:hAnsi="宋体"/>
          <w:color w:val="auto"/>
          <w:highlight w:val="none"/>
          <w:lang w:eastAsia="zh-CN"/>
        </w:rPr>
        <w:t>查处</w:t>
      </w:r>
      <w:r>
        <w:rPr>
          <w:rFonts w:hint="eastAsia" w:ascii="宋体" w:hAnsi="宋体"/>
          <w:color w:val="auto"/>
          <w:highlight w:val="none"/>
        </w:rPr>
        <w:t>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（五）在招标采购过程中与采购人进行协商谈判的；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（六）哄抬、操纵采购报价，或采购价格（包括产品及其配件、试剂、耗材等价格）明显高于市场平均价的；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（七）提供虚假材料骗取注册供应商资格的；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（八）伪造《浙江省采购注册供应商信息登记表》的；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（九）销售或发布</w:t>
      </w:r>
      <w:r>
        <w:rPr>
          <w:rFonts w:hint="eastAsia" w:ascii="宋体" w:hAnsi="宋体"/>
          <w:color w:val="auto"/>
          <w:highlight w:val="none"/>
          <w:lang w:eastAsia="zh-CN"/>
        </w:rPr>
        <w:t>法律法规</w:t>
      </w:r>
      <w:r>
        <w:rPr>
          <w:rFonts w:hint="eastAsia" w:ascii="宋体" w:hAnsi="宋体"/>
          <w:color w:val="auto"/>
          <w:highlight w:val="none"/>
        </w:rPr>
        <w:t>禁止销售的商品、服务和其他违法信息的；</w:t>
      </w:r>
    </w:p>
    <w:p>
      <w:pPr>
        <w:adjustRightInd w:val="0"/>
        <w:snapToGrid w:val="0"/>
        <w:spacing w:beforeLines="0" w:afterLines="0" w:line="308" w:lineRule="auto"/>
        <w:ind w:firstLine="0"/>
        <w:rPr>
          <w:rFonts w:ascii="宋体" w:hAnsi="宋体"/>
          <w:color w:val="auto"/>
          <w:highlight w:val="none"/>
        </w:rPr>
      </w:pPr>
      <w:r>
        <w:rPr>
          <w:rFonts w:hint="eastAsia" w:ascii="宋体" w:hAnsi="宋体"/>
          <w:color w:val="auto"/>
          <w:highlight w:val="none"/>
        </w:rPr>
        <w:t>（十）</w:t>
      </w:r>
      <w:r>
        <w:rPr>
          <w:rFonts w:hint="eastAsia" w:ascii="宋体" w:hAnsi="宋体"/>
          <w:color w:val="auto"/>
          <w:highlight w:val="none"/>
          <w:lang w:eastAsia="zh-CN"/>
        </w:rPr>
        <w:t>其他违反法律法规</w:t>
      </w:r>
      <w:r>
        <w:rPr>
          <w:rFonts w:hint="eastAsia" w:ascii="宋体" w:hAnsi="宋体"/>
          <w:color w:val="auto"/>
          <w:highlight w:val="none"/>
        </w:rPr>
        <w:t>和采购管理有关规定的行为的。</w:t>
      </w:r>
    </w:p>
    <w:p>
      <w:pPr>
        <w:pStyle w:val="3"/>
        <w:spacing w:beforeLines="0" w:afterLines="0" w:line="308" w:lineRule="auto"/>
        <w:ind w:firstLine="562" w:firstLineChars="200"/>
        <w:jc w:val="center"/>
        <w:outlineLvl w:val="1"/>
        <w:rPr>
          <w:rFonts w:ascii="宋体" w:hAnsi="宋体"/>
          <w:color w:val="auto"/>
          <w:sz w:val="28"/>
          <w:szCs w:val="28"/>
          <w:highlight w:val="none"/>
        </w:rPr>
      </w:pPr>
      <w:bookmarkStart w:id="908" w:name="_Toc1308"/>
      <w:bookmarkStart w:id="909" w:name="_Toc9052"/>
      <w:bookmarkStart w:id="910" w:name="_Toc4192"/>
      <w:bookmarkStart w:id="911" w:name="_Toc5501"/>
      <w:bookmarkStart w:id="912" w:name="_Toc4752"/>
      <w:bookmarkStart w:id="913" w:name="_Toc20351"/>
      <w:bookmarkStart w:id="914" w:name="_Toc6943"/>
      <w:bookmarkStart w:id="915" w:name="_Toc4361"/>
      <w:bookmarkStart w:id="916" w:name="_Toc2122"/>
      <w:bookmarkStart w:id="917" w:name="_Toc29527"/>
      <w:bookmarkStart w:id="918" w:name="_Toc28202"/>
      <w:bookmarkStart w:id="919" w:name="_Toc10514"/>
      <w:bookmarkStart w:id="920" w:name="_Toc11460"/>
      <w:bookmarkStart w:id="921" w:name="_Toc23605"/>
      <w:bookmarkStart w:id="922" w:name="_Toc258"/>
      <w:bookmarkStart w:id="923" w:name="_Toc12985"/>
      <w:bookmarkStart w:id="924" w:name="_Toc19882"/>
      <w:bookmarkStart w:id="925" w:name="_Toc22764"/>
      <w:bookmarkStart w:id="926" w:name="_Toc28363"/>
      <w:bookmarkStart w:id="927" w:name="_Toc22155"/>
      <w:bookmarkStart w:id="928" w:name="_Toc9130"/>
      <w:bookmarkStart w:id="929" w:name="_Toc14464"/>
      <w:bookmarkStart w:id="930" w:name="_Toc4255"/>
      <w:bookmarkStart w:id="931" w:name="_Toc11602"/>
      <w:bookmarkStart w:id="932" w:name="_Toc28047"/>
      <w:bookmarkStart w:id="933" w:name="_Toc12027"/>
      <w:bookmarkStart w:id="934" w:name="_Toc24570"/>
      <w:bookmarkStart w:id="935" w:name="_Toc19742"/>
      <w:bookmarkStart w:id="936" w:name="_Toc32111"/>
      <w:bookmarkStart w:id="937" w:name="_Toc26974"/>
      <w:bookmarkStart w:id="938" w:name="_Toc6927"/>
      <w:bookmarkStart w:id="939" w:name="_Toc20938"/>
      <w:bookmarkStart w:id="940" w:name="_Toc17878"/>
      <w:bookmarkStart w:id="941" w:name="_Toc26105"/>
      <w:bookmarkStart w:id="942" w:name="_Toc27317"/>
      <w:bookmarkStart w:id="943" w:name="_Toc2982"/>
      <w:bookmarkStart w:id="944" w:name="_Toc13095"/>
      <w:bookmarkStart w:id="945" w:name="_Toc22286"/>
      <w:r>
        <w:rPr>
          <w:rFonts w:hint="eastAsia" w:ascii="宋体" w:hAnsi="宋体"/>
          <w:color w:val="auto"/>
          <w:sz w:val="28"/>
          <w:szCs w:val="28"/>
          <w:highlight w:val="none"/>
        </w:rPr>
        <w:t>十五、质疑与投诉</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spacing w:beforeLines="0" w:afterLines="0" w:line="308" w:lineRule="auto"/>
        <w:ind w:firstLine="0"/>
        <w:rPr>
          <w:rFonts w:ascii="宋体" w:hAnsi="宋体"/>
          <w:color w:val="auto"/>
          <w:highlight w:val="none"/>
        </w:rPr>
      </w:pPr>
      <w:bookmarkStart w:id="946" w:name="_Toc361434465"/>
      <w:bookmarkStart w:id="947" w:name="_Toc15164"/>
      <w:bookmarkStart w:id="948" w:name="_Toc452528604"/>
      <w:bookmarkStart w:id="949" w:name="_Toc361434804"/>
      <w:bookmarkStart w:id="950" w:name="_Toc22748"/>
      <w:bookmarkStart w:id="951" w:name="_Toc361434564"/>
      <w:bookmarkStart w:id="952" w:name="_Toc12599"/>
      <w:bookmarkStart w:id="953" w:name="_Toc2882"/>
      <w:bookmarkStart w:id="954" w:name="_Toc361437150"/>
      <w:bookmarkStart w:id="955" w:name="_Toc15818"/>
      <w:bookmarkStart w:id="956" w:name="_Toc16162"/>
      <w:bookmarkStart w:id="957" w:name="_Toc361434900"/>
      <w:bookmarkStart w:id="958" w:name="_Toc14839"/>
      <w:r>
        <w:rPr>
          <w:rFonts w:hint="eastAsia" w:ascii="宋体" w:hAnsi="宋体"/>
          <w:color w:val="auto"/>
          <w:highlight w:val="none"/>
        </w:rPr>
        <w:t>42.质疑提出</w:t>
      </w:r>
    </w:p>
    <w:p>
      <w:pPr>
        <w:spacing w:beforeLines="0" w:afterLines="0" w:line="308" w:lineRule="auto"/>
        <w:ind w:firstLine="0"/>
        <w:rPr>
          <w:rFonts w:ascii="宋体" w:hAnsi="宋体"/>
          <w:color w:val="auto"/>
          <w:highlight w:val="none"/>
        </w:rPr>
      </w:pPr>
      <w:r>
        <w:rPr>
          <w:rFonts w:hint="eastAsia" w:ascii="宋体" w:hAnsi="宋体"/>
          <w:color w:val="auto"/>
          <w:highlight w:val="none"/>
        </w:rPr>
        <w:t>42.1参照《中华人民共和国政府采购法》《中华人民共和国政府采购法实施条例》《政府采购质疑和投诉办法》（财政部令第94号）等有关法律法规规定。</w:t>
      </w:r>
    </w:p>
    <w:p>
      <w:pPr>
        <w:spacing w:beforeLines="0" w:afterLines="0" w:line="308" w:lineRule="auto"/>
        <w:ind w:firstLine="0"/>
        <w:rPr>
          <w:rFonts w:ascii="宋体" w:hAnsi="宋体"/>
          <w:color w:val="auto"/>
          <w:highlight w:val="none"/>
        </w:rPr>
      </w:pPr>
      <w:r>
        <w:rPr>
          <w:rFonts w:hint="eastAsia" w:ascii="宋体" w:hAnsi="宋体"/>
          <w:color w:val="auto"/>
          <w:highlight w:val="none"/>
        </w:rPr>
        <w:t>42.2供应商提交的质疑函与投诉书应参照财政部《</w:t>
      </w:r>
      <w:r>
        <w:rPr>
          <w:color w:val="auto"/>
          <w:highlight w:val="none"/>
        </w:rPr>
        <w:fldChar w:fldCharType="begin"/>
      </w:r>
      <w:r>
        <w:rPr>
          <w:color w:val="auto"/>
          <w:highlight w:val="none"/>
        </w:rPr>
        <w:instrText xml:space="preserve"> HYPERLINK "http://www.caigou2003.com/" \t "http://www.zjzfcg.gov.cn/news/2018-02-09/_blank" </w:instrText>
      </w:r>
      <w:r>
        <w:rPr>
          <w:color w:val="auto"/>
          <w:highlight w:val="none"/>
        </w:rPr>
        <w:fldChar w:fldCharType="separate"/>
      </w:r>
      <w:r>
        <w:rPr>
          <w:rFonts w:hint="eastAsia" w:ascii="宋体" w:hAnsi="宋体"/>
          <w:color w:val="auto"/>
          <w:highlight w:val="none"/>
        </w:rPr>
        <w:t>政府采购</w:t>
      </w:r>
      <w:r>
        <w:rPr>
          <w:rFonts w:hint="eastAsia" w:ascii="宋体" w:hAnsi="宋体"/>
          <w:color w:val="auto"/>
          <w:highlight w:val="none"/>
        </w:rPr>
        <w:fldChar w:fldCharType="end"/>
      </w:r>
      <w:r>
        <w:rPr>
          <w:rFonts w:hint="eastAsia" w:ascii="宋体" w:hAnsi="宋体"/>
          <w:color w:val="auto"/>
          <w:highlight w:val="none"/>
        </w:rPr>
        <w:t>供应商质疑函范本》《</w:t>
      </w:r>
      <w:r>
        <w:rPr>
          <w:color w:val="auto"/>
          <w:highlight w:val="none"/>
        </w:rPr>
        <w:fldChar w:fldCharType="begin"/>
      </w:r>
      <w:r>
        <w:rPr>
          <w:color w:val="auto"/>
          <w:highlight w:val="none"/>
        </w:rPr>
        <w:instrText xml:space="preserve"> HYPERLINK "http://www.caigou2003.com/" \t "http://www.zjzfcg.gov.cn/news/2018-02-09/_blank" </w:instrText>
      </w:r>
      <w:r>
        <w:rPr>
          <w:color w:val="auto"/>
          <w:highlight w:val="none"/>
        </w:rPr>
        <w:fldChar w:fldCharType="separate"/>
      </w:r>
      <w:r>
        <w:rPr>
          <w:rFonts w:hint="eastAsia" w:ascii="宋体" w:hAnsi="宋体"/>
          <w:color w:val="auto"/>
          <w:highlight w:val="none"/>
        </w:rPr>
        <w:t>政府采购</w:t>
      </w:r>
      <w:r>
        <w:rPr>
          <w:rFonts w:hint="eastAsia" w:ascii="宋体" w:hAnsi="宋体"/>
          <w:color w:val="auto"/>
          <w:highlight w:val="none"/>
        </w:rPr>
        <w:fldChar w:fldCharType="end"/>
      </w:r>
      <w:r>
        <w:rPr>
          <w:rFonts w:hint="eastAsia" w:ascii="宋体" w:hAnsi="宋体"/>
          <w:color w:val="auto"/>
          <w:highlight w:val="none"/>
        </w:rPr>
        <w:t>供应商投诉书范本》要求。</w:t>
      </w:r>
    </w:p>
    <w:p>
      <w:pPr>
        <w:spacing w:beforeLines="0" w:afterLines="0" w:line="308" w:lineRule="auto"/>
        <w:ind w:firstLine="0"/>
        <w:rPr>
          <w:rFonts w:ascii="宋体" w:hAnsi="宋体"/>
          <w:color w:val="auto"/>
          <w:highlight w:val="none"/>
        </w:rPr>
      </w:pPr>
      <w:r>
        <w:rPr>
          <w:rFonts w:hint="eastAsia" w:ascii="宋体" w:hAnsi="宋体"/>
          <w:color w:val="auto"/>
          <w:highlight w:val="none"/>
        </w:rPr>
        <w:t>42.3供应商认为采购公告、采购文件、采购过程和成交结果使自己的权益受到损害的，可以在知道或者应知其权益受到损害之日起7个工作日内，以书面形式向采购人、</w:t>
      </w:r>
      <w:r>
        <w:rPr>
          <w:rFonts w:hint="eastAsia" w:ascii="宋体" w:hAnsi="宋体"/>
          <w:color w:val="auto"/>
          <w:highlight w:val="none"/>
          <w:lang w:eastAsia="zh-CN"/>
        </w:rPr>
        <w:t>采购代理机构</w:t>
      </w:r>
      <w:r>
        <w:rPr>
          <w:rFonts w:hint="eastAsia" w:ascii="宋体" w:hAnsi="宋体"/>
          <w:color w:val="auto"/>
          <w:highlight w:val="none"/>
        </w:rPr>
        <w:t>提出质疑。供应商在法定质疑期内一次性提出针对同一采购程序环节的质疑。</w:t>
      </w:r>
    </w:p>
    <w:p>
      <w:pPr>
        <w:spacing w:beforeLines="0" w:afterLines="0" w:line="308" w:lineRule="auto"/>
        <w:ind w:firstLine="0"/>
        <w:rPr>
          <w:rFonts w:ascii="宋体" w:hAnsi="宋体"/>
          <w:color w:val="auto"/>
          <w:highlight w:val="none"/>
        </w:rPr>
      </w:pPr>
      <w:r>
        <w:rPr>
          <w:rFonts w:hint="eastAsia" w:ascii="宋体" w:hAnsi="宋体"/>
          <w:color w:val="auto"/>
          <w:highlight w:val="none"/>
        </w:rPr>
        <w:t>42.4质疑提出起算日期：</w:t>
      </w:r>
    </w:p>
    <w:p>
      <w:pPr>
        <w:spacing w:beforeLines="0" w:afterLines="0" w:line="308" w:lineRule="auto"/>
        <w:ind w:firstLine="480" w:firstLineChars="200"/>
        <w:rPr>
          <w:rFonts w:ascii="宋体" w:hAnsi="宋体"/>
          <w:color w:val="auto"/>
          <w:highlight w:val="none"/>
        </w:rPr>
      </w:pPr>
      <w:r>
        <w:rPr>
          <w:rFonts w:hint="eastAsia" w:ascii="宋体" w:hAnsi="宋体"/>
          <w:color w:val="auto"/>
          <w:highlight w:val="none"/>
        </w:rPr>
        <w:t>42.4.1对采购公告和采购文件提出质疑的，自公告发布后的第4个工作日开始计算，且</w:t>
      </w:r>
      <w:r>
        <w:rPr>
          <w:rFonts w:hint="eastAsia" w:ascii="宋体" w:hAnsi="宋体"/>
          <w:color w:val="auto"/>
          <w:highlight w:val="none"/>
          <w:lang w:eastAsia="zh-CN"/>
        </w:rPr>
        <w:t>应当在</w:t>
      </w:r>
      <w:r>
        <w:rPr>
          <w:rFonts w:hint="eastAsia" w:ascii="宋体" w:hAnsi="宋体"/>
          <w:color w:val="auto"/>
          <w:highlight w:val="none"/>
        </w:rPr>
        <w:t>磋商截止前24小时前提出，否则，被质疑人可不予受理。</w:t>
      </w:r>
    </w:p>
    <w:p>
      <w:pPr>
        <w:spacing w:beforeLines="0" w:afterLines="0" w:line="308" w:lineRule="auto"/>
        <w:ind w:firstLine="0"/>
        <w:rPr>
          <w:rFonts w:ascii="宋体" w:hAnsi="宋体"/>
          <w:color w:val="auto"/>
          <w:highlight w:val="none"/>
        </w:rPr>
      </w:pPr>
      <w:r>
        <w:rPr>
          <w:rFonts w:hint="eastAsia" w:ascii="宋体" w:hAnsi="宋体"/>
          <w:color w:val="auto"/>
          <w:highlight w:val="none"/>
        </w:rPr>
        <w:t>42.4.2对磋商过程提出质疑的，质疑期限自各采购程序环节结束之日起计算。</w:t>
      </w:r>
    </w:p>
    <w:p>
      <w:pPr>
        <w:spacing w:beforeLines="0" w:afterLines="0" w:line="308" w:lineRule="auto"/>
        <w:ind w:firstLine="0"/>
        <w:rPr>
          <w:rFonts w:ascii="宋体" w:hAnsi="宋体"/>
          <w:color w:val="auto"/>
          <w:highlight w:val="none"/>
        </w:rPr>
      </w:pPr>
      <w:r>
        <w:rPr>
          <w:rFonts w:hint="eastAsia" w:ascii="宋体" w:hAnsi="宋体"/>
          <w:color w:val="auto"/>
          <w:highlight w:val="none"/>
        </w:rPr>
        <w:t>42.4.3对采购结果提出质疑的，质疑期限自采购结果公告（包括公示、预公告、结果变更公告等）之日起计算。</w:t>
      </w:r>
    </w:p>
    <w:p>
      <w:pPr>
        <w:spacing w:beforeLines="0" w:afterLines="0" w:line="308" w:lineRule="auto"/>
        <w:ind w:firstLine="0"/>
        <w:rPr>
          <w:rFonts w:ascii="宋体" w:hAnsi="宋体"/>
          <w:color w:val="auto"/>
          <w:highlight w:val="none"/>
        </w:rPr>
      </w:pPr>
      <w:r>
        <w:rPr>
          <w:rFonts w:hint="eastAsia" w:ascii="宋体" w:hAnsi="宋体"/>
          <w:color w:val="auto"/>
          <w:highlight w:val="none"/>
        </w:rPr>
        <w:t>42.4.4供应商逾期提出质疑的，采购人或</w:t>
      </w:r>
      <w:r>
        <w:rPr>
          <w:rFonts w:hint="eastAsia" w:ascii="宋体" w:hAnsi="宋体"/>
          <w:color w:val="auto"/>
          <w:highlight w:val="none"/>
          <w:lang w:eastAsia="zh-CN"/>
        </w:rPr>
        <w:t>采购代理机构</w:t>
      </w:r>
      <w:r>
        <w:rPr>
          <w:rFonts w:hint="eastAsia" w:ascii="宋体" w:hAnsi="宋体"/>
          <w:color w:val="auto"/>
          <w:highlight w:val="none"/>
        </w:rPr>
        <w:t>均不予受理和答复。</w:t>
      </w:r>
    </w:p>
    <w:p>
      <w:pPr>
        <w:spacing w:beforeLines="0" w:afterLines="0" w:line="308" w:lineRule="auto"/>
        <w:ind w:firstLine="0"/>
        <w:rPr>
          <w:rFonts w:ascii="宋体" w:hAnsi="宋体"/>
          <w:color w:val="auto"/>
          <w:highlight w:val="none"/>
        </w:rPr>
      </w:pPr>
      <w:r>
        <w:rPr>
          <w:rFonts w:hint="eastAsia" w:ascii="宋体" w:hAnsi="宋体"/>
          <w:color w:val="auto"/>
          <w:highlight w:val="none"/>
        </w:rPr>
        <w:t>42.5采购人拒绝受理未参加本项目报名或已报名但未提交响应文件的供应商对采购公告、磋商文件、评审过程、评审结果的质疑。</w:t>
      </w:r>
    </w:p>
    <w:p>
      <w:pPr>
        <w:spacing w:beforeLines="0" w:afterLines="0" w:line="308" w:lineRule="auto"/>
        <w:ind w:firstLine="0"/>
        <w:outlineLvl w:val="0"/>
        <w:rPr>
          <w:rFonts w:ascii="宋体" w:hAnsi="宋体"/>
          <w:color w:val="auto"/>
          <w:highlight w:val="none"/>
        </w:rPr>
      </w:pPr>
      <w:bookmarkStart w:id="959" w:name="_Toc12432"/>
      <w:bookmarkStart w:id="960" w:name="_Toc24543"/>
      <w:bookmarkStart w:id="961" w:name="_Toc30388"/>
      <w:bookmarkStart w:id="962" w:name="_Toc28595"/>
      <w:bookmarkStart w:id="963" w:name="_Toc2206"/>
      <w:bookmarkStart w:id="964" w:name="_Toc29234"/>
      <w:bookmarkStart w:id="965" w:name="_Toc6451"/>
      <w:bookmarkStart w:id="966" w:name="_Toc2125"/>
      <w:bookmarkStart w:id="967" w:name="_Toc31124"/>
      <w:bookmarkStart w:id="968" w:name="_Toc22115"/>
      <w:bookmarkStart w:id="969" w:name="_Toc16348"/>
      <w:bookmarkStart w:id="970" w:name="_Toc15125"/>
      <w:bookmarkStart w:id="971" w:name="_Toc12713"/>
      <w:bookmarkStart w:id="972" w:name="_Toc10349"/>
      <w:bookmarkStart w:id="973" w:name="_Toc1147"/>
      <w:bookmarkStart w:id="974" w:name="_Toc22637"/>
      <w:bookmarkStart w:id="975" w:name="_Toc30645"/>
      <w:bookmarkStart w:id="976" w:name="_Toc10037"/>
      <w:bookmarkStart w:id="977" w:name="_Toc9601"/>
      <w:bookmarkStart w:id="978" w:name="_Toc8808"/>
      <w:bookmarkStart w:id="979" w:name="_Toc9705"/>
      <w:bookmarkStart w:id="980" w:name="_Toc21631"/>
      <w:bookmarkStart w:id="981" w:name="_Toc20738"/>
      <w:bookmarkStart w:id="982" w:name="_Toc16171"/>
      <w:bookmarkStart w:id="983" w:name="_Toc15869"/>
      <w:bookmarkStart w:id="984" w:name="_Toc7307"/>
      <w:bookmarkStart w:id="985" w:name="_Toc3282"/>
      <w:bookmarkStart w:id="986" w:name="_Toc9423"/>
      <w:bookmarkStart w:id="987" w:name="_Toc18631"/>
      <w:bookmarkStart w:id="988" w:name="_Toc22747"/>
      <w:bookmarkStart w:id="989" w:name="_Toc13517"/>
      <w:r>
        <w:rPr>
          <w:rFonts w:hint="eastAsia" w:ascii="宋体" w:hAnsi="宋体"/>
          <w:color w:val="auto"/>
          <w:highlight w:val="none"/>
        </w:rPr>
        <w:t>42.5.1质疑处理</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spacing w:beforeLines="0" w:afterLines="0" w:line="308" w:lineRule="auto"/>
        <w:ind w:firstLine="0"/>
        <w:rPr>
          <w:rFonts w:ascii="宋体" w:hAnsi="宋体"/>
          <w:color w:val="auto"/>
          <w:highlight w:val="none"/>
        </w:rPr>
      </w:pPr>
      <w:r>
        <w:rPr>
          <w:rFonts w:hint="eastAsia" w:ascii="宋体" w:hAnsi="宋体"/>
          <w:color w:val="auto"/>
          <w:highlight w:val="none"/>
        </w:rPr>
        <w:t>采购人应当在收到供应商的书面质疑后7个工作日内作出答复，并以书面形式通知质疑供应商和其他与质疑处理结果有利害关系的采购当事人，但答复的内容不得涉及商业秘密。</w:t>
      </w:r>
    </w:p>
    <w:p>
      <w:pPr>
        <w:spacing w:beforeLines="0" w:afterLines="0" w:line="308" w:lineRule="auto"/>
        <w:ind w:firstLine="0"/>
        <w:outlineLvl w:val="0"/>
        <w:rPr>
          <w:rFonts w:ascii="宋体" w:hAnsi="宋体"/>
          <w:color w:val="auto"/>
          <w:highlight w:val="none"/>
        </w:rPr>
      </w:pPr>
      <w:bookmarkStart w:id="990" w:name="_Toc22108"/>
      <w:bookmarkStart w:id="991" w:name="_Toc12247"/>
      <w:bookmarkStart w:id="992" w:name="_Toc14897"/>
      <w:bookmarkStart w:id="993" w:name="_Toc17828"/>
      <w:bookmarkStart w:id="994" w:name="_Toc9765"/>
      <w:bookmarkStart w:id="995" w:name="_Toc5743"/>
      <w:bookmarkStart w:id="996" w:name="_Toc17302"/>
      <w:bookmarkStart w:id="997" w:name="_Toc24767"/>
      <w:bookmarkStart w:id="998" w:name="_Toc6472"/>
      <w:bookmarkStart w:id="999" w:name="_Toc7453"/>
      <w:bookmarkStart w:id="1000" w:name="_Toc2234"/>
      <w:bookmarkStart w:id="1001" w:name="_Toc19686"/>
      <w:bookmarkStart w:id="1002" w:name="_Toc24708"/>
      <w:bookmarkStart w:id="1003" w:name="_Toc14274"/>
      <w:bookmarkStart w:id="1004" w:name="_Toc32255"/>
      <w:bookmarkStart w:id="1005" w:name="_Toc28766"/>
      <w:bookmarkStart w:id="1006" w:name="_Toc23088"/>
      <w:bookmarkStart w:id="1007" w:name="_Toc9888"/>
      <w:bookmarkStart w:id="1008" w:name="_Toc4847"/>
      <w:bookmarkStart w:id="1009" w:name="_Toc14489"/>
      <w:bookmarkStart w:id="1010" w:name="_Toc11162"/>
      <w:bookmarkStart w:id="1011" w:name="_Toc13573"/>
      <w:bookmarkStart w:id="1012" w:name="_Toc5605"/>
      <w:bookmarkStart w:id="1013" w:name="_Toc26090"/>
      <w:bookmarkStart w:id="1014" w:name="_Toc4438"/>
      <w:bookmarkStart w:id="1015" w:name="_Toc1051"/>
      <w:bookmarkStart w:id="1016" w:name="_Toc1453"/>
      <w:bookmarkStart w:id="1017" w:name="_Toc10485"/>
      <w:bookmarkStart w:id="1018" w:name="_Toc370"/>
      <w:bookmarkStart w:id="1019" w:name="_Toc21166"/>
      <w:bookmarkStart w:id="1020" w:name="_Toc2396"/>
      <w:r>
        <w:rPr>
          <w:rFonts w:hint="eastAsia" w:ascii="宋体" w:hAnsi="宋体"/>
          <w:color w:val="auto"/>
          <w:highlight w:val="none"/>
        </w:rPr>
        <w:t>42.5.2投诉</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spacing w:beforeLines="0" w:afterLines="0" w:line="308" w:lineRule="auto"/>
        <w:ind w:firstLine="0"/>
        <w:rPr>
          <w:rFonts w:ascii="宋体" w:hAnsi="宋体"/>
          <w:color w:val="auto"/>
          <w:highlight w:val="none"/>
        </w:rPr>
      </w:pPr>
      <w:r>
        <w:rPr>
          <w:rFonts w:hint="eastAsia" w:ascii="宋体" w:hAnsi="宋体"/>
          <w:color w:val="auto"/>
          <w:highlight w:val="none"/>
        </w:rPr>
        <w:t>质疑供应商对采购人未在规定时间内作出答复的，可以在答复期满后15个工作日内向</w:t>
      </w:r>
      <w:r>
        <w:rPr>
          <w:rFonts w:hint="eastAsia" w:ascii="宋体" w:hAnsi="宋体"/>
          <w:color w:val="auto"/>
          <w:highlight w:val="none"/>
          <w:lang w:val="zh-CN"/>
        </w:rPr>
        <w:t>龙游县奔康投资集团有限公司</w:t>
      </w:r>
      <w:r>
        <w:rPr>
          <w:rFonts w:hint="eastAsia" w:ascii="宋体" w:hAnsi="宋体"/>
          <w:color w:val="auto"/>
          <w:highlight w:val="none"/>
        </w:rPr>
        <w:t>投诉。若对质疑答复不满意的，应当自答复的次日起15个工作日内向</w:t>
      </w:r>
      <w:r>
        <w:rPr>
          <w:rFonts w:hint="eastAsia" w:ascii="宋体" w:hAnsi="宋体"/>
          <w:color w:val="auto"/>
          <w:highlight w:val="none"/>
          <w:lang w:val="zh-CN"/>
        </w:rPr>
        <w:t>龙游县奔康投资集团有限公司</w:t>
      </w:r>
      <w:r>
        <w:rPr>
          <w:rFonts w:hint="eastAsia" w:ascii="宋体" w:hAnsi="宋体"/>
          <w:color w:val="auto"/>
          <w:highlight w:val="none"/>
        </w:rPr>
        <w:t>投诉。</w:t>
      </w:r>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3"/>
        <w:spacing w:beforeLines="0" w:afterLines="0" w:line="308" w:lineRule="auto"/>
        <w:ind w:firstLine="562" w:firstLineChars="200"/>
        <w:jc w:val="center"/>
        <w:outlineLvl w:val="1"/>
        <w:rPr>
          <w:rFonts w:ascii="宋体" w:hAnsi="宋体"/>
          <w:color w:val="auto"/>
          <w:sz w:val="28"/>
          <w:szCs w:val="28"/>
          <w:highlight w:val="none"/>
        </w:rPr>
      </w:pPr>
      <w:bookmarkStart w:id="1021" w:name="_Toc10330"/>
      <w:bookmarkStart w:id="1022" w:name="_Toc10871"/>
      <w:bookmarkStart w:id="1023" w:name="_Toc9184"/>
      <w:bookmarkStart w:id="1024" w:name="_Toc5262"/>
      <w:bookmarkStart w:id="1025" w:name="_Toc31465"/>
      <w:bookmarkStart w:id="1026" w:name="_Toc13002"/>
      <w:bookmarkStart w:id="1027" w:name="_Toc17392"/>
      <w:bookmarkStart w:id="1028" w:name="_Toc21460"/>
      <w:bookmarkStart w:id="1029" w:name="_Toc16194"/>
      <w:bookmarkStart w:id="1030" w:name="_Toc20408"/>
      <w:bookmarkStart w:id="1031" w:name="_Toc14241"/>
      <w:bookmarkStart w:id="1032" w:name="_Toc28991"/>
      <w:bookmarkStart w:id="1033" w:name="_Toc1021"/>
      <w:bookmarkStart w:id="1034" w:name="_Toc19218"/>
      <w:bookmarkStart w:id="1035" w:name="_Toc14250"/>
      <w:bookmarkStart w:id="1036" w:name="_Toc30697"/>
      <w:bookmarkStart w:id="1037" w:name="_Toc25765"/>
      <w:bookmarkStart w:id="1038" w:name="_Toc2258"/>
      <w:bookmarkStart w:id="1039" w:name="_Toc6571"/>
      <w:bookmarkStart w:id="1040" w:name="_Toc31005"/>
      <w:bookmarkStart w:id="1041" w:name="_Toc15103"/>
      <w:bookmarkStart w:id="1042" w:name="_Toc20829"/>
      <w:bookmarkStart w:id="1043" w:name="_Toc13443"/>
      <w:bookmarkStart w:id="1044" w:name="_Toc698"/>
      <w:bookmarkStart w:id="1045" w:name="_Toc9553"/>
      <w:bookmarkStart w:id="1046" w:name="_Toc12238"/>
      <w:bookmarkStart w:id="1047" w:name="_Toc1554"/>
      <w:bookmarkStart w:id="1048" w:name="_Toc27659"/>
      <w:bookmarkStart w:id="1049" w:name="_Toc29372"/>
      <w:bookmarkStart w:id="1050" w:name="_Toc8600"/>
      <w:bookmarkStart w:id="1051" w:name="_Toc15466"/>
      <w:bookmarkStart w:id="1052" w:name="_Toc24844"/>
      <w:bookmarkStart w:id="1053" w:name="_Toc27383"/>
      <w:bookmarkStart w:id="1054" w:name="_Toc23025"/>
      <w:bookmarkStart w:id="1055" w:name="_Toc7898"/>
      <w:r>
        <w:rPr>
          <w:rFonts w:hint="eastAsia" w:ascii="宋体" w:hAnsi="宋体"/>
          <w:color w:val="auto"/>
          <w:sz w:val="28"/>
          <w:szCs w:val="28"/>
          <w:highlight w:val="none"/>
        </w:rPr>
        <w:t>十六、其他</w:t>
      </w:r>
      <w:bookmarkEnd w:id="941"/>
      <w:bookmarkEnd w:id="942"/>
      <w:bookmarkEnd w:id="943"/>
      <w:bookmarkEnd w:id="944"/>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spacing w:beforeLines="0" w:afterLines="0" w:line="308" w:lineRule="auto"/>
        <w:ind w:firstLine="0"/>
        <w:rPr>
          <w:rFonts w:ascii="宋体" w:hAnsi="宋体"/>
          <w:color w:val="auto"/>
          <w:highlight w:val="none"/>
        </w:rPr>
      </w:pPr>
      <w:r>
        <w:rPr>
          <w:rFonts w:hint="eastAsia" w:ascii="宋体" w:hAnsi="宋体"/>
          <w:color w:val="auto"/>
          <w:highlight w:val="none"/>
        </w:rPr>
        <w:t>43.解释权：本磋商文件是依据《政府采购法》及有关规定编制的，解释权属采购人。</w:t>
      </w:r>
    </w:p>
    <w:p>
      <w:pPr>
        <w:spacing w:beforeLines="0" w:afterLines="0" w:line="308" w:lineRule="auto"/>
        <w:ind w:firstLine="0"/>
        <w:rPr>
          <w:rFonts w:ascii="宋体" w:hAnsi="宋体"/>
          <w:color w:val="auto"/>
          <w:highlight w:val="none"/>
        </w:rPr>
      </w:pPr>
      <w:r>
        <w:rPr>
          <w:rFonts w:hint="eastAsia" w:ascii="宋体" w:hAnsi="宋体"/>
          <w:color w:val="auto"/>
          <w:highlight w:val="none"/>
        </w:rPr>
        <w:t>44.联系方式：所有与采购有关的函电请按下面联系，其他任何方式或信息来源均无效。</w:t>
      </w:r>
    </w:p>
    <w:p>
      <w:pPr>
        <w:spacing w:beforeLines="0" w:afterLines="0" w:line="308" w:lineRule="auto"/>
        <w:ind w:firstLine="0"/>
        <w:rPr>
          <w:rFonts w:ascii="宋体" w:hAnsi="宋体"/>
          <w:color w:val="auto"/>
          <w:highlight w:val="none"/>
        </w:rPr>
      </w:pPr>
      <w:r>
        <w:rPr>
          <w:rFonts w:hint="eastAsia" w:ascii="宋体" w:hAnsi="宋体"/>
          <w:color w:val="auto"/>
          <w:highlight w:val="none"/>
        </w:rPr>
        <w:t>通讯地址：衢州宇信工程咨询有限公司（</w:t>
      </w:r>
      <w:r>
        <w:rPr>
          <w:rFonts w:hint="eastAsia" w:ascii="宋体" w:hAnsi="宋体"/>
          <w:color w:val="auto"/>
          <w:highlight w:val="none"/>
          <w:lang w:val="zh-CN"/>
        </w:rPr>
        <w:t>龙游县龙洲街道广和商务楼3楼306室</w:t>
      </w:r>
      <w:r>
        <w:rPr>
          <w:rFonts w:hint="eastAsia" w:ascii="宋体" w:hAnsi="宋体"/>
          <w:color w:val="auto"/>
          <w:highlight w:val="none"/>
        </w:rPr>
        <w:t>）</w:t>
      </w:r>
    </w:p>
    <w:p>
      <w:pPr>
        <w:spacing w:beforeLines="0" w:afterLines="0" w:line="308" w:lineRule="auto"/>
        <w:ind w:firstLine="0"/>
        <w:rPr>
          <w:rFonts w:ascii="宋体" w:hAnsi="宋体"/>
          <w:color w:val="auto"/>
          <w:highlight w:val="none"/>
        </w:rPr>
      </w:pPr>
      <w:r>
        <w:rPr>
          <w:rFonts w:hint="eastAsia" w:ascii="宋体" w:hAnsi="宋体"/>
          <w:color w:val="auto"/>
          <w:highlight w:val="none"/>
        </w:rPr>
        <w:t>联系人：</w:t>
      </w:r>
      <w:r>
        <w:rPr>
          <w:rFonts w:hint="eastAsia" w:ascii="宋体" w:hAnsi="宋体"/>
          <w:color w:val="auto"/>
          <w:highlight w:val="none"/>
          <w:lang w:eastAsia="zh-CN"/>
        </w:rPr>
        <w:t>祝女士</w:t>
      </w:r>
    </w:p>
    <w:p>
      <w:pPr>
        <w:spacing w:beforeLines="0" w:afterLines="0" w:line="308" w:lineRule="auto"/>
        <w:ind w:firstLine="0"/>
        <w:rPr>
          <w:rFonts w:hint="eastAsia" w:ascii="宋体" w:hAnsi="宋体" w:eastAsia="宋体"/>
          <w:color w:val="auto"/>
          <w:highlight w:val="none"/>
          <w:lang w:eastAsia="zh-CN"/>
        </w:rPr>
      </w:pPr>
      <w:r>
        <w:rPr>
          <w:rFonts w:hint="eastAsia" w:ascii="宋体" w:hAnsi="宋体"/>
          <w:color w:val="auto"/>
          <w:highlight w:val="none"/>
          <w:lang w:val="zh-CN"/>
        </w:rPr>
        <w:t>项目联系方式</w:t>
      </w:r>
      <w:r>
        <w:rPr>
          <w:rFonts w:hint="eastAsia" w:ascii="宋体" w:hAnsi="宋体"/>
          <w:color w:val="auto"/>
          <w:highlight w:val="none"/>
        </w:rPr>
        <w:t>：</w:t>
      </w:r>
      <w:r>
        <w:rPr>
          <w:rFonts w:hint="eastAsia" w:ascii="宋体" w:hAnsi="宋体"/>
          <w:color w:val="auto"/>
          <w:highlight w:val="none"/>
          <w:lang w:eastAsia="zh-CN"/>
        </w:rPr>
        <w:t>18367068335</w:t>
      </w:r>
    </w:p>
    <w:p>
      <w:pPr>
        <w:spacing w:line="308" w:lineRule="auto"/>
        <w:ind w:firstLine="480"/>
        <w:rPr>
          <w:rFonts w:hint="eastAsia" w:ascii="宋体" w:hAnsi="宋体"/>
          <w:color w:val="auto"/>
          <w:highlight w:val="none"/>
        </w:rPr>
      </w:pPr>
      <w:r>
        <w:rPr>
          <w:rFonts w:hint="eastAsia" w:ascii="宋体" w:hAnsi="宋体"/>
          <w:color w:val="auto"/>
          <w:highlight w:val="none"/>
        </w:rPr>
        <w:t>公告网址：</w:t>
      </w:r>
      <w:r>
        <w:rPr>
          <w:rFonts w:hint="eastAsia" w:ascii="宋体" w:hAnsi="宋体"/>
          <w:color w:val="auto"/>
          <w:szCs w:val="21"/>
          <w:highlight w:val="none"/>
        </w:rPr>
        <w:t>衢州市阳光交易服务平台https://qzygjy.com/</w:t>
      </w:r>
      <w:r>
        <w:rPr>
          <w:rFonts w:hint="eastAsia" w:ascii="宋体" w:hAnsi="宋体"/>
          <w:color w:val="auto"/>
          <w:szCs w:val="21"/>
          <w:highlight w:val="none"/>
          <w:lang w:eastAsia="zh-CN"/>
        </w:rPr>
        <w:t>”“</w:t>
      </w:r>
      <w:r>
        <w:rPr>
          <w:rFonts w:hint="eastAsia" w:ascii="宋体" w:hAnsi="宋体"/>
          <w:color w:val="auto"/>
          <w:szCs w:val="21"/>
          <w:highlight w:val="none"/>
        </w:rPr>
        <w:t>浙江政府采购网https://zfcg.czt.zj.gov.cn/”。</w:t>
      </w:r>
      <w:bookmarkStart w:id="1056" w:name="_Toc16725"/>
      <w:bookmarkStart w:id="1057" w:name="_Toc23727"/>
      <w:bookmarkStart w:id="1058" w:name="_Toc2911"/>
      <w:bookmarkStart w:id="1059" w:name="_Toc23706"/>
      <w:bookmarkStart w:id="1060" w:name="_Toc16090"/>
      <w:bookmarkStart w:id="1061" w:name="_Toc21939"/>
      <w:bookmarkStart w:id="1062" w:name="_Toc19672"/>
      <w:bookmarkStart w:id="1063" w:name="_Toc14759"/>
      <w:bookmarkStart w:id="1064" w:name="_Toc29766"/>
    </w:p>
    <w:p>
      <w:pPr>
        <w:pStyle w:val="3"/>
        <w:numPr>
          <w:ilvl w:val="255"/>
          <w:numId w:val="0"/>
        </w:numPr>
        <w:spacing w:beforeLines="0" w:afterLines="0"/>
        <w:jc w:val="center"/>
        <w:outlineLvl w:val="9"/>
        <w:rPr>
          <w:rFonts w:hint="eastAsia" w:ascii="宋体" w:hAnsi="宋体"/>
          <w:color w:val="auto"/>
          <w:highlight w:val="none"/>
        </w:rPr>
      </w:pPr>
    </w:p>
    <w:p>
      <w:pPr>
        <w:pStyle w:val="3"/>
        <w:numPr>
          <w:ilvl w:val="255"/>
          <w:numId w:val="0"/>
        </w:numPr>
        <w:spacing w:beforeLines="0" w:afterLines="0"/>
        <w:jc w:val="center"/>
        <w:rPr>
          <w:rFonts w:ascii="宋体" w:eastAsia="宋体"/>
          <w:color w:val="auto"/>
          <w:szCs w:val="24"/>
        </w:rPr>
      </w:pPr>
      <w:bookmarkStart w:id="1065" w:name="_Toc5025"/>
      <w:r>
        <w:rPr>
          <w:rFonts w:hint="eastAsia" w:ascii="宋体" w:hAnsi="宋体"/>
          <w:color w:val="auto"/>
          <w:highlight w:val="none"/>
        </w:rPr>
        <w:t>第三章  采购内容及要求</w:t>
      </w:r>
      <w:bookmarkEnd w:id="1056"/>
      <w:bookmarkEnd w:id="1057"/>
      <w:bookmarkEnd w:id="1058"/>
      <w:bookmarkEnd w:id="1059"/>
      <w:bookmarkEnd w:id="1060"/>
      <w:bookmarkEnd w:id="1061"/>
      <w:bookmarkEnd w:id="1062"/>
      <w:bookmarkEnd w:id="1063"/>
      <w:bookmarkEnd w:id="1064"/>
      <w:bookmarkEnd w:id="1065"/>
      <w:bookmarkStart w:id="1066" w:name="_Toc15472"/>
      <w:bookmarkStart w:id="1067" w:name="_Toc2712"/>
      <w:bookmarkStart w:id="1068" w:name="_Toc4328"/>
      <w:bookmarkStart w:id="1069" w:name="_Toc32405"/>
      <w:bookmarkStart w:id="1070" w:name="_Toc26430"/>
      <w:bookmarkStart w:id="1071" w:name="_Toc15885"/>
      <w:bookmarkStart w:id="1072" w:name="_Toc29232"/>
      <w:bookmarkStart w:id="1073" w:name="_Toc3574"/>
      <w:bookmarkStart w:id="1074" w:name="_Toc30089"/>
      <w:bookmarkStart w:id="1075" w:name="_Toc25889"/>
      <w:bookmarkStart w:id="1076" w:name="_Toc9069"/>
      <w:bookmarkStart w:id="1077" w:name="_Toc7608"/>
      <w:bookmarkStart w:id="1078" w:name="_Toc4704"/>
      <w:bookmarkStart w:id="1079" w:name="_Toc18200"/>
      <w:bookmarkStart w:id="1080" w:name="_Toc839"/>
      <w:bookmarkStart w:id="1081" w:name="_Toc1244"/>
      <w:bookmarkStart w:id="1082" w:name="OLE_LINK4"/>
      <w:bookmarkStart w:id="1083" w:name="_Toc11504"/>
      <w:bookmarkStart w:id="1084" w:name="_Toc2496"/>
      <w:bookmarkStart w:id="1085" w:name="_Toc21546"/>
    </w:p>
    <w:bookmarkEnd w:id="1066"/>
    <w:bookmarkEnd w:id="1067"/>
    <w:bookmarkEnd w:id="1068"/>
    <w:bookmarkEnd w:id="1069"/>
    <w:bookmarkEnd w:id="1070"/>
    <w:bookmarkEnd w:id="1071"/>
    <w:bookmarkEnd w:id="1072"/>
    <w:bookmarkEnd w:id="1073"/>
    <w:p>
      <w:pPr>
        <w:pStyle w:val="16"/>
        <w:spacing w:before="9"/>
        <w:rPr>
          <w:b/>
          <w:sz w:val="33"/>
        </w:rPr>
      </w:pPr>
      <w:bookmarkStart w:id="1086" w:name="_Toc19490"/>
      <w:bookmarkStart w:id="1087" w:name="_Toc26976"/>
    </w:p>
    <w:p>
      <w:pPr>
        <w:keepNext w:val="0"/>
        <w:keepLines w:val="0"/>
        <w:pageBreakBefore w:val="0"/>
        <w:tabs>
          <w:tab w:val="left" w:pos="3546"/>
        </w:tabs>
        <w:kinsoku/>
        <w:wordWrap/>
        <w:overflowPunct/>
        <w:topLinePunct w:val="0"/>
        <w:autoSpaceDE/>
        <w:autoSpaceDN/>
        <w:bidi w:val="0"/>
        <w:adjustRightInd/>
        <w:snapToGrid w:val="0"/>
        <w:spacing w:line="312" w:lineRule="auto"/>
        <w:ind w:left="0" w:leftChars="0" w:firstLine="480" w:firstLineChars="200"/>
        <w:jc w:val="left"/>
        <w:rPr>
          <w:rFonts w:hint="eastAsia" w:ascii="宋体" w:hAnsi="宋体" w:eastAsia="宋体" w:cs="宋体"/>
          <w:color w:val="000000"/>
          <w:sz w:val="24"/>
          <w:szCs w:val="24"/>
        </w:rPr>
      </w:pPr>
      <w:bookmarkStart w:id="1088" w:name="_bookmark16"/>
      <w:bookmarkEnd w:id="1088"/>
      <w:bookmarkStart w:id="1089" w:name="一、项目概况"/>
      <w:bookmarkEnd w:id="1089"/>
      <w:bookmarkStart w:id="1090" w:name="第四章_磋商原则和磋商方法"/>
      <w:bookmarkEnd w:id="1090"/>
      <w:bookmarkStart w:id="1091" w:name="_bookmark23"/>
      <w:bookmarkEnd w:id="1091"/>
      <w:r>
        <w:rPr>
          <w:rFonts w:hint="eastAsia" w:ascii="宋体" w:hAnsi="宋体" w:eastAsia="宋体" w:cs="宋体"/>
          <w:color w:val="000000"/>
          <w:sz w:val="24"/>
          <w:szCs w:val="24"/>
        </w:rPr>
        <w:t>为了规范龙游县百益市场管理有限公司（以下简称发包方）城区农贸市场对保洁业务承包方（以下简称承包方）的管理，提高其日常保洁服务质量，为农贸市场创造良好的经营环境，特制定本管理办法。</w:t>
      </w:r>
    </w:p>
    <w:p>
      <w:pPr>
        <w:keepNext w:val="0"/>
        <w:keepLines w:val="0"/>
        <w:pageBreakBefore w:val="0"/>
        <w:tabs>
          <w:tab w:val="left" w:pos="3546"/>
        </w:tabs>
        <w:kinsoku/>
        <w:wordWrap/>
        <w:overflowPunct/>
        <w:topLinePunct w:val="0"/>
        <w:autoSpaceDE/>
        <w:autoSpaceDN/>
        <w:bidi w:val="0"/>
        <w:adjustRightInd/>
        <w:snapToGrid w:val="0"/>
        <w:spacing w:line="312" w:lineRule="auto"/>
        <w:ind w:left="0" w:leftChars="0" w:firstLine="482" w:firstLineChars="200"/>
        <w:jc w:val="left"/>
        <w:outlineLvl w:val="1"/>
        <w:rPr>
          <w:rFonts w:hint="eastAsia" w:ascii="宋体" w:hAnsi="宋体" w:eastAsia="宋体" w:cs="宋体"/>
          <w:b/>
          <w:bCs/>
          <w:color w:val="000000"/>
          <w:sz w:val="24"/>
          <w:szCs w:val="24"/>
        </w:rPr>
      </w:pPr>
      <w:bookmarkStart w:id="1092" w:name="_Toc6396"/>
      <w:bookmarkStart w:id="1093" w:name="_Toc32172"/>
      <w:bookmarkStart w:id="1094" w:name="_Toc25001"/>
      <w:bookmarkStart w:id="1095" w:name="_Toc6740"/>
      <w:r>
        <w:rPr>
          <w:rFonts w:hint="eastAsia" w:ascii="宋体" w:hAnsi="宋体" w:eastAsia="宋体" w:cs="宋体"/>
          <w:b/>
          <w:bCs/>
          <w:color w:val="000000"/>
          <w:sz w:val="24"/>
          <w:szCs w:val="24"/>
        </w:rPr>
        <w:t>一、管理依据</w:t>
      </w:r>
      <w:bookmarkEnd w:id="1092"/>
      <w:bookmarkEnd w:id="1093"/>
      <w:bookmarkEnd w:id="1094"/>
      <w:bookmarkEnd w:id="1095"/>
    </w:p>
    <w:p>
      <w:pPr>
        <w:keepNext w:val="0"/>
        <w:keepLines w:val="0"/>
        <w:pageBreakBefore w:val="0"/>
        <w:tabs>
          <w:tab w:val="left" w:pos="3546"/>
        </w:tabs>
        <w:kinsoku/>
        <w:wordWrap/>
        <w:overflowPunct/>
        <w:topLinePunct w:val="0"/>
        <w:autoSpaceDE/>
        <w:autoSpaceDN/>
        <w:bidi w:val="0"/>
        <w:adjustRightInd/>
        <w:snapToGrid w:val="0"/>
        <w:spacing w:line="312" w:lineRule="auto"/>
        <w:ind w:left="0" w:leftChars="0" w:firstLine="480" w:firstLineChars="200"/>
        <w:jc w:val="left"/>
        <w:rPr>
          <w:rFonts w:hint="eastAsia" w:ascii="宋体" w:hAnsi="宋体" w:eastAsia="宋体" w:cs="宋体"/>
          <w:color w:val="000000"/>
          <w:kern w:val="2"/>
          <w:sz w:val="24"/>
          <w:szCs w:val="24"/>
        </w:rPr>
      </w:pPr>
      <w:r>
        <w:rPr>
          <w:rFonts w:hint="eastAsia" w:ascii="宋体" w:hAnsi="宋体" w:eastAsia="宋体" w:cs="宋体"/>
          <w:color w:val="000000"/>
          <w:sz w:val="24"/>
          <w:szCs w:val="24"/>
        </w:rPr>
        <w:t>龙游县百益市场管理有限公司城区农贸市场保洁承包合同及保洁考核办法。</w:t>
      </w:r>
    </w:p>
    <w:p>
      <w:pPr>
        <w:keepNext w:val="0"/>
        <w:keepLines w:val="0"/>
        <w:pageBreakBefore w:val="0"/>
        <w:kinsoku/>
        <w:wordWrap/>
        <w:overflowPunct/>
        <w:topLinePunct w:val="0"/>
        <w:autoSpaceDE/>
        <w:autoSpaceDN/>
        <w:bidi w:val="0"/>
        <w:adjustRightInd/>
        <w:snapToGrid w:val="0"/>
        <w:spacing w:line="312" w:lineRule="auto"/>
        <w:ind w:left="0" w:leftChars="0" w:firstLine="482" w:firstLineChars="200"/>
        <w:outlineLvl w:val="1"/>
        <w:rPr>
          <w:rFonts w:hint="eastAsia" w:ascii="宋体" w:hAnsi="宋体" w:eastAsia="宋体" w:cs="宋体"/>
          <w:b/>
          <w:sz w:val="24"/>
          <w:szCs w:val="24"/>
        </w:rPr>
      </w:pPr>
      <w:bookmarkStart w:id="1096" w:name="_Toc30977"/>
      <w:bookmarkStart w:id="1097" w:name="_Toc16539"/>
      <w:bookmarkStart w:id="1098" w:name="_Toc31531"/>
      <w:bookmarkStart w:id="1099" w:name="_Toc26870"/>
      <w:r>
        <w:rPr>
          <w:rFonts w:hint="eastAsia" w:ascii="宋体" w:hAnsi="宋体" w:eastAsia="宋体" w:cs="宋体"/>
          <w:b/>
          <w:sz w:val="24"/>
          <w:szCs w:val="24"/>
        </w:rPr>
        <w:t>二、适用范围</w:t>
      </w:r>
      <w:bookmarkEnd w:id="1096"/>
      <w:bookmarkEnd w:id="1097"/>
      <w:bookmarkEnd w:id="1098"/>
      <w:bookmarkEnd w:id="1099"/>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本办法适用于承包方、发包方监督考核承包方实施状态的部门和人员。</w:t>
      </w:r>
    </w:p>
    <w:p>
      <w:pPr>
        <w:keepNext w:val="0"/>
        <w:keepLines w:val="0"/>
        <w:pageBreakBefore w:val="0"/>
        <w:kinsoku/>
        <w:wordWrap/>
        <w:overflowPunct/>
        <w:topLinePunct w:val="0"/>
        <w:autoSpaceDE/>
        <w:autoSpaceDN/>
        <w:bidi w:val="0"/>
        <w:adjustRightInd/>
        <w:snapToGrid w:val="0"/>
        <w:spacing w:line="312" w:lineRule="auto"/>
        <w:ind w:left="0" w:leftChars="0" w:firstLine="482" w:firstLineChars="200"/>
        <w:outlineLvl w:val="1"/>
        <w:rPr>
          <w:rFonts w:hint="eastAsia" w:ascii="宋体" w:hAnsi="宋体" w:eastAsia="宋体" w:cs="宋体"/>
          <w:b/>
          <w:sz w:val="24"/>
          <w:szCs w:val="24"/>
        </w:rPr>
      </w:pPr>
      <w:bookmarkStart w:id="1100" w:name="_Toc5841"/>
      <w:bookmarkStart w:id="1101" w:name="_Toc28556"/>
      <w:bookmarkStart w:id="1102" w:name="_Toc27627"/>
      <w:bookmarkStart w:id="1103" w:name="_Toc11359"/>
      <w:r>
        <w:rPr>
          <w:rFonts w:hint="eastAsia" w:ascii="宋体" w:hAnsi="宋体" w:eastAsia="宋体" w:cs="宋体"/>
          <w:b/>
          <w:sz w:val="24"/>
          <w:szCs w:val="24"/>
        </w:rPr>
        <w:t>三、外包项目及标准要求</w:t>
      </w:r>
      <w:bookmarkEnd w:id="1100"/>
      <w:bookmarkEnd w:id="1101"/>
      <w:bookmarkEnd w:id="1102"/>
      <w:bookmarkEnd w:id="1103"/>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（一）外包项目范围</w:t>
      </w:r>
    </w:p>
    <w:p>
      <w:pPr>
        <w:keepNext w:val="0"/>
        <w:keepLines w:val="0"/>
        <w:pageBreakBefore w:val="0"/>
        <w:kinsoku/>
        <w:wordWrap/>
        <w:overflowPunct/>
        <w:topLinePunct w:val="0"/>
        <w:autoSpaceDE/>
        <w:autoSpaceDN/>
        <w:bidi w:val="0"/>
        <w:adjustRightInd/>
        <w:snapToGrid w:val="0"/>
        <w:spacing w:line="312" w:lineRule="auto"/>
        <w:ind w:left="0" w:leftChars="0" w:firstLine="482" w:firstLineChars="200"/>
        <w:rPr>
          <w:rFonts w:hint="eastAsia" w:ascii="宋体" w:hAnsi="宋体" w:eastAsia="宋体" w:cs="宋体"/>
          <w:b/>
          <w:bCs/>
          <w:sz w:val="24"/>
          <w:szCs w:val="24"/>
        </w:rPr>
      </w:pPr>
      <w:r>
        <w:rPr>
          <w:rFonts w:hint="eastAsia" w:ascii="宋体" w:hAnsi="宋体" w:eastAsia="宋体" w:cs="宋体"/>
          <w:b/>
          <w:bCs/>
          <w:sz w:val="24"/>
          <w:szCs w:val="24"/>
        </w:rPr>
        <w:t>河西街农贸市场：</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1、市场内整体及西侧大棚：市场东至大门通道口、市场南面大门通道至小井巷、市场西面到河西街的西大棚整体范围、市场北面大门通道至进士路。</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2、河西街杂货市场：河西街杂货市场东通道至大众路、南至普农家电、西至河西街、北面至市场营业房、</w:t>
      </w:r>
      <w:r>
        <w:rPr>
          <w:rFonts w:hint="eastAsia" w:ascii="宋体" w:hAnsi="宋体" w:eastAsia="宋体" w:cs="宋体"/>
          <w:sz w:val="24"/>
          <w:szCs w:val="24"/>
          <w:lang w:eastAsia="zh-CN"/>
        </w:rPr>
        <w:t>杂货市场</w:t>
      </w:r>
      <w:r>
        <w:rPr>
          <w:rFonts w:hint="eastAsia" w:ascii="宋体" w:hAnsi="宋体" w:eastAsia="宋体" w:cs="宋体"/>
          <w:sz w:val="24"/>
          <w:szCs w:val="24"/>
        </w:rPr>
        <w:t>厕所。</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3、停车场：进士路进出口到停车场围墙整体</w:t>
      </w:r>
      <w:r>
        <w:rPr>
          <w:rFonts w:hint="eastAsia" w:ascii="宋体" w:hAnsi="宋体" w:eastAsia="宋体" w:cs="宋体"/>
          <w:sz w:val="24"/>
          <w:szCs w:val="24"/>
          <w:lang w:eastAsia="zh-CN"/>
        </w:rPr>
        <w:t>、河西街停车场（原杂货市场大棚）</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val="0"/>
        <w:spacing w:line="312" w:lineRule="auto"/>
        <w:ind w:left="0" w:leftChars="0" w:firstLine="482" w:firstLineChars="200"/>
        <w:rPr>
          <w:rFonts w:hint="eastAsia" w:ascii="宋体" w:hAnsi="宋体" w:eastAsia="宋体" w:cs="宋体"/>
          <w:sz w:val="24"/>
          <w:szCs w:val="24"/>
        </w:rPr>
      </w:pPr>
      <w:r>
        <w:rPr>
          <w:rFonts w:hint="eastAsia" w:ascii="宋体" w:hAnsi="宋体" w:eastAsia="宋体" w:cs="宋体"/>
          <w:b/>
          <w:bCs/>
          <w:sz w:val="24"/>
          <w:szCs w:val="24"/>
        </w:rPr>
        <w:t>飞云路农贸市场</w:t>
      </w:r>
      <w:r>
        <w:rPr>
          <w:rFonts w:hint="eastAsia" w:ascii="宋体" w:hAnsi="宋体" w:eastAsia="宋体" w:cs="宋体"/>
          <w:b/>
          <w:bCs/>
          <w:sz w:val="24"/>
          <w:szCs w:val="24"/>
          <w:lang w:eastAsia="zh-CN"/>
        </w:rPr>
        <w:t>：</w:t>
      </w:r>
      <w:r>
        <w:rPr>
          <w:rFonts w:hint="eastAsia" w:ascii="宋体" w:hAnsi="宋体" w:eastAsia="宋体" w:cs="宋体"/>
          <w:sz w:val="24"/>
          <w:szCs w:val="24"/>
        </w:rPr>
        <w:t>飞云路农贸市场：</w:t>
      </w:r>
      <w:r>
        <w:rPr>
          <w:rFonts w:hint="eastAsia" w:ascii="宋体" w:hAnsi="宋体" w:eastAsia="宋体" w:cs="宋体"/>
          <w:sz w:val="24"/>
          <w:szCs w:val="24"/>
          <w:lang w:eastAsia="zh-CN"/>
        </w:rPr>
        <w:t>飞云路农贸市场围墙内</w:t>
      </w:r>
      <w:r>
        <w:rPr>
          <w:rFonts w:hint="eastAsia" w:ascii="宋体" w:hAnsi="宋体" w:eastAsia="宋体" w:cs="宋体"/>
          <w:sz w:val="24"/>
          <w:szCs w:val="24"/>
          <w:lang w:val="en-US" w:eastAsia="zh-CN"/>
        </w:rPr>
        <w:t>(包含种植绿化植被修剪、养护)</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（二）人员和设备要求</w:t>
      </w:r>
    </w:p>
    <w:p>
      <w:pPr>
        <w:pStyle w:val="14"/>
        <w:keepNext w:val="0"/>
        <w:keepLines w:val="0"/>
        <w:pageBreakBefore w:val="0"/>
        <w:widowControl w:val="0"/>
        <w:kinsoku/>
        <w:wordWrap/>
        <w:overflowPunct/>
        <w:topLinePunct w:val="0"/>
        <w:autoSpaceDE/>
        <w:autoSpaceDN/>
        <w:bidi w:val="0"/>
        <w:adjustRightInd/>
        <w:spacing w:line="312"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承包方至少配备8名保洁人</w:t>
      </w:r>
      <w:r>
        <w:rPr>
          <w:rFonts w:hint="eastAsia" w:ascii="宋体" w:hAnsi="宋体" w:eastAsia="宋体" w:cs="宋体"/>
          <w:color w:val="000000"/>
          <w:sz w:val="24"/>
          <w:szCs w:val="24"/>
          <w:lang w:val="en-US" w:eastAsia="zh-CN"/>
        </w:rPr>
        <w:t>员（包含夜间值守人员及垃圾清运人员）。要求</w:t>
      </w:r>
      <w:r>
        <w:rPr>
          <w:rFonts w:hint="eastAsia" w:ascii="宋体" w:hAnsi="宋体" w:eastAsia="宋体" w:cs="宋体"/>
          <w:color w:val="000000"/>
          <w:sz w:val="24"/>
          <w:szCs w:val="24"/>
        </w:rPr>
        <w:t>保洁</w:t>
      </w:r>
      <w:r>
        <w:rPr>
          <w:rFonts w:hint="eastAsia" w:ascii="宋体" w:hAnsi="宋体" w:eastAsia="宋体" w:cs="宋体"/>
          <w:sz w:val="24"/>
          <w:szCs w:val="24"/>
        </w:rPr>
        <w:t>人员年龄在60周岁以下。</w:t>
      </w:r>
      <w:r>
        <w:rPr>
          <w:rFonts w:hint="eastAsia" w:ascii="宋体" w:hAnsi="宋体" w:eastAsia="宋体" w:cs="宋体"/>
          <w:sz w:val="24"/>
          <w:szCs w:val="24"/>
          <w:lang w:eastAsia="zh-CN"/>
        </w:rPr>
        <w:t>承包方需</w:t>
      </w:r>
      <w:r>
        <w:rPr>
          <w:rFonts w:hint="eastAsia" w:ascii="宋体" w:hAnsi="宋体" w:cs="宋体"/>
          <w:sz w:val="24"/>
          <w:szCs w:val="24"/>
          <w:lang w:eastAsia="zh-CN"/>
        </w:rPr>
        <w:t>按垃圾分类收集清运，</w:t>
      </w:r>
      <w:r>
        <w:rPr>
          <w:rFonts w:hint="eastAsia" w:ascii="宋体" w:hAnsi="宋体" w:eastAsia="宋体" w:cs="宋体"/>
          <w:sz w:val="24"/>
          <w:szCs w:val="24"/>
          <w:lang w:eastAsia="zh-CN"/>
        </w:rPr>
        <w:t>配备</w:t>
      </w:r>
      <w:r>
        <w:rPr>
          <w:rFonts w:hint="eastAsia" w:ascii="宋体" w:hAnsi="宋体" w:eastAsia="宋体" w:cs="宋体"/>
          <w:sz w:val="24"/>
          <w:szCs w:val="24"/>
        </w:rPr>
        <w:t>自</w:t>
      </w:r>
      <w:r>
        <w:rPr>
          <w:rFonts w:hint="eastAsia" w:hAnsi="宋体" w:eastAsia="宋体" w:cs="宋体"/>
          <w:sz w:val="24"/>
          <w:szCs w:val="24"/>
          <w:lang w:eastAsia="zh-CN"/>
        </w:rPr>
        <w:t>行</w:t>
      </w:r>
      <w:r>
        <w:rPr>
          <w:rFonts w:hint="eastAsia" w:ascii="宋体" w:hAnsi="宋体" w:eastAsia="宋体" w:cs="宋体"/>
          <w:sz w:val="24"/>
          <w:szCs w:val="24"/>
        </w:rPr>
        <w:t>装卸式电动三轮垃圾车</w:t>
      </w:r>
      <w:r>
        <w:rPr>
          <w:rFonts w:hint="eastAsia" w:ascii="宋体" w:hAnsi="宋体" w:eastAsia="宋体" w:cs="宋体"/>
          <w:sz w:val="24"/>
          <w:szCs w:val="24"/>
          <w:lang w:eastAsia="zh-CN"/>
        </w:rPr>
        <w:t>，承包期内的日常</w:t>
      </w:r>
      <w:r>
        <w:rPr>
          <w:rFonts w:hint="eastAsia" w:ascii="宋体" w:hAnsi="宋体" w:eastAsia="宋体" w:cs="宋体"/>
          <w:sz w:val="24"/>
          <w:szCs w:val="24"/>
        </w:rPr>
        <w:t>保洁工具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保</w:t>
      </w:r>
      <w:r>
        <w:rPr>
          <w:rFonts w:hint="eastAsia" w:ascii="宋体" w:hAnsi="宋体" w:eastAsia="宋体" w:cs="宋体"/>
          <w:sz w:val="24"/>
          <w:szCs w:val="24"/>
          <w:lang w:eastAsia="zh-CN"/>
        </w:rPr>
        <w:t>洁用品及保洁员的</w:t>
      </w:r>
      <w:r>
        <w:rPr>
          <w:rFonts w:hint="eastAsia" w:ascii="宋体" w:hAnsi="宋体" w:eastAsia="宋体" w:cs="宋体"/>
          <w:sz w:val="24"/>
          <w:szCs w:val="24"/>
        </w:rPr>
        <w:t>劳保防护用品、用具</w:t>
      </w:r>
      <w:r>
        <w:rPr>
          <w:rFonts w:hint="eastAsia" w:ascii="宋体" w:hAnsi="宋体" w:eastAsia="宋体" w:cs="宋体"/>
          <w:sz w:val="24"/>
          <w:szCs w:val="24"/>
          <w:lang w:eastAsia="zh-CN"/>
        </w:rPr>
        <w:t>等</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12"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三</w:t>
      </w:r>
      <w:r>
        <w:rPr>
          <w:rFonts w:hint="eastAsia" w:ascii="宋体" w:hAnsi="宋体" w:eastAsia="宋体" w:cs="宋体"/>
          <w:sz w:val="24"/>
          <w:szCs w:val="24"/>
        </w:rPr>
        <w:t>）</w:t>
      </w:r>
      <w:r>
        <w:rPr>
          <w:rFonts w:hint="eastAsia" w:ascii="宋体" w:hAnsi="宋体" w:eastAsia="宋体" w:cs="宋体"/>
          <w:sz w:val="24"/>
          <w:szCs w:val="24"/>
          <w:lang w:val="en-US" w:eastAsia="zh-CN"/>
        </w:rPr>
        <w:t>管理预算表（含税费用）</w:t>
      </w:r>
    </w:p>
    <w:bookmarkEnd w:id="1086"/>
    <w:bookmarkEnd w:id="1087"/>
    <w:tbl>
      <w:tblPr>
        <w:tblStyle w:val="36"/>
        <w:tblW w:w="987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8"/>
        <w:gridCol w:w="939"/>
        <w:gridCol w:w="1254"/>
        <w:gridCol w:w="936"/>
        <w:gridCol w:w="2410"/>
        <w:gridCol w:w="2430"/>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53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支出项目</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测算说明</w:t>
            </w:r>
          </w:p>
        </w:tc>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年支出/元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一、</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both"/>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人工费用</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人员名称</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数量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人工工资、工资性附加</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u w:val="none"/>
                <w:lang w:bidi="ar"/>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u w:val="none"/>
                <w:lang w:bidi="ar"/>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保洁员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8人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2800元</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2800*12个月*8人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268800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u w:val="none"/>
                <w:lang w:bidi="ar"/>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u w:val="none"/>
                <w:lang w:bidi="ar"/>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夜班值守</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1人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3000元/年补贴</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3000元/年/人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u w:val="none"/>
                <w:lang w:bidi="ar"/>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u w:val="none"/>
                <w:lang w:bidi="ar"/>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垃圾清运</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1人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1500元/年补贴</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1500元/年/人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u w:val="none"/>
                <w:lang w:bidi="ar"/>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u w:val="none"/>
                <w:lang w:bidi="ar"/>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法定假日补助</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8人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400元/年补贴</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400元/年/人*8人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u w:val="none"/>
                <w:lang w:bidi="ar"/>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both"/>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小计</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总人数</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8人</w:t>
            </w:r>
          </w:p>
        </w:tc>
        <w:tc>
          <w:tcPr>
            <w:tcW w:w="4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276500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二、</w:t>
            </w:r>
          </w:p>
        </w:tc>
        <w:tc>
          <w:tcPr>
            <w:tcW w:w="939"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其他费用</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项目名称</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数量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支出金额</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测算说明</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9"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保洁用品费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一年</w:t>
            </w:r>
          </w:p>
        </w:tc>
        <w:tc>
          <w:tcPr>
            <w:tcW w:w="4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雨衣、雨鞋100元*8人=800元、劳保100元*8人=800元  保洁员马夹50元*8=400</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9"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保洁工具费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一年</w:t>
            </w:r>
          </w:p>
        </w:tc>
        <w:tc>
          <w:tcPr>
            <w:tcW w:w="4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扫把20元5把*12月*8人=9600元、畚斗：50元*8人*6=2400元、洗地机汽油费1920元/年</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13920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9"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垃圾袋</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一年</w:t>
            </w:r>
          </w:p>
        </w:tc>
        <w:tc>
          <w:tcPr>
            <w:tcW w:w="4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32个桶*1次/天*365/天=11680只垃圾袋     11680只*0.6/元=7008</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7008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9"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绿化植被修剪</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一年</w:t>
            </w:r>
          </w:p>
        </w:tc>
        <w:tc>
          <w:tcPr>
            <w:tcW w:w="4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飞云路农贸市场种植绿化修剪、养护3000元/年</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9"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降温费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一年</w:t>
            </w:r>
          </w:p>
        </w:tc>
        <w:tc>
          <w:tcPr>
            <w:tcW w:w="4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100元*4个月*8人=3200元</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9"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意外保险费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一年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200元/年/人</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200元*8人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小计</w:t>
            </w:r>
          </w:p>
        </w:tc>
        <w:tc>
          <w:tcPr>
            <w:tcW w:w="1254"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4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30728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合计</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4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307228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管理费</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4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8%</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24578.24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共计</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p>
        </w:tc>
        <w:tc>
          <w:tcPr>
            <w:tcW w:w="4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合计+管理费</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331806.24</w:t>
            </w:r>
          </w:p>
        </w:tc>
      </w:tr>
    </w:tbl>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四</w:t>
      </w:r>
      <w:r>
        <w:rPr>
          <w:rFonts w:hint="eastAsia" w:ascii="宋体" w:hAnsi="宋体" w:eastAsia="宋体" w:cs="宋体"/>
          <w:sz w:val="24"/>
          <w:szCs w:val="24"/>
        </w:rPr>
        <w:t>）保洁作业要求</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snapToGrid/>
          <w:color w:val="000000"/>
          <w:sz w:val="24"/>
          <w:szCs w:val="24"/>
          <w:lang w:val="en-US" w:eastAsia="zh-CN" w:bidi="ar-SA"/>
        </w:rPr>
      </w:pPr>
      <w:r>
        <w:rPr>
          <w:rFonts w:hint="eastAsia" w:ascii="宋体" w:hAnsi="宋体" w:eastAsia="宋体" w:cs="宋体"/>
          <w:snapToGrid/>
          <w:color w:val="000000"/>
          <w:sz w:val="24"/>
          <w:szCs w:val="24"/>
          <w:lang w:val="en-US" w:eastAsia="zh-CN" w:bidi="ar-SA"/>
        </w:rPr>
        <w:t>1、作业人员在岗时间要求</w:t>
      </w:r>
    </w:p>
    <w:p>
      <w:pPr>
        <w:pStyle w:val="14"/>
        <w:keepNext w:val="0"/>
        <w:keepLines w:val="0"/>
        <w:pageBreakBefore w:val="0"/>
        <w:widowControl w:val="0"/>
        <w:kinsoku/>
        <w:wordWrap/>
        <w:overflowPunct/>
        <w:topLinePunct w:val="0"/>
        <w:autoSpaceDE/>
        <w:autoSpaceDN/>
        <w:bidi w:val="0"/>
        <w:adjustRightInd/>
        <w:spacing w:line="312" w:lineRule="auto"/>
        <w:ind w:left="0" w:leftChars="0" w:firstLine="480" w:firstLineChars="200"/>
        <w:textAlignment w:val="auto"/>
        <w:rPr>
          <w:rFonts w:hint="eastAsia" w:ascii="宋体" w:hAnsi="宋体" w:eastAsia="宋体" w:cs="宋体"/>
          <w:snapToGrid/>
          <w:color w:val="000000"/>
          <w:sz w:val="24"/>
          <w:szCs w:val="24"/>
          <w:lang w:val="en-US" w:eastAsia="zh-CN" w:bidi="ar-SA"/>
        </w:rPr>
      </w:pPr>
      <w:r>
        <w:rPr>
          <w:rFonts w:hint="eastAsia" w:ascii="宋体" w:hAnsi="宋体" w:eastAsia="宋体" w:cs="宋体"/>
          <w:snapToGrid/>
          <w:color w:val="000000"/>
          <w:sz w:val="24"/>
          <w:szCs w:val="24"/>
          <w:lang w:val="en-US" w:eastAsia="zh-CN" w:bidi="ar-SA"/>
        </w:rPr>
        <w:t>（1）河西街农贸市场内必须配备4名保洁人员，夏令时早上6：00到晚上经营户收摊为止，冬令时早上6:30到晚上经营户收摊为止。</w:t>
      </w:r>
      <w:r>
        <w:rPr>
          <w:rFonts w:hint="eastAsia" w:ascii="宋体" w:hAnsi="宋体" w:eastAsia="宋体" w:cs="宋体"/>
          <w:color w:val="000000"/>
          <w:sz w:val="24"/>
          <w:szCs w:val="24"/>
          <w:lang w:eastAsia="zh-CN"/>
        </w:rPr>
        <w:t>早上</w:t>
      </w:r>
      <w:r>
        <w:rPr>
          <w:rFonts w:hint="eastAsia" w:ascii="宋体" w:hAnsi="宋体" w:eastAsia="宋体" w:cs="宋体"/>
          <w:color w:val="000000"/>
          <w:sz w:val="24"/>
          <w:szCs w:val="24"/>
          <w:lang w:val="en-US" w:eastAsia="zh-CN"/>
        </w:rPr>
        <w:t>7：00-12：00必须全员在岗，其余时间</w:t>
      </w:r>
      <w:r>
        <w:rPr>
          <w:rFonts w:hint="eastAsia" w:ascii="宋体" w:hAnsi="宋体" w:eastAsia="宋体" w:cs="宋体"/>
          <w:snapToGrid/>
          <w:color w:val="000000"/>
          <w:sz w:val="24"/>
          <w:szCs w:val="24"/>
          <w:lang w:val="en-US" w:eastAsia="zh-CN" w:bidi="ar-SA"/>
        </w:rPr>
        <w:t>除就餐时间外必须全员在岗，就餐时间实行轮班制。</w:t>
      </w:r>
    </w:p>
    <w:p>
      <w:pPr>
        <w:pStyle w:val="14"/>
        <w:keepNext w:val="0"/>
        <w:keepLines w:val="0"/>
        <w:pageBreakBefore w:val="0"/>
        <w:widowControl w:val="0"/>
        <w:kinsoku/>
        <w:wordWrap/>
        <w:overflowPunct/>
        <w:topLinePunct w:val="0"/>
        <w:autoSpaceDE/>
        <w:autoSpaceDN/>
        <w:bidi w:val="0"/>
        <w:adjustRightInd/>
        <w:spacing w:line="312" w:lineRule="auto"/>
        <w:ind w:left="0" w:leftChars="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snapToGrid/>
          <w:color w:val="000000"/>
          <w:sz w:val="24"/>
          <w:szCs w:val="24"/>
          <w:lang w:val="en-US" w:eastAsia="zh-CN" w:bidi="ar-SA"/>
        </w:rPr>
        <w:t>（2）飞云路农贸市场内必须配备4名保洁人员（包含夜间值守人员及垃圾清运人员）。夏令时早上</w:t>
      </w:r>
      <w:r>
        <w:rPr>
          <w:rFonts w:hint="eastAsia" w:ascii="宋体" w:hAnsi="宋体" w:eastAsia="宋体" w:cs="宋体"/>
          <w:color w:val="000000"/>
          <w:sz w:val="24"/>
          <w:szCs w:val="24"/>
        </w:rPr>
        <w:t>6：00到晚上经营户收摊为止，冬令时早上6:30到晚上经营户收摊为止。</w:t>
      </w:r>
      <w:r>
        <w:rPr>
          <w:rFonts w:hint="eastAsia" w:ascii="宋体" w:hAnsi="宋体" w:eastAsia="宋体" w:cs="宋体"/>
          <w:color w:val="000000"/>
          <w:sz w:val="24"/>
          <w:szCs w:val="24"/>
          <w:lang w:eastAsia="zh-CN"/>
        </w:rPr>
        <w:t>早上</w:t>
      </w:r>
      <w:r>
        <w:rPr>
          <w:rFonts w:hint="eastAsia" w:ascii="宋体" w:hAnsi="宋体" w:eastAsia="宋体" w:cs="宋体"/>
          <w:color w:val="000000"/>
          <w:sz w:val="24"/>
          <w:szCs w:val="24"/>
          <w:lang w:val="en-US" w:eastAsia="zh-CN"/>
        </w:rPr>
        <w:t>7：00-12：00必须全员在岗，其余时间</w:t>
      </w:r>
      <w:r>
        <w:rPr>
          <w:rFonts w:hint="eastAsia" w:ascii="宋体" w:hAnsi="宋体" w:eastAsia="宋体" w:cs="宋体"/>
          <w:snapToGrid/>
          <w:color w:val="000000"/>
          <w:sz w:val="24"/>
          <w:szCs w:val="24"/>
          <w:lang w:val="en-US" w:eastAsia="zh-CN" w:bidi="ar-SA"/>
        </w:rPr>
        <w:t>除就餐时间外必须全员在岗，就餐时间实行轮班制。</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（3）飞云路农贸市场</w:t>
      </w:r>
      <w:r>
        <w:rPr>
          <w:rFonts w:hint="eastAsia" w:ascii="宋体" w:hAnsi="宋体" w:eastAsia="宋体" w:cs="宋体"/>
          <w:color w:val="000000"/>
          <w:sz w:val="24"/>
          <w:szCs w:val="24"/>
          <w:lang w:val="en-US" w:eastAsia="zh-CN"/>
        </w:rPr>
        <w:t>4名</w:t>
      </w:r>
      <w:r>
        <w:rPr>
          <w:rFonts w:hint="eastAsia" w:ascii="宋体" w:hAnsi="宋体" w:eastAsia="宋体" w:cs="宋体"/>
          <w:color w:val="000000"/>
          <w:sz w:val="24"/>
          <w:szCs w:val="24"/>
        </w:rPr>
        <w:t>保洁</w:t>
      </w:r>
      <w:r>
        <w:rPr>
          <w:rFonts w:hint="eastAsia" w:ascii="宋体" w:hAnsi="宋体" w:eastAsia="宋体" w:cs="宋体"/>
          <w:color w:val="000000"/>
          <w:sz w:val="24"/>
          <w:szCs w:val="24"/>
          <w:lang w:eastAsia="zh-CN"/>
        </w:rPr>
        <w:t>人员中含</w:t>
      </w:r>
      <w:r>
        <w:rPr>
          <w:rFonts w:hint="eastAsia" w:ascii="宋体" w:hAnsi="宋体" w:eastAsia="宋体" w:cs="宋体"/>
          <w:color w:val="000000"/>
          <w:sz w:val="24"/>
          <w:szCs w:val="24"/>
        </w:rPr>
        <w:t>市场夜值守，夜值守人员</w:t>
      </w:r>
      <w:r>
        <w:rPr>
          <w:rFonts w:hint="eastAsia" w:ascii="宋体" w:hAnsi="宋体" w:eastAsia="宋体" w:cs="宋体"/>
          <w:color w:val="000000"/>
          <w:sz w:val="24"/>
          <w:szCs w:val="24"/>
          <w:lang w:eastAsia="zh-CN"/>
        </w:rPr>
        <w:t>在值守期间</w:t>
      </w:r>
      <w:r>
        <w:rPr>
          <w:rFonts w:hint="eastAsia" w:ascii="宋体" w:hAnsi="宋体" w:eastAsia="宋体" w:cs="宋体"/>
          <w:color w:val="000000"/>
          <w:sz w:val="24"/>
          <w:szCs w:val="24"/>
        </w:rPr>
        <w:t>必须</w:t>
      </w:r>
      <w:r>
        <w:rPr>
          <w:rFonts w:hint="eastAsia" w:ascii="宋体" w:hAnsi="宋体" w:eastAsia="宋体" w:cs="宋体"/>
          <w:color w:val="000000"/>
          <w:sz w:val="24"/>
          <w:szCs w:val="24"/>
          <w:lang w:eastAsia="zh-CN"/>
        </w:rPr>
        <w:t>人在岗并</w:t>
      </w:r>
      <w:r>
        <w:rPr>
          <w:rFonts w:hint="eastAsia" w:ascii="宋体" w:hAnsi="宋体" w:eastAsia="宋体" w:cs="宋体"/>
          <w:color w:val="000000"/>
          <w:sz w:val="24"/>
          <w:szCs w:val="24"/>
        </w:rPr>
        <w:t>保证手机畅通。</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2、市场清洁程度要求</w:t>
      </w:r>
    </w:p>
    <w:p>
      <w:pPr>
        <w:pStyle w:val="14"/>
        <w:keepNext w:val="0"/>
        <w:keepLines w:val="0"/>
        <w:pageBreakBefore w:val="0"/>
        <w:widowControl w:val="0"/>
        <w:kinsoku/>
        <w:wordWrap/>
        <w:overflowPunct/>
        <w:topLinePunct w:val="0"/>
        <w:autoSpaceDE/>
        <w:autoSpaceDN/>
        <w:bidi w:val="0"/>
        <w:adjustRightInd/>
        <w:spacing w:line="312"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（1）市场内保持整洁，无蜘蛛网、无杂物垃圾；市场大门通道清理及时，无垃圾、杂物、烟头；市场通道地面整洁、无积水；市场台面、摊位立面清爽干净；</w:t>
      </w:r>
      <w:r>
        <w:rPr>
          <w:rFonts w:hint="eastAsia" w:ascii="宋体" w:hAnsi="宋体" w:eastAsia="宋体" w:cs="宋体"/>
          <w:color w:val="000000"/>
          <w:sz w:val="24"/>
          <w:szCs w:val="24"/>
          <w:lang w:eastAsia="zh-CN"/>
        </w:rPr>
        <w:t>市场内每星期洗地一次，包括摊岛立面、空余摊位台面及立面清洗；</w:t>
      </w:r>
      <w:r>
        <w:rPr>
          <w:rFonts w:hint="eastAsia" w:ascii="宋体" w:hAnsi="宋体" w:eastAsia="宋体" w:cs="宋体"/>
          <w:color w:val="000000"/>
          <w:sz w:val="24"/>
          <w:szCs w:val="24"/>
        </w:rPr>
        <w:t>市场小明沟清理干净、畅通；</w:t>
      </w:r>
      <w:r>
        <w:rPr>
          <w:rFonts w:hint="eastAsia" w:ascii="宋体" w:hAnsi="宋体" w:eastAsia="宋体" w:cs="宋体"/>
          <w:color w:val="000000"/>
          <w:sz w:val="24"/>
          <w:szCs w:val="24"/>
          <w:lang w:eastAsia="zh-CN"/>
        </w:rPr>
        <w:t>市场花坛内苗木修剪，除草。</w:t>
      </w:r>
      <w:r>
        <w:rPr>
          <w:rFonts w:hint="eastAsia" w:ascii="宋体" w:hAnsi="宋体" w:eastAsia="宋体" w:cs="宋体"/>
          <w:color w:val="000000"/>
          <w:sz w:val="24"/>
          <w:szCs w:val="24"/>
        </w:rPr>
        <w:t>市场垃圾桶垃圾及时清运、垃圾桶</w:t>
      </w:r>
      <w:r>
        <w:rPr>
          <w:rFonts w:hint="eastAsia" w:ascii="宋体" w:hAnsi="宋体" w:eastAsia="宋体" w:cs="宋体"/>
          <w:color w:val="000000"/>
          <w:sz w:val="24"/>
          <w:szCs w:val="24"/>
          <w:lang w:eastAsia="zh-CN"/>
        </w:rPr>
        <w:t>每周清洗不少于</w:t>
      </w:r>
      <w:r>
        <w:rPr>
          <w:rFonts w:hint="eastAsia" w:ascii="宋体" w:hAnsi="宋体" w:eastAsia="宋体" w:cs="宋体"/>
          <w:color w:val="000000"/>
          <w:sz w:val="24"/>
          <w:szCs w:val="24"/>
          <w:lang w:val="en-US" w:eastAsia="zh-CN"/>
        </w:rPr>
        <w:t>2次。</w:t>
      </w:r>
      <w:r>
        <w:rPr>
          <w:rFonts w:hint="eastAsia" w:ascii="宋体" w:hAnsi="宋体" w:eastAsia="宋体" w:cs="宋体"/>
          <w:snapToGrid/>
          <w:color w:val="000000"/>
          <w:sz w:val="24"/>
          <w:szCs w:val="24"/>
          <w:lang w:val="en-US" w:eastAsia="zh-CN" w:bidi="ar-SA"/>
        </w:rPr>
        <w:t>保证市场整洁、干净，无过夜垃圾。</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sz w:val="24"/>
          <w:szCs w:val="24"/>
          <w:lang w:eastAsia="zh-CN"/>
        </w:rPr>
      </w:pPr>
      <w:r>
        <w:rPr>
          <w:rFonts w:hint="eastAsia" w:ascii="宋体" w:hAnsi="宋体" w:eastAsia="宋体" w:cs="宋体"/>
          <w:color w:val="000000"/>
          <w:sz w:val="24"/>
          <w:szCs w:val="24"/>
        </w:rPr>
        <w:t>（2）停车场</w:t>
      </w:r>
      <w:r>
        <w:rPr>
          <w:rFonts w:hint="eastAsia" w:ascii="宋体" w:hAnsi="宋体" w:eastAsia="宋体" w:cs="宋体"/>
          <w:color w:val="000000"/>
          <w:sz w:val="24"/>
          <w:szCs w:val="24"/>
          <w:lang w:eastAsia="zh-CN"/>
        </w:rPr>
        <w:t>全天候保持地面干净，无杂物，</w:t>
      </w:r>
      <w:r>
        <w:rPr>
          <w:rFonts w:hint="eastAsia" w:ascii="宋体" w:hAnsi="宋体" w:eastAsia="宋体" w:cs="宋体"/>
          <w:sz w:val="24"/>
          <w:szCs w:val="24"/>
          <w:lang w:eastAsia="zh-CN"/>
        </w:rPr>
        <w:t>无卫生死角。</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（3）杂货市场</w:t>
      </w:r>
      <w:r>
        <w:rPr>
          <w:rFonts w:hint="eastAsia" w:ascii="宋体" w:hAnsi="宋体" w:eastAsia="宋体" w:cs="宋体"/>
          <w:sz w:val="24"/>
          <w:szCs w:val="24"/>
          <w:lang w:eastAsia="zh-CN"/>
        </w:rPr>
        <w:t>全天候保持地面、</w:t>
      </w:r>
      <w:r>
        <w:rPr>
          <w:rFonts w:hint="eastAsia" w:ascii="宋体" w:hAnsi="宋体" w:eastAsia="宋体" w:cs="宋体"/>
          <w:sz w:val="24"/>
          <w:szCs w:val="24"/>
        </w:rPr>
        <w:t>厕所整体干净整洁</w:t>
      </w:r>
      <w:r>
        <w:rPr>
          <w:rFonts w:hint="eastAsia" w:ascii="宋体" w:hAnsi="宋体" w:eastAsia="宋体" w:cs="宋体"/>
          <w:sz w:val="24"/>
          <w:szCs w:val="24"/>
          <w:lang w:eastAsia="zh-CN"/>
        </w:rPr>
        <w:t>，无卫生死角，无杂物堆放。</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3、厕所保洁要求</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河西街杂货市场厕所、飞云路农贸市场厕所每日有专人保洁，门窗、灯罩、以及地面墙面污迹等定期擦洗，无蛛网，无垃圾，便池无残留物，全天候保持整体干净。</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4、垃圾收集清运要求</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sz w:val="24"/>
          <w:szCs w:val="24"/>
          <w:lang w:val="en-US" w:eastAsia="zh-CN"/>
        </w:rPr>
      </w:pPr>
      <w:bookmarkStart w:id="1104" w:name="_Toc18834"/>
      <w:bookmarkStart w:id="1105" w:name="_Toc3333"/>
      <w:bookmarkStart w:id="1106" w:name="_Toc23118"/>
      <w:r>
        <w:rPr>
          <w:rFonts w:hint="eastAsia" w:ascii="宋体" w:hAnsi="宋体" w:eastAsia="宋体" w:cs="宋体"/>
          <w:sz w:val="24"/>
          <w:szCs w:val="24"/>
          <w:lang w:eastAsia="zh-CN"/>
        </w:rPr>
        <w:t>按相关部门要求做好垃圾分类收集；垃圾满桶即时清运，做到车走、地净、桶空，垃圾无散落运输；无残渣及牵挂附着物，垃圾桶按要求每天更换垃圾袋。</w:t>
      </w:r>
    </w:p>
    <w:p>
      <w:pPr>
        <w:keepNext w:val="0"/>
        <w:keepLines w:val="0"/>
        <w:pageBreakBefore w:val="0"/>
        <w:kinsoku/>
        <w:wordWrap/>
        <w:overflowPunct/>
        <w:topLinePunct w:val="0"/>
        <w:autoSpaceDE/>
        <w:autoSpaceDN/>
        <w:bidi w:val="0"/>
        <w:adjustRightInd/>
        <w:snapToGrid w:val="0"/>
        <w:spacing w:line="312" w:lineRule="auto"/>
        <w:ind w:left="0" w:leftChars="0" w:firstLine="482" w:firstLineChars="200"/>
        <w:outlineLvl w:val="1"/>
        <w:rPr>
          <w:rFonts w:hint="eastAsia" w:ascii="宋体" w:hAnsi="宋体" w:eastAsia="宋体" w:cs="宋体"/>
          <w:b/>
          <w:sz w:val="24"/>
          <w:szCs w:val="24"/>
        </w:rPr>
      </w:pPr>
      <w:bookmarkStart w:id="1107" w:name="_Toc14895"/>
      <w:r>
        <w:rPr>
          <w:rFonts w:hint="eastAsia" w:ascii="宋体" w:hAnsi="宋体" w:eastAsia="宋体" w:cs="宋体"/>
          <w:b/>
          <w:sz w:val="24"/>
          <w:szCs w:val="24"/>
        </w:rPr>
        <w:t>四、管理职责</w:t>
      </w:r>
      <w:bookmarkEnd w:id="1104"/>
      <w:bookmarkEnd w:id="1105"/>
      <w:bookmarkEnd w:id="1106"/>
      <w:bookmarkEnd w:id="1107"/>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（一）各农贸市场管理办公室代表发包方监督管理保洁外包业务，有权依据龙游县百益市场管理有限公司城区农贸市场保洁承包合同、考核办法等相关规定对保洁状况进行监督检查、验收整改和考核工作。</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（二）承包方负责依据发包方保洁承包合同和保洁考核办法开展保洁工作，在实施保洁过程中，必须遵守现场环境健康安全要求。</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（三）承包方依据发包方保洁承包合同、考核办法等，制定切合自身保洁业务的实施方案，为保洁人员作业提供依据。</w:t>
      </w:r>
    </w:p>
    <w:p>
      <w:pPr>
        <w:keepNext w:val="0"/>
        <w:keepLines w:val="0"/>
        <w:pageBreakBefore w:val="0"/>
        <w:kinsoku/>
        <w:wordWrap/>
        <w:overflowPunct/>
        <w:topLinePunct w:val="0"/>
        <w:autoSpaceDE/>
        <w:autoSpaceDN/>
        <w:bidi w:val="0"/>
        <w:adjustRightInd/>
        <w:snapToGrid w:val="0"/>
        <w:spacing w:line="312" w:lineRule="auto"/>
        <w:ind w:left="0" w:leftChars="0" w:firstLine="482" w:firstLineChars="200"/>
        <w:outlineLvl w:val="1"/>
        <w:rPr>
          <w:rFonts w:hint="eastAsia" w:ascii="宋体" w:hAnsi="宋体" w:eastAsia="宋体" w:cs="宋体"/>
          <w:b/>
          <w:sz w:val="24"/>
          <w:szCs w:val="24"/>
        </w:rPr>
      </w:pPr>
      <w:bookmarkStart w:id="1108" w:name="_Toc3"/>
      <w:bookmarkStart w:id="1109" w:name="_Toc8374"/>
      <w:bookmarkStart w:id="1110" w:name="_Toc7693"/>
      <w:bookmarkStart w:id="1111" w:name="_Toc14409"/>
      <w:r>
        <w:rPr>
          <w:rFonts w:hint="eastAsia" w:ascii="宋体" w:hAnsi="宋体" w:eastAsia="宋体" w:cs="宋体"/>
          <w:b/>
          <w:sz w:val="24"/>
          <w:szCs w:val="24"/>
        </w:rPr>
        <w:t>五、考核流程</w:t>
      </w:r>
      <w:bookmarkEnd w:id="1108"/>
      <w:bookmarkEnd w:id="1109"/>
      <w:bookmarkEnd w:id="1110"/>
      <w:bookmarkEnd w:id="1111"/>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（一）承包方依据发包方保洁考核方案对保洁人员进行监督、考核管理。    </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（二）市场管理办公室按发包方保洁承包合同和保洁考核办法对承包方进行监督、考核管理。</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（三）市场管理办公室按月统计保洁考核结果上报公司经营科，经营科经核实后汇总至财务结算。</w:t>
      </w:r>
    </w:p>
    <w:p>
      <w:pPr>
        <w:keepNext w:val="0"/>
        <w:keepLines w:val="0"/>
        <w:pageBreakBefore w:val="0"/>
        <w:kinsoku/>
        <w:wordWrap/>
        <w:overflowPunct/>
        <w:topLinePunct w:val="0"/>
        <w:autoSpaceDE/>
        <w:autoSpaceDN/>
        <w:bidi w:val="0"/>
        <w:adjustRightInd/>
        <w:snapToGrid w:val="0"/>
        <w:spacing w:line="312" w:lineRule="auto"/>
        <w:ind w:left="0" w:leftChars="0" w:firstLine="482" w:firstLineChars="200"/>
        <w:outlineLvl w:val="1"/>
        <w:rPr>
          <w:rFonts w:hint="eastAsia" w:ascii="宋体" w:hAnsi="宋体" w:eastAsia="宋体" w:cs="宋体"/>
          <w:b/>
          <w:sz w:val="24"/>
          <w:szCs w:val="24"/>
          <w:lang w:val="en-US" w:eastAsia="zh-CN"/>
        </w:rPr>
      </w:pPr>
      <w:bookmarkStart w:id="1112" w:name="_Toc13545"/>
      <w:bookmarkStart w:id="1113" w:name="_Toc29627"/>
      <w:bookmarkStart w:id="1114" w:name="_Toc6309"/>
      <w:bookmarkStart w:id="1115" w:name="_Toc8642"/>
      <w:r>
        <w:rPr>
          <w:rFonts w:hint="eastAsia" w:ascii="宋体" w:hAnsi="宋体" w:eastAsia="宋体" w:cs="宋体"/>
          <w:b/>
          <w:sz w:val="24"/>
          <w:szCs w:val="24"/>
          <w:lang w:val="en-US" w:eastAsia="zh-CN"/>
        </w:rPr>
        <w:t>六、商务要求</w:t>
      </w:r>
      <w:bookmarkEnd w:id="1112"/>
      <w:bookmarkEnd w:id="1113"/>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1.付款方式：</w:t>
      </w:r>
      <w:r>
        <w:rPr>
          <w:rFonts w:hint="eastAsia" w:ascii="宋体" w:hAnsi="宋体" w:eastAsia="宋体" w:cs="宋体"/>
          <w:sz w:val="24"/>
          <w:szCs w:val="24"/>
        </w:rPr>
        <w:t>一月一结，</w:t>
      </w:r>
      <w:r>
        <w:rPr>
          <w:rFonts w:hint="eastAsia" w:ascii="宋体" w:hAnsi="宋体" w:eastAsia="宋体" w:cs="宋体"/>
          <w:sz w:val="24"/>
          <w:szCs w:val="24"/>
          <w:lang w:val="en-US" w:eastAsia="zh-CN"/>
        </w:rPr>
        <w:t>发包方</w:t>
      </w:r>
      <w:r>
        <w:rPr>
          <w:rFonts w:hint="eastAsia" w:ascii="宋体" w:hAnsi="宋体" w:eastAsia="宋体" w:cs="宋体"/>
          <w:sz w:val="24"/>
          <w:szCs w:val="24"/>
        </w:rPr>
        <w:t>按市场管理办公室对</w:t>
      </w:r>
      <w:r>
        <w:rPr>
          <w:rFonts w:hint="eastAsia" w:ascii="宋体" w:hAnsi="宋体" w:eastAsia="宋体" w:cs="宋体"/>
          <w:bCs/>
          <w:sz w:val="24"/>
          <w:szCs w:val="24"/>
        </w:rPr>
        <w:t>承包方</w:t>
      </w:r>
      <w:r>
        <w:rPr>
          <w:rFonts w:hint="eastAsia" w:ascii="宋体" w:hAnsi="宋体" w:eastAsia="宋体" w:cs="宋体"/>
          <w:sz w:val="24"/>
          <w:szCs w:val="24"/>
        </w:rPr>
        <w:t>的考核结果进行结算，并于次月15个工作日内兑现上月的承包费，以此类推。</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2.合同履约期限：</w:t>
      </w:r>
      <w:r>
        <w:rPr>
          <w:rFonts w:hint="eastAsia" w:ascii="宋体" w:hAnsi="宋体" w:eastAsia="宋体" w:cs="宋体"/>
          <w:color w:val="auto"/>
          <w:sz w:val="24"/>
          <w:szCs w:val="24"/>
          <w:highlight w:val="none"/>
          <w:lang w:eastAsia="zh-CN"/>
        </w:rPr>
        <w:t>自合同签订之日起壹年。</w:t>
      </w:r>
    </w:p>
    <w:p>
      <w:pPr>
        <w:keepNext w:val="0"/>
        <w:keepLines w:val="0"/>
        <w:pageBreakBefore w:val="0"/>
        <w:kinsoku/>
        <w:wordWrap/>
        <w:overflowPunct/>
        <w:topLinePunct w:val="0"/>
        <w:autoSpaceDE/>
        <w:autoSpaceDN/>
        <w:bidi w:val="0"/>
        <w:adjustRightInd/>
        <w:snapToGrid w:val="0"/>
        <w:spacing w:line="312" w:lineRule="auto"/>
        <w:ind w:left="0" w:leftChars="0" w:firstLine="482" w:firstLineChars="200"/>
        <w:outlineLvl w:val="1"/>
        <w:rPr>
          <w:rFonts w:hint="eastAsia" w:ascii="宋体" w:hAnsi="宋体" w:eastAsia="宋体" w:cs="宋体"/>
          <w:b/>
          <w:sz w:val="24"/>
          <w:szCs w:val="24"/>
        </w:rPr>
      </w:pPr>
      <w:bookmarkStart w:id="1116" w:name="_Toc26369"/>
      <w:bookmarkStart w:id="1117" w:name="_Toc13288"/>
      <w:r>
        <w:rPr>
          <w:rFonts w:hint="eastAsia" w:ascii="宋体" w:hAnsi="宋体" w:eastAsia="宋体" w:cs="宋体"/>
          <w:b/>
          <w:sz w:val="24"/>
          <w:szCs w:val="24"/>
          <w:lang w:val="en-US" w:eastAsia="zh-CN"/>
        </w:rPr>
        <w:t>七</w:t>
      </w:r>
      <w:r>
        <w:rPr>
          <w:rFonts w:hint="eastAsia" w:ascii="宋体" w:hAnsi="宋体" w:eastAsia="宋体" w:cs="宋体"/>
          <w:b/>
          <w:sz w:val="24"/>
          <w:szCs w:val="24"/>
        </w:rPr>
        <w:t>、其他事项</w:t>
      </w:r>
      <w:bookmarkEnd w:id="1114"/>
      <w:bookmarkEnd w:id="1115"/>
      <w:bookmarkEnd w:id="1116"/>
      <w:bookmarkEnd w:id="1117"/>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b/>
          <w:sz w:val="24"/>
          <w:szCs w:val="24"/>
        </w:rPr>
      </w:pPr>
      <w:r>
        <w:rPr>
          <w:rFonts w:hint="eastAsia" w:ascii="宋体" w:hAnsi="宋体" w:eastAsia="宋体" w:cs="宋体"/>
          <w:sz w:val="24"/>
          <w:szCs w:val="24"/>
        </w:rPr>
        <w:t>（一）遇上级部门考核检查、市场创建提升改造以及突发性事件需要保洁，承包方应无条件安排人员做好保洁。</w:t>
      </w:r>
    </w:p>
    <w:p>
      <w:pPr>
        <w:keepNext w:val="0"/>
        <w:keepLines w:val="0"/>
        <w:pageBreakBefore w:val="0"/>
        <w:kinsoku/>
        <w:wordWrap/>
        <w:overflowPunct/>
        <w:topLinePunct w:val="0"/>
        <w:autoSpaceDE/>
        <w:autoSpaceDN/>
        <w:bidi w:val="0"/>
        <w:adjustRightInd/>
        <w:snapToGrid w:val="0"/>
        <w:spacing w:line="312" w:lineRule="auto"/>
        <w:ind w:left="0" w:leftChars="0" w:firstLine="480" w:firstLineChars="200"/>
        <w:rPr>
          <w:rFonts w:hint="eastAsia" w:ascii="宋体" w:hAnsi="宋体" w:eastAsia="宋体" w:cs="宋体"/>
          <w:sz w:val="24"/>
          <w:szCs w:val="24"/>
        </w:rPr>
      </w:pPr>
      <w:r>
        <w:rPr>
          <w:rFonts w:hint="eastAsia" w:ascii="宋体" w:hAnsi="宋体" w:eastAsia="宋体" w:cs="宋体"/>
          <w:bCs/>
          <w:sz w:val="24"/>
          <w:szCs w:val="24"/>
        </w:rPr>
        <w:t xml:space="preserve">（二）本办法、附件及其附加协议都具有同等法律效力。 </w:t>
      </w:r>
    </w:p>
    <w:p>
      <w:pPr>
        <w:autoSpaceDE/>
        <w:autoSpaceDN/>
        <w:snapToGrid/>
        <w:spacing w:after="0" w:afterLines="-2147483648" w:line="312" w:lineRule="auto"/>
        <w:ind w:firstLine="482" w:firstLineChars="200"/>
        <w:jc w:val="left"/>
        <w:outlineLvl w:val="9"/>
        <w:rPr>
          <w:rFonts w:hint="eastAsia" w:ascii="宋体" w:hAnsi="宋体" w:eastAsia="宋体" w:cs="宋体"/>
          <w:b/>
          <w:bCs/>
          <w:snapToGrid w:val="0"/>
          <w:sz w:val="28"/>
          <w:szCs w:val="24"/>
          <w:lang w:val="en-US" w:bidi="ar-SA"/>
        </w:rPr>
      </w:pPr>
      <w:bookmarkStart w:id="1118" w:name="_Toc136"/>
      <w:bookmarkStart w:id="1119" w:name="_Toc29664"/>
      <w:bookmarkStart w:id="1120" w:name="_Toc2899"/>
      <w:r>
        <w:rPr>
          <w:rFonts w:hint="eastAsia" w:ascii="宋体" w:hAnsi="宋体" w:eastAsia="宋体" w:cs="宋体"/>
          <w:b/>
          <w:bCs/>
          <w:sz w:val="24"/>
          <w:szCs w:val="24"/>
          <w:lang w:val="en-US" w:eastAsia="zh-CN"/>
        </w:rPr>
        <w:t>八</w:t>
      </w:r>
      <w:r>
        <w:rPr>
          <w:rFonts w:hint="eastAsia" w:ascii="宋体" w:hAnsi="宋体" w:eastAsia="宋体" w:cs="宋体"/>
          <w:b/>
          <w:bCs/>
          <w:sz w:val="24"/>
          <w:szCs w:val="24"/>
        </w:rPr>
        <w:t>、龙游县百益市场管理有限公司城区农贸市场保洁考核办法</w:t>
      </w:r>
      <w:bookmarkEnd w:id="1118"/>
      <w:bookmarkEnd w:id="1119"/>
      <w:bookmarkEnd w:id="1120"/>
      <w:bookmarkStart w:id="1121" w:name="_Toc10396"/>
      <w:bookmarkStart w:id="1122" w:name="_Toc19123"/>
    </w:p>
    <w:p>
      <w:pPr>
        <w:tabs>
          <w:tab w:val="left" w:pos="3546"/>
        </w:tabs>
        <w:autoSpaceDE/>
        <w:autoSpaceDN/>
        <w:snapToGrid w:val="0"/>
        <w:spacing w:after="240" w:afterLines="100" w:line="312" w:lineRule="auto"/>
        <w:jc w:val="center"/>
        <w:rPr>
          <w:rFonts w:hint="eastAsia" w:ascii="宋体" w:hAnsi="宋体" w:eastAsia="宋体" w:cs="宋体"/>
          <w:b/>
          <w:bCs/>
          <w:snapToGrid w:val="0"/>
          <w:sz w:val="28"/>
          <w:szCs w:val="24"/>
          <w:lang w:val="en-US" w:bidi="ar-SA"/>
        </w:rPr>
      </w:pPr>
      <w:r>
        <w:rPr>
          <w:rFonts w:hint="eastAsia" w:ascii="宋体" w:hAnsi="宋体" w:eastAsia="宋体" w:cs="宋体"/>
          <w:b/>
          <w:bCs/>
          <w:snapToGrid w:val="0"/>
          <w:sz w:val="28"/>
          <w:szCs w:val="24"/>
          <w:lang w:val="en-US" w:bidi="ar-SA"/>
        </w:rPr>
        <w:t>龙游县百益市场管理有限公司城区农贸市场保洁考核办法</w:t>
      </w:r>
      <w:bookmarkEnd w:id="1121"/>
      <w:bookmarkEnd w:id="1122"/>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为确保农贸市场环境卫生整洁，进一步营造良好的经营环境，建立长效保洁管理机制，根据农贸市场卫生管理要求，特制定本考核办法。</w:t>
      </w:r>
    </w:p>
    <w:p>
      <w:pPr>
        <w:keepNext w:val="0"/>
        <w:keepLines w:val="0"/>
        <w:pageBreakBefore w:val="0"/>
        <w:widowControl w:val="0"/>
        <w:numPr>
          <w:ilvl w:val="0"/>
          <w:numId w:val="5"/>
        </w:numPr>
        <w:kinsoku/>
        <w:wordWrap/>
        <w:overflowPunct/>
        <w:topLinePunct w:val="0"/>
        <w:autoSpaceDE/>
        <w:autoSpaceDN/>
        <w:bidi w:val="0"/>
        <w:snapToGrid w:val="0"/>
        <w:spacing w:line="312" w:lineRule="auto"/>
        <w:ind w:left="0" w:leftChars="0" w:firstLine="482" w:firstLineChars="200"/>
        <w:jc w:val="left"/>
        <w:textAlignment w:val="auto"/>
        <w:outlineLvl w:val="1"/>
        <w:rPr>
          <w:rFonts w:hint="eastAsia" w:ascii="宋体" w:hAnsi="宋体" w:eastAsia="宋体" w:cs="宋体"/>
          <w:b/>
          <w:bCs/>
          <w:snapToGrid w:val="0"/>
          <w:sz w:val="24"/>
          <w:szCs w:val="24"/>
          <w:lang w:val="en-US" w:bidi="ar-SA"/>
        </w:rPr>
      </w:pPr>
      <w:bookmarkStart w:id="1123" w:name="_Toc5263"/>
      <w:bookmarkStart w:id="1124" w:name="_Toc12874"/>
      <w:r>
        <w:rPr>
          <w:rFonts w:hint="eastAsia" w:ascii="宋体" w:hAnsi="宋体" w:eastAsia="宋体" w:cs="宋体"/>
          <w:b/>
          <w:bCs/>
          <w:snapToGrid w:val="0"/>
          <w:sz w:val="24"/>
          <w:szCs w:val="24"/>
          <w:lang w:val="en-US" w:bidi="ar-SA"/>
        </w:rPr>
        <w:t>考核范围及对象</w:t>
      </w:r>
      <w:bookmarkEnd w:id="1123"/>
      <w:bookmarkEnd w:id="1124"/>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考核范围：</w:t>
      </w:r>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（一）河西街农贸市场范围</w:t>
      </w:r>
    </w:p>
    <w:p>
      <w:pPr>
        <w:autoSpaceDE/>
        <w:autoSpaceDN/>
        <w:snapToGrid w:val="0"/>
        <w:spacing w:line="312" w:lineRule="auto"/>
        <w:ind w:firstLine="480" w:firstLineChars="200"/>
        <w:jc w:val="left"/>
        <w:rPr>
          <w:rFonts w:hint="eastAsia" w:ascii="宋体" w:hAnsi="宋体" w:eastAsia="宋体" w:cs="宋体"/>
          <w:snapToGrid w:val="0"/>
          <w:lang w:val="en-US" w:bidi="ar-SA"/>
        </w:rPr>
      </w:pPr>
      <w:r>
        <w:rPr>
          <w:rFonts w:hint="eastAsia" w:ascii="宋体" w:hAnsi="宋体" w:eastAsia="宋体" w:cs="宋体"/>
          <w:snapToGrid w:val="0"/>
          <w:lang w:val="en-US" w:bidi="ar-SA"/>
        </w:rPr>
        <w:t>1、市场内整体及西侧大棚：市场东至大门通道口、市场南面大门通道至小井巷、市场西面到河西街的西大棚整体范围、市场北面大门通道至进士路。</w:t>
      </w:r>
    </w:p>
    <w:p>
      <w:pPr>
        <w:autoSpaceDE/>
        <w:autoSpaceDN/>
        <w:snapToGrid w:val="0"/>
        <w:spacing w:line="312" w:lineRule="auto"/>
        <w:ind w:firstLine="480" w:firstLineChars="200"/>
        <w:jc w:val="left"/>
        <w:rPr>
          <w:rFonts w:hint="eastAsia" w:ascii="宋体" w:hAnsi="宋体" w:eastAsia="宋体" w:cs="宋体"/>
          <w:snapToGrid w:val="0"/>
          <w:lang w:val="en-US" w:bidi="ar-SA"/>
        </w:rPr>
      </w:pPr>
      <w:r>
        <w:rPr>
          <w:rFonts w:hint="eastAsia" w:ascii="宋体" w:hAnsi="宋体" w:eastAsia="宋体" w:cs="宋体"/>
          <w:snapToGrid w:val="0"/>
          <w:lang w:val="en-US" w:bidi="ar-SA"/>
        </w:rPr>
        <w:t>2、河西街杂货市场：河西街杂货市场东通道至大众路、南至普农家电、西至河西街、北面至市场厕所。</w:t>
      </w:r>
    </w:p>
    <w:p>
      <w:pPr>
        <w:autoSpaceDE/>
        <w:autoSpaceDN/>
        <w:snapToGrid w:val="0"/>
        <w:spacing w:line="312" w:lineRule="auto"/>
        <w:ind w:firstLine="480" w:firstLineChars="200"/>
        <w:jc w:val="left"/>
        <w:rPr>
          <w:rFonts w:hint="eastAsia" w:ascii="宋体" w:hAnsi="宋体" w:eastAsia="宋体" w:cs="宋体"/>
          <w:snapToGrid w:val="0"/>
          <w:lang w:val="en-US" w:eastAsia="zh-CN" w:bidi="ar-SA"/>
        </w:rPr>
      </w:pPr>
      <w:r>
        <w:rPr>
          <w:rFonts w:hint="eastAsia" w:ascii="宋体" w:hAnsi="宋体" w:eastAsia="宋体" w:cs="宋体"/>
          <w:snapToGrid w:val="0"/>
          <w:lang w:val="en-US" w:bidi="ar-SA"/>
        </w:rPr>
        <w:t>3、停车场：进士路进出口到停车场围墙整体</w:t>
      </w:r>
      <w:r>
        <w:rPr>
          <w:rFonts w:hint="eastAsia" w:ascii="宋体" w:hAnsi="宋体" w:eastAsia="宋体" w:cs="宋体"/>
          <w:snapToGrid w:val="0"/>
          <w:lang w:val="en-US" w:eastAsia="zh-CN" w:bidi="ar-SA"/>
        </w:rPr>
        <w:t>、河西街停车场（原杂货市场大棚）</w:t>
      </w:r>
      <w:r>
        <w:rPr>
          <w:rFonts w:hint="eastAsia" w:ascii="宋体" w:hAnsi="宋体" w:eastAsia="宋体" w:cs="宋体"/>
          <w:snapToGrid w:val="0"/>
          <w:lang w:val="en-US" w:bidi="ar-SA"/>
        </w:rPr>
        <w:t>。</w:t>
      </w:r>
    </w:p>
    <w:p>
      <w:pPr>
        <w:autoSpaceDE/>
        <w:autoSpaceDN/>
        <w:snapToGrid w:val="0"/>
        <w:spacing w:line="312" w:lineRule="auto"/>
        <w:ind w:firstLine="480" w:firstLineChars="200"/>
        <w:jc w:val="both"/>
        <w:rPr>
          <w:rFonts w:ascii="宋体" w:hAnsi="宋体" w:eastAsia="宋体" w:cs="宋体"/>
          <w:b/>
          <w:bCs/>
          <w:snapToGrid w:val="0"/>
          <w:lang w:val="en-US" w:bidi="ar-SA"/>
        </w:rPr>
      </w:pPr>
      <w:r>
        <w:rPr>
          <w:rFonts w:hint="eastAsia" w:ascii="宋体" w:hAnsi="宋体" w:eastAsia="宋体" w:cs="宋体"/>
          <w:snapToGrid w:val="0"/>
          <w:lang w:val="en-US" w:bidi="ar-SA"/>
        </w:rPr>
        <w:t>（二）飞云路农贸市场范围：</w:t>
      </w:r>
      <w:r>
        <w:rPr>
          <w:rFonts w:hint="eastAsia" w:ascii="宋体" w:hAnsi="宋体" w:eastAsia="宋体" w:cs="宋体"/>
          <w:snapToGrid w:val="0"/>
          <w:lang w:val="en-US" w:eastAsia="zh-CN" w:bidi="ar-SA"/>
        </w:rPr>
        <w:t>飞云路农贸市场围墙内(包含种植绿化植被修剪、养护)</w:t>
      </w:r>
      <w:r>
        <w:rPr>
          <w:rFonts w:hint="eastAsia" w:ascii="宋体" w:hAnsi="宋体" w:eastAsia="宋体" w:cs="宋体"/>
          <w:snapToGrid w:val="0"/>
          <w:lang w:val="en-US" w:bidi="ar-SA"/>
        </w:rPr>
        <w:t>。</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考核对象：保洁业务承包单位（以下简称承包方）。</w:t>
      </w:r>
    </w:p>
    <w:p>
      <w:pPr>
        <w:keepNext w:val="0"/>
        <w:keepLines w:val="0"/>
        <w:pageBreakBefore w:val="0"/>
        <w:widowControl w:val="0"/>
        <w:numPr>
          <w:ilvl w:val="0"/>
          <w:numId w:val="5"/>
        </w:numPr>
        <w:kinsoku/>
        <w:wordWrap/>
        <w:overflowPunct/>
        <w:topLinePunct w:val="0"/>
        <w:autoSpaceDE/>
        <w:autoSpaceDN/>
        <w:bidi w:val="0"/>
        <w:snapToGrid w:val="0"/>
        <w:spacing w:line="312" w:lineRule="auto"/>
        <w:ind w:left="0" w:leftChars="0" w:firstLine="482" w:firstLineChars="200"/>
        <w:jc w:val="left"/>
        <w:textAlignment w:val="auto"/>
        <w:outlineLvl w:val="1"/>
        <w:rPr>
          <w:rFonts w:hint="eastAsia" w:ascii="宋体" w:hAnsi="宋体" w:eastAsia="宋体" w:cs="宋体"/>
          <w:snapToGrid w:val="0"/>
          <w:sz w:val="24"/>
          <w:szCs w:val="24"/>
          <w:lang w:val="en-US" w:bidi="ar-SA"/>
        </w:rPr>
      </w:pPr>
      <w:bookmarkStart w:id="1125" w:name="_Toc21218"/>
      <w:bookmarkStart w:id="1126" w:name="_Toc30317"/>
      <w:r>
        <w:rPr>
          <w:rFonts w:hint="eastAsia" w:ascii="宋体" w:hAnsi="宋体" w:eastAsia="宋体" w:cs="宋体"/>
          <w:b/>
          <w:bCs/>
          <w:snapToGrid w:val="0"/>
          <w:sz w:val="24"/>
          <w:szCs w:val="24"/>
          <w:lang w:val="en-US" w:bidi="ar-SA"/>
        </w:rPr>
        <w:t>考核办法</w:t>
      </w:r>
      <w:bookmarkEnd w:id="1125"/>
      <w:bookmarkEnd w:id="1126"/>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为加强对考核工作的监督管理，促进考核工作科学、有序</w:t>
      </w:r>
      <w:r>
        <w:rPr>
          <w:rFonts w:hint="eastAsia" w:ascii="宋体" w:hAnsi="宋体" w:cs="宋体"/>
          <w:snapToGrid w:val="0"/>
          <w:sz w:val="24"/>
          <w:szCs w:val="24"/>
          <w:lang w:val="en-US" w:eastAsia="zh-CN" w:bidi="ar-SA"/>
        </w:rPr>
        <w:t>开展</w:t>
      </w:r>
      <w:r>
        <w:rPr>
          <w:rFonts w:hint="eastAsia" w:ascii="宋体" w:hAnsi="宋体" w:eastAsia="宋体" w:cs="宋体"/>
          <w:snapToGrid w:val="0"/>
          <w:sz w:val="24"/>
          <w:szCs w:val="24"/>
          <w:lang w:val="en-US" w:bidi="ar-SA"/>
        </w:rPr>
        <w:t>，由各农贸市场管理办公室对承包方进行日常巡查考核，农贸市场管理办公室有权利和责任对承包方保洁不到位、不合格等违反考核办法规定现象指出并实施扣分，扣分按阶梯式扣分标准，扣分时应在备注栏里标明时间、地点、扣分原因并立即通知承包方整改，于次月3日前汇总好考核结果上报龙游县百益市场管理有限公司。</w:t>
      </w:r>
    </w:p>
    <w:p>
      <w:pPr>
        <w:keepNext w:val="0"/>
        <w:keepLines w:val="0"/>
        <w:pageBreakBefore w:val="0"/>
        <w:widowControl w:val="0"/>
        <w:numPr>
          <w:ilvl w:val="0"/>
          <w:numId w:val="5"/>
        </w:numPr>
        <w:kinsoku/>
        <w:wordWrap/>
        <w:overflowPunct/>
        <w:topLinePunct w:val="0"/>
        <w:autoSpaceDE/>
        <w:autoSpaceDN/>
        <w:bidi w:val="0"/>
        <w:snapToGrid w:val="0"/>
        <w:spacing w:line="312" w:lineRule="auto"/>
        <w:ind w:left="0" w:leftChars="0" w:firstLine="482" w:firstLineChars="200"/>
        <w:jc w:val="left"/>
        <w:textAlignment w:val="auto"/>
        <w:outlineLvl w:val="1"/>
        <w:rPr>
          <w:rFonts w:hint="eastAsia" w:ascii="宋体" w:hAnsi="宋体" w:eastAsia="宋体" w:cs="宋体"/>
          <w:b/>
          <w:bCs/>
          <w:snapToGrid w:val="0"/>
          <w:sz w:val="24"/>
          <w:szCs w:val="24"/>
          <w:lang w:val="en-US" w:bidi="ar-SA"/>
        </w:rPr>
      </w:pPr>
      <w:bookmarkStart w:id="1127" w:name="_Toc22712"/>
      <w:bookmarkStart w:id="1128" w:name="_Toc31969"/>
      <w:r>
        <w:rPr>
          <w:rFonts w:hint="eastAsia" w:ascii="宋体" w:hAnsi="宋体" w:eastAsia="宋体" w:cs="宋体"/>
          <w:b/>
          <w:bCs/>
          <w:snapToGrid w:val="0"/>
          <w:sz w:val="24"/>
          <w:szCs w:val="24"/>
          <w:lang w:val="en-US" w:bidi="ar-SA"/>
        </w:rPr>
        <w:t>考核方式</w:t>
      </w:r>
      <w:bookmarkEnd w:id="1127"/>
      <w:bookmarkEnd w:id="1128"/>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采取随时抽查、定期检查、集中考核相结合的考核方式进行，对承包方的人员安排、作业质量、地面清扫、垃圾收集清运、配合市场清洗摊位立面，小明沟垃圾清扫及排水孔清理等进行监管考核和评分。</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（一）随时抽查</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市场管理人员根据工作情况随时对承包方保洁情况进行巡查，掌握承包方的保洁质量情况，对发现的质量问题及时通知承包方整改到位，并根据整改情况按评分标准酌情扣分。</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（二）定期检查</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每日一次以上，由市场管理人员对承包方作业情况进行巡视检查，掌握承包方的保洁质量情况，对发现的质量问题，详细记录（拍照）、按作业标准进行扣分，并通知承包方，检查过程中发现的突发垃圾通知承包方及时清除。</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（三）集中考核</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由各农贸市场管理办公室组织，市场管理人员及承包方管理人员参与考核，一般每周不少于一次，并对每周保洁考核结果告知承包方确认，由市场管理办公室根据每周考核结果按月汇总上报龙游县百益市场管理有限公司并告知承包方。</w:t>
      </w:r>
    </w:p>
    <w:p>
      <w:pPr>
        <w:keepNext w:val="0"/>
        <w:keepLines w:val="0"/>
        <w:pageBreakBefore w:val="0"/>
        <w:widowControl w:val="0"/>
        <w:kinsoku/>
        <w:wordWrap/>
        <w:overflowPunct/>
        <w:topLinePunct w:val="0"/>
        <w:autoSpaceDE/>
        <w:autoSpaceDN/>
        <w:bidi w:val="0"/>
        <w:snapToGrid w:val="0"/>
        <w:spacing w:line="312" w:lineRule="auto"/>
        <w:ind w:left="0" w:leftChars="0" w:firstLine="482" w:firstLineChars="200"/>
        <w:jc w:val="both"/>
        <w:textAlignment w:val="auto"/>
        <w:outlineLvl w:val="1"/>
        <w:rPr>
          <w:rFonts w:hint="eastAsia" w:ascii="宋体" w:hAnsi="宋体" w:eastAsia="宋体" w:cs="宋体"/>
          <w:b/>
          <w:bCs/>
          <w:snapToGrid w:val="0"/>
          <w:sz w:val="24"/>
          <w:szCs w:val="24"/>
          <w:lang w:val="en-US" w:bidi="ar-SA"/>
        </w:rPr>
      </w:pPr>
      <w:bookmarkStart w:id="1129" w:name="_Toc14113"/>
      <w:bookmarkStart w:id="1130" w:name="_Toc24307"/>
      <w:r>
        <w:rPr>
          <w:rFonts w:hint="eastAsia" w:ascii="宋体" w:hAnsi="宋体" w:eastAsia="宋体" w:cs="宋体"/>
          <w:b/>
          <w:bCs/>
          <w:snapToGrid w:val="0"/>
          <w:sz w:val="24"/>
          <w:szCs w:val="24"/>
          <w:lang w:val="en-US" w:bidi="ar-SA"/>
        </w:rPr>
        <w:t>四、计分方法</w:t>
      </w:r>
      <w:bookmarkEnd w:id="1129"/>
      <w:bookmarkEnd w:id="1130"/>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采用合并百分制考核，即100分</w:t>
      </w:r>
      <w:r>
        <w:rPr>
          <w:rFonts w:hint="eastAsia" w:cs="宋体"/>
          <w:snapToGrid w:val="0"/>
          <w:sz w:val="24"/>
          <w:szCs w:val="24"/>
          <w:lang w:val="en-US" w:eastAsia="zh-CN" w:bidi="ar-SA"/>
        </w:rPr>
        <w:t>减河西街农贸市场扣分项减飞云路农贸市场扣分项等于实际得分</w:t>
      </w:r>
      <w:r>
        <w:rPr>
          <w:rFonts w:hint="eastAsia" w:ascii="宋体" w:hAnsi="宋体" w:eastAsia="宋体" w:cs="宋体"/>
          <w:snapToGrid w:val="0"/>
          <w:sz w:val="24"/>
          <w:szCs w:val="24"/>
          <w:lang w:val="en-US" w:bidi="ar-SA"/>
        </w:rPr>
        <w:t>。</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95分(不含95分)以上为优良，全额支付当月承包款，且每</w:t>
      </w:r>
      <w:r>
        <w:rPr>
          <w:rFonts w:hint="eastAsia" w:cs="宋体"/>
          <w:snapToGrid w:val="0"/>
          <w:sz w:val="24"/>
          <w:szCs w:val="24"/>
          <w:lang w:val="en-US" w:eastAsia="zh-CN" w:bidi="ar-SA"/>
        </w:rPr>
        <w:t>多</w:t>
      </w:r>
      <w:r>
        <w:rPr>
          <w:rFonts w:hint="eastAsia" w:ascii="宋体" w:hAnsi="宋体" w:eastAsia="宋体" w:cs="宋体"/>
          <w:snapToGrid w:val="0"/>
          <w:sz w:val="24"/>
          <w:szCs w:val="24"/>
          <w:lang w:val="en-US" w:bidi="ar-SA"/>
        </w:rPr>
        <w:t>得1分奖励</w:t>
      </w:r>
      <w:r>
        <w:rPr>
          <w:rFonts w:hint="eastAsia" w:ascii="宋体" w:hAnsi="宋体" w:cs="宋体"/>
          <w:snapToGrid w:val="0"/>
          <w:sz w:val="24"/>
          <w:szCs w:val="24"/>
          <w:lang w:val="en-US" w:eastAsia="zh-CN" w:bidi="ar-SA"/>
        </w:rPr>
        <w:t>2</w:t>
      </w:r>
      <w:r>
        <w:rPr>
          <w:rFonts w:hint="eastAsia" w:ascii="宋体" w:hAnsi="宋体" w:eastAsia="宋体" w:cs="宋体"/>
          <w:snapToGrid w:val="0"/>
          <w:sz w:val="24"/>
          <w:szCs w:val="24"/>
          <w:lang w:val="en-US" w:bidi="ar-SA"/>
        </w:rPr>
        <w:t>00元；</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95-90分（不含90分）为合格，全额支付当月承包款；</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90-80分（不含80分）为基本合格，每扣1分扣款100元；</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80-70分（不含70分）为基本不合格，每扣1分扣款200元；</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70分-65分（不含65分）为不合格，每扣1分扣款500元；</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65分（含65分）以下为差，不予支付当月承包款。</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次月3日前将考核结果汇总上报，考核奖惩款项在当月承包款中体现。</w:t>
      </w:r>
    </w:p>
    <w:p>
      <w:pPr>
        <w:keepNext w:val="0"/>
        <w:keepLines w:val="0"/>
        <w:pageBreakBefore w:val="0"/>
        <w:widowControl w:val="0"/>
        <w:kinsoku/>
        <w:wordWrap/>
        <w:overflowPunct/>
        <w:topLinePunct w:val="0"/>
        <w:autoSpaceDE/>
        <w:autoSpaceDN/>
        <w:bidi w:val="0"/>
        <w:snapToGrid w:val="0"/>
        <w:spacing w:line="312" w:lineRule="auto"/>
        <w:ind w:left="0" w:leftChars="0" w:firstLine="482" w:firstLineChars="200"/>
        <w:jc w:val="left"/>
        <w:textAlignment w:val="auto"/>
        <w:outlineLvl w:val="1"/>
        <w:rPr>
          <w:rFonts w:hint="eastAsia" w:ascii="宋体" w:hAnsi="宋体" w:eastAsia="宋体" w:cs="宋体"/>
          <w:b/>
          <w:bCs/>
          <w:snapToGrid w:val="0"/>
          <w:sz w:val="24"/>
          <w:szCs w:val="24"/>
          <w:lang w:val="en-US" w:bidi="ar-SA"/>
        </w:rPr>
      </w:pPr>
      <w:bookmarkStart w:id="1131" w:name="_Toc3323"/>
      <w:bookmarkStart w:id="1132" w:name="_Toc13946"/>
      <w:r>
        <w:rPr>
          <w:rFonts w:hint="eastAsia" w:ascii="宋体" w:hAnsi="宋体" w:eastAsia="宋体" w:cs="宋体"/>
          <w:b/>
          <w:bCs/>
          <w:snapToGrid w:val="0"/>
          <w:sz w:val="24"/>
          <w:szCs w:val="24"/>
          <w:lang w:val="en-US" w:bidi="ar-SA"/>
        </w:rPr>
        <w:t>五、评分标准</w:t>
      </w:r>
      <w:bookmarkEnd w:id="1131"/>
      <w:bookmarkEnd w:id="1132"/>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（一）人员安排考核细则</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color w:val="auto"/>
          <w:sz w:val="24"/>
          <w:szCs w:val="24"/>
          <w:lang w:val="en-US" w:bidi="ar-SA"/>
        </w:rPr>
      </w:pPr>
      <w:r>
        <w:rPr>
          <w:rFonts w:hint="eastAsia" w:ascii="宋体" w:hAnsi="宋体" w:eastAsia="宋体" w:cs="宋体"/>
          <w:snapToGrid w:val="0"/>
          <w:color w:val="auto"/>
          <w:sz w:val="24"/>
          <w:szCs w:val="24"/>
          <w:lang w:val="en-US" w:bidi="ar-SA"/>
        </w:rPr>
        <w:t>1、河西街农贸市场内必须配备4名保洁人员，夏令时每天早上6：00到晚上经营户收摊为止，冬令时每天早上6:30到晚上经营户收摊为止，每迟到1人次扣1分，迟到30分钟以上按缺人扣分；全方位清扫、清运垃圾。</w:t>
      </w:r>
      <w:r>
        <w:rPr>
          <w:rFonts w:hint="eastAsia" w:ascii="宋体" w:hAnsi="宋体" w:eastAsia="宋体" w:cs="宋体"/>
          <w:snapToGrid w:val="0"/>
          <w:color w:val="auto"/>
          <w:sz w:val="24"/>
          <w:szCs w:val="24"/>
          <w:lang w:val="en-US" w:eastAsia="zh-CN" w:bidi="ar-SA"/>
        </w:rPr>
        <w:t>早上7：00-12：00必须全员在岗，其余时间</w:t>
      </w:r>
      <w:r>
        <w:rPr>
          <w:rFonts w:hint="eastAsia" w:ascii="宋体" w:hAnsi="宋体" w:eastAsia="宋体" w:cs="宋体"/>
          <w:snapToGrid w:val="0"/>
          <w:color w:val="auto"/>
          <w:sz w:val="24"/>
          <w:szCs w:val="24"/>
          <w:highlight w:val="none"/>
          <w:lang w:val="en-US" w:eastAsia="zh-CN" w:bidi="ar-SA"/>
        </w:rPr>
        <w:t>除就</w:t>
      </w:r>
      <w:r>
        <w:rPr>
          <w:rFonts w:hint="eastAsia" w:ascii="宋体" w:hAnsi="宋体" w:eastAsia="宋体" w:cs="宋体"/>
          <w:snapToGrid w:val="0"/>
          <w:color w:val="auto"/>
          <w:sz w:val="24"/>
          <w:szCs w:val="24"/>
          <w:lang w:val="en-US" w:eastAsia="zh-CN" w:bidi="ar-SA"/>
        </w:rPr>
        <w:t>餐时间外，必须全员在岗</w:t>
      </w:r>
      <w:r>
        <w:rPr>
          <w:rFonts w:hint="eastAsia" w:ascii="宋体" w:hAnsi="宋体" w:eastAsia="宋体" w:cs="宋体"/>
          <w:snapToGrid w:val="0"/>
          <w:color w:val="auto"/>
          <w:sz w:val="24"/>
          <w:szCs w:val="24"/>
          <w:lang w:val="en-US" w:bidi="ar-SA"/>
        </w:rPr>
        <w:t>保洁，保证市场整洁、干净，检查缺1人扣5分；保洁人员应遵守公司保洁制度，若违反视情节轻重处罚。</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color w:val="auto"/>
          <w:sz w:val="24"/>
          <w:szCs w:val="24"/>
          <w:lang w:val="en-US" w:bidi="ar-SA"/>
        </w:rPr>
        <w:t>飞云路农贸市场内必须配备</w:t>
      </w:r>
      <w:r>
        <w:rPr>
          <w:rFonts w:hint="eastAsia" w:ascii="宋体" w:hAnsi="宋体" w:eastAsia="宋体" w:cs="宋体"/>
          <w:snapToGrid w:val="0"/>
          <w:color w:val="auto"/>
          <w:sz w:val="24"/>
          <w:szCs w:val="24"/>
          <w:lang w:val="en-US" w:eastAsia="zh-CN" w:bidi="ar-SA"/>
        </w:rPr>
        <w:t>4</w:t>
      </w:r>
      <w:r>
        <w:rPr>
          <w:rFonts w:hint="eastAsia" w:ascii="宋体" w:hAnsi="宋体" w:eastAsia="宋体" w:cs="宋体"/>
          <w:snapToGrid w:val="0"/>
          <w:color w:val="auto"/>
          <w:sz w:val="24"/>
          <w:szCs w:val="24"/>
          <w:lang w:val="en-US" w:bidi="ar-SA"/>
        </w:rPr>
        <w:t>名保洁人员负责市场保洁</w:t>
      </w:r>
      <w:r>
        <w:rPr>
          <w:rFonts w:hint="eastAsia" w:ascii="宋体" w:hAnsi="宋体" w:eastAsia="宋体" w:cs="宋体"/>
          <w:snapToGrid w:val="0"/>
          <w:color w:val="auto"/>
          <w:sz w:val="24"/>
          <w:szCs w:val="24"/>
          <w:lang w:val="en-US" w:eastAsia="zh-CN" w:bidi="ar-SA"/>
        </w:rPr>
        <w:t>（包含夜间值守人员及垃圾清运人员）。</w:t>
      </w:r>
      <w:r>
        <w:rPr>
          <w:rFonts w:hint="eastAsia" w:ascii="宋体" w:hAnsi="宋体" w:eastAsia="宋体" w:cs="宋体"/>
          <w:snapToGrid w:val="0"/>
          <w:color w:val="auto"/>
          <w:sz w:val="24"/>
          <w:szCs w:val="24"/>
          <w:lang w:val="en-US" w:bidi="ar-SA"/>
        </w:rPr>
        <w:t>夜值守</w:t>
      </w:r>
      <w:r>
        <w:rPr>
          <w:rFonts w:hint="eastAsia" w:ascii="宋体" w:hAnsi="宋体" w:eastAsia="宋体" w:cs="宋体"/>
          <w:snapToGrid w:val="0"/>
          <w:color w:val="auto"/>
          <w:sz w:val="24"/>
          <w:szCs w:val="24"/>
          <w:lang w:val="en-US" w:eastAsia="zh-CN" w:bidi="ar-SA"/>
        </w:rPr>
        <w:t>人员在值守期间必须人在岗且保持手机畅通</w:t>
      </w:r>
      <w:r>
        <w:rPr>
          <w:rFonts w:hint="eastAsia" w:ascii="宋体" w:hAnsi="宋体" w:eastAsia="宋体" w:cs="宋体"/>
          <w:snapToGrid w:val="0"/>
          <w:color w:val="auto"/>
          <w:sz w:val="24"/>
          <w:szCs w:val="24"/>
          <w:lang w:val="en-US" w:bidi="ar-SA"/>
        </w:rPr>
        <w:t>。夏令时早上6：00到晚上经营户收摊为止，冬令时早上6:30到晚上经营户收摊为止，每迟到1人次扣1分，迟到30分钟以上按缺人扣分；全方位清扫、清运垃圾。</w:t>
      </w:r>
      <w:r>
        <w:rPr>
          <w:rFonts w:hint="eastAsia" w:ascii="宋体" w:hAnsi="宋体" w:eastAsia="宋体" w:cs="宋体"/>
          <w:snapToGrid w:val="0"/>
          <w:color w:val="auto"/>
          <w:sz w:val="24"/>
          <w:szCs w:val="24"/>
          <w:lang w:val="en-US" w:eastAsia="zh-CN" w:bidi="ar-SA"/>
        </w:rPr>
        <w:t>早上7：00-12：00必须全员在岗，其余时间</w:t>
      </w:r>
      <w:r>
        <w:rPr>
          <w:rFonts w:hint="eastAsia" w:ascii="宋体" w:hAnsi="宋体" w:eastAsia="宋体" w:cs="宋体"/>
          <w:snapToGrid w:val="0"/>
          <w:color w:val="auto"/>
          <w:sz w:val="24"/>
          <w:szCs w:val="24"/>
          <w:highlight w:val="none"/>
          <w:lang w:val="en-US" w:eastAsia="zh-CN" w:bidi="ar-SA"/>
        </w:rPr>
        <w:t>除就</w:t>
      </w:r>
      <w:r>
        <w:rPr>
          <w:rFonts w:hint="eastAsia" w:ascii="宋体" w:hAnsi="宋体" w:eastAsia="宋体" w:cs="宋体"/>
          <w:snapToGrid w:val="0"/>
          <w:color w:val="auto"/>
          <w:sz w:val="24"/>
          <w:szCs w:val="24"/>
          <w:lang w:val="en-US" w:eastAsia="zh-CN" w:bidi="ar-SA"/>
        </w:rPr>
        <w:t>餐时间外，必须全员在岗保洁</w:t>
      </w:r>
      <w:r>
        <w:rPr>
          <w:rFonts w:hint="eastAsia" w:ascii="宋体" w:hAnsi="宋体" w:eastAsia="宋体" w:cs="宋体"/>
          <w:snapToGrid w:val="0"/>
          <w:color w:val="auto"/>
          <w:sz w:val="24"/>
          <w:szCs w:val="24"/>
          <w:lang w:val="en-US" w:bidi="ar-SA"/>
        </w:rPr>
        <w:t>，保证市场清洁、干净</w:t>
      </w:r>
      <w:r>
        <w:rPr>
          <w:rFonts w:hint="eastAsia" w:ascii="宋体" w:hAnsi="宋体" w:eastAsia="宋体" w:cs="宋体"/>
          <w:snapToGrid w:val="0"/>
          <w:color w:val="auto"/>
          <w:sz w:val="24"/>
          <w:szCs w:val="24"/>
          <w:lang w:val="en-US" w:eastAsia="zh-CN" w:bidi="ar-SA"/>
        </w:rPr>
        <w:t>，</w:t>
      </w:r>
      <w:r>
        <w:rPr>
          <w:rFonts w:hint="eastAsia" w:ascii="宋体" w:hAnsi="宋体" w:eastAsia="宋体" w:cs="宋体"/>
          <w:snapToGrid w:val="0"/>
          <w:color w:val="auto"/>
          <w:sz w:val="24"/>
          <w:szCs w:val="24"/>
          <w:lang w:val="en-US" w:bidi="ar-SA"/>
        </w:rPr>
        <w:t>检查缺1人扣5分；夜值守人员必须保证手机畅通，特别是夜间巡查时，发现手机不通或无人值守，每次扣5分。保洁人员及夜值守人员应遵守公司保洁和夜值守制度，若违反视情节</w:t>
      </w:r>
      <w:r>
        <w:rPr>
          <w:rFonts w:hint="eastAsia" w:ascii="宋体" w:hAnsi="宋体" w:eastAsia="宋体" w:cs="宋体"/>
          <w:snapToGrid w:val="0"/>
          <w:sz w:val="24"/>
          <w:szCs w:val="24"/>
          <w:lang w:val="en-US" w:bidi="ar-SA"/>
        </w:rPr>
        <w:t>轻重处罚。</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2、作业人员应着标志装上班，否则每人每次扣1分。</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3、遇上级部门考核检查、市场创建提升改造以及突发性事件需要保洁，承包方</w:t>
      </w:r>
      <w:r>
        <w:rPr>
          <w:rFonts w:hint="eastAsia" w:ascii="宋体" w:hAnsi="宋体" w:eastAsia="宋体" w:cs="宋体"/>
          <w:snapToGrid w:val="0"/>
          <w:sz w:val="24"/>
          <w:szCs w:val="24"/>
          <w:lang w:val="en-US" w:eastAsia="zh-CN" w:bidi="ar-SA"/>
        </w:rPr>
        <w:t>应</w:t>
      </w:r>
      <w:r>
        <w:rPr>
          <w:rFonts w:hint="eastAsia" w:ascii="宋体" w:hAnsi="宋体" w:eastAsia="宋体" w:cs="宋体"/>
          <w:snapToGrid w:val="0"/>
          <w:sz w:val="24"/>
          <w:szCs w:val="24"/>
          <w:lang w:val="en-US" w:bidi="ar-SA"/>
        </w:rPr>
        <w:t>无条件安排人员做好保洁，如承包方不配合，公司有权单方面解除合同并没收承包方的履约保证金。</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（二）市场内清洁程度考核细则</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1、全天候保证市场整体整洁、干净，发现市场内通道漏扫、带痕的每次扣0.5分；全天候保持停车场、杂货市场场地干净，每天应至少清扫二次以上，如发现场地不洁每次扣0.5分；市场垃圾随产随清、随入桶、随手盖桶盖，若发现不入桶和没盖桶盖的每次扣1分；垃圾经市场管理人员提醒仍未及时清扫的扣5分；市场保洁存在死角的发现一次扣1分。</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both"/>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2、各市场各大门、通道因清理不到位发现一次扣0.5分；有杂物堆放的扣1分;发现1只烟头扣0.5分，2只扣1分，以此类推。</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3、市场内小明沟每天清扫干净，若未清理干净，每次扣1分。</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4、市场空置台面、摊位立面有污物要及时清理、清洗，如发现污物未清理每次扣0.5分；市场窗台、玻璃的保洁每星期一次，若未清理扣1分。</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5、市场内蜘蛛网及时清理，经提醒而未及时清理的，一处扣0.5分。</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（三）垃圾收集清运考核细则</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eastAsia="zh-CN" w:bidi="ar-SA"/>
        </w:rPr>
      </w:pPr>
      <w:r>
        <w:rPr>
          <w:rFonts w:hint="eastAsia" w:ascii="宋体" w:hAnsi="宋体" w:eastAsia="宋体" w:cs="宋体"/>
          <w:snapToGrid w:val="0"/>
          <w:sz w:val="24"/>
          <w:szCs w:val="24"/>
          <w:lang w:val="en-US" w:bidi="ar-SA"/>
        </w:rPr>
        <w:t>1、垃圾满桶即时清运，做到车走、地净、桶空，垃圾无散落运输，未按规定清运的每次扣5分，做到垃圾不过夜；垃圾桶乱放，没在指定位置扣0.5分；垃圾桶应每天清洗，若发现垃圾桶牵挂附着物扣0.5分，有污水污渍扣0.5分，垃圾桶四周有垃圾及地面有残渣扣1分</w:t>
      </w:r>
      <w:r>
        <w:rPr>
          <w:rFonts w:hint="eastAsia" w:ascii="宋体" w:hAnsi="宋体" w:eastAsia="宋体" w:cs="宋体"/>
          <w:snapToGrid w:val="0"/>
          <w:sz w:val="24"/>
          <w:szCs w:val="24"/>
          <w:lang w:val="en-US" w:eastAsia="zh-CN" w:bidi="ar-SA"/>
        </w:rPr>
        <w:t>，</w:t>
      </w:r>
      <w:r>
        <w:rPr>
          <w:rFonts w:hint="eastAsia" w:ascii="宋体" w:hAnsi="宋体" w:cs="宋体"/>
          <w:snapToGrid w:val="0"/>
          <w:sz w:val="24"/>
          <w:szCs w:val="24"/>
          <w:lang w:val="en-US" w:eastAsia="zh-CN" w:bidi="ar-SA"/>
        </w:rPr>
        <w:t>垃圾桶</w:t>
      </w:r>
      <w:r>
        <w:rPr>
          <w:rFonts w:hint="eastAsia" w:ascii="宋体" w:hAnsi="宋体" w:eastAsia="宋体" w:cs="宋体"/>
          <w:snapToGrid w:val="0"/>
          <w:sz w:val="24"/>
          <w:szCs w:val="24"/>
          <w:lang w:val="en-US" w:eastAsia="zh-CN" w:bidi="ar-SA"/>
        </w:rPr>
        <w:t>未每日更换垃圾袋扣0.5分</w:t>
      </w:r>
      <w:r>
        <w:rPr>
          <w:rFonts w:hint="eastAsia" w:cs="宋体"/>
          <w:snapToGrid w:val="0"/>
          <w:sz w:val="24"/>
          <w:szCs w:val="24"/>
          <w:lang w:val="en-US" w:eastAsia="zh-CN" w:bidi="ar-SA"/>
        </w:rPr>
        <w:t>，垃圾未分类收集扣0.5分</w:t>
      </w:r>
      <w:r>
        <w:rPr>
          <w:rFonts w:hint="eastAsia" w:ascii="宋体" w:hAnsi="宋体" w:eastAsia="宋体" w:cs="宋体"/>
          <w:snapToGrid w:val="0"/>
          <w:sz w:val="24"/>
          <w:szCs w:val="24"/>
          <w:lang w:val="en-US" w:eastAsia="zh-CN" w:bidi="ar-SA"/>
        </w:rPr>
        <w:t>。</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2、市场垃圾、废弃物应运往垃圾中转站，不得随意在市场范围内倾倒、焚烧造成二次污染，一经发现扣5分。</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3、承包人清扫、清运突发垃圾不及时或整改不到位的，公司可组织人员、车辆进行突击清理，所需费用在承包方承包经费中直接扣除。</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（四）飞云路农贸市场、河西街杂货市场厕所考核细则</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1、厕所每日有专人保洁，保持全天候干净。小便池有残留物不洁的每</w:t>
      </w:r>
      <w:r>
        <w:rPr>
          <w:rFonts w:hint="eastAsia"/>
          <w:lang w:val="en-US" w:eastAsia="zh-CN"/>
        </w:rPr>
        <w:t>个</w:t>
      </w:r>
      <w:r>
        <w:rPr>
          <w:rFonts w:hint="eastAsia" w:ascii="宋体" w:hAnsi="宋体" w:eastAsia="宋体" w:cs="宋体"/>
          <w:snapToGrid w:val="0"/>
          <w:sz w:val="24"/>
          <w:szCs w:val="24"/>
          <w:lang w:val="en-US" w:bidi="ar-SA"/>
        </w:rPr>
        <w:t>每次扣0.5分；蹲位槽沟污垢没清理的</w:t>
      </w:r>
      <w:r>
        <w:rPr>
          <w:rFonts w:hint="eastAsia" w:cs="宋体"/>
          <w:snapToGrid w:val="0"/>
          <w:sz w:val="24"/>
          <w:szCs w:val="24"/>
          <w:lang w:val="en-US" w:eastAsia="zh-CN" w:bidi="ar-SA"/>
        </w:rPr>
        <w:t>每个</w:t>
      </w:r>
      <w:r>
        <w:rPr>
          <w:rFonts w:hint="eastAsia" w:ascii="宋体" w:hAnsi="宋体" w:eastAsia="宋体" w:cs="宋体"/>
          <w:snapToGrid w:val="0"/>
          <w:sz w:val="24"/>
          <w:szCs w:val="24"/>
          <w:lang w:val="en-US" w:bidi="ar-SA"/>
        </w:rPr>
        <w:t>每次扣0.5分；地面有水和不洁的每次扣0.5分；洗手台没清洗每次扣0.5分；隔板脏没清洗每次扣1分。</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2、门窗、灯罩、以及墙面应保持干净，若发现污渍每次扣0.5分；蜘蛛网没清除每次扣0.5分，厕所周边垃圾未清理每次扣0.5分。</w:t>
      </w:r>
    </w:p>
    <w:p>
      <w:pPr>
        <w:keepNext w:val="0"/>
        <w:keepLines w:val="0"/>
        <w:pageBreakBefore w:val="0"/>
        <w:widowControl w:val="0"/>
        <w:kinsoku/>
        <w:wordWrap/>
        <w:overflowPunct/>
        <w:topLinePunct w:val="0"/>
        <w:autoSpaceDE/>
        <w:autoSpaceDN/>
        <w:bidi w:val="0"/>
        <w:snapToGrid w:val="0"/>
        <w:spacing w:line="312" w:lineRule="auto"/>
        <w:ind w:left="0" w:leftChars="0" w:firstLine="480" w:firstLineChars="200"/>
        <w:jc w:val="left"/>
        <w:textAlignment w:val="auto"/>
        <w:rPr>
          <w:rFonts w:hint="eastAsia" w:ascii="宋体" w:hAnsi="宋体" w:eastAsia="宋体" w:cs="宋体"/>
          <w:snapToGrid w:val="0"/>
          <w:sz w:val="24"/>
          <w:szCs w:val="24"/>
          <w:lang w:val="en-US" w:bidi="ar-SA"/>
        </w:rPr>
      </w:pPr>
      <w:r>
        <w:rPr>
          <w:rFonts w:hint="eastAsia" w:ascii="宋体" w:hAnsi="宋体" w:eastAsia="宋体" w:cs="宋体"/>
          <w:snapToGrid w:val="0"/>
          <w:sz w:val="24"/>
          <w:szCs w:val="24"/>
          <w:lang w:val="en-US" w:bidi="ar-SA"/>
        </w:rPr>
        <w:t>3、若遇创建、上级检查等需突击保洁的，必须无条件服从安排，否则酌情进行处罚。</w:t>
      </w:r>
    </w:p>
    <w:p>
      <w:pPr>
        <w:keepNext w:val="0"/>
        <w:keepLines w:val="0"/>
        <w:pageBreakBefore w:val="0"/>
        <w:widowControl w:val="0"/>
        <w:tabs>
          <w:tab w:val="left" w:pos="3546"/>
        </w:tabs>
        <w:kinsoku/>
        <w:wordWrap/>
        <w:overflowPunct/>
        <w:topLinePunct w:val="0"/>
        <w:autoSpaceDE/>
        <w:autoSpaceDN/>
        <w:bidi w:val="0"/>
        <w:snapToGrid w:val="0"/>
        <w:spacing w:line="312" w:lineRule="auto"/>
        <w:ind w:left="0" w:leftChars="0" w:firstLine="482" w:firstLineChars="200"/>
        <w:jc w:val="left"/>
        <w:textAlignment w:val="auto"/>
        <w:rPr>
          <w:rFonts w:hint="eastAsia" w:ascii="宋体" w:hAnsi="宋体" w:eastAsia="宋体" w:cs="宋体"/>
          <w:b/>
          <w:snapToGrid w:val="0"/>
          <w:sz w:val="24"/>
          <w:szCs w:val="24"/>
          <w:lang w:val="en-US" w:bidi="ar-SA"/>
        </w:rPr>
      </w:pPr>
    </w:p>
    <w:p>
      <w:pPr>
        <w:keepNext w:val="0"/>
        <w:keepLines w:val="0"/>
        <w:pageBreakBefore w:val="0"/>
        <w:widowControl w:val="0"/>
        <w:tabs>
          <w:tab w:val="left" w:pos="3546"/>
        </w:tabs>
        <w:kinsoku/>
        <w:wordWrap/>
        <w:overflowPunct/>
        <w:topLinePunct w:val="0"/>
        <w:autoSpaceDE/>
        <w:autoSpaceDN/>
        <w:bidi w:val="0"/>
        <w:snapToGrid w:val="0"/>
        <w:spacing w:line="312" w:lineRule="auto"/>
        <w:ind w:left="0" w:leftChars="0" w:firstLine="480" w:firstLineChars="200"/>
        <w:jc w:val="right"/>
        <w:textAlignment w:val="auto"/>
        <w:rPr>
          <w:rFonts w:hint="eastAsia" w:ascii="宋体" w:hAnsi="宋体" w:eastAsia="宋体" w:cs="宋体"/>
          <w:bCs/>
          <w:snapToGrid w:val="0"/>
          <w:sz w:val="24"/>
          <w:szCs w:val="24"/>
          <w:lang w:val="en-US" w:bidi="ar-SA"/>
        </w:rPr>
      </w:pP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80" w:firstLineChars="200"/>
        <w:jc w:val="center"/>
        <w:textAlignment w:val="auto"/>
        <w:rPr>
          <w:rFonts w:hint="eastAsia" w:ascii="宋体" w:hAnsi="宋体" w:eastAsia="宋体" w:cs="宋体"/>
          <w:snapToGrid w:val="0"/>
          <w:color w:val="000000"/>
          <w:sz w:val="24"/>
          <w:szCs w:val="24"/>
          <w:lang w:val="en-US" w:bidi="ar-SA"/>
        </w:rPr>
      </w:pPr>
      <w:r>
        <w:rPr>
          <w:rFonts w:hint="eastAsia" w:ascii="宋体" w:hAnsi="宋体" w:eastAsia="宋体" w:cs="宋体"/>
          <w:bCs/>
          <w:snapToGrid w:val="0"/>
          <w:sz w:val="24"/>
          <w:szCs w:val="24"/>
          <w:lang w:val="en-US" w:bidi="ar-SA"/>
        </w:rPr>
        <w:t xml:space="preserve">                                   龙游县百益市场管理有限公司</w:t>
      </w:r>
    </w:p>
    <w:p>
      <w:pPr>
        <w:jc w:val="both"/>
        <w:textAlignment w:val="center"/>
        <w:rPr>
          <w:rFonts w:hint="eastAsia" w:ascii="宋体" w:hAnsi="宋体" w:eastAsia="宋体" w:cs="宋体"/>
          <w:b w:val="0"/>
          <w:bCs w:val="0"/>
          <w:color w:val="000000"/>
          <w:kern w:val="0"/>
          <w:sz w:val="22"/>
          <w:szCs w:val="22"/>
          <w:u w:val="none"/>
          <w:lang w:bidi="ar"/>
        </w:rPr>
      </w:pPr>
    </w:p>
    <w:p>
      <w:pPr>
        <w:pStyle w:val="3"/>
        <w:widowControl/>
        <w:spacing w:before="312" w:beforeAutospacing="0" w:after="312" w:afterAutospacing="0"/>
        <w:ind w:left="0" w:firstLine="0" w:firstLineChars="0"/>
        <w:jc w:val="center"/>
        <w:outlineLvl w:val="9"/>
        <w:rPr>
          <w:rFonts w:hint="eastAsia" w:ascii="宋体" w:hAnsi="宋体" w:eastAsia="宋体" w:cs="宋体"/>
          <w:b/>
          <w:bCs w:val="0"/>
          <w:kern w:val="2"/>
          <w:sz w:val="36"/>
          <w:szCs w:val="36"/>
        </w:rPr>
      </w:pPr>
    </w:p>
    <w:p>
      <w:pPr>
        <w:ind w:firstLine="0" w:firstLineChars="0"/>
        <w:rPr>
          <w:rFonts w:hint="eastAsia" w:ascii="宋体" w:hAnsi="宋体" w:eastAsia="宋体" w:cs="宋体"/>
          <w:b/>
          <w:bCs w:val="0"/>
          <w:kern w:val="2"/>
          <w:sz w:val="36"/>
          <w:szCs w:val="36"/>
        </w:rPr>
      </w:pPr>
    </w:p>
    <w:p>
      <w:pPr>
        <w:ind w:firstLine="0" w:firstLineChars="0"/>
        <w:rPr>
          <w:rFonts w:hint="eastAsia" w:ascii="宋体" w:hAnsi="宋体" w:eastAsia="宋体" w:cs="宋体"/>
          <w:b/>
          <w:bCs w:val="0"/>
          <w:kern w:val="2"/>
          <w:sz w:val="36"/>
          <w:szCs w:val="36"/>
        </w:rPr>
      </w:pPr>
    </w:p>
    <w:p>
      <w:pPr>
        <w:pStyle w:val="2"/>
        <w:rPr>
          <w:rFonts w:hint="eastAsia"/>
        </w:rPr>
      </w:pPr>
    </w:p>
    <w:p>
      <w:pPr>
        <w:pStyle w:val="3"/>
        <w:widowControl/>
        <w:spacing w:before="312" w:beforeAutospacing="0" w:after="312" w:afterAutospacing="0"/>
        <w:ind w:left="0" w:firstLine="0" w:firstLineChars="0"/>
        <w:jc w:val="center"/>
        <w:rPr>
          <w:rFonts w:hint="default" w:ascii="Times New Roman" w:hAnsi="Times New Roman" w:eastAsia="宋体" w:cs="宋体"/>
          <w:b/>
          <w:bCs w:val="0"/>
          <w:kern w:val="2"/>
          <w:sz w:val="36"/>
          <w:szCs w:val="36"/>
        </w:rPr>
      </w:pPr>
      <w:bookmarkStart w:id="1133" w:name="_Toc30031"/>
      <w:r>
        <w:rPr>
          <w:rFonts w:hint="eastAsia" w:ascii="宋体" w:hAnsi="宋体" w:eastAsia="宋体" w:cs="宋体"/>
          <w:b/>
          <w:bCs w:val="0"/>
          <w:kern w:val="2"/>
          <w:sz w:val="36"/>
          <w:szCs w:val="36"/>
        </w:rPr>
        <w:t>第四章</w:t>
      </w:r>
      <w:r>
        <w:rPr>
          <w:rFonts w:hint="eastAsia" w:ascii="Times New Roman" w:hAnsi="Times New Roman" w:eastAsia="宋体" w:cs="宋体"/>
          <w:b/>
          <w:bCs w:val="0"/>
          <w:kern w:val="2"/>
          <w:sz w:val="36"/>
          <w:szCs w:val="36"/>
        </w:rPr>
        <w:t xml:space="preserve"> </w:t>
      </w:r>
      <w:r>
        <w:rPr>
          <w:rFonts w:hint="eastAsia" w:ascii="宋体" w:hAnsi="宋体" w:eastAsia="宋体" w:cs="宋体"/>
          <w:b/>
          <w:bCs w:val="0"/>
          <w:kern w:val="2"/>
          <w:sz w:val="36"/>
          <w:szCs w:val="36"/>
        </w:rPr>
        <w:t>磋商原则和磋商方法</w:t>
      </w:r>
      <w:bookmarkEnd w:id="1133"/>
    </w:p>
    <w:p>
      <w:pPr>
        <w:keepNext w:val="0"/>
        <w:keepLines w:val="0"/>
        <w:widowControl w:val="0"/>
        <w:suppressLineNumbers w:val="0"/>
        <w:spacing w:before="0" w:beforeAutospacing="0" w:after="0" w:afterAutospacing="0" w:line="312" w:lineRule="auto"/>
        <w:ind w:left="0" w:right="0" w:firstLine="480" w:firstLineChars="200"/>
        <w:jc w:val="both"/>
        <w:outlineLvl w:val="1"/>
        <w:rPr>
          <w:rFonts w:hint="eastAsia" w:ascii="宋体" w:hAnsi="宋体" w:eastAsia="宋体" w:cs="宋体"/>
          <w:kern w:val="2"/>
          <w:sz w:val="24"/>
          <w:szCs w:val="24"/>
        </w:rPr>
      </w:pPr>
      <w:bookmarkStart w:id="1134" w:name="_Toc29865"/>
      <w:bookmarkStart w:id="1135" w:name="_Toc22429"/>
      <w:bookmarkStart w:id="1136" w:name="_Toc16141"/>
      <w:r>
        <w:rPr>
          <w:rFonts w:hint="eastAsia" w:ascii="宋体" w:hAnsi="宋体" w:eastAsia="宋体" w:cs="宋体"/>
          <w:kern w:val="2"/>
          <w:sz w:val="24"/>
          <w:szCs w:val="24"/>
          <w:lang w:val="en-US" w:eastAsia="zh-CN" w:bidi="ar"/>
        </w:rPr>
        <w:t>1.总 则</w:t>
      </w:r>
      <w:bookmarkEnd w:id="1134"/>
      <w:bookmarkEnd w:id="1135"/>
      <w:bookmarkEnd w:id="1136"/>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为公正、公平、科学地选择成交供应商，根据《中华人民共和国政府采购法》《中华人民共和国政府采购法实施条例》《政府采购竞争性磋商采购方式管理暂行办法》等有关规定，并结合本项目的实际，制定本办法。</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1.2评审工作由采购代理机构负责组织，具体评审事务由采购人依法组建的磋商小组负责。</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1.3磋商小组评审响应文件的响应性，对于供应商而言，除磋商小组要求其澄清、说明或者更正而提供的资料外，仅依据响应文件本身的内容，不寻求其他外部证据。如供应商提交的资质证明或其他内容不齐全，由此造成的后果由供应商自己负责。</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1.4评审过程独立、保密。供应商非法干预开启评审过程的行为将导致其响应文件作为无效处理。</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1.5本项目评标采用保密的方式进行。供应商资信商务技术得分、最后报价得分在磋商结束后一并同时公布。</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1.6本次评审采用综合评分法。</w:t>
      </w:r>
    </w:p>
    <w:p>
      <w:pPr>
        <w:keepNext w:val="0"/>
        <w:keepLines w:val="0"/>
        <w:widowControl w:val="0"/>
        <w:suppressLineNumbers w:val="0"/>
        <w:spacing w:before="0" w:beforeAutospacing="0" w:after="0" w:afterAutospacing="0" w:line="312" w:lineRule="auto"/>
        <w:ind w:left="0" w:right="0" w:firstLine="480" w:firstLineChars="200"/>
        <w:jc w:val="both"/>
        <w:outlineLvl w:val="1"/>
        <w:rPr>
          <w:rFonts w:hint="eastAsia" w:ascii="宋体" w:hAnsi="宋体" w:eastAsia="宋体" w:cs="宋体"/>
          <w:kern w:val="2"/>
          <w:sz w:val="24"/>
          <w:szCs w:val="24"/>
        </w:rPr>
      </w:pPr>
      <w:bookmarkStart w:id="1137" w:name="_Toc13091"/>
      <w:bookmarkStart w:id="1138" w:name="_Toc20744"/>
      <w:bookmarkStart w:id="1139" w:name="_Toc5120"/>
      <w:r>
        <w:rPr>
          <w:rFonts w:hint="eastAsia" w:ascii="宋体" w:hAnsi="宋体" w:eastAsia="宋体" w:cs="宋体"/>
          <w:kern w:val="2"/>
          <w:sz w:val="24"/>
          <w:szCs w:val="24"/>
          <w:lang w:val="en-US" w:eastAsia="zh-CN" w:bidi="ar"/>
        </w:rPr>
        <w:t>2.组建磋商小组</w:t>
      </w:r>
      <w:bookmarkEnd w:id="1137"/>
      <w:bookmarkEnd w:id="1138"/>
      <w:bookmarkEnd w:id="1139"/>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2.1采购人将根据相关规定和采购项目的特点由采购人和技术、经济等方面专家组成磋商小组 ，磋商小组成员人数见供应商须知前附表。</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2.2除依法组建的磋商小组成员以外，其他任何人不得参加或者替代评审。</w:t>
      </w:r>
    </w:p>
    <w:p>
      <w:pPr>
        <w:keepNext w:val="0"/>
        <w:keepLines w:val="0"/>
        <w:widowControl w:val="0"/>
        <w:suppressLineNumbers w:val="0"/>
        <w:spacing w:before="0" w:beforeAutospacing="0" w:after="0" w:afterAutospacing="0" w:line="312" w:lineRule="auto"/>
        <w:ind w:left="0" w:right="0" w:firstLine="480" w:firstLineChars="200"/>
        <w:jc w:val="both"/>
        <w:outlineLvl w:val="1"/>
        <w:rPr>
          <w:rFonts w:hint="eastAsia" w:ascii="宋体" w:hAnsi="宋体" w:eastAsia="宋体" w:cs="宋体"/>
          <w:kern w:val="2"/>
          <w:sz w:val="24"/>
          <w:szCs w:val="24"/>
        </w:rPr>
      </w:pPr>
      <w:bookmarkStart w:id="1140" w:name="_Toc23285"/>
      <w:bookmarkStart w:id="1141" w:name="_Toc6226"/>
      <w:bookmarkStart w:id="1142" w:name="_Toc21857"/>
      <w:r>
        <w:rPr>
          <w:rFonts w:hint="eastAsia" w:ascii="宋体" w:hAnsi="宋体" w:eastAsia="宋体" w:cs="宋体"/>
          <w:kern w:val="2"/>
          <w:sz w:val="24"/>
          <w:szCs w:val="24"/>
          <w:lang w:val="en-US" w:eastAsia="zh-CN" w:bidi="ar"/>
        </w:rPr>
        <w:t>3.评审原则</w:t>
      </w:r>
      <w:bookmarkEnd w:id="1140"/>
      <w:bookmarkEnd w:id="1141"/>
      <w:bookmarkEnd w:id="1142"/>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3.1公正、客观、审慎的原则。</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3.2严格保密原则。磋商小组 及有关工作人员不得私下与供应商接触。采购人或采购组织机构对评审结果不作任何说明和解释，也不回答任何提问。</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3.3独立评审原则。任何单位和个人不得干扰、影响评审的正常进行。</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3.4严格遵守评审方法。根据采购文件规定的评审程序、评审方法和评分标准进行评审，不带任何倾向性和启发性。</w:t>
      </w:r>
    </w:p>
    <w:p>
      <w:pPr>
        <w:keepNext w:val="0"/>
        <w:keepLines w:val="0"/>
        <w:widowControl w:val="0"/>
        <w:suppressLineNumbers w:val="0"/>
        <w:spacing w:before="0" w:beforeAutospacing="0" w:after="0" w:afterAutospacing="0" w:line="312" w:lineRule="auto"/>
        <w:ind w:left="0" w:right="0" w:firstLine="480" w:firstLineChars="200"/>
        <w:jc w:val="both"/>
        <w:outlineLvl w:val="1"/>
        <w:rPr>
          <w:rFonts w:hint="eastAsia" w:ascii="宋体" w:hAnsi="宋体" w:eastAsia="宋体" w:cs="宋体"/>
          <w:kern w:val="2"/>
          <w:sz w:val="24"/>
          <w:szCs w:val="24"/>
        </w:rPr>
      </w:pPr>
      <w:bookmarkStart w:id="1143" w:name="_Toc6370"/>
      <w:bookmarkStart w:id="1144" w:name="_Toc3158"/>
      <w:bookmarkStart w:id="1145" w:name="_Toc16765"/>
      <w:r>
        <w:rPr>
          <w:rFonts w:hint="eastAsia" w:ascii="宋体" w:hAnsi="宋体" w:eastAsia="宋体" w:cs="宋体"/>
          <w:kern w:val="2"/>
          <w:sz w:val="24"/>
          <w:szCs w:val="24"/>
          <w:lang w:val="en-US" w:eastAsia="zh-CN" w:bidi="ar"/>
        </w:rPr>
        <w:t>4.磋商小组履行下列职责</w:t>
      </w:r>
      <w:bookmarkEnd w:id="1143"/>
      <w:bookmarkEnd w:id="1144"/>
      <w:bookmarkEnd w:id="1145"/>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4.1熟悉和理解磋商文件；</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4.2审查供应商响应文件等是否满足磋商文件要求，并作出评价；</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4.3根据需要要求采购人对磋商文件作出解释；根据需要要求供应商对响应文件有关事项作出澄清、说明或者更正；</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4.4推荐成交候选人，或者受采购人委托确定成交供应商；</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4.5起草评审报告并进行签署；</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4.6向采购人、财政部门或者其他监督部门报告非法干预评审工作的行为；</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4.7</w:t>
      </w:r>
      <w:r>
        <w:rPr>
          <w:rFonts w:hint="eastAsia" w:ascii="宋体" w:hAnsi="宋体" w:cs="宋体"/>
          <w:kern w:val="2"/>
          <w:sz w:val="24"/>
          <w:szCs w:val="24"/>
          <w:lang w:val="en-US" w:eastAsia="zh-CN" w:bidi="ar"/>
        </w:rPr>
        <w:t>法律法规</w:t>
      </w:r>
      <w:r>
        <w:rPr>
          <w:rFonts w:hint="eastAsia" w:ascii="宋体" w:hAnsi="宋体" w:eastAsia="宋体" w:cs="宋体"/>
          <w:kern w:val="2"/>
          <w:sz w:val="24"/>
          <w:szCs w:val="24"/>
          <w:lang w:val="en-US" w:eastAsia="zh-CN" w:bidi="ar"/>
        </w:rPr>
        <w:t>和规章规定的其他职责。</w:t>
      </w:r>
    </w:p>
    <w:p>
      <w:pPr>
        <w:keepNext w:val="0"/>
        <w:keepLines w:val="0"/>
        <w:widowControl w:val="0"/>
        <w:suppressLineNumbers w:val="0"/>
        <w:spacing w:before="0" w:beforeAutospacing="0" w:after="0" w:afterAutospacing="0" w:line="312" w:lineRule="auto"/>
        <w:ind w:left="0" w:right="0" w:firstLine="480" w:firstLineChars="200"/>
        <w:jc w:val="both"/>
        <w:outlineLvl w:val="1"/>
        <w:rPr>
          <w:rFonts w:hint="eastAsia" w:ascii="宋体" w:hAnsi="宋体" w:eastAsia="宋体" w:cs="宋体"/>
          <w:kern w:val="2"/>
          <w:sz w:val="24"/>
          <w:szCs w:val="24"/>
        </w:rPr>
      </w:pPr>
      <w:bookmarkStart w:id="1146" w:name="_Toc4363"/>
      <w:bookmarkStart w:id="1147" w:name="_Toc29993"/>
      <w:bookmarkStart w:id="1148" w:name="_Toc6686"/>
      <w:r>
        <w:rPr>
          <w:rFonts w:hint="eastAsia" w:ascii="宋体" w:hAnsi="宋体" w:eastAsia="宋体" w:cs="宋体"/>
          <w:kern w:val="2"/>
          <w:sz w:val="24"/>
          <w:szCs w:val="24"/>
          <w:lang w:val="en-US" w:eastAsia="zh-CN" w:bidi="ar"/>
        </w:rPr>
        <w:t>5.评审工作纪律</w:t>
      </w:r>
      <w:bookmarkEnd w:id="1146"/>
      <w:bookmarkEnd w:id="1147"/>
      <w:bookmarkEnd w:id="1148"/>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磋商小组 成员要严格遵守评审纪律、保密、回避等相关规定，依法独立履行评审职责，客观、公正、审慎参与评审工作：</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5.1严格遵守评审时间，因突发情况确实不能按时参加评审的，应事先告知采购组织机构；</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5.2服从采购组织机构的现场管理，主动出示身份证明，进入评审区域后应主动寄存移动通讯工具；</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5.3与供应商或磋商小组其他成员存在利害关系的，要主动回避，自觉签订《国企采购评审人员廉洁自律承诺书》；</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5.4保持评审现场安静，不在评审现场随意走动，因发生不可预见情况确需与外界联系或暂时离开评审现场的，应向现场监督员说明情况，征得同意后在监控区域内进行相关活动，并应接受相关工作人员的监督；</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5.5自觉遵守职业道德，尊重采购人代表和供应商代表，配合采购组织机构回答供应商代表提出的有关异议；</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5.6不得将评审过程、结果和供应商的商业秘密透露给任何单位和个人。未公告评审结果前不准泄露评审结果，不准将评审资料带出会场；</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5.7评审过程中，</w:t>
      </w:r>
      <w:r>
        <w:rPr>
          <w:rFonts w:hint="eastAsia" w:ascii="宋体" w:hAnsi="宋体" w:cs="宋体"/>
          <w:kern w:val="2"/>
          <w:sz w:val="24"/>
          <w:szCs w:val="24"/>
          <w:lang w:val="en-US" w:eastAsia="zh-CN" w:bidi="ar"/>
        </w:rPr>
        <w:t>涉及相关</w:t>
      </w:r>
      <w:r>
        <w:rPr>
          <w:rFonts w:hint="eastAsia" w:ascii="宋体" w:hAnsi="宋体" w:eastAsia="宋体" w:cs="宋体"/>
          <w:kern w:val="2"/>
          <w:sz w:val="24"/>
          <w:szCs w:val="24"/>
          <w:lang w:val="en-US" w:eastAsia="zh-CN" w:bidi="ar"/>
        </w:rPr>
        <w:t>法律法规不清楚之处的，由采购监管部门或请示权威部门作出法定解释，</w:t>
      </w:r>
      <w:r>
        <w:rPr>
          <w:rFonts w:hint="eastAsia" w:ascii="宋体" w:hAnsi="宋体" w:cs="宋体"/>
          <w:kern w:val="2"/>
          <w:sz w:val="24"/>
          <w:szCs w:val="24"/>
          <w:lang w:val="en-US" w:eastAsia="zh-CN" w:bidi="ar"/>
        </w:rPr>
        <w:t>涉及</w:t>
      </w:r>
      <w:r>
        <w:rPr>
          <w:rFonts w:hint="eastAsia" w:ascii="宋体" w:hAnsi="宋体" w:eastAsia="宋体" w:cs="宋体"/>
          <w:kern w:val="2"/>
          <w:sz w:val="24"/>
          <w:szCs w:val="24"/>
          <w:lang w:val="en-US" w:eastAsia="zh-CN" w:bidi="ar"/>
        </w:rPr>
        <w:t>磋商文件的由采购人和采购代理机构负责解释。</w:t>
      </w:r>
    </w:p>
    <w:p>
      <w:pPr>
        <w:keepNext w:val="0"/>
        <w:keepLines w:val="0"/>
        <w:widowControl w:val="0"/>
        <w:suppressLineNumbers w:val="0"/>
        <w:spacing w:before="0" w:beforeAutospacing="0" w:after="0" w:afterAutospacing="0" w:line="312" w:lineRule="auto"/>
        <w:ind w:left="0" w:right="0" w:firstLine="480" w:firstLineChars="200"/>
        <w:jc w:val="both"/>
        <w:outlineLvl w:val="1"/>
        <w:rPr>
          <w:rFonts w:hint="eastAsia" w:ascii="宋体" w:hAnsi="宋体" w:eastAsia="宋体" w:cs="宋体"/>
          <w:kern w:val="2"/>
          <w:sz w:val="24"/>
          <w:szCs w:val="24"/>
        </w:rPr>
      </w:pPr>
      <w:bookmarkStart w:id="1149" w:name="_Toc1998"/>
      <w:bookmarkStart w:id="1150" w:name="_Toc23666"/>
      <w:bookmarkStart w:id="1151" w:name="_Toc11520"/>
      <w:r>
        <w:rPr>
          <w:rFonts w:hint="eastAsia" w:ascii="宋体" w:hAnsi="宋体" w:eastAsia="宋体" w:cs="宋体"/>
          <w:kern w:val="2"/>
          <w:sz w:val="24"/>
          <w:szCs w:val="24"/>
          <w:lang w:val="en-US" w:eastAsia="zh-CN" w:bidi="ar"/>
        </w:rPr>
        <w:t>6.评审程序</w:t>
      </w:r>
      <w:bookmarkEnd w:id="1149"/>
      <w:bookmarkEnd w:id="1150"/>
      <w:bookmarkEnd w:id="1151"/>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6.1推选磋商小组组长，优先资深专家担任组长，采购人代表不得担任组长。</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6.2磋商小组正式评审前，应当对采购文件进行熟悉和理解，内容主要包括磋商文件中供应商资格</w:t>
      </w:r>
      <w:r>
        <w:rPr>
          <w:rFonts w:hint="eastAsia" w:ascii="宋体" w:hAnsi="宋体" w:cs="宋体"/>
          <w:kern w:val="2"/>
          <w:sz w:val="24"/>
          <w:szCs w:val="24"/>
          <w:lang w:val="en-US" w:eastAsia="zh-CN" w:bidi="ar"/>
        </w:rPr>
        <w:t>资质</w:t>
      </w:r>
      <w:r>
        <w:rPr>
          <w:rFonts w:hint="eastAsia" w:ascii="宋体" w:hAnsi="宋体" w:eastAsia="宋体" w:cs="宋体"/>
          <w:kern w:val="2"/>
          <w:sz w:val="24"/>
          <w:szCs w:val="24"/>
          <w:lang w:val="en-US" w:eastAsia="zh-CN" w:bidi="ar"/>
        </w:rPr>
        <w:t>要求、采购项目技术、服务和商务要求、评审方法和评分标准以及可能涉及签订采购合同的内容等。</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6.3评审程序：资格性审查→符合性审查→资信商务技术评审→报价评审→得分汇总→编写评审报告。</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6.4资格性审查</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6.4.1磋商小组应依据法律法规和本磋商文件的规定对供应商资格进行审查。审查内容包括：</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（1）是否属于禁止参加磋商的供应商；</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（2）是否按照规定要求提供资格性证明材料；</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（3）法律法规规定的其他资格条件。</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6.4.2经资格审查不符合磋商文件要求的响应文件，即终止其参与磋商资格。不符合的理由由供应商在系统上确认，供应商拒绝确认的不影响磋商小组作出的不合格裁定。</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6.5符合性审查</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6.5.1磋商小组根据本磋商文件的规定，对资格符合供应商的响应文件进行审查，以认定其是否满足本磋商文件的实质性要求。符合性审查事项仅限于本磋商文件的明确规定，磋商小组 不得臆测符合性审查事项。经符合性审查未实质性响应磋商文件要求，以响应无效处理，未实质性响应的理由由供应商在系统上确认。供应商拒绝确认的不影响磋商小组作出的不合格裁定。磋商小组不再进行后续评审。</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6.5.2如果确定供应商无资格履行合同，其磋商将被拒绝。</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6.6响应文件评审</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磋商小组应当按照磋商文件中规定的评审方法和评分标准，对有效的响应文件进行技术、服务、商务等方面评估、综合比较与评价（详见本章第10条）。评审结束后不公布各供应商资信商务技术得分情况，进行下一步的磋商环节。</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6.7磋商</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6.7.1磋商小组所有成员集中与单一供应商分别进行一轮或多轮磋商，并给予所有参加磋商的供应商平等的磋商机会。磋商顺序按照提交电子响应文件的时间先后顺序。磋商小组与供应商在衢州市阳光交易服务平台在线进行磋商。</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6.7.2在本磋商文件采购需求中的技术、服务要求、合同草案条款没有实质性变动情况下，磋商小组 与各供应商着重进行价格磋商。若有两轮以上报价的当前报价不得高于对该项目之前的报价，否则，磋商小组应当对其响应文件按无效处理。磋商轮次由磋商小组根据磋商情况决定。</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6.7.3磋商过程中，磋商的任何一方不得透露与磋商有关的其他供应商的技术资料、价格和其他信息。</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6.7.4磋商过程中，磋商小组发现或者知晓供应商存在违法、违纪行为的，磋商小组应当将该供应商响应文件作无效处理，不允许其提交最后报价。</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6.8最后报价</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6.8.1磋商文件在统一采购需求的前提下，磋商结束后，磋商小组应当要求所有实质性响应的供应商在规定时间内提交最后报价，供应商在衢州市阳光交易服务平台在线提交最终报价。</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6.8.2最后报价是供应商响应文件的有效组成部分。</w:t>
      </w:r>
    </w:p>
    <w:p>
      <w:pPr>
        <w:keepNext w:val="0"/>
        <w:keepLines w:val="0"/>
        <w:widowControl w:val="0"/>
        <w:suppressLineNumbers w:val="0"/>
        <w:spacing w:before="0" w:beforeAutospacing="0" w:after="0" w:afterAutospacing="0" w:line="312" w:lineRule="auto"/>
        <w:ind w:left="0" w:right="0" w:firstLine="480" w:firstLineChars="200"/>
        <w:jc w:val="both"/>
        <w:outlineLvl w:val="1"/>
        <w:rPr>
          <w:rFonts w:hint="eastAsia" w:ascii="宋体" w:hAnsi="宋体" w:eastAsia="宋体" w:cs="宋体"/>
          <w:kern w:val="2"/>
          <w:sz w:val="24"/>
          <w:szCs w:val="24"/>
        </w:rPr>
      </w:pPr>
      <w:bookmarkStart w:id="1152" w:name="_Toc14916"/>
      <w:bookmarkStart w:id="1153" w:name="_Toc797"/>
      <w:bookmarkStart w:id="1154" w:name="_Toc14111"/>
      <w:r>
        <w:rPr>
          <w:rFonts w:hint="eastAsia" w:ascii="宋体" w:hAnsi="宋体" w:eastAsia="宋体" w:cs="宋体"/>
          <w:kern w:val="2"/>
          <w:sz w:val="24"/>
          <w:szCs w:val="24"/>
          <w:lang w:val="en-US" w:eastAsia="zh-CN" w:bidi="ar"/>
        </w:rPr>
        <w:t>7.澄清、说明或修正</w:t>
      </w:r>
      <w:bookmarkEnd w:id="1152"/>
      <w:bookmarkEnd w:id="1153"/>
      <w:bookmarkEnd w:id="1154"/>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7.1在评审过程中，响应文件实质性符合磋商文件要求的前提下，磋商小组对响应文件中含义不明确、同类问题表述不一致或者有明显文字和计算错误的内容，磋商小组可以要求相关供应商作出必要的澄清、说明或修正。但不得超出磋商文件的范围，不得以此让供应商实质改变响应文件的内容，不得影响公平竞争和响应文件的效力。澄清、说明或修正内容是响应文件的组成部分。</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7.2响应文件报价出现前后不一致的，按照下列规定修正：</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7.2.1大写金额和小写金额不一致的，以大写金额为准；</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7.2.2总价金额与按单价汇总金额不一致的，以单价金额计算结果为准；</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7.2.3单价金额小数点有明显错位的，应以总价为准，并修改单价。如果小写、大写金额和单价、总价金额出现明显文字错误，应当按照澄清、说明或者更正程序先纠正错误后，再行修正。</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7.2.4对不同文字文本响应文件的解释发生异议的，以中文文本为准。</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7.2.5澄清说明答复函须由供应商法定代表人或授权代理人签字和盖章。如果供应商不接受对其错误的更正，其磋商响应将被拒绝。</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7.2.6请供应商在评审期间保持电话畅通，如未及时接听电话，视为放弃澄清、说明或补正的权利，视同默认采购结果，事后不得对采购相关人员、采购过程及结果提出异议。责任由供应商自负。</w:t>
      </w:r>
    </w:p>
    <w:p>
      <w:pPr>
        <w:keepNext w:val="0"/>
        <w:keepLines w:val="0"/>
        <w:widowControl w:val="0"/>
        <w:suppressLineNumbers w:val="0"/>
        <w:spacing w:before="0" w:beforeAutospacing="0" w:after="0" w:afterAutospacing="0" w:line="312" w:lineRule="auto"/>
        <w:ind w:left="0" w:right="0" w:firstLine="480" w:firstLineChars="200"/>
        <w:jc w:val="both"/>
        <w:outlineLvl w:val="1"/>
        <w:rPr>
          <w:rFonts w:hint="eastAsia" w:ascii="宋体" w:hAnsi="宋体" w:eastAsia="宋体" w:cs="宋体"/>
          <w:kern w:val="2"/>
          <w:sz w:val="24"/>
          <w:szCs w:val="24"/>
        </w:rPr>
      </w:pPr>
      <w:bookmarkStart w:id="1155" w:name="_Toc3500"/>
      <w:bookmarkStart w:id="1156" w:name="_Toc18992"/>
      <w:bookmarkStart w:id="1157" w:name="_Toc24610"/>
      <w:r>
        <w:rPr>
          <w:rFonts w:hint="eastAsia" w:ascii="宋体" w:hAnsi="宋体" w:eastAsia="宋体" w:cs="宋体"/>
          <w:kern w:val="2"/>
          <w:sz w:val="24"/>
          <w:szCs w:val="24"/>
          <w:lang w:val="en-US" w:eastAsia="zh-CN" w:bidi="ar"/>
        </w:rPr>
        <w:t>8.推荐成交候选人</w:t>
      </w:r>
      <w:bookmarkEnd w:id="1155"/>
      <w:bookmarkEnd w:id="1156"/>
      <w:bookmarkEnd w:id="1157"/>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按照供应商总得分由高到低顺序排列推荐成交候选人。总得分相同的，按最终报价由低到高顺序排列。总得分且最终报价相同的并列。响应文件满足磋商文件全部实质性要求，且按照评审因素的量化指标评审得分最高的三名供应商为成交候选人。</w:t>
      </w:r>
    </w:p>
    <w:p>
      <w:pPr>
        <w:keepNext w:val="0"/>
        <w:keepLines w:val="0"/>
        <w:widowControl w:val="0"/>
        <w:suppressLineNumbers w:val="0"/>
        <w:spacing w:before="0" w:beforeAutospacing="0" w:after="0" w:afterAutospacing="0" w:line="312" w:lineRule="auto"/>
        <w:ind w:left="0" w:right="0" w:firstLine="480" w:firstLineChars="200"/>
        <w:jc w:val="both"/>
        <w:outlineLvl w:val="1"/>
        <w:rPr>
          <w:rFonts w:hint="eastAsia" w:ascii="宋体" w:hAnsi="宋体" w:eastAsia="宋体" w:cs="宋体"/>
          <w:kern w:val="2"/>
          <w:sz w:val="24"/>
          <w:szCs w:val="24"/>
        </w:rPr>
      </w:pPr>
      <w:bookmarkStart w:id="1158" w:name="_Toc12679"/>
      <w:bookmarkStart w:id="1159" w:name="_Toc1551"/>
      <w:bookmarkStart w:id="1160" w:name="_Toc30628"/>
      <w:r>
        <w:rPr>
          <w:rFonts w:hint="eastAsia" w:ascii="宋体" w:hAnsi="宋体" w:eastAsia="宋体" w:cs="宋体"/>
          <w:kern w:val="2"/>
          <w:sz w:val="24"/>
          <w:szCs w:val="24"/>
          <w:lang w:val="en-US" w:eastAsia="zh-CN" w:bidi="ar"/>
        </w:rPr>
        <w:t>9.评审报告</w:t>
      </w:r>
      <w:bookmarkEnd w:id="1158"/>
      <w:bookmarkEnd w:id="1159"/>
      <w:bookmarkEnd w:id="1160"/>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磋商小组编写评审报告，并提出得分由高到低排序名单及理由，评审报告由磋商小组成员签字。</w:t>
      </w:r>
    </w:p>
    <w:p>
      <w:pPr>
        <w:keepNext w:val="0"/>
        <w:keepLines w:val="0"/>
        <w:widowControl w:val="0"/>
        <w:suppressLineNumbers w:val="0"/>
        <w:spacing w:before="0" w:beforeAutospacing="0" w:after="0" w:afterAutospacing="0" w:line="312" w:lineRule="auto"/>
        <w:ind w:left="0" w:right="0" w:firstLine="480" w:firstLineChars="200"/>
        <w:jc w:val="both"/>
        <w:outlineLvl w:val="1"/>
        <w:rPr>
          <w:rFonts w:hint="eastAsia" w:ascii="宋体" w:hAnsi="宋体" w:eastAsia="宋体" w:cs="宋体"/>
          <w:kern w:val="2"/>
          <w:sz w:val="24"/>
          <w:szCs w:val="24"/>
        </w:rPr>
      </w:pPr>
      <w:bookmarkStart w:id="1161" w:name="_Toc2669"/>
      <w:bookmarkStart w:id="1162" w:name="_Toc13499"/>
      <w:bookmarkStart w:id="1163" w:name="_Toc22919"/>
      <w:r>
        <w:rPr>
          <w:rFonts w:hint="eastAsia" w:ascii="宋体" w:hAnsi="宋体" w:eastAsia="宋体" w:cs="宋体"/>
          <w:kern w:val="2"/>
          <w:sz w:val="24"/>
          <w:szCs w:val="24"/>
          <w:lang w:val="en-US" w:eastAsia="zh-CN" w:bidi="ar"/>
        </w:rPr>
        <w:t>10.评分细则及标准</w:t>
      </w:r>
      <w:bookmarkEnd w:id="1161"/>
      <w:bookmarkEnd w:id="1162"/>
      <w:bookmarkEnd w:id="1163"/>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10.1本次综合评分分值：报价部分</w:t>
      </w:r>
      <w:r>
        <w:rPr>
          <w:rFonts w:hint="eastAsia" w:ascii="宋体" w:hAnsi="宋体" w:cs="宋体"/>
          <w:kern w:val="2"/>
          <w:sz w:val="24"/>
          <w:szCs w:val="24"/>
          <w:lang w:val="en-US" w:eastAsia="zh-CN" w:bidi="ar"/>
        </w:rPr>
        <w:t>10</w:t>
      </w:r>
      <w:r>
        <w:rPr>
          <w:rFonts w:hint="eastAsia" w:ascii="宋体" w:hAnsi="宋体" w:eastAsia="宋体" w:cs="宋体"/>
          <w:kern w:val="2"/>
          <w:sz w:val="24"/>
          <w:szCs w:val="24"/>
          <w:lang w:val="en-US" w:eastAsia="zh-CN" w:bidi="ar"/>
        </w:rPr>
        <w:t>分，资信商务技术部分</w:t>
      </w:r>
      <w:r>
        <w:rPr>
          <w:rFonts w:hint="eastAsia" w:ascii="宋体" w:hAnsi="宋体" w:cs="宋体"/>
          <w:kern w:val="2"/>
          <w:sz w:val="24"/>
          <w:szCs w:val="24"/>
          <w:lang w:val="en-US" w:eastAsia="zh-CN" w:bidi="ar"/>
        </w:rPr>
        <w:t>90</w:t>
      </w:r>
      <w:r>
        <w:rPr>
          <w:rFonts w:hint="eastAsia" w:ascii="宋体" w:hAnsi="宋体" w:eastAsia="宋体" w:cs="宋体"/>
          <w:kern w:val="2"/>
          <w:sz w:val="24"/>
          <w:szCs w:val="24"/>
          <w:lang w:val="en-US" w:eastAsia="zh-CN" w:bidi="ar"/>
        </w:rPr>
        <w:t>分，合计100分。</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10.2磋商小组成员根据本办法，对有效的响应文件进行技术、服务、商务等方面评估，综合比较与评价，由各成员独立评分，打分时保留小数1位，每人一份评分表，并签名。在汇总得分时，如果发现某一单项评分超过评分细则规定的分值范围，则该份评分表无效。</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宋体" w:eastAsia="宋体" w:cs="宋体"/>
          <w:b/>
          <w:bCs/>
          <w:kern w:val="2"/>
          <w:sz w:val="24"/>
          <w:szCs w:val="24"/>
        </w:rPr>
      </w:pPr>
      <w:r>
        <w:rPr>
          <w:rFonts w:hint="eastAsia" w:ascii="宋体" w:hAnsi="宋体" w:eastAsia="宋体" w:cs="宋体"/>
          <w:kern w:val="2"/>
          <w:sz w:val="24"/>
          <w:szCs w:val="24"/>
          <w:lang w:val="en-US" w:eastAsia="zh-CN" w:bidi="ar"/>
        </w:rPr>
        <w:t>10.3加权汇总每项评分因素的得分，得出每个有效供应商的总分。供应商资信技术部分最终得分为各成员的有效评分的算术平均值。计算时保留小数二位（第三位四舍五入）。</w:t>
      </w:r>
    </w:p>
    <w:p>
      <w:pPr>
        <w:spacing w:line="312" w:lineRule="auto"/>
        <w:ind w:firstLine="482" w:firstLineChars="200"/>
        <w:outlineLvl w:val="1"/>
        <w:rPr>
          <w:rFonts w:hint="eastAsia"/>
        </w:rPr>
      </w:pPr>
      <w:bookmarkStart w:id="1164" w:name="_Toc11244"/>
      <w:bookmarkStart w:id="1165" w:name="_Toc28394"/>
      <w:bookmarkStart w:id="1166" w:name="_Toc22297"/>
      <w:r>
        <w:rPr>
          <w:rFonts w:hint="eastAsia" w:ascii="宋体" w:hAnsi="宋体" w:eastAsia="宋体" w:cs="宋体"/>
          <w:b/>
          <w:bCs/>
          <w:kern w:val="2"/>
          <w:sz w:val="24"/>
          <w:szCs w:val="24"/>
          <w:lang w:val="en-US" w:eastAsia="zh-CN" w:bidi="ar"/>
        </w:rPr>
        <w:t>10.4评分细则</w:t>
      </w:r>
      <w:bookmarkEnd w:id="1164"/>
      <w:bookmarkEnd w:id="1165"/>
      <w:bookmarkEnd w:id="1166"/>
    </w:p>
    <w:tbl>
      <w:tblPr>
        <w:tblStyle w:val="36"/>
        <w:tblW w:w="9935" w:type="dxa"/>
        <w:jc w:val="center"/>
        <w:tblBorders>
          <w:top w:val="single" w:color="808080" w:sz="4" w:space="0"/>
          <w:left w:val="single" w:color="808080" w:sz="4" w:space="0"/>
          <w:bottom w:val="single" w:color="808080" w:sz="4" w:space="0"/>
          <w:right w:val="single" w:color="808080" w:sz="6" w:space="0"/>
          <w:insideH w:val="outset" w:color="auto" w:sz="6" w:space="0"/>
          <w:insideV w:val="outset" w:color="auto" w:sz="6" w:space="0"/>
        </w:tblBorders>
        <w:shd w:val="clear" w:color="auto" w:fill="FFFFFF"/>
        <w:tblLayout w:type="fixed"/>
        <w:tblCellMar>
          <w:top w:w="0" w:type="dxa"/>
          <w:left w:w="108" w:type="dxa"/>
          <w:bottom w:w="0" w:type="dxa"/>
          <w:right w:w="108" w:type="dxa"/>
        </w:tblCellMar>
      </w:tblPr>
      <w:tblGrid>
        <w:gridCol w:w="771"/>
        <w:gridCol w:w="1089"/>
        <w:gridCol w:w="7190"/>
        <w:gridCol w:w="885"/>
      </w:tblGrid>
      <w:tr>
        <w:tblPrEx>
          <w:tblBorders>
            <w:top w:val="single" w:color="808080" w:sz="4" w:space="0"/>
            <w:left w:val="single" w:color="808080" w:sz="4" w:space="0"/>
            <w:bottom w:val="single" w:color="808080" w:sz="4" w:space="0"/>
            <w:right w:val="single" w:color="808080" w:sz="6" w:space="0"/>
            <w:insideH w:val="outset" w:color="auto" w:sz="6" w:space="0"/>
            <w:insideV w:val="outset" w:color="auto" w:sz="6" w:space="0"/>
          </w:tblBorders>
          <w:shd w:val="clear" w:color="auto" w:fill="FFFFFF"/>
          <w:tblCellMar>
            <w:top w:w="0" w:type="dxa"/>
            <w:left w:w="108" w:type="dxa"/>
            <w:bottom w:w="0" w:type="dxa"/>
            <w:right w:w="108" w:type="dxa"/>
          </w:tblCellMar>
        </w:tblPrEx>
        <w:trPr>
          <w:trHeight w:val="679"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ind w:left="0" w:right="0" w:firstLine="0" w:firstLineChars="0"/>
              <w:jc w:val="center"/>
              <w:rPr>
                <w:rFonts w:hint="eastAsia" w:ascii="宋体" w:hAnsi="宋体" w:eastAsia="宋体" w:cs="宋体"/>
                <w:b w:val="0"/>
                <w:bCs w:val="0"/>
                <w:color w:val="000000"/>
                <w:kern w:val="2"/>
                <w:sz w:val="21"/>
                <w:szCs w:val="21"/>
                <w:lang w:val="en-US" w:bidi="ar-SA"/>
              </w:rPr>
            </w:pPr>
            <w:r>
              <w:rPr>
                <w:rFonts w:hint="eastAsia" w:ascii="宋体" w:hAnsi="宋体" w:eastAsia="宋体" w:cs="宋体"/>
                <w:b w:val="0"/>
                <w:bCs w:val="0"/>
                <w:color w:val="000000"/>
                <w:kern w:val="0"/>
                <w:sz w:val="21"/>
                <w:szCs w:val="21"/>
                <w:lang w:val="en-US" w:bidi="ar-SA"/>
              </w:rPr>
              <w:t>序号</w:t>
            </w:r>
          </w:p>
        </w:tc>
        <w:tc>
          <w:tcPr>
            <w:tcW w:w="10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ind w:left="0" w:right="0" w:firstLine="0" w:firstLineChars="0"/>
              <w:jc w:val="center"/>
              <w:rPr>
                <w:rFonts w:hint="eastAsia" w:ascii="宋体" w:hAnsi="宋体" w:eastAsia="宋体" w:cs="宋体"/>
                <w:b w:val="0"/>
                <w:bCs w:val="0"/>
                <w:color w:val="000000"/>
                <w:kern w:val="2"/>
                <w:sz w:val="21"/>
                <w:szCs w:val="21"/>
                <w:lang w:val="en-US" w:bidi="ar-SA"/>
              </w:rPr>
            </w:pPr>
            <w:r>
              <w:rPr>
                <w:rFonts w:hint="eastAsia" w:ascii="宋体" w:hAnsi="宋体" w:eastAsia="宋体" w:cs="宋体"/>
                <w:b w:val="0"/>
                <w:bCs w:val="0"/>
                <w:color w:val="000000"/>
                <w:kern w:val="2"/>
                <w:sz w:val="21"/>
                <w:szCs w:val="21"/>
                <w:lang w:val="en-US" w:bidi="ar-SA"/>
              </w:rPr>
              <w:t>评分内容</w:t>
            </w:r>
          </w:p>
        </w:tc>
        <w:tc>
          <w:tcPr>
            <w:tcW w:w="7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eastAsia" w:ascii="宋体" w:hAnsi="宋体" w:eastAsia="宋体" w:cs="宋体"/>
                <w:b w:val="0"/>
                <w:bCs w:val="0"/>
                <w:color w:val="000000"/>
                <w:kern w:val="0"/>
                <w:sz w:val="21"/>
                <w:szCs w:val="21"/>
                <w:lang w:val="en-US" w:bidi="ar-SA"/>
              </w:rPr>
            </w:pPr>
            <w:r>
              <w:rPr>
                <w:rFonts w:hint="eastAsia" w:ascii="宋体" w:hAnsi="宋体" w:eastAsia="宋体" w:cs="宋体"/>
                <w:b w:val="0"/>
                <w:bCs w:val="0"/>
                <w:color w:val="000000"/>
                <w:kern w:val="0"/>
                <w:sz w:val="21"/>
                <w:szCs w:val="21"/>
                <w:lang w:val="en-US" w:bidi="ar-SA"/>
              </w:rPr>
              <w:t>细则内容</w:t>
            </w:r>
          </w:p>
        </w:tc>
        <w:tc>
          <w:tcPr>
            <w:tcW w:w="8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ind w:left="0" w:right="0" w:firstLine="0" w:firstLine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分值</w:t>
            </w:r>
          </w:p>
        </w:tc>
      </w:tr>
      <w:tr>
        <w:tblPrEx>
          <w:tblBorders>
            <w:top w:val="single" w:color="808080" w:sz="4" w:space="0"/>
            <w:left w:val="single" w:color="808080" w:sz="4" w:space="0"/>
            <w:bottom w:val="single" w:color="808080" w:sz="4" w:space="0"/>
            <w:right w:val="single" w:color="808080" w:sz="6" w:space="0"/>
            <w:insideH w:val="outset" w:color="auto" w:sz="6" w:space="0"/>
            <w:insideV w:val="outset" w:color="auto" w:sz="6" w:space="0"/>
          </w:tblBorders>
          <w:shd w:val="clear" w:color="auto" w:fill="FFFFFF"/>
          <w:tblCellMar>
            <w:top w:w="0" w:type="dxa"/>
            <w:left w:w="108" w:type="dxa"/>
            <w:bottom w:w="0" w:type="dxa"/>
            <w:right w:w="108" w:type="dxa"/>
          </w:tblCellMar>
        </w:tblPrEx>
        <w:trPr>
          <w:trHeight w:val="679"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1</w:t>
            </w:r>
          </w:p>
        </w:tc>
        <w:tc>
          <w:tcPr>
            <w:tcW w:w="10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报价部分</w:t>
            </w:r>
          </w:p>
        </w:tc>
        <w:tc>
          <w:tcPr>
            <w:tcW w:w="7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bidi="ar-SA"/>
              </w:rPr>
            </w:pPr>
            <w:r>
              <w:rPr>
                <w:rFonts w:hint="eastAsia" w:ascii="宋体" w:hAnsi="宋体" w:eastAsia="宋体" w:cs="宋体"/>
                <w:b w:val="0"/>
                <w:bCs w:val="0"/>
                <w:color w:val="000000"/>
                <w:kern w:val="0"/>
                <w:sz w:val="21"/>
                <w:szCs w:val="21"/>
                <w:lang w:val="en-US" w:bidi="ar-SA"/>
              </w:rPr>
              <w:t>(1)最高限价:33万元。</w:t>
            </w:r>
          </w:p>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bidi="ar-SA"/>
              </w:rPr>
            </w:pPr>
            <w:r>
              <w:rPr>
                <w:rFonts w:hint="eastAsia" w:ascii="宋体" w:hAnsi="宋体" w:eastAsia="宋体" w:cs="宋体"/>
                <w:b w:val="0"/>
                <w:bCs w:val="0"/>
                <w:color w:val="000000"/>
                <w:kern w:val="0"/>
                <w:sz w:val="21"/>
                <w:szCs w:val="21"/>
                <w:lang w:val="en-US" w:bidi="ar-SA"/>
              </w:rPr>
              <w:t>(2)价格分采用低价优先法计算，即满足磋商文件要求且最后报价最低的为磋商基准价。</w:t>
            </w:r>
          </w:p>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bidi="ar-SA"/>
              </w:rPr>
            </w:pPr>
            <w:r>
              <w:rPr>
                <w:rFonts w:hint="eastAsia" w:ascii="宋体" w:hAnsi="宋体" w:eastAsia="宋体" w:cs="宋体"/>
                <w:b w:val="0"/>
                <w:bCs w:val="0"/>
                <w:color w:val="000000"/>
                <w:kern w:val="0"/>
                <w:sz w:val="21"/>
                <w:szCs w:val="21"/>
                <w:lang w:val="en-US" w:bidi="ar-SA"/>
              </w:rPr>
              <w:t>(3)磋商报价得分=磋商基准价/供应商报价</w:t>
            </w:r>
            <w:r>
              <w:rPr>
                <w:rFonts w:hint="eastAsia" w:ascii="宋体" w:hAnsi="宋体" w:eastAsia="宋体" w:cs="宋体"/>
                <w:b w:val="0"/>
                <w:bCs w:val="0"/>
                <w:color w:val="000000"/>
                <w:kern w:val="0"/>
                <w:sz w:val="21"/>
                <w:szCs w:val="21"/>
                <w:lang w:val="en-US" w:eastAsia="zh-CN" w:bidi="ar-SA"/>
              </w:rPr>
              <w:t>*</w:t>
            </w:r>
            <w:r>
              <w:rPr>
                <w:rFonts w:hint="eastAsia" w:ascii="宋体" w:hAnsi="宋体" w:eastAsia="宋体" w:cs="宋体"/>
                <w:b w:val="0"/>
                <w:bCs w:val="0"/>
                <w:color w:val="000000"/>
                <w:kern w:val="0"/>
                <w:sz w:val="21"/>
                <w:szCs w:val="21"/>
                <w:lang w:val="en-US" w:bidi="ar-SA"/>
              </w:rPr>
              <w:t>价格权值[</w:t>
            </w:r>
            <w:r>
              <w:rPr>
                <w:rFonts w:hint="eastAsia" w:ascii="宋体" w:hAnsi="宋体" w:eastAsia="宋体" w:cs="宋体"/>
                <w:b w:val="0"/>
                <w:bCs w:val="0"/>
                <w:color w:val="000000"/>
                <w:kern w:val="0"/>
                <w:sz w:val="21"/>
                <w:szCs w:val="21"/>
                <w:lang w:val="en-US" w:eastAsia="zh-CN" w:bidi="ar-SA"/>
              </w:rPr>
              <w:t>10</w:t>
            </w:r>
            <w:r>
              <w:rPr>
                <w:rFonts w:hint="eastAsia" w:ascii="宋体" w:hAnsi="宋体" w:eastAsia="宋体" w:cs="宋体"/>
                <w:b w:val="0"/>
                <w:bCs w:val="0"/>
                <w:color w:val="000000"/>
                <w:kern w:val="0"/>
                <w:sz w:val="21"/>
                <w:szCs w:val="21"/>
                <w:lang w:val="en-US" w:bidi="ar-SA"/>
              </w:rPr>
              <w:t>%]</w:t>
            </w:r>
            <w:r>
              <w:rPr>
                <w:rFonts w:hint="eastAsia" w:ascii="宋体" w:hAnsi="宋体" w:eastAsia="宋体" w:cs="宋体"/>
                <w:b w:val="0"/>
                <w:bCs w:val="0"/>
                <w:color w:val="000000"/>
                <w:kern w:val="0"/>
                <w:sz w:val="21"/>
                <w:szCs w:val="21"/>
                <w:lang w:val="en-US" w:eastAsia="zh-CN" w:bidi="ar-SA"/>
              </w:rPr>
              <w:t>*</w:t>
            </w:r>
            <w:r>
              <w:rPr>
                <w:rFonts w:hint="eastAsia" w:ascii="宋体" w:hAnsi="宋体" w:eastAsia="宋体" w:cs="宋体"/>
                <w:b w:val="0"/>
                <w:bCs w:val="0"/>
                <w:color w:val="000000"/>
                <w:kern w:val="0"/>
                <w:sz w:val="21"/>
                <w:szCs w:val="21"/>
                <w:lang w:val="en-US" w:bidi="ar-SA"/>
              </w:rPr>
              <w:t>100(保留小数二位，第三位四舍五入)</w:t>
            </w:r>
          </w:p>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bidi="ar-SA"/>
              </w:rPr>
            </w:pPr>
            <w:r>
              <w:rPr>
                <w:rFonts w:hint="eastAsia" w:ascii="宋体" w:hAnsi="宋体" w:eastAsia="宋体" w:cs="宋体"/>
                <w:b w:val="0"/>
                <w:bCs w:val="0"/>
                <w:color w:val="000000"/>
                <w:kern w:val="0"/>
                <w:sz w:val="21"/>
                <w:szCs w:val="21"/>
                <w:lang w:val="en-US" w:bidi="ar-SA"/>
              </w:rPr>
              <w:t>(4)对小型和微型企业产品的价格给予20%的扣除,用扣除后的价格参与评审。</w:t>
            </w:r>
          </w:p>
        </w:tc>
        <w:tc>
          <w:tcPr>
            <w:tcW w:w="8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bidi="ar-SA"/>
              </w:rPr>
              <w:t>0-</w:t>
            </w:r>
            <w:r>
              <w:rPr>
                <w:rFonts w:hint="eastAsia" w:ascii="宋体" w:hAnsi="宋体" w:eastAsia="宋体" w:cs="宋体"/>
                <w:b w:val="0"/>
                <w:bCs w:val="0"/>
                <w:color w:val="000000"/>
                <w:kern w:val="0"/>
                <w:sz w:val="21"/>
                <w:szCs w:val="21"/>
                <w:lang w:val="en-US" w:eastAsia="zh-CN" w:bidi="ar-SA"/>
              </w:rPr>
              <w:t>10</w:t>
            </w:r>
          </w:p>
        </w:tc>
      </w:tr>
      <w:tr>
        <w:tblPrEx>
          <w:tblBorders>
            <w:top w:val="single" w:color="808080" w:sz="4" w:space="0"/>
            <w:left w:val="single" w:color="808080" w:sz="4" w:space="0"/>
            <w:bottom w:val="single" w:color="808080" w:sz="4" w:space="0"/>
            <w:right w:val="single" w:color="808080" w:sz="6" w:space="0"/>
            <w:insideH w:val="outset" w:color="auto" w:sz="6" w:space="0"/>
            <w:insideV w:val="outset" w:color="auto" w:sz="6" w:space="0"/>
          </w:tblBorders>
          <w:shd w:val="clear" w:color="auto" w:fill="FFFFFF"/>
          <w:tblCellMar>
            <w:top w:w="0" w:type="dxa"/>
            <w:left w:w="108" w:type="dxa"/>
            <w:bottom w:w="0" w:type="dxa"/>
            <w:right w:w="108" w:type="dxa"/>
          </w:tblCellMar>
        </w:tblPrEx>
        <w:trPr>
          <w:trHeight w:val="199"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2</w:t>
            </w:r>
          </w:p>
        </w:tc>
        <w:tc>
          <w:tcPr>
            <w:tcW w:w="10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both"/>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资信部分</w:t>
            </w:r>
          </w:p>
        </w:tc>
        <w:tc>
          <w:tcPr>
            <w:tcW w:w="7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bidi="ar-SA"/>
              </w:rPr>
            </w:pPr>
            <w:r>
              <w:rPr>
                <w:rFonts w:hint="eastAsia" w:ascii="宋体" w:hAnsi="宋体" w:eastAsia="宋体" w:cs="宋体"/>
                <w:b w:val="0"/>
                <w:bCs w:val="0"/>
                <w:color w:val="000000"/>
                <w:kern w:val="0"/>
                <w:sz w:val="21"/>
                <w:szCs w:val="21"/>
                <w:lang w:val="en-US" w:bidi="ar-SA"/>
              </w:rPr>
              <w:t>类似业绩</w:t>
            </w:r>
            <w:r>
              <w:rPr>
                <w:rFonts w:hint="eastAsia" w:ascii="宋体" w:hAnsi="宋体" w:eastAsia="宋体" w:cs="宋体"/>
                <w:b w:val="0"/>
                <w:bCs w:val="0"/>
                <w:color w:val="000000"/>
                <w:kern w:val="0"/>
                <w:sz w:val="21"/>
                <w:szCs w:val="21"/>
                <w:lang w:val="en-US" w:eastAsia="zh-CN" w:bidi="ar-SA"/>
              </w:rPr>
              <w:t>：</w:t>
            </w:r>
          </w:p>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bidi="ar-SA"/>
              </w:rPr>
            </w:pPr>
            <w:r>
              <w:rPr>
                <w:rFonts w:hint="eastAsia" w:ascii="宋体" w:hAnsi="宋体" w:eastAsia="宋体" w:cs="宋体"/>
                <w:b w:val="0"/>
                <w:bCs w:val="0"/>
                <w:color w:val="000000"/>
                <w:kern w:val="0"/>
                <w:sz w:val="21"/>
                <w:szCs w:val="21"/>
                <w:lang w:val="en-US" w:bidi="ar-SA"/>
              </w:rPr>
              <w:t>供应商自 20</w:t>
            </w:r>
            <w:r>
              <w:rPr>
                <w:rFonts w:hint="eastAsia" w:ascii="宋体" w:hAnsi="宋体" w:cs="宋体"/>
                <w:b w:val="0"/>
                <w:bCs w:val="0"/>
                <w:color w:val="000000"/>
                <w:kern w:val="0"/>
                <w:sz w:val="21"/>
                <w:szCs w:val="21"/>
                <w:lang w:val="en-US" w:eastAsia="zh-CN" w:bidi="ar-SA"/>
              </w:rPr>
              <w:t>21</w:t>
            </w:r>
            <w:r>
              <w:rPr>
                <w:rFonts w:hint="eastAsia" w:ascii="宋体" w:hAnsi="宋体" w:eastAsia="宋体" w:cs="宋体"/>
                <w:b w:val="0"/>
                <w:bCs w:val="0"/>
                <w:color w:val="000000"/>
                <w:kern w:val="0"/>
                <w:sz w:val="21"/>
                <w:szCs w:val="21"/>
                <w:lang w:val="en-US" w:bidi="ar-SA"/>
              </w:rPr>
              <w:t>年1月1日至今(以签订合同时间为准)，承接过卫生保洁项目，每个得</w:t>
            </w:r>
            <w:r>
              <w:rPr>
                <w:rFonts w:hint="eastAsia" w:ascii="宋体" w:hAnsi="宋体" w:cs="宋体"/>
                <w:b w:val="0"/>
                <w:bCs w:val="0"/>
                <w:color w:val="000000"/>
                <w:kern w:val="0"/>
                <w:sz w:val="21"/>
                <w:szCs w:val="21"/>
                <w:lang w:val="en-US" w:eastAsia="zh-CN" w:bidi="ar-SA"/>
              </w:rPr>
              <w:t>0.5</w:t>
            </w:r>
            <w:r>
              <w:rPr>
                <w:rFonts w:hint="eastAsia" w:ascii="宋体" w:hAnsi="宋体" w:eastAsia="宋体" w:cs="宋体"/>
                <w:b w:val="0"/>
                <w:bCs w:val="0"/>
                <w:color w:val="000000"/>
                <w:kern w:val="0"/>
                <w:sz w:val="21"/>
                <w:szCs w:val="21"/>
                <w:lang w:val="en-US" w:bidi="ar-SA"/>
              </w:rPr>
              <w:t>分，最高得</w:t>
            </w:r>
            <w:r>
              <w:rPr>
                <w:rFonts w:hint="eastAsia" w:ascii="宋体" w:hAnsi="宋体" w:cs="宋体"/>
                <w:b w:val="0"/>
                <w:bCs w:val="0"/>
                <w:color w:val="000000"/>
                <w:kern w:val="0"/>
                <w:sz w:val="21"/>
                <w:szCs w:val="21"/>
                <w:lang w:val="en-US" w:eastAsia="zh-CN" w:bidi="ar-SA"/>
              </w:rPr>
              <w:t>1</w:t>
            </w:r>
            <w:r>
              <w:rPr>
                <w:rFonts w:hint="eastAsia" w:ascii="宋体" w:hAnsi="宋体" w:eastAsia="宋体" w:cs="宋体"/>
                <w:b w:val="0"/>
                <w:bCs w:val="0"/>
                <w:color w:val="000000"/>
                <w:kern w:val="0"/>
                <w:sz w:val="21"/>
                <w:szCs w:val="21"/>
                <w:lang w:val="en-US" w:bidi="ar-SA"/>
              </w:rPr>
              <w:t>分。</w:t>
            </w:r>
          </w:p>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bidi="ar-SA"/>
              </w:rPr>
            </w:pPr>
            <w:r>
              <w:rPr>
                <w:rFonts w:hint="eastAsia" w:ascii="宋体" w:hAnsi="宋体" w:eastAsia="宋体" w:cs="宋体"/>
                <w:b w:val="0"/>
                <w:bCs w:val="0"/>
                <w:color w:val="000000"/>
                <w:kern w:val="0"/>
                <w:sz w:val="21"/>
                <w:szCs w:val="21"/>
                <w:lang w:val="en-US" w:bidi="ar-SA"/>
              </w:rPr>
              <w:t>【需提供合同</w:t>
            </w:r>
            <w:r>
              <w:rPr>
                <w:rFonts w:hint="eastAsia" w:ascii="宋体" w:hAnsi="宋体" w:cs="宋体"/>
                <w:b w:val="0"/>
                <w:bCs w:val="0"/>
                <w:color w:val="000000"/>
                <w:kern w:val="0"/>
                <w:sz w:val="21"/>
                <w:szCs w:val="21"/>
                <w:lang w:val="en-US" w:eastAsia="zh-CN" w:bidi="ar-SA"/>
              </w:rPr>
              <w:t>原件扫描件</w:t>
            </w:r>
            <w:r>
              <w:rPr>
                <w:rFonts w:hint="eastAsia" w:ascii="宋体" w:hAnsi="宋体" w:eastAsia="宋体" w:cs="宋体"/>
                <w:b w:val="0"/>
                <w:bCs w:val="0"/>
                <w:color w:val="000000"/>
                <w:kern w:val="0"/>
                <w:sz w:val="21"/>
                <w:szCs w:val="21"/>
                <w:lang w:val="en-US" w:bidi="ar-SA"/>
              </w:rPr>
              <w:t>并加盖</w:t>
            </w:r>
            <w:r>
              <w:rPr>
                <w:rFonts w:hint="eastAsia" w:ascii="宋体" w:hAnsi="宋体" w:cs="宋体"/>
                <w:b w:val="0"/>
                <w:bCs w:val="0"/>
                <w:color w:val="000000"/>
                <w:kern w:val="0"/>
                <w:sz w:val="21"/>
                <w:szCs w:val="21"/>
                <w:lang w:val="en-US" w:eastAsia="zh-CN" w:bidi="ar-SA"/>
              </w:rPr>
              <w:t>电子</w:t>
            </w:r>
            <w:r>
              <w:rPr>
                <w:rFonts w:hint="eastAsia" w:ascii="宋体" w:hAnsi="宋体" w:eastAsia="宋体" w:cs="宋体"/>
                <w:b w:val="0"/>
                <w:bCs w:val="0"/>
                <w:color w:val="000000"/>
                <w:kern w:val="0"/>
                <w:sz w:val="21"/>
                <w:szCs w:val="21"/>
                <w:lang w:val="en-US" w:bidi="ar-SA"/>
              </w:rPr>
              <w:t>公章编入</w:t>
            </w:r>
            <w:r>
              <w:rPr>
                <w:rFonts w:hint="eastAsia" w:ascii="宋体" w:hAnsi="宋体" w:cs="宋体"/>
                <w:b w:val="0"/>
                <w:bCs w:val="0"/>
                <w:color w:val="000000"/>
                <w:kern w:val="0"/>
                <w:sz w:val="21"/>
                <w:szCs w:val="21"/>
                <w:lang w:val="en-US" w:eastAsia="zh-CN" w:bidi="ar-SA"/>
              </w:rPr>
              <w:t>响应</w:t>
            </w:r>
            <w:r>
              <w:rPr>
                <w:rFonts w:hint="eastAsia" w:ascii="宋体" w:hAnsi="宋体" w:eastAsia="宋体" w:cs="宋体"/>
                <w:b w:val="0"/>
                <w:bCs w:val="0"/>
                <w:color w:val="000000"/>
                <w:kern w:val="0"/>
                <w:sz w:val="21"/>
                <w:szCs w:val="21"/>
                <w:lang w:val="en-US" w:bidi="ar-SA"/>
              </w:rPr>
              <w:t>文件中，</w:t>
            </w:r>
            <w:r>
              <w:rPr>
                <w:rFonts w:hint="eastAsia" w:ascii="宋体" w:hAnsi="宋体" w:eastAsia="宋体" w:cs="宋体"/>
                <w:b w:val="0"/>
                <w:bCs w:val="0"/>
                <w:color w:val="000000"/>
                <w:kern w:val="0"/>
                <w:sz w:val="21"/>
                <w:szCs w:val="21"/>
                <w:lang w:val="en-US" w:eastAsia="zh-CN" w:bidi="ar-SA"/>
              </w:rPr>
              <w:t>同时提供</w:t>
            </w:r>
            <w:r>
              <w:rPr>
                <w:rFonts w:hint="eastAsia" w:ascii="宋体" w:hAnsi="宋体" w:cs="宋体"/>
                <w:b w:val="0"/>
                <w:bCs w:val="0"/>
                <w:color w:val="000000"/>
                <w:kern w:val="0"/>
                <w:sz w:val="21"/>
                <w:szCs w:val="21"/>
                <w:lang w:val="en-US" w:eastAsia="zh-CN" w:bidi="ar-SA"/>
              </w:rPr>
              <w:t>采购人</w:t>
            </w:r>
            <w:r>
              <w:rPr>
                <w:rFonts w:hint="eastAsia" w:ascii="宋体" w:hAnsi="宋体" w:eastAsia="宋体" w:cs="宋体"/>
                <w:b w:val="0"/>
                <w:bCs w:val="0"/>
                <w:color w:val="000000"/>
                <w:kern w:val="0"/>
                <w:sz w:val="21"/>
                <w:szCs w:val="21"/>
                <w:lang w:val="en-US" w:eastAsia="zh-CN" w:bidi="ar-SA"/>
              </w:rPr>
              <w:t>的业绩评价证明</w:t>
            </w:r>
            <w:r>
              <w:rPr>
                <w:rFonts w:hint="eastAsia" w:ascii="宋体" w:hAnsi="宋体" w:cs="宋体"/>
                <w:b w:val="0"/>
                <w:bCs w:val="0"/>
                <w:color w:val="000000"/>
                <w:kern w:val="0"/>
                <w:sz w:val="21"/>
                <w:szCs w:val="21"/>
                <w:lang w:val="en-US" w:eastAsia="zh-CN" w:bidi="ar-SA"/>
              </w:rPr>
              <w:t>原件扫描件</w:t>
            </w:r>
            <w:r>
              <w:rPr>
                <w:rFonts w:hint="eastAsia" w:ascii="宋体" w:hAnsi="宋体" w:eastAsia="宋体" w:cs="宋体"/>
                <w:b w:val="0"/>
                <w:bCs w:val="0"/>
                <w:color w:val="000000"/>
                <w:kern w:val="0"/>
                <w:sz w:val="21"/>
                <w:szCs w:val="21"/>
                <w:lang w:val="en-US" w:eastAsia="zh-CN" w:bidi="ar-SA"/>
              </w:rPr>
              <w:t>，</w:t>
            </w:r>
            <w:r>
              <w:rPr>
                <w:rFonts w:hint="eastAsia" w:ascii="宋体" w:hAnsi="宋体" w:eastAsia="宋体" w:cs="宋体"/>
                <w:b w:val="0"/>
                <w:bCs w:val="0"/>
                <w:color w:val="000000"/>
                <w:kern w:val="0"/>
                <w:sz w:val="21"/>
                <w:szCs w:val="21"/>
                <w:lang w:val="en-US" w:bidi="ar-SA"/>
              </w:rPr>
              <w:t>否则不得分。】</w:t>
            </w:r>
          </w:p>
        </w:tc>
        <w:tc>
          <w:tcPr>
            <w:tcW w:w="8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0-</w:t>
            </w:r>
            <w:r>
              <w:rPr>
                <w:rFonts w:hint="eastAsia" w:ascii="宋体" w:hAnsi="宋体" w:cs="宋体"/>
                <w:b w:val="0"/>
                <w:bCs w:val="0"/>
                <w:color w:val="000000"/>
                <w:kern w:val="0"/>
                <w:sz w:val="21"/>
                <w:szCs w:val="21"/>
                <w:lang w:val="en-US" w:eastAsia="zh-CN" w:bidi="ar-SA"/>
              </w:rPr>
              <w:t>1</w:t>
            </w:r>
          </w:p>
        </w:tc>
      </w:tr>
      <w:tr>
        <w:tblPrEx>
          <w:tblBorders>
            <w:top w:val="single" w:color="808080" w:sz="4" w:space="0"/>
            <w:left w:val="single" w:color="808080" w:sz="4" w:space="0"/>
            <w:bottom w:val="single" w:color="808080" w:sz="4" w:space="0"/>
            <w:right w:val="single" w:color="808080" w:sz="6" w:space="0"/>
            <w:insideH w:val="outset" w:color="auto" w:sz="6" w:space="0"/>
            <w:insideV w:val="outset" w:color="auto" w:sz="6" w:space="0"/>
          </w:tblBorders>
          <w:tblCellMar>
            <w:top w:w="0" w:type="dxa"/>
            <w:left w:w="108" w:type="dxa"/>
            <w:bottom w:w="0" w:type="dxa"/>
            <w:right w:w="108" w:type="dxa"/>
          </w:tblCellMar>
        </w:tblPrEx>
        <w:trPr>
          <w:trHeight w:val="679"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3</w:t>
            </w:r>
          </w:p>
        </w:tc>
        <w:tc>
          <w:tcPr>
            <w:tcW w:w="1089"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both"/>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技术部分</w:t>
            </w:r>
          </w:p>
        </w:tc>
        <w:tc>
          <w:tcPr>
            <w:tcW w:w="7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numPr>
                <w:ilvl w:val="0"/>
                <w:numId w:val="0"/>
              </w:numPr>
              <w:suppressLineNumbers w:val="0"/>
              <w:autoSpaceDE/>
              <w:autoSpaceDN/>
              <w:snapToGrid w:val="0"/>
              <w:spacing w:before="0" w:beforeAutospacing="0" w:after="0" w:afterAutospacing="0" w:line="240" w:lineRule="auto"/>
              <w:ind w:left="0" w:right="0" w:rightChars="0"/>
              <w:jc w:val="left"/>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作业机具保障：</w:t>
            </w:r>
          </w:p>
          <w:p>
            <w:pPr>
              <w:keepNext w:val="0"/>
              <w:keepLines w:val="0"/>
              <w:numPr>
                <w:ilvl w:val="0"/>
                <w:numId w:val="0"/>
              </w:numPr>
              <w:suppressLineNumbers w:val="0"/>
              <w:autoSpaceDE/>
              <w:autoSpaceDN/>
              <w:snapToGrid w:val="0"/>
              <w:spacing w:before="0" w:beforeAutospacing="0" w:after="0" w:afterAutospacing="0" w:line="240" w:lineRule="auto"/>
              <w:ind w:left="0" w:right="0" w:rightChars="0"/>
              <w:jc w:val="left"/>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1、供应商自有洗地机的，1台得3分，2台及以上得6分。</w:t>
            </w:r>
          </w:p>
          <w:p>
            <w:pPr>
              <w:keepNext w:val="0"/>
              <w:keepLines w:val="0"/>
              <w:numPr>
                <w:ilvl w:val="0"/>
                <w:numId w:val="0"/>
              </w:numPr>
              <w:suppressLineNumbers w:val="0"/>
              <w:autoSpaceDE/>
              <w:autoSpaceDN/>
              <w:snapToGrid w:val="0"/>
              <w:spacing w:before="0" w:beforeAutospacing="0" w:after="0" w:afterAutospacing="0" w:line="240" w:lineRule="auto"/>
              <w:ind w:left="0" w:right="0" w:rightChars="0"/>
              <w:jc w:val="left"/>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2、</w:t>
            </w:r>
            <w:r>
              <w:rPr>
                <w:rFonts w:hint="eastAsia" w:ascii="宋体" w:hAnsi="宋体" w:eastAsia="宋体" w:cs="宋体"/>
                <w:b w:val="0"/>
                <w:bCs w:val="0"/>
                <w:color w:val="000000"/>
                <w:kern w:val="0"/>
                <w:sz w:val="21"/>
                <w:szCs w:val="21"/>
                <w:lang w:val="en-US" w:bidi="ar-SA"/>
              </w:rPr>
              <w:t>供应商自有自装卸式电动三轮垃圾车的，每辆得5分，</w:t>
            </w:r>
            <w:r>
              <w:rPr>
                <w:rFonts w:hint="eastAsia" w:ascii="宋体" w:hAnsi="宋体" w:eastAsia="宋体" w:cs="宋体"/>
                <w:b w:val="0"/>
                <w:bCs w:val="0"/>
                <w:color w:val="000000"/>
                <w:kern w:val="0"/>
                <w:sz w:val="21"/>
                <w:szCs w:val="21"/>
                <w:lang w:val="en-US" w:eastAsia="zh-CN" w:bidi="ar-SA"/>
              </w:rPr>
              <w:t>2辆及以上得10分。</w:t>
            </w:r>
          </w:p>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bidi="ar-SA"/>
              </w:rPr>
            </w:pPr>
            <w:r>
              <w:rPr>
                <w:rFonts w:hint="eastAsia" w:ascii="宋体" w:hAnsi="宋体" w:eastAsia="宋体" w:cs="宋体"/>
                <w:b w:val="0"/>
                <w:bCs w:val="0"/>
                <w:color w:val="000000"/>
                <w:kern w:val="0"/>
                <w:sz w:val="21"/>
                <w:szCs w:val="21"/>
                <w:lang w:val="en-US" w:bidi="ar-SA"/>
              </w:rPr>
              <w:t>【需提供购车发票</w:t>
            </w:r>
            <w:r>
              <w:rPr>
                <w:rFonts w:hint="eastAsia" w:ascii="宋体" w:hAnsi="宋体" w:cs="宋体"/>
                <w:b w:val="0"/>
                <w:bCs w:val="0"/>
                <w:color w:val="000000"/>
                <w:kern w:val="0"/>
                <w:sz w:val="21"/>
                <w:szCs w:val="21"/>
                <w:lang w:val="en-US" w:eastAsia="zh-CN" w:bidi="ar-SA"/>
              </w:rPr>
              <w:t>彩色扫描件</w:t>
            </w:r>
            <w:r>
              <w:rPr>
                <w:rFonts w:hint="eastAsia" w:ascii="宋体" w:hAnsi="宋体" w:eastAsia="宋体" w:cs="宋体"/>
                <w:b w:val="0"/>
                <w:bCs w:val="0"/>
                <w:color w:val="000000"/>
                <w:kern w:val="0"/>
                <w:sz w:val="21"/>
                <w:szCs w:val="21"/>
                <w:lang w:val="en-US" w:bidi="ar-SA"/>
              </w:rPr>
              <w:t>并加盖</w:t>
            </w:r>
            <w:r>
              <w:rPr>
                <w:rFonts w:hint="eastAsia" w:ascii="宋体" w:hAnsi="宋体" w:cs="宋体"/>
                <w:b w:val="0"/>
                <w:bCs w:val="0"/>
                <w:color w:val="000000"/>
                <w:kern w:val="0"/>
                <w:sz w:val="21"/>
                <w:szCs w:val="21"/>
                <w:lang w:val="en-US" w:eastAsia="zh-CN" w:bidi="ar-SA"/>
              </w:rPr>
              <w:t>电子</w:t>
            </w:r>
            <w:r>
              <w:rPr>
                <w:rFonts w:hint="eastAsia" w:ascii="宋体" w:hAnsi="宋体" w:eastAsia="宋体" w:cs="宋体"/>
                <w:b w:val="0"/>
                <w:bCs w:val="0"/>
                <w:color w:val="000000"/>
                <w:kern w:val="0"/>
                <w:sz w:val="21"/>
                <w:szCs w:val="21"/>
                <w:lang w:val="en-US" w:bidi="ar-SA"/>
              </w:rPr>
              <w:t>公章编入</w:t>
            </w:r>
            <w:r>
              <w:rPr>
                <w:rFonts w:hint="eastAsia" w:ascii="宋体" w:hAnsi="宋体" w:cs="宋体"/>
                <w:b w:val="0"/>
                <w:bCs w:val="0"/>
                <w:color w:val="000000"/>
                <w:kern w:val="0"/>
                <w:sz w:val="21"/>
                <w:szCs w:val="21"/>
                <w:lang w:val="en-US" w:eastAsia="zh-CN" w:bidi="ar-SA"/>
              </w:rPr>
              <w:t>响应</w:t>
            </w:r>
            <w:r>
              <w:rPr>
                <w:rFonts w:hint="eastAsia" w:ascii="宋体" w:hAnsi="宋体" w:eastAsia="宋体" w:cs="宋体"/>
                <w:b w:val="0"/>
                <w:bCs w:val="0"/>
                <w:color w:val="000000"/>
                <w:kern w:val="0"/>
                <w:sz w:val="21"/>
                <w:szCs w:val="21"/>
                <w:lang w:val="en-US" w:bidi="ar-SA"/>
              </w:rPr>
              <w:t>文件中，否则不得分。】</w:t>
            </w:r>
          </w:p>
        </w:tc>
        <w:tc>
          <w:tcPr>
            <w:tcW w:w="8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0-16</w:t>
            </w:r>
          </w:p>
        </w:tc>
      </w:tr>
      <w:tr>
        <w:tblPrEx>
          <w:tblBorders>
            <w:top w:val="single" w:color="808080" w:sz="4" w:space="0"/>
            <w:left w:val="single" w:color="808080" w:sz="4" w:space="0"/>
            <w:bottom w:val="single" w:color="808080" w:sz="4" w:space="0"/>
            <w:right w:val="single" w:color="808080" w:sz="6" w:space="0"/>
            <w:insideH w:val="outset" w:color="auto" w:sz="6" w:space="0"/>
            <w:insideV w:val="outset" w:color="auto" w:sz="6" w:space="0"/>
          </w:tblBorders>
          <w:shd w:val="clear" w:color="auto" w:fill="FFFFFF"/>
          <w:tblCellMar>
            <w:top w:w="0" w:type="dxa"/>
            <w:left w:w="108" w:type="dxa"/>
            <w:bottom w:w="0" w:type="dxa"/>
            <w:right w:w="108" w:type="dxa"/>
          </w:tblCellMar>
        </w:tblPrEx>
        <w:trPr>
          <w:trHeight w:val="679"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4</w:t>
            </w:r>
          </w:p>
        </w:tc>
        <w:tc>
          <w:tcPr>
            <w:tcW w:w="1089" w:type="dxa"/>
            <w:vMerge w:val="continue"/>
            <w:tcBorders>
              <w:left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jc w:val="center"/>
              <w:rPr>
                <w:rFonts w:hint="default" w:ascii="宋体" w:hAnsi="宋体" w:eastAsia="宋体" w:cs="宋体"/>
                <w:b w:val="0"/>
                <w:bCs w:val="0"/>
                <w:color w:val="000000"/>
                <w:kern w:val="0"/>
                <w:sz w:val="21"/>
                <w:szCs w:val="21"/>
                <w:lang w:val="en-US" w:bidi="ar-SA"/>
              </w:rPr>
            </w:pPr>
          </w:p>
        </w:tc>
        <w:tc>
          <w:tcPr>
            <w:tcW w:w="7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numPr>
                <w:ilvl w:val="0"/>
                <w:numId w:val="0"/>
              </w:numPr>
              <w:suppressLineNumbers w:val="0"/>
              <w:autoSpaceDE/>
              <w:autoSpaceDN/>
              <w:snapToGrid w:val="0"/>
              <w:spacing w:before="0" w:beforeAutospacing="0" w:after="0" w:afterAutospacing="0" w:line="240" w:lineRule="auto"/>
              <w:ind w:left="0" w:right="0" w:rightChars="0"/>
              <w:jc w:val="left"/>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人员配备：</w:t>
            </w:r>
          </w:p>
          <w:p>
            <w:pPr>
              <w:keepNext w:val="0"/>
              <w:keepLines w:val="0"/>
              <w:numPr>
                <w:ilvl w:val="0"/>
                <w:numId w:val="0"/>
              </w:numPr>
              <w:suppressLineNumbers w:val="0"/>
              <w:autoSpaceDE/>
              <w:autoSpaceDN/>
              <w:snapToGrid w:val="0"/>
              <w:spacing w:before="0" w:beforeAutospacing="0" w:after="0" w:afterAutospacing="0" w:line="240" w:lineRule="auto"/>
              <w:ind w:left="0" w:right="0" w:rightChars="0"/>
              <w:jc w:val="left"/>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投标人拟派项目负责人具有</w:t>
            </w:r>
            <w:r>
              <w:rPr>
                <w:rFonts w:hint="eastAsia" w:ascii="宋体" w:hAnsi="宋体" w:cs="宋体"/>
                <w:b w:val="0"/>
                <w:bCs w:val="0"/>
                <w:color w:val="000000"/>
                <w:kern w:val="0"/>
                <w:sz w:val="21"/>
                <w:szCs w:val="21"/>
                <w:lang w:val="en-US" w:eastAsia="zh-CN" w:bidi="ar-SA"/>
              </w:rPr>
              <w:t>2024年新版本的</w:t>
            </w:r>
            <w:r>
              <w:rPr>
                <w:rFonts w:hint="eastAsia" w:ascii="宋体" w:hAnsi="宋体" w:eastAsia="宋体" w:cs="宋体"/>
                <w:b w:val="0"/>
                <w:bCs w:val="0"/>
                <w:color w:val="000000"/>
                <w:kern w:val="0"/>
                <w:sz w:val="21"/>
                <w:szCs w:val="21"/>
                <w:lang w:val="en-US" w:eastAsia="zh-CN" w:bidi="ar-SA"/>
              </w:rPr>
              <w:t>安全培训主要负责人证书的得3分；</w:t>
            </w:r>
          </w:p>
          <w:p>
            <w:pPr>
              <w:keepNext w:val="0"/>
              <w:keepLines w:val="0"/>
              <w:numPr>
                <w:ilvl w:val="0"/>
                <w:numId w:val="0"/>
              </w:numPr>
              <w:suppressLineNumbers w:val="0"/>
              <w:autoSpaceDE/>
              <w:autoSpaceDN/>
              <w:snapToGrid w:val="0"/>
              <w:spacing w:before="0" w:beforeAutospacing="0" w:after="0" w:afterAutospacing="0" w:line="240" w:lineRule="auto"/>
              <w:ind w:left="0" w:right="0" w:rightChars="0"/>
              <w:jc w:val="left"/>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注：提供相关人员的证书原件扫描件，否则不得分。</w:t>
            </w:r>
          </w:p>
        </w:tc>
        <w:tc>
          <w:tcPr>
            <w:tcW w:w="8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0-3</w:t>
            </w:r>
          </w:p>
        </w:tc>
      </w:tr>
      <w:tr>
        <w:tblPrEx>
          <w:tblBorders>
            <w:top w:val="single" w:color="808080" w:sz="4" w:space="0"/>
            <w:left w:val="single" w:color="808080" w:sz="4" w:space="0"/>
            <w:bottom w:val="single" w:color="808080" w:sz="4" w:space="0"/>
            <w:right w:val="single" w:color="808080" w:sz="6" w:space="0"/>
            <w:insideH w:val="outset" w:color="auto" w:sz="6" w:space="0"/>
            <w:insideV w:val="outset" w:color="auto" w:sz="6" w:space="0"/>
          </w:tblBorders>
          <w:shd w:val="clear" w:color="auto" w:fill="FFFFFF"/>
          <w:tblCellMar>
            <w:top w:w="0" w:type="dxa"/>
            <w:left w:w="108" w:type="dxa"/>
            <w:bottom w:w="0" w:type="dxa"/>
            <w:right w:w="108" w:type="dxa"/>
          </w:tblCellMar>
        </w:tblPrEx>
        <w:trPr>
          <w:trHeight w:val="679"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5</w:t>
            </w:r>
          </w:p>
        </w:tc>
        <w:tc>
          <w:tcPr>
            <w:tcW w:w="1089" w:type="dxa"/>
            <w:vMerge w:val="continue"/>
            <w:tcBorders>
              <w:left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jc w:val="center"/>
              <w:rPr>
                <w:rFonts w:hint="default" w:ascii="宋体" w:hAnsi="宋体" w:eastAsia="宋体" w:cs="宋体"/>
                <w:b w:val="0"/>
                <w:bCs w:val="0"/>
                <w:color w:val="000000"/>
                <w:kern w:val="0"/>
                <w:sz w:val="21"/>
                <w:szCs w:val="21"/>
                <w:lang w:val="en-US" w:bidi="ar-SA"/>
              </w:rPr>
            </w:pPr>
          </w:p>
        </w:tc>
        <w:tc>
          <w:tcPr>
            <w:tcW w:w="7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bidi="ar-SA"/>
              </w:rPr>
            </w:pPr>
            <w:r>
              <w:rPr>
                <w:rFonts w:hint="eastAsia" w:ascii="宋体" w:hAnsi="宋体" w:eastAsia="宋体" w:cs="宋体"/>
                <w:b w:val="0"/>
                <w:bCs w:val="0"/>
                <w:color w:val="000000"/>
                <w:kern w:val="0"/>
                <w:sz w:val="21"/>
                <w:szCs w:val="21"/>
                <w:lang w:val="en-US" w:bidi="ar-SA"/>
              </w:rPr>
              <w:t>供应商企业管理制度</w:t>
            </w:r>
            <w:r>
              <w:rPr>
                <w:rFonts w:hint="eastAsia" w:ascii="宋体" w:hAnsi="宋体" w:eastAsia="宋体" w:cs="宋体"/>
                <w:b w:val="0"/>
                <w:bCs w:val="0"/>
                <w:color w:val="000000"/>
                <w:kern w:val="0"/>
                <w:sz w:val="21"/>
                <w:szCs w:val="21"/>
                <w:lang w:val="en-US" w:eastAsia="zh-CN" w:bidi="ar-SA"/>
              </w:rPr>
              <w:t>：</w:t>
            </w:r>
          </w:p>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bidi="ar-SA"/>
              </w:rPr>
            </w:pPr>
            <w:r>
              <w:rPr>
                <w:rFonts w:hint="eastAsia" w:ascii="宋体" w:hAnsi="宋体" w:eastAsia="宋体" w:cs="宋体"/>
                <w:b w:val="0"/>
                <w:bCs w:val="0"/>
                <w:color w:val="000000"/>
                <w:kern w:val="0"/>
                <w:sz w:val="21"/>
                <w:szCs w:val="21"/>
                <w:lang w:val="en-US" w:bidi="ar-SA"/>
              </w:rPr>
              <w:t xml:space="preserve">供应商企业管理制度包括组织架构，人员管理制度，机具管理制度，考核奖惩制度，财务管理制度等。由磋商小组酌情打分。优的得 </w:t>
            </w:r>
            <w:r>
              <w:rPr>
                <w:rFonts w:hint="eastAsia" w:ascii="宋体" w:hAnsi="宋体" w:cs="宋体"/>
                <w:b w:val="0"/>
                <w:bCs w:val="0"/>
                <w:color w:val="000000"/>
                <w:kern w:val="0"/>
                <w:sz w:val="21"/>
                <w:szCs w:val="21"/>
                <w:lang w:val="en-US" w:eastAsia="zh-CN" w:bidi="ar-SA"/>
              </w:rPr>
              <w:t>14</w:t>
            </w:r>
            <w:r>
              <w:rPr>
                <w:rFonts w:hint="eastAsia" w:ascii="宋体" w:hAnsi="宋体" w:eastAsia="宋体" w:cs="宋体"/>
                <w:b w:val="0"/>
                <w:bCs w:val="0"/>
                <w:color w:val="000000"/>
                <w:kern w:val="0"/>
                <w:sz w:val="21"/>
                <w:szCs w:val="21"/>
                <w:lang w:val="en-US" w:bidi="ar-SA"/>
              </w:rPr>
              <w:t>-</w:t>
            </w:r>
            <w:r>
              <w:rPr>
                <w:rFonts w:hint="eastAsia" w:ascii="宋体" w:hAnsi="宋体" w:cs="宋体"/>
                <w:b w:val="0"/>
                <w:bCs w:val="0"/>
                <w:color w:val="000000"/>
                <w:kern w:val="0"/>
                <w:sz w:val="21"/>
                <w:szCs w:val="21"/>
                <w:lang w:val="en-US" w:eastAsia="zh-CN" w:bidi="ar-SA"/>
              </w:rPr>
              <w:t>20</w:t>
            </w:r>
            <w:r>
              <w:rPr>
                <w:rFonts w:hint="eastAsia" w:ascii="宋体" w:hAnsi="宋体" w:eastAsia="宋体" w:cs="宋体"/>
                <w:b w:val="0"/>
                <w:bCs w:val="0"/>
                <w:color w:val="000000"/>
                <w:kern w:val="0"/>
                <w:sz w:val="21"/>
                <w:szCs w:val="21"/>
                <w:lang w:val="en-US" w:bidi="ar-SA"/>
              </w:rPr>
              <w:t xml:space="preserve">分:良的得 </w:t>
            </w:r>
            <w:r>
              <w:rPr>
                <w:rFonts w:hint="eastAsia" w:ascii="宋体" w:hAnsi="宋体" w:cs="宋体"/>
                <w:b w:val="0"/>
                <w:bCs w:val="0"/>
                <w:color w:val="000000"/>
                <w:kern w:val="0"/>
                <w:sz w:val="21"/>
                <w:szCs w:val="21"/>
                <w:lang w:val="en-US" w:eastAsia="zh-CN" w:bidi="ar-SA"/>
              </w:rPr>
              <w:t>7</w:t>
            </w:r>
            <w:r>
              <w:rPr>
                <w:rFonts w:hint="eastAsia" w:ascii="宋体" w:hAnsi="宋体" w:eastAsia="宋体" w:cs="宋体"/>
                <w:b w:val="0"/>
                <w:bCs w:val="0"/>
                <w:color w:val="000000"/>
                <w:kern w:val="0"/>
                <w:sz w:val="21"/>
                <w:szCs w:val="21"/>
                <w:lang w:val="en-US" w:eastAsia="zh-CN" w:bidi="ar-SA"/>
              </w:rPr>
              <w:t>-1</w:t>
            </w:r>
            <w:r>
              <w:rPr>
                <w:rFonts w:hint="eastAsia" w:ascii="宋体" w:hAnsi="宋体" w:cs="宋体"/>
                <w:b w:val="0"/>
                <w:bCs w:val="0"/>
                <w:color w:val="000000"/>
                <w:kern w:val="0"/>
                <w:sz w:val="21"/>
                <w:szCs w:val="21"/>
                <w:lang w:val="en-US" w:eastAsia="zh-CN" w:bidi="ar-SA"/>
              </w:rPr>
              <w:t>3</w:t>
            </w:r>
            <w:r>
              <w:rPr>
                <w:rFonts w:hint="eastAsia" w:ascii="宋体" w:hAnsi="宋体" w:eastAsia="宋体" w:cs="宋体"/>
                <w:b w:val="0"/>
                <w:bCs w:val="0"/>
                <w:color w:val="000000"/>
                <w:kern w:val="0"/>
                <w:sz w:val="21"/>
                <w:szCs w:val="21"/>
                <w:lang w:val="en-US" w:bidi="ar-SA"/>
              </w:rPr>
              <w:t>分:一般得 0-</w:t>
            </w:r>
            <w:r>
              <w:rPr>
                <w:rFonts w:hint="eastAsia" w:ascii="宋体" w:hAnsi="宋体" w:cs="宋体"/>
                <w:b w:val="0"/>
                <w:bCs w:val="0"/>
                <w:color w:val="000000"/>
                <w:kern w:val="0"/>
                <w:sz w:val="21"/>
                <w:szCs w:val="21"/>
                <w:lang w:val="en-US" w:eastAsia="zh-CN" w:bidi="ar-SA"/>
              </w:rPr>
              <w:t>6</w:t>
            </w:r>
            <w:r>
              <w:rPr>
                <w:rFonts w:hint="eastAsia" w:ascii="宋体" w:hAnsi="宋体" w:eastAsia="宋体" w:cs="宋体"/>
                <w:b w:val="0"/>
                <w:bCs w:val="0"/>
                <w:color w:val="000000"/>
                <w:kern w:val="0"/>
                <w:sz w:val="21"/>
                <w:szCs w:val="21"/>
                <w:lang w:val="en-US" w:bidi="ar-SA"/>
              </w:rPr>
              <w:t>分。</w:t>
            </w:r>
          </w:p>
        </w:tc>
        <w:tc>
          <w:tcPr>
            <w:tcW w:w="8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0-</w:t>
            </w:r>
            <w:r>
              <w:rPr>
                <w:rFonts w:hint="eastAsia" w:ascii="宋体" w:hAnsi="宋体" w:cs="宋体"/>
                <w:b w:val="0"/>
                <w:bCs w:val="0"/>
                <w:color w:val="000000"/>
                <w:kern w:val="0"/>
                <w:sz w:val="21"/>
                <w:szCs w:val="21"/>
                <w:lang w:val="en-US" w:eastAsia="zh-CN" w:bidi="ar-SA"/>
              </w:rPr>
              <w:t>20</w:t>
            </w:r>
          </w:p>
        </w:tc>
      </w:tr>
      <w:tr>
        <w:tblPrEx>
          <w:tblBorders>
            <w:top w:val="single" w:color="808080" w:sz="4" w:space="0"/>
            <w:left w:val="single" w:color="808080" w:sz="4" w:space="0"/>
            <w:bottom w:val="single" w:color="808080" w:sz="4" w:space="0"/>
            <w:right w:val="single" w:color="808080" w:sz="6" w:space="0"/>
            <w:insideH w:val="outset" w:color="auto" w:sz="6" w:space="0"/>
            <w:insideV w:val="outset" w:color="auto" w:sz="6" w:space="0"/>
          </w:tblBorders>
          <w:shd w:val="clear" w:color="auto" w:fill="FFFFFF"/>
          <w:tblCellMar>
            <w:top w:w="0" w:type="dxa"/>
            <w:left w:w="108" w:type="dxa"/>
            <w:bottom w:w="0" w:type="dxa"/>
            <w:right w:w="108" w:type="dxa"/>
          </w:tblCellMar>
        </w:tblPrEx>
        <w:trPr>
          <w:trHeight w:val="679"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6</w:t>
            </w:r>
          </w:p>
        </w:tc>
        <w:tc>
          <w:tcPr>
            <w:tcW w:w="1089" w:type="dxa"/>
            <w:vMerge w:val="continue"/>
            <w:tcBorders>
              <w:left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jc w:val="center"/>
              <w:rPr>
                <w:rFonts w:hint="default" w:ascii="宋体" w:hAnsi="宋体" w:eastAsia="宋体" w:cs="宋体"/>
                <w:b w:val="0"/>
                <w:bCs w:val="0"/>
                <w:color w:val="000000"/>
                <w:kern w:val="0"/>
                <w:sz w:val="21"/>
                <w:szCs w:val="21"/>
                <w:lang w:val="en-US" w:bidi="ar-SA"/>
              </w:rPr>
            </w:pPr>
          </w:p>
        </w:tc>
        <w:tc>
          <w:tcPr>
            <w:tcW w:w="7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bidi="ar-SA"/>
              </w:rPr>
              <w:t>实施方案</w:t>
            </w:r>
            <w:r>
              <w:rPr>
                <w:rFonts w:hint="eastAsia" w:ascii="宋体" w:hAnsi="宋体" w:eastAsia="宋体" w:cs="宋体"/>
                <w:b w:val="0"/>
                <w:bCs w:val="0"/>
                <w:color w:val="000000"/>
                <w:kern w:val="0"/>
                <w:sz w:val="21"/>
                <w:szCs w:val="21"/>
                <w:lang w:val="en-US" w:eastAsia="zh-CN" w:bidi="ar-SA"/>
              </w:rPr>
              <w:t>：</w:t>
            </w:r>
          </w:p>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bidi="ar-SA"/>
              </w:rPr>
            </w:pPr>
            <w:r>
              <w:rPr>
                <w:rFonts w:hint="eastAsia" w:ascii="宋体" w:hAnsi="宋体" w:eastAsia="宋体" w:cs="宋体"/>
                <w:b w:val="0"/>
                <w:bCs w:val="0"/>
                <w:color w:val="000000"/>
                <w:kern w:val="0"/>
                <w:sz w:val="21"/>
                <w:szCs w:val="21"/>
                <w:lang w:val="en-US" w:bidi="ar-SA"/>
              </w:rPr>
              <w:t>供应商结合磋商文件的保洁业务外包管理方案和市场保洁考核办法，针对本项目实施编制具有针对性、科学性、可操作性的实施方案(含工作计划)。由磋商小组酌情打分。优的得</w:t>
            </w:r>
            <w:r>
              <w:rPr>
                <w:rFonts w:hint="eastAsia" w:ascii="宋体" w:hAnsi="宋体" w:eastAsia="宋体" w:cs="宋体"/>
                <w:b w:val="0"/>
                <w:bCs w:val="0"/>
                <w:color w:val="000000"/>
                <w:kern w:val="0"/>
                <w:sz w:val="21"/>
                <w:szCs w:val="21"/>
                <w:lang w:val="en-US" w:eastAsia="zh-CN" w:bidi="ar-SA"/>
              </w:rPr>
              <w:t>21</w:t>
            </w:r>
            <w:r>
              <w:rPr>
                <w:rFonts w:hint="eastAsia" w:ascii="宋体" w:hAnsi="宋体" w:eastAsia="宋体" w:cs="宋体"/>
                <w:b w:val="0"/>
                <w:bCs w:val="0"/>
                <w:color w:val="000000"/>
                <w:kern w:val="0"/>
                <w:sz w:val="21"/>
                <w:szCs w:val="21"/>
                <w:lang w:val="en-US" w:bidi="ar-SA"/>
              </w:rPr>
              <w:t>-</w:t>
            </w:r>
            <w:r>
              <w:rPr>
                <w:rFonts w:hint="eastAsia" w:ascii="宋体" w:hAnsi="宋体" w:eastAsia="宋体" w:cs="宋体"/>
                <w:b w:val="0"/>
                <w:bCs w:val="0"/>
                <w:color w:val="000000"/>
                <w:kern w:val="0"/>
                <w:sz w:val="21"/>
                <w:szCs w:val="21"/>
                <w:lang w:val="en-US" w:eastAsia="zh-CN" w:bidi="ar-SA"/>
              </w:rPr>
              <w:t>2</w:t>
            </w:r>
            <w:r>
              <w:rPr>
                <w:rFonts w:hint="eastAsia" w:ascii="宋体" w:hAnsi="宋体" w:eastAsia="宋体" w:cs="宋体"/>
                <w:b w:val="0"/>
                <w:bCs w:val="0"/>
                <w:color w:val="000000"/>
                <w:kern w:val="0"/>
                <w:sz w:val="21"/>
                <w:szCs w:val="21"/>
                <w:lang w:val="en-US" w:bidi="ar-SA"/>
              </w:rPr>
              <w:t>5分</w:t>
            </w:r>
            <w:r>
              <w:rPr>
                <w:rFonts w:hint="eastAsia" w:ascii="宋体" w:hAnsi="宋体" w:eastAsia="宋体" w:cs="宋体"/>
                <w:b w:val="0"/>
                <w:bCs w:val="0"/>
                <w:color w:val="000000"/>
                <w:kern w:val="0"/>
                <w:sz w:val="21"/>
                <w:szCs w:val="21"/>
                <w:lang w:val="en-US" w:eastAsia="zh-CN" w:bidi="ar-SA"/>
              </w:rPr>
              <w:t>；</w:t>
            </w:r>
            <w:r>
              <w:rPr>
                <w:rFonts w:hint="eastAsia" w:ascii="宋体" w:hAnsi="宋体" w:eastAsia="宋体" w:cs="宋体"/>
                <w:b w:val="0"/>
                <w:bCs w:val="0"/>
                <w:color w:val="000000"/>
                <w:kern w:val="0"/>
                <w:sz w:val="21"/>
                <w:szCs w:val="21"/>
                <w:lang w:val="en-US" w:bidi="ar-SA"/>
              </w:rPr>
              <w:t>良的得</w:t>
            </w:r>
            <w:r>
              <w:rPr>
                <w:rFonts w:hint="eastAsia" w:ascii="宋体" w:hAnsi="宋体" w:eastAsia="宋体" w:cs="宋体"/>
                <w:b w:val="0"/>
                <w:bCs w:val="0"/>
                <w:color w:val="000000"/>
                <w:kern w:val="0"/>
                <w:sz w:val="21"/>
                <w:szCs w:val="21"/>
                <w:lang w:val="en-US" w:eastAsia="zh-CN" w:bidi="ar-SA"/>
              </w:rPr>
              <w:t>11</w:t>
            </w:r>
            <w:r>
              <w:rPr>
                <w:rFonts w:hint="eastAsia" w:ascii="宋体" w:hAnsi="宋体" w:eastAsia="宋体" w:cs="宋体"/>
                <w:b w:val="0"/>
                <w:bCs w:val="0"/>
                <w:color w:val="000000"/>
                <w:kern w:val="0"/>
                <w:sz w:val="21"/>
                <w:szCs w:val="21"/>
                <w:lang w:val="en-US" w:bidi="ar-SA"/>
              </w:rPr>
              <w:t>-</w:t>
            </w:r>
            <w:r>
              <w:rPr>
                <w:rFonts w:hint="eastAsia" w:ascii="宋体" w:hAnsi="宋体" w:eastAsia="宋体" w:cs="宋体"/>
                <w:b w:val="0"/>
                <w:bCs w:val="0"/>
                <w:color w:val="000000"/>
                <w:kern w:val="0"/>
                <w:sz w:val="21"/>
                <w:szCs w:val="21"/>
                <w:lang w:val="en-US" w:eastAsia="zh-CN" w:bidi="ar-SA"/>
              </w:rPr>
              <w:t>2</w:t>
            </w:r>
            <w:r>
              <w:rPr>
                <w:rFonts w:hint="eastAsia" w:ascii="宋体" w:hAnsi="宋体" w:eastAsia="宋体" w:cs="宋体"/>
                <w:b w:val="0"/>
                <w:bCs w:val="0"/>
                <w:color w:val="000000"/>
                <w:kern w:val="0"/>
                <w:sz w:val="21"/>
                <w:szCs w:val="21"/>
                <w:lang w:val="en-US" w:bidi="ar-SA"/>
              </w:rPr>
              <w:t>0分</w:t>
            </w:r>
            <w:r>
              <w:rPr>
                <w:rFonts w:hint="eastAsia" w:ascii="宋体" w:hAnsi="宋体" w:eastAsia="宋体" w:cs="宋体"/>
                <w:b w:val="0"/>
                <w:bCs w:val="0"/>
                <w:color w:val="000000"/>
                <w:kern w:val="0"/>
                <w:sz w:val="21"/>
                <w:szCs w:val="21"/>
                <w:lang w:val="en-US" w:eastAsia="zh-CN" w:bidi="ar-SA"/>
              </w:rPr>
              <w:t>；</w:t>
            </w:r>
            <w:r>
              <w:rPr>
                <w:rFonts w:hint="eastAsia" w:ascii="宋体" w:hAnsi="宋体" w:eastAsia="宋体" w:cs="宋体"/>
                <w:b w:val="0"/>
                <w:bCs w:val="0"/>
                <w:color w:val="000000"/>
                <w:kern w:val="0"/>
                <w:sz w:val="21"/>
                <w:szCs w:val="21"/>
                <w:lang w:val="en-US" w:bidi="ar-SA"/>
              </w:rPr>
              <w:t>一般得0-</w:t>
            </w:r>
            <w:r>
              <w:rPr>
                <w:rFonts w:hint="eastAsia" w:ascii="宋体" w:hAnsi="宋体" w:eastAsia="宋体" w:cs="宋体"/>
                <w:b w:val="0"/>
                <w:bCs w:val="0"/>
                <w:color w:val="000000"/>
                <w:kern w:val="0"/>
                <w:sz w:val="21"/>
                <w:szCs w:val="21"/>
                <w:lang w:val="en-US" w:eastAsia="zh-CN" w:bidi="ar-SA"/>
              </w:rPr>
              <w:t>10</w:t>
            </w:r>
            <w:r>
              <w:rPr>
                <w:rFonts w:hint="eastAsia" w:ascii="宋体" w:hAnsi="宋体" w:eastAsia="宋体" w:cs="宋体"/>
                <w:b w:val="0"/>
                <w:bCs w:val="0"/>
                <w:color w:val="000000"/>
                <w:kern w:val="0"/>
                <w:sz w:val="21"/>
                <w:szCs w:val="21"/>
                <w:lang w:val="en-US" w:bidi="ar-SA"/>
              </w:rPr>
              <w:t>分。</w:t>
            </w:r>
          </w:p>
        </w:tc>
        <w:tc>
          <w:tcPr>
            <w:tcW w:w="8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0-25</w:t>
            </w:r>
          </w:p>
        </w:tc>
      </w:tr>
      <w:tr>
        <w:tblPrEx>
          <w:tblBorders>
            <w:top w:val="single" w:color="808080" w:sz="4" w:space="0"/>
            <w:left w:val="single" w:color="808080" w:sz="4" w:space="0"/>
            <w:bottom w:val="single" w:color="808080" w:sz="4" w:space="0"/>
            <w:right w:val="single" w:color="808080" w:sz="6" w:space="0"/>
            <w:insideH w:val="outset" w:color="auto" w:sz="6" w:space="0"/>
            <w:insideV w:val="outset" w:color="auto" w:sz="6" w:space="0"/>
          </w:tblBorders>
          <w:shd w:val="clear" w:color="auto" w:fill="FFFFFF"/>
          <w:tblCellMar>
            <w:top w:w="0" w:type="dxa"/>
            <w:left w:w="108" w:type="dxa"/>
            <w:bottom w:w="0" w:type="dxa"/>
            <w:right w:w="108" w:type="dxa"/>
          </w:tblCellMar>
        </w:tblPrEx>
        <w:trPr>
          <w:trHeight w:val="679"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7</w:t>
            </w:r>
          </w:p>
        </w:tc>
        <w:tc>
          <w:tcPr>
            <w:tcW w:w="1089" w:type="dxa"/>
            <w:vMerge w:val="continue"/>
            <w:tcBorders>
              <w:left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jc w:val="center"/>
              <w:rPr>
                <w:rFonts w:hint="default" w:ascii="宋体" w:hAnsi="宋体" w:eastAsia="宋体" w:cs="宋体"/>
                <w:b w:val="0"/>
                <w:bCs w:val="0"/>
                <w:color w:val="000000"/>
                <w:kern w:val="0"/>
                <w:sz w:val="21"/>
                <w:szCs w:val="21"/>
                <w:lang w:val="en-US" w:bidi="ar-SA"/>
              </w:rPr>
            </w:pPr>
          </w:p>
        </w:tc>
        <w:tc>
          <w:tcPr>
            <w:tcW w:w="7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应急预案：</w:t>
            </w:r>
          </w:p>
          <w:p>
            <w:pPr>
              <w:keepNext w:val="0"/>
              <w:keepLines w:val="0"/>
              <w:suppressLineNumbers w:val="0"/>
              <w:autoSpaceDE/>
              <w:autoSpaceDN/>
              <w:snapToGrid w:val="0"/>
              <w:spacing w:before="0" w:beforeAutospacing="0" w:after="0" w:afterAutospacing="0" w:line="240" w:lineRule="auto"/>
              <w:ind w:left="0" w:right="0" w:firstLine="0" w:firstLineChars="0"/>
              <w:jc w:val="left"/>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突发事件应急预案，突击性任务应急方案，卫生保洁人员安排预案及其保障措施。由磋商小组酌情打分。优的得21</w:t>
            </w:r>
            <w:r>
              <w:rPr>
                <w:rFonts w:hint="eastAsia" w:ascii="宋体" w:hAnsi="宋体" w:eastAsia="宋体" w:cs="宋体"/>
                <w:b w:val="0"/>
                <w:bCs w:val="0"/>
                <w:color w:val="000000"/>
                <w:kern w:val="0"/>
                <w:sz w:val="21"/>
                <w:szCs w:val="21"/>
                <w:lang w:val="en-US" w:bidi="ar-SA"/>
              </w:rPr>
              <w:t>-</w:t>
            </w:r>
            <w:r>
              <w:rPr>
                <w:rFonts w:hint="eastAsia" w:ascii="宋体" w:hAnsi="宋体" w:eastAsia="宋体" w:cs="宋体"/>
                <w:b w:val="0"/>
                <w:bCs w:val="0"/>
                <w:color w:val="000000"/>
                <w:kern w:val="0"/>
                <w:sz w:val="21"/>
                <w:szCs w:val="21"/>
                <w:lang w:val="en-US" w:eastAsia="zh-CN" w:bidi="ar-SA"/>
              </w:rPr>
              <w:t>2</w:t>
            </w:r>
            <w:r>
              <w:rPr>
                <w:rFonts w:hint="eastAsia" w:ascii="宋体" w:hAnsi="宋体" w:eastAsia="宋体" w:cs="宋体"/>
                <w:b w:val="0"/>
                <w:bCs w:val="0"/>
                <w:color w:val="000000"/>
                <w:kern w:val="0"/>
                <w:sz w:val="21"/>
                <w:szCs w:val="21"/>
                <w:lang w:val="en-US" w:bidi="ar-SA"/>
              </w:rPr>
              <w:t>5</w:t>
            </w:r>
            <w:r>
              <w:rPr>
                <w:rFonts w:hint="eastAsia" w:ascii="宋体" w:hAnsi="宋体" w:eastAsia="宋体" w:cs="宋体"/>
                <w:b w:val="0"/>
                <w:bCs w:val="0"/>
                <w:color w:val="000000"/>
                <w:kern w:val="0"/>
                <w:sz w:val="21"/>
                <w:szCs w:val="21"/>
                <w:lang w:val="en-US" w:eastAsia="zh-CN" w:bidi="ar-SA"/>
              </w:rPr>
              <w:t>分；良的得11</w:t>
            </w:r>
            <w:r>
              <w:rPr>
                <w:rFonts w:hint="eastAsia" w:ascii="宋体" w:hAnsi="宋体" w:eastAsia="宋体" w:cs="宋体"/>
                <w:b w:val="0"/>
                <w:bCs w:val="0"/>
                <w:color w:val="000000"/>
                <w:kern w:val="0"/>
                <w:sz w:val="21"/>
                <w:szCs w:val="21"/>
                <w:lang w:val="en-US" w:bidi="ar-SA"/>
              </w:rPr>
              <w:t>-</w:t>
            </w:r>
            <w:r>
              <w:rPr>
                <w:rFonts w:hint="eastAsia" w:ascii="宋体" w:hAnsi="宋体" w:eastAsia="宋体" w:cs="宋体"/>
                <w:b w:val="0"/>
                <w:bCs w:val="0"/>
                <w:color w:val="000000"/>
                <w:kern w:val="0"/>
                <w:sz w:val="21"/>
                <w:szCs w:val="21"/>
                <w:lang w:val="en-US" w:eastAsia="zh-CN" w:bidi="ar-SA"/>
              </w:rPr>
              <w:t>2</w:t>
            </w:r>
            <w:r>
              <w:rPr>
                <w:rFonts w:hint="eastAsia" w:ascii="宋体" w:hAnsi="宋体" w:eastAsia="宋体" w:cs="宋体"/>
                <w:b w:val="0"/>
                <w:bCs w:val="0"/>
                <w:color w:val="000000"/>
                <w:kern w:val="0"/>
                <w:sz w:val="21"/>
                <w:szCs w:val="21"/>
                <w:lang w:val="en-US" w:bidi="ar-SA"/>
              </w:rPr>
              <w:t>0</w:t>
            </w:r>
            <w:r>
              <w:rPr>
                <w:rFonts w:hint="eastAsia" w:ascii="宋体" w:hAnsi="宋体" w:eastAsia="宋体" w:cs="宋体"/>
                <w:b w:val="0"/>
                <w:bCs w:val="0"/>
                <w:color w:val="000000"/>
                <w:kern w:val="0"/>
                <w:sz w:val="21"/>
                <w:szCs w:val="21"/>
                <w:lang w:val="en-US" w:eastAsia="zh-CN" w:bidi="ar-SA"/>
              </w:rPr>
              <w:t>分；一般得0-</w:t>
            </w:r>
            <w:r>
              <w:rPr>
                <w:rFonts w:hint="eastAsia" w:ascii="宋体" w:hAnsi="宋体" w:cs="宋体"/>
                <w:b w:val="0"/>
                <w:bCs w:val="0"/>
                <w:color w:val="000000"/>
                <w:kern w:val="0"/>
                <w:sz w:val="21"/>
                <w:szCs w:val="21"/>
                <w:lang w:val="en-US" w:eastAsia="zh-CN" w:bidi="ar-SA"/>
              </w:rPr>
              <w:t>10</w:t>
            </w:r>
            <w:r>
              <w:rPr>
                <w:rFonts w:hint="eastAsia" w:ascii="宋体" w:hAnsi="宋体" w:eastAsia="宋体" w:cs="宋体"/>
                <w:b w:val="0"/>
                <w:bCs w:val="0"/>
                <w:color w:val="000000"/>
                <w:kern w:val="0"/>
                <w:sz w:val="21"/>
                <w:szCs w:val="21"/>
                <w:lang w:val="en-US" w:eastAsia="zh-CN" w:bidi="ar-SA"/>
              </w:rPr>
              <w:t>分。</w:t>
            </w:r>
          </w:p>
        </w:tc>
        <w:tc>
          <w:tcPr>
            <w:tcW w:w="8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0-2</w:t>
            </w:r>
            <w:r>
              <w:rPr>
                <w:rFonts w:hint="eastAsia" w:ascii="宋体" w:hAnsi="宋体" w:cs="宋体"/>
                <w:b w:val="0"/>
                <w:bCs w:val="0"/>
                <w:color w:val="000000"/>
                <w:kern w:val="0"/>
                <w:sz w:val="21"/>
                <w:szCs w:val="21"/>
                <w:lang w:val="en-US" w:eastAsia="zh-CN" w:bidi="ar-SA"/>
              </w:rPr>
              <w:t>5</w:t>
            </w:r>
          </w:p>
        </w:tc>
      </w:tr>
      <w:tr>
        <w:tblPrEx>
          <w:tblBorders>
            <w:top w:val="single" w:color="808080" w:sz="4" w:space="0"/>
            <w:left w:val="single" w:color="808080" w:sz="4" w:space="0"/>
            <w:bottom w:val="single" w:color="808080" w:sz="4" w:space="0"/>
            <w:right w:val="single" w:color="808080" w:sz="6" w:space="0"/>
            <w:insideH w:val="outset" w:color="auto" w:sz="6" w:space="0"/>
            <w:insideV w:val="outset" w:color="auto" w:sz="6" w:space="0"/>
          </w:tblBorders>
          <w:shd w:val="clear" w:color="auto" w:fill="FFFFFF"/>
          <w:tblCellMar>
            <w:top w:w="0" w:type="dxa"/>
            <w:left w:w="108" w:type="dxa"/>
            <w:bottom w:w="0" w:type="dxa"/>
            <w:right w:w="108" w:type="dxa"/>
          </w:tblCellMar>
        </w:tblPrEx>
        <w:trPr>
          <w:trHeight w:val="679" w:hRule="atLeast"/>
          <w:jc w:val="center"/>
        </w:trPr>
        <w:tc>
          <w:tcPr>
            <w:tcW w:w="905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总分</w:t>
            </w:r>
          </w:p>
        </w:tc>
        <w:tc>
          <w:tcPr>
            <w:tcW w:w="8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utoSpaceDE/>
              <w:autoSpaceDN/>
              <w:snapToGrid w:val="0"/>
              <w:spacing w:before="0" w:beforeAutospacing="0" w:after="0" w:afterAutospacing="0" w:line="240" w:lineRule="auto"/>
              <w:ind w:left="0" w:right="0" w:firstLine="0" w:firstLineChars="0"/>
              <w:jc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100</w:t>
            </w:r>
          </w:p>
        </w:tc>
      </w:tr>
    </w:tbl>
    <w:p>
      <w:pPr>
        <w:keepNext w:val="0"/>
        <w:keepLines w:val="0"/>
        <w:widowControl w:val="0"/>
        <w:suppressLineNumbers w:val="0"/>
        <w:spacing w:before="0" w:beforeAutospacing="0" w:after="0" w:afterAutospacing="0" w:line="264" w:lineRule="auto"/>
        <w:ind w:left="0" w:right="0" w:firstLine="480" w:firstLineChars="200"/>
        <w:jc w:val="both"/>
        <w:outlineLvl w:val="1"/>
        <w:rPr>
          <w:rFonts w:hint="eastAsia" w:ascii="宋体" w:hAnsi="宋体" w:eastAsia="宋体" w:cs="宋体"/>
          <w:kern w:val="2"/>
          <w:sz w:val="24"/>
          <w:szCs w:val="24"/>
        </w:rPr>
      </w:pPr>
      <w:bookmarkStart w:id="1167" w:name="_Toc14125"/>
      <w:bookmarkStart w:id="1168" w:name="_Toc1604"/>
      <w:bookmarkStart w:id="1169" w:name="_Toc7853"/>
      <w:r>
        <w:rPr>
          <w:rFonts w:hint="eastAsia" w:ascii="宋体" w:hAnsi="宋体" w:eastAsia="宋体" w:cs="宋体"/>
          <w:kern w:val="2"/>
          <w:sz w:val="24"/>
          <w:szCs w:val="24"/>
          <w:lang w:val="en-US" w:eastAsia="zh-CN" w:bidi="ar"/>
        </w:rPr>
        <w:t>11.供应商不得有下列情形</w:t>
      </w:r>
      <w:bookmarkEnd w:id="1167"/>
      <w:bookmarkEnd w:id="1168"/>
      <w:bookmarkEnd w:id="1169"/>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供应商有下列情形之一的，处以政府采购项目成交金额5‰以上10‰以下的罚款，列入不良行为记录名单，在一至三年内禁止参加政府采购活动，并予以公告，有违法所得的，并处没收违法所得</w:t>
      </w:r>
      <w:r>
        <w:rPr>
          <w:rFonts w:hint="eastAsia" w:ascii="宋体" w:hAnsi="宋体" w:cs="宋体"/>
          <w:kern w:val="2"/>
          <w:sz w:val="24"/>
          <w:szCs w:val="24"/>
          <w:lang w:val="en-US" w:eastAsia="zh-CN" w:bidi="ar"/>
        </w:rPr>
        <w:t>，</w:t>
      </w:r>
      <w:r>
        <w:rPr>
          <w:rFonts w:hint="eastAsia" w:ascii="宋体" w:hAnsi="宋体" w:eastAsia="宋体" w:cs="宋体"/>
          <w:kern w:val="2"/>
          <w:sz w:val="24"/>
          <w:szCs w:val="24"/>
          <w:lang w:val="en-US" w:eastAsia="zh-CN" w:bidi="ar"/>
        </w:rPr>
        <w:t>情节严重的，由市场监督管理机关吊销营业执照，构成犯罪的，依法追究刑事责任。同时将取消成交资格或者认定成交无效。</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11.1提供虚假材料谋取成交；</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11.2采取不正当手段诋毁、排挤其他供应商；</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11.3与采购人、其他供应商恶意串通；</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11.4向采购人、评审小组成员行贿或者提供其他不正当利益；</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11.5在磋商过程中与采购人进行协商谈判；</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11.6成交供应商无正当理由拖延或者不与采购人采购合同；</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11.7未按照采购文件确定的事项签订采购合同；</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11.8将政府采购合同转包或者违规分包；</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11.9提供假冒伪劣产品；</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11.10擅自变更、中止或者终止采购合同；</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11.11拒绝有关部门的监督检查或者向监督检查部门提供虚假情况；</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11.12法律法规规定的其他情形。</w:t>
      </w:r>
    </w:p>
    <w:p>
      <w:pPr>
        <w:keepNext w:val="0"/>
        <w:keepLines w:val="0"/>
        <w:widowControl w:val="0"/>
        <w:suppressLineNumbers w:val="0"/>
        <w:spacing w:before="0" w:beforeAutospacing="0" w:after="0" w:afterAutospacing="0" w:line="264" w:lineRule="auto"/>
        <w:ind w:left="0" w:right="0" w:firstLine="480" w:firstLineChars="200"/>
        <w:jc w:val="both"/>
        <w:outlineLvl w:val="1"/>
        <w:rPr>
          <w:rFonts w:hint="eastAsia" w:ascii="宋体" w:hAnsi="宋体" w:eastAsia="宋体" w:cs="宋体"/>
          <w:kern w:val="2"/>
          <w:sz w:val="24"/>
          <w:szCs w:val="24"/>
        </w:rPr>
      </w:pPr>
      <w:bookmarkStart w:id="1170" w:name="_Toc6866"/>
      <w:bookmarkStart w:id="1171" w:name="_Toc18709"/>
      <w:bookmarkStart w:id="1172" w:name="_Toc29541"/>
      <w:r>
        <w:rPr>
          <w:rFonts w:hint="eastAsia" w:ascii="宋体" w:hAnsi="宋体" w:eastAsia="宋体" w:cs="宋体"/>
          <w:kern w:val="2"/>
          <w:sz w:val="24"/>
          <w:szCs w:val="24"/>
          <w:lang w:val="en-US" w:eastAsia="zh-CN" w:bidi="ar"/>
        </w:rPr>
        <w:t>12.磋商串通行为</w:t>
      </w:r>
      <w:bookmarkEnd w:id="1170"/>
      <w:bookmarkEnd w:id="1171"/>
      <w:bookmarkEnd w:id="1172"/>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磋商过程中，有下列情形之一的，属串通行为，其磋商无效：</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12.1不同供应商的响应文件由同一单位或者个人编制；</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12.2不同供应商委托同一单位或者个人办理磋商活动事宜；</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12.3不同供应商的响应文件载明的项目管理成员或者联系人员为同一人；</w:t>
      </w:r>
    </w:p>
    <w:p>
      <w:pPr>
        <w:keepNext w:val="0"/>
        <w:keepLines w:val="0"/>
        <w:widowControl w:val="0"/>
        <w:suppressLineNumbers w:val="0"/>
        <w:spacing w:before="0" w:beforeAutospacing="0" w:after="0" w:afterAutospacing="0" w:line="264"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12.4不同供应商的响应文件异常一致或者磋商报价呈规律性差异；</w:t>
      </w:r>
    </w:p>
    <w:p>
      <w:pPr>
        <w:spacing w:line="264" w:lineRule="auto"/>
        <w:ind w:firstLine="480" w:firstLineChars="200"/>
        <w:jc w:val="both"/>
        <w:rPr>
          <w:rFonts w:hint="eastAsia" w:ascii="宋体" w:hAnsi="宋体" w:eastAsia="宋体" w:cs="宋体"/>
          <w:b/>
          <w:bCs w:val="0"/>
          <w:kern w:val="2"/>
          <w:sz w:val="36"/>
          <w:szCs w:val="36"/>
        </w:rPr>
      </w:pPr>
      <w:r>
        <w:rPr>
          <w:rFonts w:hint="eastAsia" w:ascii="宋体" w:hAnsi="宋体" w:eastAsia="宋体" w:cs="宋体"/>
          <w:kern w:val="2"/>
          <w:sz w:val="24"/>
          <w:szCs w:val="24"/>
          <w:lang w:val="en-US" w:eastAsia="zh-CN" w:bidi="ar"/>
        </w:rPr>
        <w:t>12.5不同供应商的响应文件相互</w:t>
      </w:r>
      <w:r>
        <w:rPr>
          <w:rFonts w:hint="eastAsia" w:ascii="宋体" w:hAnsi="宋体" w:cs="宋体"/>
          <w:kern w:val="2"/>
          <w:sz w:val="24"/>
          <w:szCs w:val="24"/>
          <w:lang w:val="en-US" w:eastAsia="zh-CN" w:bidi="ar"/>
        </w:rPr>
        <w:t>上传</w:t>
      </w:r>
      <w:r>
        <w:rPr>
          <w:rFonts w:hint="eastAsia" w:ascii="宋体" w:hAnsi="宋体" w:eastAsia="宋体" w:cs="宋体"/>
          <w:kern w:val="2"/>
          <w:sz w:val="24"/>
          <w:szCs w:val="24"/>
          <w:lang w:val="en-US" w:eastAsia="zh-CN" w:bidi="ar"/>
        </w:rPr>
        <w:t>；</w:t>
      </w:r>
    </w:p>
    <w:p>
      <w:pPr>
        <w:pStyle w:val="3"/>
        <w:widowControl/>
        <w:spacing w:before="312" w:beforeAutospacing="0" w:after="312" w:afterAutospacing="0" w:line="312" w:lineRule="auto"/>
        <w:ind w:left="0" w:firstLine="0" w:firstLineChars="0"/>
        <w:jc w:val="center"/>
        <w:outlineLvl w:val="9"/>
        <w:rPr>
          <w:rFonts w:hint="eastAsia" w:ascii="宋体" w:hAnsi="宋体" w:eastAsia="宋体" w:cs="宋体"/>
          <w:b/>
          <w:bCs w:val="0"/>
          <w:kern w:val="2"/>
          <w:sz w:val="36"/>
          <w:szCs w:val="36"/>
        </w:rPr>
      </w:pPr>
    </w:p>
    <w:p>
      <w:pPr>
        <w:pStyle w:val="3"/>
        <w:widowControl/>
        <w:spacing w:before="312" w:beforeAutospacing="0" w:after="312" w:afterAutospacing="0" w:line="312" w:lineRule="auto"/>
        <w:ind w:left="0" w:firstLine="0" w:firstLineChars="0"/>
        <w:jc w:val="center"/>
        <w:outlineLvl w:val="9"/>
        <w:rPr>
          <w:rFonts w:hint="eastAsia" w:ascii="宋体" w:hAnsi="宋体" w:eastAsia="宋体" w:cs="宋体"/>
          <w:b/>
          <w:bCs w:val="0"/>
          <w:kern w:val="2"/>
          <w:sz w:val="36"/>
          <w:szCs w:val="36"/>
        </w:rPr>
      </w:pPr>
    </w:p>
    <w:p>
      <w:pPr>
        <w:pStyle w:val="3"/>
        <w:widowControl/>
        <w:spacing w:before="312" w:beforeAutospacing="0" w:after="312" w:afterAutospacing="0" w:line="312" w:lineRule="auto"/>
        <w:ind w:left="0" w:firstLine="0" w:firstLineChars="0"/>
        <w:jc w:val="center"/>
        <w:outlineLvl w:val="9"/>
        <w:rPr>
          <w:rFonts w:hint="eastAsia" w:ascii="宋体" w:hAnsi="宋体" w:eastAsia="宋体" w:cs="宋体"/>
          <w:b/>
          <w:bCs w:val="0"/>
          <w:kern w:val="2"/>
          <w:sz w:val="36"/>
          <w:szCs w:val="36"/>
        </w:rPr>
      </w:pPr>
    </w:p>
    <w:p>
      <w:pPr>
        <w:pStyle w:val="3"/>
        <w:widowControl/>
        <w:spacing w:before="312" w:beforeAutospacing="0" w:after="312" w:afterAutospacing="0" w:line="312" w:lineRule="auto"/>
        <w:ind w:left="0" w:firstLine="0" w:firstLineChars="0"/>
        <w:jc w:val="center"/>
        <w:outlineLvl w:val="9"/>
        <w:rPr>
          <w:rFonts w:hint="eastAsia" w:ascii="宋体" w:hAnsi="宋体" w:eastAsia="宋体" w:cs="宋体"/>
          <w:b/>
          <w:bCs w:val="0"/>
          <w:kern w:val="2"/>
          <w:sz w:val="36"/>
          <w:szCs w:val="36"/>
        </w:rPr>
      </w:pPr>
    </w:p>
    <w:p>
      <w:pPr>
        <w:pStyle w:val="3"/>
        <w:widowControl/>
        <w:spacing w:before="312" w:beforeAutospacing="0" w:after="312" w:afterAutospacing="0" w:line="312" w:lineRule="auto"/>
        <w:ind w:left="0" w:firstLine="0" w:firstLineChars="0"/>
        <w:jc w:val="center"/>
        <w:outlineLvl w:val="9"/>
        <w:rPr>
          <w:rFonts w:hint="eastAsia" w:ascii="宋体" w:hAnsi="宋体" w:eastAsia="宋体" w:cs="宋体"/>
          <w:b/>
          <w:bCs w:val="0"/>
          <w:kern w:val="2"/>
          <w:sz w:val="36"/>
          <w:szCs w:val="36"/>
        </w:rPr>
      </w:pPr>
    </w:p>
    <w:p>
      <w:pPr>
        <w:pStyle w:val="3"/>
        <w:widowControl/>
        <w:spacing w:before="312" w:beforeAutospacing="0" w:after="312" w:afterAutospacing="0" w:line="312" w:lineRule="auto"/>
        <w:ind w:left="0" w:firstLine="0" w:firstLineChars="0"/>
        <w:jc w:val="center"/>
        <w:outlineLvl w:val="9"/>
        <w:rPr>
          <w:rFonts w:hint="eastAsia" w:ascii="宋体" w:hAnsi="宋体" w:eastAsia="宋体" w:cs="宋体"/>
          <w:b/>
          <w:bCs w:val="0"/>
          <w:kern w:val="2"/>
          <w:sz w:val="36"/>
          <w:szCs w:val="36"/>
        </w:rPr>
      </w:pPr>
    </w:p>
    <w:p>
      <w:pPr>
        <w:pStyle w:val="3"/>
        <w:widowControl/>
        <w:spacing w:before="312" w:beforeAutospacing="0" w:after="312" w:afterAutospacing="0" w:line="312" w:lineRule="auto"/>
        <w:ind w:left="0" w:firstLine="0" w:firstLineChars="0"/>
        <w:jc w:val="center"/>
        <w:outlineLvl w:val="9"/>
        <w:rPr>
          <w:rFonts w:hint="eastAsia" w:ascii="宋体" w:hAnsi="宋体" w:eastAsia="宋体" w:cs="宋体"/>
          <w:b/>
          <w:bCs w:val="0"/>
          <w:kern w:val="2"/>
          <w:sz w:val="36"/>
          <w:szCs w:val="36"/>
        </w:rPr>
      </w:pPr>
    </w:p>
    <w:p>
      <w:pPr>
        <w:pStyle w:val="3"/>
        <w:widowControl/>
        <w:spacing w:before="312" w:beforeAutospacing="0" w:after="312" w:afterAutospacing="0" w:line="312" w:lineRule="auto"/>
        <w:ind w:left="0" w:firstLine="0" w:firstLineChars="0"/>
        <w:jc w:val="center"/>
        <w:outlineLvl w:val="9"/>
        <w:rPr>
          <w:rFonts w:hint="eastAsia" w:ascii="宋体" w:hAnsi="宋体" w:eastAsia="宋体" w:cs="宋体"/>
          <w:b/>
          <w:bCs w:val="0"/>
          <w:kern w:val="2"/>
          <w:sz w:val="36"/>
          <w:szCs w:val="36"/>
        </w:rPr>
      </w:pPr>
    </w:p>
    <w:p>
      <w:pPr>
        <w:pStyle w:val="3"/>
        <w:widowControl/>
        <w:spacing w:before="312" w:beforeAutospacing="0" w:after="312" w:afterAutospacing="0" w:line="312" w:lineRule="auto"/>
        <w:ind w:left="0" w:firstLine="0" w:firstLineChars="0"/>
        <w:jc w:val="center"/>
        <w:outlineLvl w:val="9"/>
        <w:rPr>
          <w:rFonts w:hint="eastAsia" w:ascii="宋体" w:hAnsi="宋体" w:eastAsia="宋体" w:cs="宋体"/>
          <w:b/>
          <w:bCs w:val="0"/>
          <w:kern w:val="2"/>
          <w:sz w:val="36"/>
          <w:szCs w:val="36"/>
        </w:rPr>
      </w:pPr>
    </w:p>
    <w:p>
      <w:pPr>
        <w:pStyle w:val="3"/>
        <w:widowControl/>
        <w:spacing w:before="312" w:beforeAutospacing="0" w:after="312" w:afterAutospacing="0" w:line="312" w:lineRule="auto"/>
        <w:ind w:left="0" w:firstLine="0" w:firstLineChars="0"/>
        <w:jc w:val="center"/>
        <w:outlineLvl w:val="9"/>
        <w:rPr>
          <w:rFonts w:hint="eastAsia" w:ascii="宋体" w:hAnsi="宋体" w:eastAsia="宋体" w:cs="宋体"/>
          <w:b/>
          <w:bCs w:val="0"/>
          <w:kern w:val="2"/>
          <w:sz w:val="36"/>
          <w:szCs w:val="36"/>
        </w:rPr>
      </w:pPr>
    </w:p>
    <w:p>
      <w:pPr>
        <w:pStyle w:val="3"/>
        <w:widowControl/>
        <w:spacing w:before="312" w:beforeAutospacing="0" w:after="312" w:afterAutospacing="0" w:line="312" w:lineRule="auto"/>
        <w:ind w:left="0" w:firstLine="0" w:firstLineChars="0"/>
        <w:jc w:val="center"/>
        <w:outlineLvl w:val="9"/>
        <w:rPr>
          <w:rFonts w:hint="eastAsia" w:ascii="宋体" w:hAnsi="宋体" w:eastAsia="宋体" w:cs="宋体"/>
          <w:b/>
          <w:bCs w:val="0"/>
          <w:kern w:val="2"/>
          <w:sz w:val="36"/>
          <w:szCs w:val="36"/>
        </w:rPr>
      </w:pPr>
    </w:p>
    <w:p>
      <w:pPr>
        <w:pStyle w:val="3"/>
        <w:widowControl/>
        <w:spacing w:before="312" w:beforeAutospacing="0" w:after="312" w:afterAutospacing="0" w:line="312" w:lineRule="auto"/>
        <w:ind w:left="0" w:firstLine="0" w:firstLineChars="0"/>
        <w:jc w:val="center"/>
        <w:outlineLvl w:val="9"/>
        <w:rPr>
          <w:rFonts w:hint="eastAsia" w:ascii="宋体" w:hAnsi="宋体" w:eastAsia="宋体" w:cs="宋体"/>
          <w:b/>
          <w:bCs w:val="0"/>
          <w:kern w:val="2"/>
          <w:sz w:val="36"/>
          <w:szCs w:val="36"/>
        </w:rPr>
      </w:pPr>
    </w:p>
    <w:p>
      <w:pPr>
        <w:rPr>
          <w:rFonts w:hint="eastAsia"/>
        </w:rPr>
      </w:pPr>
    </w:p>
    <w:p>
      <w:pPr>
        <w:pStyle w:val="3"/>
        <w:widowControl/>
        <w:spacing w:before="312" w:beforeAutospacing="0" w:after="312" w:afterAutospacing="0" w:line="312" w:lineRule="auto"/>
        <w:ind w:left="0" w:firstLine="0" w:firstLineChars="0"/>
        <w:jc w:val="center"/>
        <w:rPr>
          <w:rFonts w:hint="eastAsia" w:ascii="宋体" w:hAnsi="宋体" w:eastAsia="宋体" w:cs="宋体"/>
          <w:b/>
          <w:bCs w:val="0"/>
          <w:kern w:val="2"/>
          <w:sz w:val="36"/>
          <w:szCs w:val="36"/>
        </w:rPr>
      </w:pPr>
      <w:bookmarkStart w:id="1173" w:name="_Toc26788"/>
      <w:r>
        <w:rPr>
          <w:rFonts w:hint="eastAsia" w:ascii="宋体" w:hAnsi="宋体" w:eastAsia="宋体" w:cs="宋体"/>
          <w:b/>
          <w:bCs w:val="0"/>
          <w:kern w:val="2"/>
          <w:sz w:val="36"/>
          <w:szCs w:val="36"/>
        </w:rPr>
        <w:t>第五章 合同主要条款</w:t>
      </w:r>
      <w:r>
        <w:rPr>
          <w:rStyle w:val="150"/>
          <w:rFonts w:hint="eastAsia" w:ascii="新宋体" w:hAnsi="新宋体" w:eastAsia="新宋体" w:cs="新宋体"/>
        </w:rPr>
        <w:t>及格式</w:t>
      </w:r>
      <w:bookmarkEnd w:id="1173"/>
    </w:p>
    <w:p>
      <w:pPr>
        <w:keepNext w:val="0"/>
        <w:keepLines w:val="0"/>
        <w:widowControl w:val="0"/>
        <w:suppressLineNumbers w:val="0"/>
        <w:spacing w:before="0" w:beforeAutospacing="0" w:after="0" w:afterAutospacing="0" w:line="500" w:lineRule="exact"/>
        <w:ind w:left="0" w:right="0" w:firstLine="0" w:firstLineChars="0"/>
        <w:jc w:val="both"/>
        <w:rPr>
          <w:rFonts w:hint="eastAsia" w:ascii="宋体" w:hAnsi="宋体" w:eastAsia="宋体" w:cs="宋体"/>
          <w:b/>
          <w:bCs/>
          <w:kern w:val="0"/>
          <w:sz w:val="72"/>
          <w:szCs w:val="72"/>
        </w:rPr>
      </w:pPr>
      <w:r>
        <w:rPr>
          <w:rFonts w:hint="eastAsia" w:ascii="宋体" w:hAnsi="宋体" w:eastAsia="宋体" w:cs="宋体"/>
          <w:b/>
          <w:bCs/>
          <w:kern w:val="0"/>
          <w:sz w:val="72"/>
          <w:szCs w:val="72"/>
          <w:lang w:val="en-US" w:eastAsia="zh-CN" w:bidi="ar"/>
        </w:rPr>
        <w:t xml:space="preserve"> </w:t>
      </w:r>
    </w:p>
    <w:p>
      <w:pPr>
        <w:keepNext w:val="0"/>
        <w:keepLines w:val="0"/>
        <w:widowControl w:val="0"/>
        <w:suppressLineNumbers w:val="0"/>
        <w:spacing w:before="0" w:beforeAutospacing="0" w:after="0" w:afterAutospacing="0" w:line="500" w:lineRule="exact"/>
        <w:ind w:left="0" w:right="0" w:firstLine="1446" w:firstLineChars="200"/>
        <w:jc w:val="center"/>
        <w:rPr>
          <w:rFonts w:hint="eastAsia" w:ascii="宋体" w:hAnsi="宋体" w:eastAsia="宋体" w:cs="宋体"/>
          <w:b/>
          <w:bCs/>
          <w:kern w:val="0"/>
          <w:sz w:val="72"/>
          <w:szCs w:val="72"/>
        </w:rPr>
      </w:pPr>
      <w:r>
        <w:rPr>
          <w:rFonts w:hint="eastAsia" w:ascii="宋体" w:hAnsi="宋体" w:eastAsia="宋体" w:cs="宋体"/>
          <w:b/>
          <w:bCs/>
          <w:kern w:val="0"/>
          <w:sz w:val="72"/>
          <w:szCs w:val="72"/>
          <w:lang w:val="en-US" w:eastAsia="zh-CN" w:bidi="ar"/>
        </w:rPr>
        <w:t xml:space="preserve"> </w:t>
      </w:r>
    </w:p>
    <w:p>
      <w:pPr>
        <w:keepNext w:val="0"/>
        <w:keepLines w:val="0"/>
        <w:widowControl w:val="0"/>
        <w:suppressLineNumbers w:val="0"/>
        <w:spacing w:before="0" w:beforeAutospacing="0" w:after="0" w:afterAutospacing="0" w:line="500" w:lineRule="exact"/>
        <w:ind w:left="0" w:right="0" w:firstLine="1446" w:firstLineChars="200"/>
        <w:jc w:val="center"/>
        <w:rPr>
          <w:rFonts w:hint="eastAsia" w:ascii="宋体" w:hAnsi="宋体" w:eastAsia="宋体" w:cs="宋体"/>
          <w:b/>
          <w:bCs/>
          <w:kern w:val="0"/>
          <w:sz w:val="72"/>
          <w:szCs w:val="72"/>
        </w:rPr>
      </w:pPr>
      <w:r>
        <w:rPr>
          <w:rFonts w:hint="eastAsia" w:ascii="宋体" w:hAnsi="宋体" w:eastAsia="宋体" w:cs="宋体"/>
          <w:b/>
          <w:bCs/>
          <w:kern w:val="0"/>
          <w:sz w:val="72"/>
          <w:szCs w:val="72"/>
          <w:lang w:val="en-US" w:eastAsia="zh-CN" w:bidi="ar"/>
        </w:rPr>
        <w:t xml:space="preserve"> </w:t>
      </w:r>
    </w:p>
    <w:p>
      <w:pPr>
        <w:pStyle w:val="3"/>
        <w:widowControl/>
        <w:spacing w:before="312" w:beforeAutospacing="0" w:after="312" w:afterAutospacing="0"/>
        <w:ind w:left="0" w:firstLine="0" w:firstLineChars="0"/>
        <w:jc w:val="center"/>
        <w:outlineLvl w:val="1"/>
        <w:rPr>
          <w:rFonts w:hint="default" w:ascii="Times New Roman" w:hAnsi="Times New Roman" w:eastAsia="宋体" w:cs="宋体"/>
          <w:b/>
          <w:bCs w:val="0"/>
          <w:kern w:val="2"/>
          <w:sz w:val="72"/>
          <w:szCs w:val="72"/>
        </w:rPr>
      </w:pPr>
      <w:bookmarkStart w:id="1174" w:name="_Toc1810"/>
      <w:bookmarkStart w:id="1175" w:name="_Toc12417"/>
      <w:bookmarkStart w:id="1176" w:name="_Toc14918"/>
      <w:r>
        <w:rPr>
          <w:rFonts w:hint="eastAsia" w:ascii="宋体" w:hAnsi="宋体" w:eastAsia="宋体" w:cs="宋体"/>
          <w:b/>
          <w:bCs w:val="0"/>
          <w:kern w:val="2"/>
          <w:sz w:val="72"/>
          <w:szCs w:val="72"/>
        </w:rPr>
        <w:t>采</w:t>
      </w:r>
      <w:r>
        <w:rPr>
          <w:rFonts w:hint="eastAsia" w:ascii="Times New Roman" w:hAnsi="Times New Roman" w:eastAsia="宋体" w:cs="宋体"/>
          <w:b/>
          <w:bCs w:val="0"/>
          <w:kern w:val="2"/>
          <w:sz w:val="72"/>
          <w:szCs w:val="72"/>
        </w:rPr>
        <w:t xml:space="preserve"> </w:t>
      </w:r>
      <w:r>
        <w:rPr>
          <w:rFonts w:hint="eastAsia" w:ascii="宋体" w:hAnsi="宋体" w:eastAsia="宋体" w:cs="宋体"/>
          <w:b/>
          <w:bCs w:val="0"/>
          <w:kern w:val="2"/>
          <w:sz w:val="72"/>
          <w:szCs w:val="72"/>
        </w:rPr>
        <w:t>购</w:t>
      </w:r>
      <w:r>
        <w:rPr>
          <w:rFonts w:hint="eastAsia" w:ascii="Times New Roman" w:hAnsi="Times New Roman" w:eastAsia="宋体" w:cs="宋体"/>
          <w:b/>
          <w:bCs w:val="0"/>
          <w:kern w:val="2"/>
          <w:sz w:val="72"/>
          <w:szCs w:val="72"/>
        </w:rPr>
        <w:t xml:space="preserve"> </w:t>
      </w:r>
      <w:r>
        <w:rPr>
          <w:rFonts w:hint="eastAsia" w:ascii="宋体" w:hAnsi="宋体" w:eastAsia="宋体" w:cs="宋体"/>
          <w:b/>
          <w:bCs w:val="0"/>
          <w:kern w:val="2"/>
          <w:sz w:val="72"/>
          <w:szCs w:val="72"/>
        </w:rPr>
        <w:t>合</w:t>
      </w:r>
      <w:r>
        <w:rPr>
          <w:rFonts w:hint="eastAsia" w:ascii="Times New Roman" w:hAnsi="Times New Roman" w:eastAsia="宋体" w:cs="宋体"/>
          <w:b/>
          <w:bCs w:val="0"/>
          <w:kern w:val="2"/>
          <w:sz w:val="72"/>
          <w:szCs w:val="72"/>
        </w:rPr>
        <w:t xml:space="preserve"> </w:t>
      </w:r>
      <w:r>
        <w:rPr>
          <w:rFonts w:hint="eastAsia" w:ascii="宋体" w:hAnsi="宋体" w:eastAsia="宋体" w:cs="宋体"/>
          <w:b/>
          <w:bCs w:val="0"/>
          <w:kern w:val="2"/>
          <w:sz w:val="72"/>
          <w:szCs w:val="72"/>
        </w:rPr>
        <w:t>同</w:t>
      </w:r>
      <w:bookmarkEnd w:id="1174"/>
      <w:bookmarkEnd w:id="1175"/>
      <w:bookmarkEnd w:id="1176"/>
    </w:p>
    <w:p>
      <w:pPr>
        <w:keepNext w:val="0"/>
        <w:keepLines w:val="0"/>
        <w:widowControl w:val="0"/>
        <w:suppressLineNumbers w:val="0"/>
        <w:spacing w:before="0" w:beforeAutospacing="0" w:after="0" w:afterAutospacing="0" w:line="500" w:lineRule="exact"/>
        <w:ind w:left="0" w:right="0" w:firstLine="482" w:firstLineChars="200"/>
        <w:jc w:val="both"/>
        <w:rPr>
          <w:rFonts w:hint="eastAsia" w:ascii="宋体" w:hAnsi="宋体" w:eastAsia="宋体" w:cs="宋体"/>
          <w:kern w:val="2"/>
          <w:sz w:val="24"/>
          <w:szCs w:val="24"/>
        </w:rPr>
      </w:pPr>
      <w:r>
        <w:rPr>
          <w:rFonts w:hint="eastAsia" w:ascii="宋体" w:hAnsi="宋体" w:eastAsia="宋体" w:cs="宋体"/>
          <w:b/>
          <w:bCs w:val="0"/>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482" w:firstLineChars="200"/>
        <w:jc w:val="both"/>
        <w:rPr>
          <w:rFonts w:hint="eastAsia" w:ascii="宋体" w:hAnsi="宋体" w:eastAsia="宋体" w:cs="宋体"/>
          <w:kern w:val="2"/>
          <w:sz w:val="24"/>
          <w:szCs w:val="24"/>
        </w:rPr>
      </w:pPr>
      <w:r>
        <w:rPr>
          <w:rFonts w:hint="eastAsia" w:ascii="宋体" w:hAnsi="宋体" w:eastAsia="宋体" w:cs="宋体"/>
          <w:b/>
          <w:bCs w:val="0"/>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482" w:firstLineChars="200"/>
        <w:jc w:val="both"/>
        <w:rPr>
          <w:rFonts w:hint="eastAsia" w:ascii="宋体" w:hAnsi="宋体" w:eastAsia="宋体" w:cs="宋体"/>
          <w:kern w:val="2"/>
          <w:sz w:val="24"/>
          <w:szCs w:val="24"/>
        </w:rPr>
      </w:pPr>
      <w:r>
        <w:rPr>
          <w:rFonts w:hint="eastAsia" w:ascii="宋体" w:hAnsi="宋体" w:eastAsia="宋体" w:cs="宋体"/>
          <w:b/>
          <w:bCs w:val="0"/>
          <w:kern w:val="2"/>
          <w:sz w:val="24"/>
          <w:szCs w:val="24"/>
          <w:lang w:val="en-US" w:eastAsia="zh-CN" w:bidi="ar"/>
        </w:rPr>
        <w:t xml:space="preserve">                                            合同编号：</w:t>
      </w:r>
      <w:r>
        <w:rPr>
          <w:rFonts w:hint="eastAsia" w:ascii="宋体" w:hAnsi="宋体" w:eastAsia="宋体" w:cs="宋体"/>
          <w:b/>
          <w:bCs w:val="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960" w:firstLineChars="4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项目名称：</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napToGrid w:val="0"/>
        <w:spacing w:before="119" w:beforeAutospacing="0" w:after="0" w:afterAutospacing="0" w:line="272" w:lineRule="atLeast"/>
        <w:ind w:left="958"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119" w:beforeAutospacing="0" w:after="0" w:afterAutospacing="0" w:line="272" w:lineRule="atLeast"/>
        <w:ind w:left="958"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119" w:beforeAutospacing="0" w:after="0" w:afterAutospacing="0" w:line="272" w:lineRule="atLeas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119" w:beforeAutospacing="0" w:after="0" w:afterAutospacing="0" w:line="272" w:lineRule="atLeas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119" w:beforeAutospacing="0" w:after="0" w:afterAutospacing="0" w:line="272" w:lineRule="atLeast"/>
        <w:ind w:left="0" w:right="0" w:firstLine="960" w:firstLineChars="4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采购人：（以下称甲方） </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napToGrid w:val="0"/>
        <w:spacing w:before="119" w:beforeAutospacing="0" w:after="0" w:afterAutospacing="0" w:line="272" w:lineRule="atLeast"/>
        <w:ind w:left="958"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119" w:beforeAutospacing="0" w:after="0" w:afterAutospacing="0" w:line="272" w:lineRule="atLeast"/>
        <w:ind w:left="0" w:right="0" w:firstLine="960" w:firstLineChars="4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成交供应商：（以下称乙方） </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napToGrid w:val="0"/>
        <w:spacing w:before="119" w:beforeAutospacing="0" w:after="0" w:afterAutospacing="0" w:line="272" w:lineRule="atLeast"/>
        <w:ind w:left="958"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119" w:beforeAutospacing="0" w:after="0" w:afterAutospacing="0" w:line="272" w:lineRule="atLeast"/>
        <w:ind w:left="958" w:right="0" w:firstLine="480" w:firstLineChars="20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pStyle w:val="35"/>
        <w:widowControl/>
        <w:ind w:left="0" w:firstLine="240"/>
        <w:rPr>
          <w:rFonts w:hint="eastAsia" w:ascii="宋体" w:hAnsi="宋体" w:eastAsia="宋体" w:cs="宋体"/>
          <w:bCs/>
          <w:kern w:val="2"/>
          <w:sz w:val="24"/>
          <w:szCs w:val="24"/>
        </w:rPr>
      </w:pPr>
      <w:r>
        <w:rPr>
          <w:rFonts w:hint="eastAsia" w:ascii="宋体" w:hAnsi="宋体" w:eastAsia="宋体" w:cs="宋体"/>
          <w:bCs/>
          <w:kern w:val="2"/>
          <w:sz w:val="24"/>
          <w:szCs w:val="24"/>
        </w:rPr>
        <w:t xml:space="preserve"> </w:t>
      </w:r>
    </w:p>
    <w:p>
      <w:pPr>
        <w:pStyle w:val="32"/>
        <w:spacing w:beforeAutospacing="1" w:afterAutospacing="1" w:line="240" w:lineRule="auto"/>
        <w:ind w:left="1050" w:firstLine="0" w:firstLineChars="0"/>
        <w:jc w:val="left"/>
        <w:rPr>
          <w:rFonts w:hint="default" w:ascii="Times New Roman" w:hAnsi="Times New Roman" w:eastAsia="宋体" w:cs="宋体"/>
          <w:kern w:val="2"/>
          <w:sz w:val="24"/>
          <w:szCs w:val="24"/>
        </w:rPr>
      </w:pPr>
      <w:r>
        <w:rPr>
          <w:rFonts w:hint="default" w:ascii="Times New Roman" w:hAnsi="Times New Roman" w:eastAsia="宋体" w:cs="宋体"/>
          <w:kern w:val="2"/>
          <w:sz w:val="24"/>
          <w:szCs w:val="24"/>
          <w:lang w:val="en-US" w:eastAsia="zh-CN" w:bidi="ar"/>
        </w:rPr>
        <w:t xml:space="preserve"> </w:t>
      </w:r>
    </w:p>
    <w:p>
      <w:pPr>
        <w:keepNext w:val="0"/>
        <w:keepLines w:val="0"/>
        <w:widowControl w:val="0"/>
        <w:suppressLineNumbers w:val="0"/>
        <w:snapToGrid w:val="0"/>
        <w:spacing w:before="119" w:beforeAutospacing="0" w:after="0" w:afterAutospacing="0" w:line="272" w:lineRule="atLeast"/>
        <w:ind w:left="958" w:right="0" w:firstLine="480" w:firstLineChars="20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119" w:beforeAutospacing="0" w:after="0" w:afterAutospacing="0" w:line="272" w:lineRule="atLeast"/>
        <w:ind w:left="0" w:right="0" w:firstLine="1200" w:firstLineChars="5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签署地点：</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napToGrid w:val="0"/>
        <w:spacing w:before="119" w:beforeAutospacing="0" w:after="0" w:afterAutospacing="0" w:line="272" w:lineRule="atLeast"/>
        <w:ind w:left="958"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119" w:beforeAutospacing="0" w:after="0" w:afterAutospacing="0" w:line="272" w:lineRule="atLeast"/>
        <w:ind w:left="0" w:right="0" w:firstLine="1200" w:firstLineChars="5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签署日期：</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00" w:lineRule="exact"/>
        <w:ind w:left="0" w:right="0" w:firstLine="0" w:firstLineChars="0"/>
        <w:jc w:val="both"/>
        <w:rPr>
          <w:rFonts w:hint="default" w:ascii="华文仿宋" w:hAnsi="华文仿宋" w:eastAsia="华文仿宋" w:cs="宋体"/>
          <w:b/>
          <w:bCs/>
          <w:spacing w:val="-20"/>
          <w:kern w:val="2"/>
          <w:sz w:val="24"/>
          <w:szCs w:val="24"/>
        </w:rPr>
      </w:pPr>
      <w:r>
        <w:rPr>
          <w:rFonts w:hint="default" w:ascii="华文仿宋" w:hAnsi="华文仿宋" w:eastAsia="华文仿宋" w:cs="宋体"/>
          <w:b/>
          <w:bCs/>
          <w:spacing w:val="-20"/>
          <w:kern w:val="2"/>
          <w:sz w:val="24"/>
          <w:szCs w:val="24"/>
          <w:lang w:val="en-US" w:eastAsia="zh-CN" w:bidi="ar"/>
        </w:rPr>
        <w:t xml:space="preserve"> </w:t>
      </w:r>
    </w:p>
    <w:p>
      <w:pPr>
        <w:keepNext w:val="0"/>
        <w:keepLines w:val="0"/>
        <w:widowControl w:val="0"/>
        <w:suppressLineNumbers w:val="0"/>
        <w:spacing w:before="0" w:beforeAutospacing="0" w:after="0" w:afterAutospacing="0" w:line="312" w:lineRule="auto"/>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36"/>
          <w:szCs w:val="36"/>
          <w:lang w:val="en-US" w:eastAsia="zh-CN" w:bidi="ar"/>
        </w:rPr>
        <w:t>国有企业采购合同</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项目名称：</w:t>
      </w:r>
    </w:p>
    <w:p>
      <w:pPr>
        <w:keepNext w:val="0"/>
        <w:keepLines w:val="0"/>
        <w:widowControl w:val="0"/>
        <w:suppressLineNumbers w:val="0"/>
        <w:snapToGrid w:val="0"/>
        <w:spacing w:before="0" w:beforeAutospacing="0" w:after="0" w:afterAutospacing="0" w:line="312" w:lineRule="auto"/>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 xml:space="preserve">项目编号：   </w:t>
      </w:r>
    </w:p>
    <w:p>
      <w:pPr>
        <w:keepNext w:val="0"/>
        <w:keepLines w:val="0"/>
        <w:widowControl w:val="0"/>
        <w:suppressLineNumbers w:val="0"/>
        <w:snapToGrid w:val="0"/>
        <w:spacing w:before="0" w:beforeAutospacing="0" w:after="0" w:afterAutospacing="0" w:line="312" w:lineRule="auto"/>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采购人：</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（以下称甲方） </w:t>
      </w:r>
    </w:p>
    <w:p>
      <w:pPr>
        <w:keepNext w:val="0"/>
        <w:keepLines w:val="0"/>
        <w:widowControl w:val="0"/>
        <w:suppressLineNumbers w:val="0"/>
        <w:snapToGrid w:val="0"/>
        <w:spacing w:before="0" w:beforeAutospacing="0" w:after="0" w:afterAutospacing="0" w:line="312" w:lineRule="auto"/>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成交供应商：</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（以下称乙方） </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年</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月</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日，</w:t>
      </w:r>
      <w:r>
        <w:rPr>
          <w:rFonts w:hint="eastAsia" w:ascii="宋体" w:hAnsi="宋体" w:eastAsia="宋体" w:cs="宋体"/>
          <w:kern w:val="2"/>
          <w:sz w:val="24"/>
          <w:szCs w:val="24"/>
          <w:u w:val="single"/>
          <w:lang w:val="en-US" w:eastAsia="zh-CN" w:bidi="ar"/>
        </w:rPr>
        <w:t xml:space="preserve">   （采购人）   </w:t>
      </w:r>
      <w:r>
        <w:rPr>
          <w:rFonts w:hint="eastAsia" w:ascii="宋体" w:hAnsi="宋体" w:eastAsia="宋体" w:cs="宋体"/>
          <w:kern w:val="2"/>
          <w:sz w:val="24"/>
          <w:szCs w:val="24"/>
          <w:lang w:val="en-US" w:eastAsia="zh-CN" w:bidi="ar"/>
        </w:rPr>
        <w:t>以</w:t>
      </w:r>
      <w:r>
        <w:rPr>
          <w:rFonts w:hint="eastAsia" w:ascii="宋体" w:hAnsi="宋体" w:eastAsia="宋体" w:cs="宋体"/>
          <w:kern w:val="2"/>
          <w:sz w:val="24"/>
          <w:szCs w:val="24"/>
          <w:u w:val="single"/>
          <w:lang w:val="en-US" w:eastAsia="zh-CN" w:bidi="ar"/>
        </w:rPr>
        <w:t xml:space="preserve">   （采购方式）  </w:t>
      </w:r>
      <w:r>
        <w:rPr>
          <w:rFonts w:hint="eastAsia" w:ascii="宋体" w:hAnsi="宋体" w:eastAsia="宋体" w:cs="宋体"/>
          <w:kern w:val="2"/>
          <w:sz w:val="24"/>
          <w:szCs w:val="24"/>
          <w:lang w:val="en-US" w:eastAsia="zh-CN" w:bidi="ar"/>
        </w:rPr>
        <w:t>对</w:t>
      </w:r>
      <w:r>
        <w:rPr>
          <w:rFonts w:hint="eastAsia" w:ascii="宋体" w:hAnsi="宋体" w:eastAsia="宋体" w:cs="宋体"/>
          <w:kern w:val="2"/>
          <w:sz w:val="24"/>
          <w:szCs w:val="24"/>
          <w:u w:val="single"/>
          <w:lang w:val="en-US" w:eastAsia="zh-CN" w:bidi="ar"/>
        </w:rPr>
        <w:t xml:space="preserve">  （项目名称）    </w:t>
      </w:r>
      <w:r>
        <w:rPr>
          <w:rFonts w:hint="eastAsia" w:ascii="宋体" w:hAnsi="宋体" w:eastAsia="宋体" w:cs="宋体"/>
          <w:kern w:val="2"/>
          <w:sz w:val="24"/>
          <w:szCs w:val="24"/>
          <w:lang w:val="en-US" w:eastAsia="zh-CN" w:bidi="ar"/>
        </w:rPr>
        <w:t>项目进行了采购。经</w:t>
      </w:r>
      <w:r>
        <w:rPr>
          <w:rFonts w:hint="eastAsia" w:ascii="宋体" w:hAnsi="宋体" w:eastAsia="宋体" w:cs="宋体"/>
          <w:kern w:val="2"/>
          <w:sz w:val="24"/>
          <w:szCs w:val="24"/>
          <w:u w:val="single"/>
          <w:lang w:val="en-US" w:eastAsia="zh-CN" w:bidi="ar"/>
        </w:rPr>
        <w:t xml:space="preserve">   （相关评定主体名称）   </w:t>
      </w:r>
      <w:r>
        <w:rPr>
          <w:rFonts w:hint="eastAsia" w:ascii="宋体" w:hAnsi="宋体" w:eastAsia="宋体" w:cs="宋体"/>
          <w:kern w:val="2"/>
          <w:sz w:val="24"/>
          <w:szCs w:val="24"/>
          <w:lang w:val="en-US" w:eastAsia="zh-CN" w:bidi="ar"/>
        </w:rPr>
        <w:t>评定，</w:t>
      </w:r>
      <w:r>
        <w:rPr>
          <w:rFonts w:hint="eastAsia" w:ascii="宋体" w:hAnsi="宋体" w:eastAsia="宋体" w:cs="宋体"/>
          <w:kern w:val="2"/>
          <w:sz w:val="24"/>
          <w:szCs w:val="24"/>
          <w:u w:val="single"/>
          <w:lang w:val="en-US" w:eastAsia="zh-CN" w:bidi="ar"/>
        </w:rPr>
        <w:t xml:space="preserve">   （中标或者成交供应商名称） </w:t>
      </w:r>
      <w:r>
        <w:rPr>
          <w:rFonts w:hint="eastAsia" w:ascii="宋体" w:hAnsi="宋体" w:eastAsia="宋体" w:cs="宋体"/>
          <w:kern w:val="2"/>
          <w:sz w:val="24"/>
          <w:szCs w:val="24"/>
          <w:lang w:val="en-US" w:eastAsia="zh-CN" w:bidi="ar"/>
        </w:rPr>
        <w:t>为该项目中标或者成交供应商。现于中标或者成交通知书发出之日起30日内，按照采购文件确定的事项签订本合同。</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根据《中华人民共和国民法典》《中华人民共和国政府采购法》等相关法律法规之规定，按照平等、自愿、公平和诚实信用的原则，经</w:t>
      </w:r>
      <w:r>
        <w:rPr>
          <w:rFonts w:hint="eastAsia" w:ascii="宋体" w:hAnsi="宋体" w:eastAsia="宋体" w:cs="宋体"/>
          <w:kern w:val="2"/>
          <w:sz w:val="24"/>
          <w:szCs w:val="24"/>
          <w:u w:val="single"/>
          <w:lang w:val="en-US" w:eastAsia="zh-CN" w:bidi="ar"/>
        </w:rPr>
        <w:t xml:space="preserve">   （采购人）   </w:t>
      </w:r>
      <w:r>
        <w:rPr>
          <w:rFonts w:hint="eastAsia" w:ascii="宋体" w:hAnsi="宋体" w:eastAsia="宋体" w:cs="宋体"/>
          <w:kern w:val="2"/>
          <w:sz w:val="24"/>
          <w:szCs w:val="24"/>
          <w:lang w:val="en-US" w:eastAsia="zh-CN" w:bidi="ar"/>
        </w:rPr>
        <w:t>(以下简称：甲方)和</w:t>
      </w:r>
      <w:r>
        <w:rPr>
          <w:rFonts w:hint="eastAsia" w:ascii="宋体" w:hAnsi="宋体" w:eastAsia="宋体" w:cs="宋体"/>
          <w:kern w:val="2"/>
          <w:sz w:val="24"/>
          <w:szCs w:val="24"/>
          <w:u w:val="single"/>
          <w:lang w:val="en-US" w:eastAsia="zh-CN" w:bidi="ar"/>
        </w:rPr>
        <w:t xml:space="preserve">   </w:t>
      </w:r>
      <w:r>
        <w:rPr>
          <w:rFonts w:hint="eastAsia" w:ascii="宋体" w:hAnsi="宋体" w:cs="宋体"/>
          <w:kern w:val="2"/>
          <w:sz w:val="24"/>
          <w:szCs w:val="24"/>
          <w:u w:val="single"/>
          <w:lang w:val="en-US" w:eastAsia="zh-CN" w:bidi="ar"/>
        </w:rPr>
        <w:t>（中标</w:t>
      </w:r>
      <w:r>
        <w:rPr>
          <w:rFonts w:hint="eastAsia" w:ascii="宋体" w:hAnsi="宋体" w:eastAsia="宋体" w:cs="宋体"/>
          <w:kern w:val="2"/>
          <w:sz w:val="24"/>
          <w:szCs w:val="24"/>
          <w:u w:val="single"/>
          <w:lang w:val="en-US" w:eastAsia="zh-CN" w:bidi="ar"/>
        </w:rPr>
        <w:t xml:space="preserve">或者成交供应商名称）   </w:t>
      </w:r>
      <w:r>
        <w:rPr>
          <w:rFonts w:hint="eastAsia" w:ascii="宋体" w:hAnsi="宋体" w:eastAsia="宋体" w:cs="宋体"/>
          <w:kern w:val="2"/>
          <w:sz w:val="24"/>
          <w:szCs w:val="24"/>
          <w:lang w:val="en-US" w:eastAsia="zh-CN" w:bidi="ar"/>
        </w:rPr>
        <w:t>(以下简称：乙方)协商一致，约定以下合同条款，以兹共同遵守、全面履行。</w:t>
      </w:r>
    </w:p>
    <w:p>
      <w:pPr>
        <w:keepNext w:val="0"/>
        <w:keepLines w:val="0"/>
        <w:widowControl w:val="0"/>
        <w:suppressLineNumbers w:val="0"/>
        <w:spacing w:before="0" w:beforeAutospacing="0" w:after="0" w:afterAutospacing="0" w:line="312" w:lineRule="auto"/>
        <w:ind w:left="0" w:right="0" w:firstLine="482" w:firstLineChars="200"/>
        <w:jc w:val="both"/>
        <w:outlineLvl w:val="1"/>
        <w:rPr>
          <w:rFonts w:hint="eastAsia" w:ascii="宋体" w:hAnsi="Times New Roman" w:eastAsia="宋体" w:cs="宋体"/>
          <w:b/>
          <w:bCs w:val="0"/>
          <w:kern w:val="2"/>
          <w:sz w:val="24"/>
          <w:szCs w:val="24"/>
        </w:rPr>
      </w:pPr>
      <w:bookmarkStart w:id="1177" w:name="_Toc2145"/>
      <w:bookmarkStart w:id="1178" w:name="_Toc16814"/>
      <w:bookmarkStart w:id="1179" w:name="_Toc26667"/>
      <w:r>
        <w:rPr>
          <w:rFonts w:hint="eastAsia" w:ascii="宋体" w:hAnsi="宋体" w:cs="宋体"/>
          <w:b/>
          <w:bCs w:val="0"/>
          <w:kern w:val="2"/>
          <w:sz w:val="24"/>
          <w:szCs w:val="24"/>
          <w:lang w:val="en-US" w:eastAsia="zh-CN" w:bidi="ar"/>
        </w:rPr>
        <w:t>一</w:t>
      </w:r>
      <w:r>
        <w:rPr>
          <w:rFonts w:hint="eastAsia" w:ascii="宋体" w:hAnsi="宋体" w:cs="宋体"/>
          <w:b/>
          <w:color w:val="auto"/>
          <w:szCs w:val="21"/>
          <w:highlight w:val="none"/>
          <w:lang w:val="en-US" w:eastAsia="zh-CN"/>
        </w:rPr>
        <w:t>、</w:t>
      </w:r>
      <w:r>
        <w:rPr>
          <w:rFonts w:hint="eastAsia" w:ascii="宋体" w:hAnsi="宋体" w:eastAsia="宋体" w:cs="宋体"/>
          <w:b/>
          <w:bCs w:val="0"/>
          <w:kern w:val="2"/>
          <w:sz w:val="24"/>
          <w:szCs w:val="24"/>
          <w:lang w:val="en-US" w:eastAsia="zh-CN" w:bidi="ar"/>
        </w:rPr>
        <w:t>合同</w:t>
      </w:r>
      <w:r>
        <w:rPr>
          <w:rFonts w:hint="eastAsia" w:ascii="宋体" w:hAnsi="宋体" w:cs="宋体"/>
          <w:b/>
          <w:bCs w:val="0"/>
          <w:kern w:val="2"/>
          <w:sz w:val="24"/>
          <w:szCs w:val="24"/>
          <w:lang w:val="en-US" w:eastAsia="zh-CN" w:bidi="ar"/>
        </w:rPr>
        <w:t>相关</w:t>
      </w:r>
      <w:r>
        <w:rPr>
          <w:rFonts w:hint="eastAsia" w:ascii="宋体" w:hAnsi="宋体" w:eastAsia="宋体" w:cs="宋体"/>
          <w:b/>
          <w:bCs w:val="0"/>
          <w:kern w:val="2"/>
          <w:sz w:val="24"/>
          <w:szCs w:val="24"/>
          <w:lang w:val="en-US" w:eastAsia="zh-CN" w:bidi="ar"/>
        </w:rPr>
        <w:t>文件组成</w:t>
      </w:r>
      <w:bookmarkEnd w:id="1177"/>
      <w:bookmarkEnd w:id="1178"/>
      <w:bookmarkEnd w:id="1179"/>
    </w:p>
    <w:p>
      <w:pPr>
        <w:pStyle w:val="32"/>
        <w:keepNext w:val="0"/>
        <w:keepLines w:val="0"/>
        <w:widowControl w:val="0"/>
        <w:suppressLineNumbers w:val="0"/>
        <w:spacing w:before="0" w:beforeAutospacing="0" w:after="0" w:afterAutospacing="0" w:line="312" w:lineRule="auto"/>
        <w:ind w:left="0" w:righ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w:t>
      </w:r>
      <w:r>
        <w:rPr>
          <w:rFonts w:hint="eastAsia" w:cs="宋体"/>
          <w:kern w:val="2"/>
          <w:sz w:val="24"/>
          <w:szCs w:val="24"/>
          <w:lang w:val="en-US" w:eastAsia="zh-CN" w:bidi="ar"/>
        </w:rPr>
        <w:t>1</w:t>
      </w:r>
      <w:r>
        <w:rPr>
          <w:rFonts w:hint="eastAsia" w:ascii="宋体" w:hAnsi="宋体" w:eastAsia="宋体" w:cs="宋体"/>
          <w:kern w:val="2"/>
          <w:sz w:val="24"/>
          <w:szCs w:val="24"/>
          <w:lang w:val="en-US" w:eastAsia="zh-CN" w:bidi="ar"/>
        </w:rPr>
        <w:t>本合同及附件</w:t>
      </w:r>
    </w:p>
    <w:p>
      <w:pPr>
        <w:pStyle w:val="32"/>
        <w:keepNext w:val="0"/>
        <w:keepLines w:val="0"/>
        <w:widowControl w:val="0"/>
        <w:suppressLineNumbers w:val="0"/>
        <w:spacing w:before="0" w:beforeAutospacing="0" w:after="0" w:afterAutospacing="0" w:line="312" w:lineRule="auto"/>
        <w:ind w:left="0" w:right="0" w:firstLine="480" w:firstLineChars="200"/>
        <w:jc w:val="left"/>
        <w:rPr>
          <w:rFonts w:hint="eastAsia" w:ascii="宋体" w:hAnsi="宋体" w:eastAsia="宋体" w:cs="宋体"/>
          <w:kern w:val="2"/>
          <w:sz w:val="24"/>
          <w:szCs w:val="24"/>
        </w:rPr>
      </w:pPr>
      <w:r>
        <w:rPr>
          <w:rFonts w:hint="eastAsia" w:cs="宋体"/>
          <w:kern w:val="2"/>
          <w:sz w:val="24"/>
          <w:szCs w:val="24"/>
          <w:lang w:val="en-US" w:eastAsia="zh-CN" w:bidi="ar"/>
        </w:rPr>
        <w:t>1.2</w:t>
      </w:r>
      <w:r>
        <w:rPr>
          <w:rFonts w:hint="eastAsia" w:ascii="宋体" w:hAnsi="宋体" w:eastAsia="宋体" w:cs="宋体"/>
          <w:kern w:val="2"/>
          <w:sz w:val="24"/>
          <w:szCs w:val="24"/>
          <w:lang w:val="en-US" w:eastAsia="zh-CN" w:bidi="ar"/>
        </w:rPr>
        <w:t>成交通知书</w:t>
      </w:r>
    </w:p>
    <w:p>
      <w:pPr>
        <w:pStyle w:val="32"/>
        <w:keepNext w:val="0"/>
        <w:keepLines w:val="0"/>
        <w:widowControl w:val="0"/>
        <w:suppressLineNumbers w:val="0"/>
        <w:spacing w:before="0" w:beforeAutospacing="0" w:after="0" w:afterAutospacing="0" w:line="312" w:lineRule="auto"/>
        <w:ind w:left="0" w:right="0" w:firstLine="480" w:firstLineChars="200"/>
        <w:jc w:val="left"/>
        <w:rPr>
          <w:rFonts w:hint="eastAsia" w:ascii="宋体" w:hAnsi="宋体" w:eastAsia="宋体" w:cs="宋体"/>
          <w:kern w:val="2"/>
          <w:sz w:val="24"/>
          <w:szCs w:val="24"/>
        </w:rPr>
      </w:pPr>
      <w:r>
        <w:rPr>
          <w:rFonts w:hint="eastAsia" w:cs="宋体"/>
          <w:kern w:val="2"/>
          <w:sz w:val="24"/>
          <w:szCs w:val="24"/>
          <w:lang w:val="en-US" w:eastAsia="zh-CN" w:bidi="ar"/>
        </w:rPr>
        <w:t>1.3</w:t>
      </w:r>
      <w:r>
        <w:rPr>
          <w:rFonts w:hint="eastAsia" w:ascii="宋体" w:hAnsi="宋体" w:eastAsia="宋体" w:cs="宋体"/>
          <w:kern w:val="2"/>
          <w:sz w:val="24"/>
          <w:szCs w:val="24"/>
          <w:lang w:val="en-US" w:eastAsia="zh-CN" w:bidi="ar"/>
        </w:rPr>
        <w:t>磋商响应文件及其附件</w:t>
      </w:r>
    </w:p>
    <w:p>
      <w:pPr>
        <w:pStyle w:val="32"/>
        <w:keepNext w:val="0"/>
        <w:keepLines w:val="0"/>
        <w:widowControl w:val="0"/>
        <w:suppressLineNumbers w:val="0"/>
        <w:spacing w:before="0" w:beforeAutospacing="0" w:after="0" w:afterAutospacing="0" w:line="312" w:lineRule="auto"/>
        <w:ind w:left="0" w:right="0" w:firstLine="480" w:firstLineChars="200"/>
        <w:jc w:val="left"/>
        <w:rPr>
          <w:rFonts w:hint="eastAsia" w:ascii="宋体" w:hAnsi="宋体" w:eastAsia="宋体" w:cs="宋体"/>
          <w:kern w:val="2"/>
          <w:sz w:val="24"/>
          <w:szCs w:val="24"/>
        </w:rPr>
      </w:pPr>
      <w:r>
        <w:rPr>
          <w:rFonts w:hint="eastAsia" w:cs="宋体"/>
          <w:kern w:val="2"/>
          <w:sz w:val="24"/>
          <w:szCs w:val="24"/>
          <w:lang w:val="en-US" w:eastAsia="zh-CN" w:bidi="ar"/>
        </w:rPr>
        <w:t>1.4</w:t>
      </w:r>
      <w:r>
        <w:rPr>
          <w:rFonts w:hint="eastAsia" w:ascii="宋体" w:hAnsi="宋体" w:eastAsia="宋体" w:cs="宋体"/>
          <w:kern w:val="2"/>
          <w:sz w:val="24"/>
          <w:szCs w:val="24"/>
          <w:lang w:val="en-US" w:eastAsia="zh-CN" w:bidi="ar"/>
        </w:rPr>
        <w:t>磋商文件</w:t>
      </w:r>
    </w:p>
    <w:p>
      <w:pPr>
        <w:pStyle w:val="32"/>
        <w:keepNext w:val="0"/>
        <w:keepLines w:val="0"/>
        <w:widowControl w:val="0"/>
        <w:suppressLineNumbers w:val="0"/>
        <w:spacing w:before="0" w:beforeAutospacing="0" w:after="0" w:afterAutospacing="0" w:line="312" w:lineRule="auto"/>
        <w:ind w:left="0" w:right="0" w:firstLine="480" w:firstLineChars="200"/>
        <w:jc w:val="left"/>
        <w:rPr>
          <w:rFonts w:hint="eastAsia" w:ascii="宋体" w:hAnsi="宋体" w:eastAsia="宋体" w:cs="宋体"/>
          <w:kern w:val="2"/>
          <w:sz w:val="24"/>
          <w:szCs w:val="24"/>
        </w:rPr>
      </w:pPr>
      <w:r>
        <w:rPr>
          <w:rFonts w:hint="eastAsia" w:cs="宋体"/>
          <w:kern w:val="2"/>
          <w:sz w:val="24"/>
          <w:szCs w:val="24"/>
          <w:lang w:val="en-US" w:eastAsia="zh-CN" w:bidi="ar"/>
        </w:rPr>
        <w:t>1.5</w:t>
      </w:r>
      <w:r>
        <w:rPr>
          <w:rFonts w:hint="eastAsia" w:ascii="宋体" w:hAnsi="宋体" w:eastAsia="宋体" w:cs="宋体"/>
          <w:kern w:val="2"/>
          <w:sz w:val="24"/>
          <w:szCs w:val="24"/>
          <w:lang w:val="en-US" w:eastAsia="zh-CN" w:bidi="ar"/>
        </w:rPr>
        <w:t>其他合同文件</w:t>
      </w:r>
    </w:p>
    <w:p>
      <w:pPr>
        <w:pStyle w:val="32"/>
        <w:keepNext w:val="0"/>
        <w:keepLines w:val="0"/>
        <w:widowControl w:val="0"/>
        <w:suppressLineNumbers w:val="0"/>
        <w:spacing w:before="0" w:beforeAutospacing="0" w:after="0" w:afterAutospacing="0" w:line="312" w:lineRule="auto"/>
        <w:ind w:left="0" w:right="0" w:firstLine="480" w:firstLineChars="200"/>
        <w:jc w:val="left"/>
        <w:rPr>
          <w:rFonts w:hint="eastAsia" w:ascii="宋体" w:hAnsi="宋体" w:eastAsia="宋体" w:cs="宋体"/>
          <w:kern w:val="2"/>
          <w:sz w:val="24"/>
          <w:szCs w:val="24"/>
        </w:rPr>
      </w:pPr>
      <w:r>
        <w:rPr>
          <w:rFonts w:hint="eastAsia" w:cs="宋体"/>
          <w:kern w:val="2"/>
          <w:sz w:val="24"/>
          <w:szCs w:val="24"/>
          <w:lang w:val="en-US" w:eastAsia="zh-CN" w:bidi="ar"/>
        </w:rPr>
        <w:t>1.6</w:t>
      </w:r>
      <w:r>
        <w:rPr>
          <w:rFonts w:hint="eastAsia" w:ascii="宋体" w:hAnsi="宋体" w:eastAsia="宋体" w:cs="宋体"/>
          <w:kern w:val="2"/>
          <w:sz w:val="24"/>
          <w:szCs w:val="24"/>
          <w:lang w:val="en-US" w:eastAsia="zh-CN" w:bidi="ar"/>
        </w:rPr>
        <w:t>在合同订立及履行过程中形成的与本合同有关的文件均构成合同文件组成部分。</w:t>
      </w:r>
    </w:p>
    <w:p>
      <w:pPr>
        <w:pStyle w:val="32"/>
        <w:keepNext w:val="0"/>
        <w:keepLines w:val="0"/>
        <w:widowControl w:val="0"/>
        <w:suppressLineNumbers w:val="0"/>
        <w:spacing w:before="0" w:beforeAutospacing="0" w:after="0" w:afterAutospacing="0" w:line="312" w:lineRule="auto"/>
        <w:ind w:left="0" w:righ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注：上述各项合同文件包括合同当事人就该项合同文件所</w:t>
      </w:r>
      <w:r>
        <w:rPr>
          <w:rFonts w:hint="eastAsia" w:cs="宋体"/>
          <w:kern w:val="2"/>
          <w:sz w:val="24"/>
          <w:szCs w:val="24"/>
          <w:lang w:val="en-US" w:eastAsia="zh-CN" w:bidi="ar"/>
        </w:rPr>
        <w:t>做出</w:t>
      </w:r>
      <w:r>
        <w:rPr>
          <w:rFonts w:hint="eastAsia" w:ascii="宋体" w:hAnsi="宋体" w:eastAsia="宋体" w:cs="宋体"/>
          <w:kern w:val="2"/>
          <w:sz w:val="24"/>
          <w:szCs w:val="24"/>
          <w:lang w:val="en-US" w:eastAsia="zh-CN" w:bidi="ar"/>
        </w:rPr>
        <w:t>的补充和修改，属于同</w:t>
      </w:r>
      <w:r>
        <w:rPr>
          <w:rFonts w:hint="eastAsia" w:cs="宋体"/>
          <w:kern w:val="2"/>
          <w:sz w:val="24"/>
          <w:szCs w:val="24"/>
          <w:lang w:val="en-US" w:eastAsia="zh-CN" w:bidi="ar"/>
        </w:rPr>
        <w:t>一项</w:t>
      </w:r>
      <w:r>
        <w:rPr>
          <w:rFonts w:hint="eastAsia" w:ascii="宋体" w:hAnsi="宋体" w:eastAsia="宋体" w:cs="宋体"/>
          <w:kern w:val="2"/>
          <w:sz w:val="24"/>
          <w:szCs w:val="24"/>
          <w:lang w:val="en-US" w:eastAsia="zh-CN" w:bidi="ar"/>
        </w:rPr>
        <w:t>内容的文件，以最新签署的为准。</w:t>
      </w:r>
    </w:p>
    <w:p>
      <w:pPr>
        <w:autoSpaceDE/>
        <w:autoSpaceDN/>
        <w:snapToGrid w:val="0"/>
        <w:spacing w:line="312" w:lineRule="auto"/>
        <w:ind w:firstLine="482" w:firstLineChars="200"/>
        <w:jc w:val="left"/>
        <w:outlineLvl w:val="1"/>
        <w:rPr>
          <w:rFonts w:ascii="宋体" w:hAnsi="宋体" w:eastAsia="宋体" w:cs="宋体"/>
          <w:b/>
          <w:bCs/>
          <w:snapToGrid w:val="0"/>
          <w:color w:val="auto"/>
          <w:lang w:val="en-US" w:bidi="ar-SA"/>
        </w:rPr>
      </w:pPr>
      <w:bookmarkStart w:id="1180" w:name="_Toc13474"/>
      <w:bookmarkStart w:id="1181" w:name="_Toc14216"/>
      <w:bookmarkStart w:id="1182" w:name="_Toc22647"/>
      <w:bookmarkStart w:id="1183" w:name="_Toc30742"/>
      <w:bookmarkStart w:id="1184" w:name="_Toc4988"/>
      <w:bookmarkStart w:id="1185" w:name="_Toc6236"/>
      <w:bookmarkStart w:id="1186" w:name="_Toc30726"/>
      <w:r>
        <w:rPr>
          <w:rFonts w:hint="eastAsia" w:ascii="宋体" w:hAnsi="宋体" w:eastAsia="宋体" w:cs="宋体"/>
          <w:b/>
          <w:bCs/>
          <w:snapToGrid w:val="0"/>
          <w:color w:val="auto"/>
          <w:lang w:val="en-US" w:eastAsia="zh-CN" w:bidi="ar-SA"/>
        </w:rPr>
        <w:t>二</w:t>
      </w:r>
      <w:r>
        <w:rPr>
          <w:rFonts w:hint="eastAsia" w:ascii="宋体" w:hAnsi="宋体" w:eastAsia="宋体" w:cs="宋体"/>
          <w:b/>
          <w:bCs/>
          <w:snapToGrid w:val="0"/>
          <w:color w:val="auto"/>
          <w:lang w:val="en-US" w:bidi="ar-SA"/>
        </w:rPr>
        <w:t>、合同金额</w:t>
      </w:r>
      <w:bookmarkEnd w:id="1180"/>
      <w:bookmarkEnd w:id="1181"/>
      <w:bookmarkEnd w:id="1182"/>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cs="宋体"/>
          <w:snapToGrid w:val="0"/>
          <w:color w:val="auto"/>
          <w:lang w:val="en-US" w:eastAsia="zh-CN" w:bidi="ar-SA"/>
        </w:rPr>
        <w:t>合同金额全年合计</w:t>
      </w:r>
      <w:r>
        <w:rPr>
          <w:rFonts w:hint="eastAsia" w:ascii="宋体" w:hAnsi="宋体" w:eastAsia="宋体" w:cs="宋体"/>
          <w:snapToGrid w:val="0"/>
          <w:color w:val="auto"/>
          <w:lang w:val="en-US" w:bidi="ar-SA"/>
        </w:rPr>
        <w:t>人民币</w:t>
      </w:r>
      <w:r>
        <w:rPr>
          <w:rFonts w:hint="eastAsia" w:ascii="宋体" w:hAnsi="宋体" w:eastAsia="宋体" w:cs="宋体"/>
          <w:snapToGrid w:val="0"/>
          <w:color w:val="auto"/>
          <w:u w:val="single"/>
          <w:lang w:val="en-US" w:bidi="ar-SA"/>
        </w:rPr>
        <w:t xml:space="preserve">            元</w:t>
      </w:r>
      <w:r>
        <w:rPr>
          <w:rFonts w:hint="eastAsia" w:ascii="宋体" w:hAnsi="宋体" w:eastAsia="宋体" w:cs="宋体"/>
          <w:snapToGrid w:val="0"/>
          <w:color w:val="auto"/>
          <w:lang w:val="en-US" w:bidi="ar-SA"/>
        </w:rPr>
        <w:t>，大</w:t>
      </w:r>
      <w:r>
        <w:rPr>
          <w:rFonts w:hint="eastAsia" w:ascii="宋体" w:hAnsi="宋体" w:eastAsia="宋体" w:cs="宋体"/>
          <w:snapToGrid w:val="0"/>
          <w:lang w:val="en-US" w:bidi="ar-SA"/>
        </w:rPr>
        <w:t>写：</w:t>
      </w:r>
      <w:r>
        <w:rPr>
          <w:rFonts w:hint="eastAsia" w:ascii="宋体" w:hAnsi="宋体" w:eastAsia="宋体" w:cs="宋体"/>
          <w:snapToGrid w:val="0"/>
          <w:u w:val="single"/>
          <w:lang w:val="en-US" w:bidi="ar-SA"/>
        </w:rPr>
        <w:t xml:space="preserve">              </w:t>
      </w:r>
      <w:r>
        <w:rPr>
          <w:rFonts w:hint="eastAsia" w:ascii="宋体" w:hAnsi="宋体" w:eastAsia="宋体" w:cs="宋体"/>
          <w:snapToGrid w:val="0"/>
          <w:lang w:val="en-US" w:bidi="ar-SA"/>
        </w:rPr>
        <w:t>元。承包款按市场管理办公室月考核结果支付。（包括卫生保洁、垃圾清理费、清运费、管道疏通、厕所保洁、飞云路农贸市场夜值守、员工工资、劳保、社保、福利、税费、人身意外保险，保洁设备投入、设备维修、保洁工具和运输工具等和保洁相关的全部费用）。</w:t>
      </w:r>
    </w:p>
    <w:p>
      <w:pPr>
        <w:autoSpaceDE/>
        <w:autoSpaceDN/>
        <w:snapToGrid w:val="0"/>
        <w:spacing w:line="312" w:lineRule="auto"/>
        <w:ind w:firstLine="482" w:firstLineChars="200"/>
        <w:jc w:val="left"/>
        <w:outlineLvl w:val="1"/>
        <w:rPr>
          <w:rFonts w:ascii="宋体" w:hAnsi="宋体" w:eastAsia="宋体" w:cs="宋体"/>
          <w:b/>
          <w:bCs/>
          <w:snapToGrid w:val="0"/>
          <w:u w:val="single"/>
          <w:lang w:val="en-US" w:bidi="ar-SA"/>
        </w:rPr>
      </w:pPr>
      <w:bookmarkStart w:id="1187" w:name="_Toc20773"/>
      <w:r>
        <w:rPr>
          <w:rFonts w:hint="eastAsia" w:ascii="宋体" w:hAnsi="宋体" w:eastAsia="宋体" w:cs="宋体"/>
          <w:b/>
          <w:bCs/>
          <w:snapToGrid w:val="0"/>
          <w:lang w:val="en-US" w:eastAsia="zh-CN" w:bidi="ar-SA"/>
        </w:rPr>
        <w:t>三</w:t>
      </w:r>
      <w:r>
        <w:rPr>
          <w:rFonts w:hint="eastAsia" w:ascii="宋体" w:hAnsi="宋体" w:eastAsia="宋体" w:cs="宋体"/>
          <w:b/>
          <w:bCs/>
          <w:snapToGrid w:val="0"/>
          <w:lang w:val="en-US" w:bidi="ar-SA"/>
        </w:rPr>
        <w:t>、合同期限</w:t>
      </w:r>
      <w:bookmarkEnd w:id="1183"/>
      <w:bookmarkEnd w:id="1184"/>
      <w:bookmarkEnd w:id="1187"/>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壹年，自</w:t>
      </w:r>
      <w:r>
        <w:rPr>
          <w:rFonts w:hint="eastAsia" w:ascii="宋体" w:hAnsi="宋体" w:eastAsia="宋体" w:cs="宋体"/>
          <w:snapToGrid w:val="0"/>
          <w:u w:val="single"/>
          <w:lang w:val="en-US" w:bidi="ar-SA"/>
        </w:rPr>
        <w:t xml:space="preserve">     </w:t>
      </w:r>
      <w:r>
        <w:rPr>
          <w:rFonts w:hint="eastAsia" w:ascii="宋体" w:hAnsi="宋体" w:eastAsia="宋体" w:cs="宋体"/>
          <w:snapToGrid w:val="0"/>
          <w:lang w:val="en-US" w:bidi="ar-SA"/>
        </w:rPr>
        <w:t>年</w:t>
      </w:r>
      <w:r>
        <w:rPr>
          <w:rFonts w:hint="eastAsia" w:ascii="宋体" w:hAnsi="宋体" w:eastAsia="宋体" w:cs="宋体"/>
          <w:snapToGrid w:val="0"/>
          <w:u w:val="single"/>
          <w:lang w:val="en-US" w:bidi="ar-SA"/>
        </w:rPr>
        <w:t xml:space="preserve">   </w:t>
      </w:r>
      <w:r>
        <w:rPr>
          <w:rFonts w:hint="eastAsia" w:ascii="宋体" w:hAnsi="宋体" w:eastAsia="宋体" w:cs="宋体"/>
          <w:snapToGrid w:val="0"/>
          <w:lang w:val="en-US" w:bidi="ar-SA"/>
        </w:rPr>
        <w:t>月</w:t>
      </w:r>
      <w:r>
        <w:rPr>
          <w:rFonts w:hint="eastAsia" w:ascii="宋体" w:hAnsi="宋体" w:eastAsia="宋体" w:cs="宋体"/>
          <w:snapToGrid w:val="0"/>
          <w:u w:val="single"/>
          <w:lang w:val="en-US" w:bidi="ar-SA"/>
        </w:rPr>
        <w:t xml:space="preserve">   </w:t>
      </w:r>
      <w:r>
        <w:rPr>
          <w:rFonts w:hint="eastAsia" w:ascii="宋体" w:hAnsi="宋体" w:eastAsia="宋体" w:cs="宋体"/>
          <w:snapToGrid w:val="0"/>
          <w:lang w:val="en-US" w:bidi="ar-SA"/>
        </w:rPr>
        <w:t>日至</w:t>
      </w:r>
      <w:r>
        <w:rPr>
          <w:rFonts w:hint="eastAsia" w:ascii="宋体" w:hAnsi="宋体" w:eastAsia="宋体" w:cs="宋体"/>
          <w:snapToGrid w:val="0"/>
          <w:u w:val="single"/>
          <w:lang w:val="en-US" w:bidi="ar-SA"/>
        </w:rPr>
        <w:t xml:space="preserve">     </w:t>
      </w:r>
      <w:r>
        <w:rPr>
          <w:rFonts w:hint="eastAsia" w:ascii="宋体" w:hAnsi="宋体" w:eastAsia="宋体" w:cs="宋体"/>
          <w:snapToGrid w:val="0"/>
          <w:lang w:val="en-US" w:bidi="ar-SA"/>
        </w:rPr>
        <w:t>年</w:t>
      </w:r>
      <w:r>
        <w:rPr>
          <w:rFonts w:hint="eastAsia" w:ascii="宋体" w:hAnsi="宋体" w:eastAsia="宋体" w:cs="宋体"/>
          <w:snapToGrid w:val="0"/>
          <w:u w:val="single"/>
          <w:lang w:val="en-US" w:bidi="ar-SA"/>
        </w:rPr>
        <w:t xml:space="preserve">   </w:t>
      </w:r>
      <w:r>
        <w:rPr>
          <w:rFonts w:hint="eastAsia" w:ascii="宋体" w:hAnsi="宋体" w:eastAsia="宋体" w:cs="宋体"/>
          <w:snapToGrid w:val="0"/>
          <w:lang w:val="en-US" w:bidi="ar-SA"/>
        </w:rPr>
        <w:t>月</w:t>
      </w:r>
      <w:r>
        <w:rPr>
          <w:rFonts w:hint="eastAsia" w:ascii="宋体" w:hAnsi="宋体" w:eastAsia="宋体" w:cs="宋体"/>
          <w:snapToGrid w:val="0"/>
          <w:u w:val="single"/>
          <w:lang w:val="en-US" w:bidi="ar-SA"/>
        </w:rPr>
        <w:t xml:space="preserve">   </w:t>
      </w:r>
      <w:r>
        <w:rPr>
          <w:rFonts w:hint="eastAsia" w:ascii="宋体" w:hAnsi="宋体" w:eastAsia="宋体" w:cs="宋体"/>
          <w:snapToGrid w:val="0"/>
          <w:lang w:val="en-US" w:bidi="ar-SA"/>
        </w:rPr>
        <w:t>日止。</w:t>
      </w:r>
    </w:p>
    <w:p>
      <w:pPr>
        <w:autoSpaceDE/>
        <w:autoSpaceDN/>
        <w:snapToGrid w:val="0"/>
        <w:spacing w:line="312" w:lineRule="auto"/>
        <w:ind w:firstLine="482" w:firstLineChars="200"/>
        <w:jc w:val="left"/>
        <w:outlineLvl w:val="1"/>
        <w:rPr>
          <w:rFonts w:ascii="宋体" w:hAnsi="宋体" w:eastAsia="宋体" w:cs="宋体"/>
          <w:b/>
          <w:bCs/>
          <w:snapToGrid w:val="0"/>
          <w:lang w:val="en-US" w:bidi="ar-SA"/>
        </w:rPr>
      </w:pPr>
      <w:bookmarkStart w:id="1188" w:name="_Toc16980"/>
      <w:bookmarkStart w:id="1189" w:name="_Toc4130"/>
      <w:bookmarkStart w:id="1190" w:name="_Toc24575"/>
      <w:bookmarkStart w:id="1191" w:name="_Toc18821"/>
      <w:bookmarkStart w:id="1192" w:name="_Toc1904"/>
      <w:r>
        <w:rPr>
          <w:rFonts w:hint="eastAsia" w:ascii="宋体" w:hAnsi="宋体" w:eastAsia="宋体" w:cs="宋体"/>
          <w:b/>
          <w:bCs/>
          <w:snapToGrid w:val="0"/>
          <w:lang w:val="en-US" w:eastAsia="zh-CN" w:bidi="ar-SA"/>
        </w:rPr>
        <w:t>四</w:t>
      </w:r>
      <w:r>
        <w:rPr>
          <w:rFonts w:hint="eastAsia" w:ascii="宋体" w:hAnsi="宋体" w:eastAsia="宋体" w:cs="宋体"/>
          <w:b/>
          <w:bCs/>
          <w:snapToGrid w:val="0"/>
          <w:lang w:val="en-US" w:bidi="ar-SA"/>
        </w:rPr>
        <w:t>、付款方式</w:t>
      </w:r>
      <w:bookmarkEnd w:id="1188"/>
      <w:bookmarkEnd w:id="1189"/>
      <w:bookmarkEnd w:id="1190"/>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cs="宋体"/>
          <w:snapToGrid w:val="0"/>
          <w:lang w:val="en-US" w:eastAsia="zh-CN" w:bidi="ar-SA"/>
        </w:rPr>
        <w:t>按中标金额的每月分摊金额</w:t>
      </w:r>
      <w:r>
        <w:rPr>
          <w:rFonts w:hint="eastAsia" w:ascii="宋体" w:hAnsi="宋体" w:eastAsia="宋体" w:cs="宋体"/>
          <w:snapToGrid w:val="0"/>
          <w:lang w:val="en-US" w:bidi="ar-SA"/>
        </w:rPr>
        <w:t>一月一结，甲方按市场管理办公室对乙方的考核结果进行结算，并于次月15个工作日内兑现上月的承包费，以此类推。</w:t>
      </w:r>
    </w:p>
    <w:p>
      <w:pPr>
        <w:autoSpaceDE/>
        <w:autoSpaceDN/>
        <w:snapToGrid w:val="0"/>
        <w:spacing w:line="312" w:lineRule="auto"/>
        <w:ind w:firstLine="482" w:firstLineChars="200"/>
        <w:jc w:val="left"/>
        <w:outlineLvl w:val="1"/>
        <w:rPr>
          <w:rFonts w:ascii="宋体" w:hAnsi="宋体" w:eastAsia="宋体" w:cs="宋体"/>
          <w:snapToGrid w:val="0"/>
          <w:lang w:val="en-US" w:bidi="ar-SA"/>
        </w:rPr>
      </w:pPr>
      <w:bookmarkStart w:id="1193" w:name="_Toc30888"/>
      <w:r>
        <w:rPr>
          <w:rFonts w:hint="eastAsia" w:ascii="宋体" w:hAnsi="宋体" w:eastAsia="宋体" w:cs="宋体"/>
          <w:b/>
          <w:bCs/>
          <w:snapToGrid w:val="0"/>
          <w:lang w:val="en-US" w:eastAsia="zh-CN" w:bidi="ar-SA"/>
        </w:rPr>
        <w:t>五</w:t>
      </w:r>
      <w:r>
        <w:rPr>
          <w:rFonts w:hint="eastAsia" w:ascii="宋体" w:hAnsi="宋体" w:eastAsia="宋体" w:cs="宋体"/>
          <w:b/>
          <w:bCs/>
          <w:snapToGrid w:val="0"/>
          <w:lang w:val="en-US" w:bidi="ar-SA"/>
        </w:rPr>
        <w:t>、保洁范围要求</w:t>
      </w:r>
      <w:bookmarkEnd w:id="1191"/>
      <w:bookmarkEnd w:id="1192"/>
      <w:bookmarkEnd w:id="1193"/>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包括甲方下属河西街农贸市场和飞云路农贸市场两家市场内的所有卫生保洁与垃圾清扫清运、厕所保洁等工作以及飞云路农贸市场夜值守。乙方应严格按已确认的方案组织实施，并且无条件地接受甲方对保洁质量、期限和进度的监督和管理。</w:t>
      </w:r>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（一）河西街农贸市场范围</w:t>
      </w:r>
    </w:p>
    <w:p>
      <w:pPr>
        <w:autoSpaceDE/>
        <w:autoSpaceDN/>
        <w:snapToGrid w:val="0"/>
        <w:spacing w:line="312" w:lineRule="auto"/>
        <w:ind w:firstLine="480" w:firstLineChars="200"/>
        <w:jc w:val="left"/>
        <w:rPr>
          <w:rFonts w:hint="eastAsia" w:ascii="宋体" w:hAnsi="宋体" w:eastAsia="宋体" w:cs="宋体"/>
          <w:snapToGrid w:val="0"/>
          <w:lang w:val="en-US" w:bidi="ar-SA"/>
        </w:rPr>
      </w:pPr>
      <w:r>
        <w:rPr>
          <w:rFonts w:hint="eastAsia" w:ascii="宋体" w:hAnsi="宋体" w:eastAsia="宋体" w:cs="宋体"/>
          <w:snapToGrid w:val="0"/>
          <w:lang w:val="en-US" w:bidi="ar-SA"/>
        </w:rPr>
        <w:t>1、市场内整体及西侧大棚：市场东至大门通道口、市场南面大门通道至小井巷、市场西面到河西街的西大棚整体范围、市场北面大门通道至进士路。</w:t>
      </w:r>
    </w:p>
    <w:p>
      <w:pPr>
        <w:autoSpaceDE/>
        <w:autoSpaceDN/>
        <w:snapToGrid w:val="0"/>
        <w:spacing w:line="312" w:lineRule="auto"/>
        <w:ind w:firstLine="480" w:firstLineChars="200"/>
        <w:jc w:val="left"/>
        <w:rPr>
          <w:rFonts w:hint="eastAsia" w:ascii="宋体" w:hAnsi="宋体" w:eastAsia="宋体" w:cs="宋体"/>
          <w:snapToGrid w:val="0"/>
          <w:lang w:val="en-US" w:bidi="ar-SA"/>
        </w:rPr>
      </w:pPr>
      <w:r>
        <w:rPr>
          <w:rFonts w:hint="eastAsia" w:ascii="宋体" w:hAnsi="宋体" w:eastAsia="宋体" w:cs="宋体"/>
          <w:snapToGrid w:val="0"/>
          <w:lang w:val="en-US" w:bidi="ar-SA"/>
        </w:rPr>
        <w:t>2、河西街杂货市场：河西街杂货市场东通道至大众路、南至普农家电、西至河西街、北面至市场厕所。</w:t>
      </w:r>
    </w:p>
    <w:p>
      <w:pPr>
        <w:autoSpaceDE/>
        <w:autoSpaceDN/>
        <w:snapToGrid w:val="0"/>
        <w:spacing w:line="312" w:lineRule="auto"/>
        <w:ind w:firstLine="480" w:firstLineChars="200"/>
        <w:jc w:val="left"/>
        <w:rPr>
          <w:rFonts w:hint="eastAsia" w:ascii="宋体" w:hAnsi="宋体" w:eastAsia="宋体" w:cs="宋体"/>
          <w:snapToGrid w:val="0"/>
          <w:lang w:val="en-US" w:eastAsia="zh-CN" w:bidi="ar-SA"/>
        </w:rPr>
      </w:pPr>
      <w:r>
        <w:rPr>
          <w:rFonts w:hint="eastAsia" w:ascii="宋体" w:hAnsi="宋体" w:eastAsia="宋体" w:cs="宋体"/>
          <w:snapToGrid w:val="0"/>
          <w:lang w:val="en-US" w:bidi="ar-SA"/>
        </w:rPr>
        <w:t>3、停车场：进士路进出口到停车场围墙整体</w:t>
      </w:r>
      <w:r>
        <w:rPr>
          <w:rFonts w:hint="eastAsia" w:ascii="宋体" w:hAnsi="宋体" w:eastAsia="宋体" w:cs="宋体"/>
          <w:snapToGrid w:val="0"/>
          <w:lang w:val="en-US" w:eastAsia="zh-CN" w:bidi="ar-SA"/>
        </w:rPr>
        <w:t>、河西街停车场（原杂货市场大棚）</w:t>
      </w:r>
      <w:r>
        <w:rPr>
          <w:rFonts w:hint="eastAsia" w:ascii="宋体" w:hAnsi="宋体" w:eastAsia="宋体" w:cs="宋体"/>
          <w:snapToGrid w:val="0"/>
          <w:lang w:val="en-US" w:bidi="ar-SA"/>
        </w:rPr>
        <w:t>。</w:t>
      </w:r>
    </w:p>
    <w:p>
      <w:pPr>
        <w:autoSpaceDE/>
        <w:autoSpaceDN/>
        <w:snapToGrid w:val="0"/>
        <w:spacing w:line="312" w:lineRule="auto"/>
        <w:ind w:firstLine="480" w:firstLineChars="200"/>
        <w:jc w:val="both"/>
        <w:rPr>
          <w:rFonts w:ascii="宋体" w:hAnsi="宋体" w:eastAsia="宋体" w:cs="宋体"/>
          <w:b/>
          <w:bCs/>
          <w:snapToGrid w:val="0"/>
          <w:lang w:val="en-US" w:bidi="ar-SA"/>
        </w:rPr>
      </w:pPr>
      <w:r>
        <w:rPr>
          <w:rFonts w:hint="eastAsia" w:ascii="宋体" w:hAnsi="宋体" w:eastAsia="宋体" w:cs="宋体"/>
          <w:snapToGrid w:val="0"/>
          <w:lang w:val="en-US" w:bidi="ar-SA"/>
        </w:rPr>
        <w:t>（二）飞云路农贸市场范围：</w:t>
      </w:r>
      <w:r>
        <w:rPr>
          <w:rFonts w:hint="eastAsia" w:ascii="宋体" w:hAnsi="宋体" w:eastAsia="宋体" w:cs="宋体"/>
          <w:snapToGrid w:val="0"/>
          <w:lang w:val="en-US" w:eastAsia="zh-CN" w:bidi="ar-SA"/>
        </w:rPr>
        <w:t>飞云路农贸市场围墙内(包含种植绿化植被修剪、养护)</w:t>
      </w:r>
      <w:r>
        <w:rPr>
          <w:rFonts w:hint="eastAsia" w:ascii="宋体" w:hAnsi="宋体" w:eastAsia="宋体" w:cs="宋体"/>
          <w:snapToGrid w:val="0"/>
          <w:lang w:val="en-US" w:bidi="ar-SA"/>
        </w:rPr>
        <w:t>。</w:t>
      </w:r>
    </w:p>
    <w:p>
      <w:pPr>
        <w:autoSpaceDE/>
        <w:autoSpaceDN/>
        <w:snapToGrid w:val="0"/>
        <w:spacing w:line="312" w:lineRule="auto"/>
        <w:ind w:firstLine="482" w:firstLineChars="200"/>
        <w:jc w:val="both"/>
        <w:outlineLvl w:val="1"/>
        <w:rPr>
          <w:rFonts w:ascii="宋体" w:hAnsi="宋体" w:eastAsia="宋体" w:cs="宋体"/>
          <w:snapToGrid w:val="0"/>
          <w:lang w:val="en-US" w:bidi="ar-SA"/>
        </w:rPr>
      </w:pPr>
      <w:bookmarkStart w:id="1194" w:name="_Toc9064"/>
      <w:bookmarkStart w:id="1195" w:name="_Toc18922"/>
      <w:bookmarkStart w:id="1196" w:name="_Toc2307"/>
      <w:r>
        <w:rPr>
          <w:rFonts w:hint="eastAsia" w:ascii="宋体" w:hAnsi="宋体" w:eastAsia="宋体" w:cs="宋体"/>
          <w:b/>
          <w:bCs/>
          <w:snapToGrid w:val="0"/>
          <w:lang w:val="en-US" w:eastAsia="zh-CN" w:bidi="ar-SA"/>
        </w:rPr>
        <w:t>六</w:t>
      </w:r>
      <w:r>
        <w:rPr>
          <w:rFonts w:hint="eastAsia" w:ascii="宋体" w:hAnsi="宋体" w:eastAsia="宋体" w:cs="宋体"/>
          <w:b/>
          <w:bCs/>
          <w:snapToGrid w:val="0"/>
          <w:lang w:val="en-US" w:bidi="ar-SA"/>
        </w:rPr>
        <w:t>、设备、人员要求</w:t>
      </w:r>
      <w:bookmarkEnd w:id="1194"/>
      <w:bookmarkEnd w:id="1195"/>
      <w:bookmarkEnd w:id="1196"/>
    </w:p>
    <w:p>
      <w:pPr>
        <w:autoSpaceDE/>
        <w:autoSpaceDN/>
        <w:snapToGrid w:val="0"/>
        <w:spacing w:line="312" w:lineRule="auto"/>
        <w:ind w:firstLine="480" w:firstLineChars="200"/>
        <w:jc w:val="left"/>
        <w:rPr>
          <w:rFonts w:ascii="宋体" w:hAnsi="宋体" w:eastAsia="宋体" w:cs="宋体"/>
          <w:snapToGrid w:val="0"/>
          <w:color w:val="auto"/>
          <w:lang w:val="en-US" w:bidi="ar-SA"/>
        </w:rPr>
      </w:pPr>
      <w:r>
        <w:rPr>
          <w:rFonts w:hint="eastAsia" w:ascii="宋体" w:hAnsi="宋体" w:eastAsia="宋体" w:cs="宋体"/>
          <w:snapToGrid w:val="0"/>
          <w:lang w:val="en-US" w:bidi="ar-SA"/>
        </w:rPr>
        <w:t>(一) 乙方需配备自装卸式电动三轮垃圾车一辆。不会造成“滴、撒、漏”二次污染现象，保洁专业车辆外观整洁。作业时必须按规定地</w:t>
      </w:r>
      <w:r>
        <w:rPr>
          <w:rFonts w:hint="eastAsia" w:ascii="宋体" w:hAnsi="宋体" w:eastAsia="宋体" w:cs="宋体"/>
          <w:snapToGrid w:val="0"/>
          <w:color w:val="auto"/>
          <w:lang w:val="en-US" w:bidi="ar-SA"/>
        </w:rPr>
        <w:t>点停放车辆，杜绝事故发生。保洁专用车的车厢后栏板设置规范的荧光交通警示标志。</w:t>
      </w:r>
    </w:p>
    <w:p>
      <w:pPr>
        <w:autoSpaceDE/>
        <w:autoSpaceDN/>
        <w:snapToGrid w:val="0"/>
        <w:spacing w:line="312" w:lineRule="auto"/>
        <w:ind w:firstLine="480" w:firstLineChars="200"/>
        <w:jc w:val="both"/>
      </w:pPr>
      <w:r>
        <w:rPr>
          <w:rFonts w:hint="eastAsia" w:ascii="宋体" w:hAnsi="宋体" w:eastAsia="宋体" w:cs="宋体"/>
          <w:snapToGrid w:val="0"/>
          <w:color w:val="auto"/>
          <w:lang w:val="en-US" w:bidi="ar-SA"/>
        </w:rPr>
        <w:t>(二) 乙方需配备8名保洁人员（包含夜间值守人员及垃圾清运人员）。要求保洁人员年龄在60周岁以下。</w:t>
      </w:r>
      <w:r>
        <w:rPr>
          <w:rFonts w:hint="eastAsia" w:ascii="宋体" w:hAnsi="宋体" w:cs="宋体"/>
          <w:sz w:val="24"/>
          <w:szCs w:val="24"/>
          <w:lang w:val="en-US" w:eastAsia="zh-CN"/>
        </w:rPr>
        <w:t>乙方</w:t>
      </w:r>
      <w:r>
        <w:rPr>
          <w:rFonts w:hint="eastAsia" w:ascii="宋体" w:hAnsi="宋体" w:eastAsia="宋体" w:cs="宋体"/>
          <w:sz w:val="24"/>
          <w:szCs w:val="24"/>
          <w:lang w:eastAsia="zh-CN"/>
        </w:rPr>
        <w:t>需</w:t>
      </w:r>
      <w:r>
        <w:rPr>
          <w:rFonts w:hint="eastAsia" w:ascii="宋体" w:hAnsi="宋体" w:cs="宋体"/>
          <w:sz w:val="24"/>
          <w:szCs w:val="24"/>
          <w:lang w:eastAsia="zh-CN"/>
        </w:rPr>
        <w:t>按垃圾分类收集清运，</w:t>
      </w:r>
      <w:r>
        <w:rPr>
          <w:rFonts w:hint="eastAsia" w:ascii="宋体" w:hAnsi="宋体" w:eastAsia="宋体" w:cs="宋体"/>
          <w:sz w:val="24"/>
          <w:szCs w:val="24"/>
          <w:lang w:eastAsia="zh-CN"/>
        </w:rPr>
        <w:t>配备</w:t>
      </w:r>
      <w:r>
        <w:rPr>
          <w:rFonts w:hint="eastAsia" w:ascii="宋体" w:hAnsi="宋体" w:eastAsia="宋体" w:cs="宋体"/>
          <w:sz w:val="24"/>
          <w:szCs w:val="24"/>
        </w:rPr>
        <w:t>自</w:t>
      </w:r>
      <w:r>
        <w:rPr>
          <w:rFonts w:hint="eastAsia" w:hAnsi="宋体" w:eastAsia="宋体" w:cs="宋体"/>
          <w:sz w:val="24"/>
          <w:szCs w:val="24"/>
          <w:lang w:eastAsia="zh-CN"/>
        </w:rPr>
        <w:t>行</w:t>
      </w:r>
      <w:r>
        <w:rPr>
          <w:rFonts w:hint="eastAsia" w:ascii="宋体" w:hAnsi="宋体" w:eastAsia="宋体" w:cs="宋体"/>
          <w:sz w:val="24"/>
          <w:szCs w:val="24"/>
        </w:rPr>
        <w:t>装卸式电动三轮垃圾车</w:t>
      </w:r>
      <w:r>
        <w:rPr>
          <w:rFonts w:hint="eastAsia" w:ascii="宋体" w:hAnsi="宋体" w:eastAsia="宋体" w:cs="宋体"/>
          <w:sz w:val="24"/>
          <w:szCs w:val="24"/>
          <w:lang w:eastAsia="zh-CN"/>
        </w:rPr>
        <w:t>，</w:t>
      </w:r>
      <w:r>
        <w:rPr>
          <w:rFonts w:hint="eastAsia" w:ascii="宋体" w:hAnsi="宋体" w:eastAsia="宋体" w:cs="宋体"/>
          <w:snapToGrid w:val="0"/>
          <w:color w:val="auto"/>
          <w:lang w:val="en-US" w:bidi="ar-SA"/>
        </w:rPr>
        <w:t>承包期内的所有日常保洁工具及保洁员的劳保防护用品、用具等</w:t>
      </w:r>
      <w:r>
        <w:rPr>
          <w:rFonts w:hint="eastAsia" w:ascii="宋体" w:hAnsi="宋体" w:eastAsia="宋体" w:cs="宋体"/>
          <w:snapToGrid w:val="0"/>
          <w:color w:val="auto"/>
          <w:lang w:val="en-US" w:eastAsia="zh-CN" w:bidi="ar-SA"/>
        </w:rPr>
        <w:t>由乙方自行配备</w:t>
      </w:r>
      <w:r>
        <w:rPr>
          <w:rFonts w:hint="eastAsia" w:ascii="宋体" w:hAnsi="宋体" w:eastAsia="宋体" w:cs="宋体"/>
          <w:snapToGrid w:val="0"/>
          <w:color w:val="auto"/>
          <w:lang w:val="en-US" w:bidi="ar-SA"/>
        </w:rPr>
        <w:t>。</w:t>
      </w:r>
    </w:p>
    <w:p>
      <w:pPr>
        <w:keepNext w:val="0"/>
        <w:keepLines w:val="0"/>
        <w:pageBreakBefore w:val="0"/>
        <w:widowControl w:val="0"/>
        <w:kinsoku/>
        <w:wordWrap/>
        <w:overflowPunct/>
        <w:topLinePunct w:val="0"/>
        <w:autoSpaceDE/>
        <w:autoSpaceDN/>
        <w:bidi w:val="0"/>
        <w:snapToGrid w:val="0"/>
        <w:spacing w:line="312" w:lineRule="auto"/>
        <w:ind w:left="0" w:leftChars="0" w:firstLine="482" w:firstLineChars="200"/>
        <w:jc w:val="left"/>
        <w:textAlignment w:val="auto"/>
        <w:rPr>
          <w:rFonts w:hint="eastAsia" w:ascii="宋体" w:hAnsi="宋体" w:eastAsia="宋体" w:cs="宋体"/>
          <w:b/>
          <w:bCs/>
          <w:snapToGrid w:val="0"/>
          <w:sz w:val="24"/>
          <w:szCs w:val="24"/>
          <w:lang w:val="en-US" w:bidi="ar-SA"/>
        </w:rPr>
      </w:pPr>
      <w:r>
        <w:rPr>
          <w:rFonts w:hint="eastAsia" w:ascii="宋体" w:hAnsi="宋体" w:eastAsia="宋体" w:cs="宋体"/>
          <w:b/>
          <w:bCs/>
          <w:snapToGrid w:val="0"/>
          <w:sz w:val="24"/>
          <w:szCs w:val="24"/>
          <w:lang w:val="en-US" w:eastAsia="zh-CN" w:bidi="ar-SA"/>
        </w:rPr>
        <w:t>注：</w:t>
      </w:r>
      <w:r>
        <w:rPr>
          <w:rFonts w:hint="eastAsia" w:ascii="宋体" w:hAnsi="宋体" w:eastAsia="宋体" w:cs="宋体"/>
          <w:b/>
          <w:bCs/>
          <w:snapToGrid w:val="0"/>
          <w:sz w:val="24"/>
          <w:szCs w:val="24"/>
          <w:lang w:val="en-US" w:bidi="ar-SA"/>
        </w:rPr>
        <w:t>采用合并百分制考核，即100分</w:t>
      </w:r>
      <w:r>
        <w:rPr>
          <w:rFonts w:hint="eastAsia" w:ascii="宋体" w:hAnsi="宋体" w:eastAsia="宋体" w:cs="宋体"/>
          <w:b/>
          <w:bCs/>
          <w:snapToGrid w:val="0"/>
          <w:sz w:val="24"/>
          <w:szCs w:val="24"/>
          <w:lang w:val="en-US" w:eastAsia="zh-CN" w:bidi="ar-SA"/>
        </w:rPr>
        <w:t>减河西街农贸市场扣分项减飞云路农贸市场扣分项等于实际得分</w:t>
      </w:r>
      <w:r>
        <w:rPr>
          <w:rFonts w:hint="eastAsia" w:ascii="宋体" w:hAnsi="宋体" w:eastAsia="宋体" w:cs="宋体"/>
          <w:b/>
          <w:bCs/>
          <w:snapToGrid w:val="0"/>
          <w:sz w:val="24"/>
          <w:szCs w:val="24"/>
          <w:lang w:val="en-US" w:bidi="ar-SA"/>
        </w:rPr>
        <w:t>。</w:t>
      </w:r>
    </w:p>
    <w:p>
      <w:pPr>
        <w:keepNext w:val="0"/>
        <w:keepLines w:val="0"/>
        <w:pageBreakBefore w:val="0"/>
        <w:widowControl w:val="0"/>
        <w:kinsoku/>
        <w:wordWrap/>
        <w:overflowPunct/>
        <w:topLinePunct w:val="0"/>
        <w:autoSpaceDE/>
        <w:autoSpaceDN/>
        <w:bidi w:val="0"/>
        <w:snapToGrid w:val="0"/>
        <w:spacing w:line="312" w:lineRule="auto"/>
        <w:ind w:left="0" w:leftChars="0" w:firstLine="482" w:firstLineChars="200"/>
        <w:jc w:val="left"/>
        <w:textAlignment w:val="auto"/>
        <w:rPr>
          <w:rFonts w:hint="eastAsia" w:ascii="宋体" w:hAnsi="宋体" w:eastAsia="宋体" w:cs="宋体"/>
          <w:b/>
          <w:bCs/>
          <w:snapToGrid w:val="0"/>
          <w:sz w:val="24"/>
          <w:szCs w:val="24"/>
          <w:lang w:val="en-US" w:bidi="ar-SA"/>
        </w:rPr>
      </w:pPr>
      <w:r>
        <w:rPr>
          <w:rFonts w:hint="eastAsia" w:ascii="宋体" w:hAnsi="宋体" w:eastAsia="宋体" w:cs="宋体"/>
          <w:b/>
          <w:bCs/>
          <w:snapToGrid w:val="0"/>
          <w:sz w:val="24"/>
          <w:szCs w:val="24"/>
          <w:lang w:val="en-US" w:bidi="ar-SA"/>
        </w:rPr>
        <w:t>95分(不含95分)以上为优良，全额支付当月承包款，且每</w:t>
      </w:r>
      <w:r>
        <w:rPr>
          <w:rFonts w:hint="eastAsia" w:ascii="宋体" w:hAnsi="宋体" w:eastAsia="宋体" w:cs="宋体"/>
          <w:b/>
          <w:bCs/>
          <w:snapToGrid w:val="0"/>
          <w:sz w:val="24"/>
          <w:szCs w:val="24"/>
          <w:lang w:val="en-US" w:eastAsia="zh-CN" w:bidi="ar-SA"/>
        </w:rPr>
        <w:t>多</w:t>
      </w:r>
      <w:r>
        <w:rPr>
          <w:rFonts w:hint="eastAsia" w:ascii="宋体" w:hAnsi="宋体" w:eastAsia="宋体" w:cs="宋体"/>
          <w:b/>
          <w:bCs/>
          <w:snapToGrid w:val="0"/>
          <w:sz w:val="24"/>
          <w:szCs w:val="24"/>
          <w:lang w:val="en-US" w:bidi="ar-SA"/>
        </w:rPr>
        <w:t>得1分奖励</w:t>
      </w:r>
      <w:r>
        <w:rPr>
          <w:rFonts w:hint="eastAsia" w:ascii="宋体" w:hAnsi="宋体" w:cs="宋体"/>
          <w:b/>
          <w:bCs/>
          <w:snapToGrid w:val="0"/>
          <w:sz w:val="24"/>
          <w:szCs w:val="24"/>
          <w:lang w:val="en-US" w:eastAsia="zh-CN" w:bidi="ar-SA"/>
        </w:rPr>
        <w:t>2</w:t>
      </w:r>
      <w:r>
        <w:rPr>
          <w:rFonts w:hint="eastAsia" w:ascii="宋体" w:hAnsi="宋体" w:eastAsia="宋体" w:cs="宋体"/>
          <w:b/>
          <w:bCs/>
          <w:snapToGrid w:val="0"/>
          <w:sz w:val="24"/>
          <w:szCs w:val="24"/>
          <w:lang w:val="en-US" w:bidi="ar-SA"/>
        </w:rPr>
        <w:t>00元；</w:t>
      </w:r>
    </w:p>
    <w:p>
      <w:pPr>
        <w:keepNext w:val="0"/>
        <w:keepLines w:val="0"/>
        <w:pageBreakBefore w:val="0"/>
        <w:widowControl w:val="0"/>
        <w:kinsoku/>
        <w:wordWrap/>
        <w:overflowPunct/>
        <w:topLinePunct w:val="0"/>
        <w:autoSpaceDE/>
        <w:autoSpaceDN/>
        <w:bidi w:val="0"/>
        <w:snapToGrid w:val="0"/>
        <w:spacing w:line="312" w:lineRule="auto"/>
        <w:ind w:left="0" w:leftChars="0" w:firstLine="482" w:firstLineChars="200"/>
        <w:jc w:val="left"/>
        <w:textAlignment w:val="auto"/>
        <w:rPr>
          <w:rFonts w:hint="eastAsia" w:ascii="宋体" w:hAnsi="宋体" w:eastAsia="宋体" w:cs="宋体"/>
          <w:b/>
          <w:bCs/>
          <w:snapToGrid w:val="0"/>
          <w:sz w:val="24"/>
          <w:szCs w:val="24"/>
          <w:lang w:val="en-US" w:bidi="ar-SA"/>
        </w:rPr>
      </w:pPr>
      <w:r>
        <w:rPr>
          <w:rFonts w:hint="eastAsia" w:ascii="宋体" w:hAnsi="宋体" w:eastAsia="宋体" w:cs="宋体"/>
          <w:b/>
          <w:bCs/>
          <w:snapToGrid w:val="0"/>
          <w:sz w:val="24"/>
          <w:szCs w:val="24"/>
          <w:lang w:val="en-US" w:bidi="ar-SA"/>
        </w:rPr>
        <w:t>95-90分（不含90分）为合格，全额支付当月承包款；</w:t>
      </w:r>
    </w:p>
    <w:p>
      <w:pPr>
        <w:keepNext w:val="0"/>
        <w:keepLines w:val="0"/>
        <w:pageBreakBefore w:val="0"/>
        <w:widowControl w:val="0"/>
        <w:kinsoku/>
        <w:wordWrap/>
        <w:overflowPunct/>
        <w:topLinePunct w:val="0"/>
        <w:autoSpaceDE/>
        <w:autoSpaceDN/>
        <w:bidi w:val="0"/>
        <w:snapToGrid w:val="0"/>
        <w:spacing w:line="312" w:lineRule="auto"/>
        <w:ind w:left="0" w:leftChars="0" w:firstLine="482" w:firstLineChars="200"/>
        <w:jc w:val="left"/>
        <w:textAlignment w:val="auto"/>
        <w:rPr>
          <w:rFonts w:hint="eastAsia" w:ascii="宋体" w:hAnsi="宋体" w:eastAsia="宋体" w:cs="宋体"/>
          <w:b/>
          <w:bCs/>
          <w:snapToGrid w:val="0"/>
          <w:sz w:val="24"/>
          <w:szCs w:val="24"/>
          <w:lang w:val="en-US" w:bidi="ar-SA"/>
        </w:rPr>
      </w:pPr>
      <w:r>
        <w:rPr>
          <w:rFonts w:hint="eastAsia" w:ascii="宋体" w:hAnsi="宋体" w:eastAsia="宋体" w:cs="宋体"/>
          <w:b/>
          <w:bCs/>
          <w:snapToGrid w:val="0"/>
          <w:sz w:val="24"/>
          <w:szCs w:val="24"/>
          <w:lang w:val="en-US" w:bidi="ar-SA"/>
        </w:rPr>
        <w:t>90-80分（不含80分）为基本合格，每扣1分扣款100元；</w:t>
      </w:r>
    </w:p>
    <w:p>
      <w:pPr>
        <w:keepNext w:val="0"/>
        <w:keepLines w:val="0"/>
        <w:pageBreakBefore w:val="0"/>
        <w:widowControl w:val="0"/>
        <w:kinsoku/>
        <w:wordWrap/>
        <w:overflowPunct/>
        <w:topLinePunct w:val="0"/>
        <w:autoSpaceDE/>
        <w:autoSpaceDN/>
        <w:bidi w:val="0"/>
        <w:snapToGrid w:val="0"/>
        <w:spacing w:line="312" w:lineRule="auto"/>
        <w:ind w:left="0" w:leftChars="0" w:firstLine="482" w:firstLineChars="200"/>
        <w:jc w:val="left"/>
        <w:textAlignment w:val="auto"/>
        <w:rPr>
          <w:rFonts w:hint="eastAsia" w:ascii="宋体" w:hAnsi="宋体" w:eastAsia="宋体" w:cs="宋体"/>
          <w:b/>
          <w:bCs/>
          <w:snapToGrid w:val="0"/>
          <w:sz w:val="24"/>
          <w:szCs w:val="24"/>
          <w:lang w:val="en-US" w:bidi="ar-SA"/>
        </w:rPr>
      </w:pPr>
      <w:r>
        <w:rPr>
          <w:rFonts w:hint="eastAsia" w:ascii="宋体" w:hAnsi="宋体" w:eastAsia="宋体" w:cs="宋体"/>
          <w:b/>
          <w:bCs/>
          <w:snapToGrid w:val="0"/>
          <w:sz w:val="24"/>
          <w:szCs w:val="24"/>
          <w:lang w:val="en-US" w:bidi="ar-SA"/>
        </w:rPr>
        <w:t>80-70分（不含70分）为基本不合格，每扣1分扣款200元；</w:t>
      </w:r>
    </w:p>
    <w:p>
      <w:pPr>
        <w:keepNext w:val="0"/>
        <w:keepLines w:val="0"/>
        <w:pageBreakBefore w:val="0"/>
        <w:widowControl w:val="0"/>
        <w:kinsoku/>
        <w:wordWrap/>
        <w:overflowPunct/>
        <w:topLinePunct w:val="0"/>
        <w:autoSpaceDE/>
        <w:autoSpaceDN/>
        <w:bidi w:val="0"/>
        <w:snapToGrid w:val="0"/>
        <w:spacing w:line="312" w:lineRule="auto"/>
        <w:ind w:left="0" w:leftChars="0" w:firstLine="482" w:firstLineChars="200"/>
        <w:jc w:val="left"/>
        <w:textAlignment w:val="auto"/>
        <w:rPr>
          <w:rFonts w:hint="eastAsia" w:ascii="宋体" w:hAnsi="宋体" w:eastAsia="宋体" w:cs="宋体"/>
          <w:b/>
          <w:bCs/>
          <w:snapToGrid w:val="0"/>
          <w:sz w:val="24"/>
          <w:szCs w:val="24"/>
          <w:lang w:val="en-US" w:bidi="ar-SA"/>
        </w:rPr>
      </w:pPr>
      <w:r>
        <w:rPr>
          <w:rFonts w:hint="eastAsia" w:ascii="宋体" w:hAnsi="宋体" w:eastAsia="宋体" w:cs="宋体"/>
          <w:b/>
          <w:bCs/>
          <w:snapToGrid w:val="0"/>
          <w:sz w:val="24"/>
          <w:szCs w:val="24"/>
          <w:lang w:val="en-US" w:bidi="ar-SA"/>
        </w:rPr>
        <w:t>70分-65分（不含65分）为不合格，每扣1分扣款500元；</w:t>
      </w:r>
    </w:p>
    <w:p>
      <w:pPr>
        <w:keepNext w:val="0"/>
        <w:keepLines w:val="0"/>
        <w:pageBreakBefore w:val="0"/>
        <w:widowControl w:val="0"/>
        <w:kinsoku/>
        <w:wordWrap/>
        <w:overflowPunct/>
        <w:topLinePunct w:val="0"/>
        <w:autoSpaceDE/>
        <w:autoSpaceDN/>
        <w:bidi w:val="0"/>
        <w:snapToGrid w:val="0"/>
        <w:spacing w:line="312" w:lineRule="auto"/>
        <w:ind w:left="0" w:leftChars="0" w:firstLine="482" w:firstLineChars="200"/>
        <w:jc w:val="left"/>
        <w:textAlignment w:val="auto"/>
        <w:rPr>
          <w:rFonts w:hint="eastAsia" w:ascii="宋体" w:hAnsi="宋体" w:eastAsia="宋体" w:cs="宋体"/>
          <w:b/>
          <w:bCs/>
          <w:snapToGrid w:val="0"/>
          <w:sz w:val="24"/>
          <w:szCs w:val="24"/>
          <w:lang w:val="en-US" w:bidi="ar-SA"/>
        </w:rPr>
      </w:pPr>
      <w:r>
        <w:rPr>
          <w:rFonts w:hint="eastAsia" w:ascii="宋体" w:hAnsi="宋体" w:eastAsia="宋体" w:cs="宋体"/>
          <w:b/>
          <w:bCs/>
          <w:snapToGrid w:val="0"/>
          <w:sz w:val="24"/>
          <w:szCs w:val="24"/>
          <w:lang w:val="en-US" w:bidi="ar-SA"/>
        </w:rPr>
        <w:t>65分（含65分）以下为差，不予支付当月承包款。</w:t>
      </w:r>
    </w:p>
    <w:p>
      <w:pPr>
        <w:keepNext w:val="0"/>
        <w:keepLines w:val="0"/>
        <w:pageBreakBefore w:val="0"/>
        <w:widowControl w:val="0"/>
        <w:kinsoku/>
        <w:wordWrap/>
        <w:overflowPunct/>
        <w:topLinePunct w:val="0"/>
        <w:autoSpaceDE/>
        <w:autoSpaceDN/>
        <w:bidi w:val="0"/>
        <w:snapToGrid w:val="0"/>
        <w:spacing w:line="312" w:lineRule="auto"/>
        <w:ind w:left="0" w:leftChars="0" w:firstLine="482" w:firstLineChars="200"/>
        <w:jc w:val="left"/>
        <w:textAlignment w:val="auto"/>
        <w:rPr>
          <w:rFonts w:hint="eastAsia" w:ascii="宋体" w:hAnsi="宋体" w:eastAsia="宋体" w:cs="宋体"/>
          <w:b/>
          <w:bCs/>
          <w:snapToGrid w:val="0"/>
          <w:sz w:val="24"/>
          <w:szCs w:val="24"/>
          <w:lang w:val="en-US" w:bidi="ar-SA"/>
        </w:rPr>
      </w:pPr>
      <w:r>
        <w:rPr>
          <w:rFonts w:hint="eastAsia" w:ascii="宋体" w:hAnsi="宋体" w:eastAsia="宋体" w:cs="宋体"/>
          <w:b/>
          <w:bCs/>
          <w:snapToGrid w:val="0"/>
          <w:sz w:val="24"/>
          <w:szCs w:val="24"/>
          <w:lang w:val="en-US" w:bidi="ar-SA"/>
        </w:rPr>
        <w:t>次月3日前将考核结果汇总上报，考核奖惩款项在当月承包款中体现。</w:t>
      </w:r>
    </w:p>
    <w:p>
      <w:pPr>
        <w:autoSpaceDE/>
        <w:autoSpaceDN/>
        <w:snapToGrid w:val="0"/>
        <w:spacing w:line="312" w:lineRule="auto"/>
        <w:ind w:firstLine="482" w:firstLineChars="200"/>
        <w:jc w:val="left"/>
        <w:outlineLvl w:val="1"/>
        <w:rPr>
          <w:rFonts w:ascii="宋体" w:hAnsi="宋体" w:eastAsia="宋体" w:cs="宋体"/>
          <w:snapToGrid w:val="0"/>
          <w:color w:val="auto"/>
          <w:lang w:val="en-US" w:bidi="ar-SA"/>
        </w:rPr>
      </w:pPr>
      <w:bookmarkStart w:id="1197" w:name="_Toc8720"/>
      <w:bookmarkStart w:id="1198" w:name="_Toc29637"/>
      <w:r>
        <w:rPr>
          <w:rFonts w:hint="eastAsia" w:ascii="宋体" w:hAnsi="宋体" w:eastAsia="宋体" w:cs="宋体"/>
          <w:b/>
          <w:bCs/>
          <w:snapToGrid w:val="0"/>
          <w:color w:val="auto"/>
          <w:lang w:val="en-US" w:eastAsia="zh-CN" w:bidi="ar-SA"/>
        </w:rPr>
        <w:t>七</w:t>
      </w:r>
      <w:r>
        <w:rPr>
          <w:rFonts w:hint="eastAsia" w:ascii="宋体" w:hAnsi="宋体" w:eastAsia="宋体" w:cs="宋体"/>
          <w:b/>
          <w:bCs/>
          <w:snapToGrid w:val="0"/>
          <w:color w:val="auto"/>
          <w:lang w:val="en-US" w:bidi="ar-SA"/>
        </w:rPr>
        <w:t>、保洁作业要求</w:t>
      </w:r>
      <w:bookmarkEnd w:id="1197"/>
      <w:bookmarkEnd w:id="1198"/>
    </w:p>
    <w:p>
      <w:pPr>
        <w:autoSpaceDE/>
        <w:autoSpaceDN/>
        <w:snapToGrid w:val="0"/>
        <w:spacing w:line="312" w:lineRule="auto"/>
        <w:ind w:firstLine="480" w:firstLineChars="200"/>
        <w:jc w:val="both"/>
        <w:rPr>
          <w:rFonts w:ascii="宋体" w:hAnsi="宋体" w:eastAsia="宋体" w:cs="宋体"/>
          <w:snapToGrid w:val="0"/>
          <w:color w:val="auto"/>
          <w:lang w:val="en-US" w:bidi="ar-SA"/>
        </w:rPr>
      </w:pPr>
      <w:r>
        <w:rPr>
          <w:rFonts w:hint="eastAsia" w:ascii="宋体" w:hAnsi="宋体" w:eastAsia="宋体" w:cs="宋体"/>
          <w:snapToGrid w:val="0"/>
          <w:color w:val="auto"/>
          <w:lang w:val="en-US" w:bidi="ar-SA"/>
        </w:rPr>
        <w:t>1、乙方作业人员在岗时间要求</w:t>
      </w:r>
    </w:p>
    <w:p>
      <w:pPr>
        <w:autoSpaceDE/>
        <w:autoSpaceDN/>
        <w:snapToGrid w:val="0"/>
        <w:spacing w:line="312" w:lineRule="auto"/>
        <w:ind w:firstLine="480" w:firstLineChars="200"/>
        <w:jc w:val="both"/>
        <w:rPr>
          <w:rFonts w:ascii="宋体" w:hAnsi="宋体" w:eastAsia="宋体" w:cs="宋体"/>
          <w:snapToGrid w:val="0"/>
          <w:color w:val="auto"/>
          <w:lang w:val="en-US" w:bidi="ar-SA"/>
        </w:rPr>
      </w:pPr>
      <w:r>
        <w:rPr>
          <w:rFonts w:hint="eastAsia" w:ascii="宋体" w:hAnsi="宋体" w:eastAsia="宋体" w:cs="宋体"/>
          <w:snapToGrid w:val="0"/>
          <w:color w:val="auto"/>
          <w:lang w:val="en-US" w:bidi="ar-SA"/>
        </w:rPr>
        <w:t>（1）河西街农贸市场内乙方必须配备4名保洁人员，夏令时早上6：00到晚上经营户收摊为止，冬令时早上6:30到晚上经营户收摊为止。</w:t>
      </w:r>
      <w:r>
        <w:rPr>
          <w:rFonts w:hint="eastAsia" w:ascii="宋体" w:hAnsi="宋体" w:eastAsia="宋体" w:cs="宋体"/>
          <w:snapToGrid w:val="0"/>
          <w:color w:val="auto"/>
          <w:sz w:val="22"/>
          <w:szCs w:val="22"/>
          <w:lang w:val="en-US" w:eastAsia="zh-CN" w:bidi="ar-SA"/>
        </w:rPr>
        <w:t>早上7：00-12：00必须全员在岗，其余时间</w:t>
      </w:r>
      <w:r>
        <w:rPr>
          <w:rFonts w:hint="eastAsia" w:ascii="宋体" w:hAnsi="宋体" w:eastAsia="宋体" w:cs="宋体"/>
          <w:snapToGrid w:val="0"/>
          <w:color w:val="auto"/>
          <w:lang w:val="en-US" w:bidi="ar-SA"/>
        </w:rPr>
        <w:t>除就餐时间外必须全员在岗，就餐时间实行轮</w:t>
      </w:r>
      <w:r>
        <w:rPr>
          <w:rFonts w:hint="eastAsia" w:ascii="宋体" w:hAnsi="宋体" w:eastAsia="宋体" w:cs="宋体"/>
          <w:snapToGrid w:val="0"/>
          <w:color w:val="auto"/>
          <w:lang w:val="en-US" w:eastAsia="zh-CN" w:bidi="ar-SA"/>
        </w:rPr>
        <w:t>班</w:t>
      </w:r>
      <w:r>
        <w:rPr>
          <w:rFonts w:hint="eastAsia" w:ascii="宋体" w:hAnsi="宋体" w:eastAsia="宋体" w:cs="宋体"/>
          <w:snapToGrid w:val="0"/>
          <w:color w:val="auto"/>
          <w:lang w:val="en-US" w:bidi="ar-SA"/>
        </w:rPr>
        <w:t>制。</w:t>
      </w:r>
    </w:p>
    <w:p>
      <w:pPr>
        <w:autoSpaceDE/>
        <w:autoSpaceDN/>
        <w:snapToGrid w:val="0"/>
        <w:spacing w:line="312" w:lineRule="auto"/>
        <w:ind w:firstLine="480" w:firstLineChars="200"/>
        <w:jc w:val="both"/>
        <w:rPr>
          <w:rFonts w:ascii="宋体" w:hAnsi="宋体" w:eastAsia="宋体" w:cs="宋体"/>
          <w:snapToGrid w:val="0"/>
          <w:color w:val="auto"/>
          <w:lang w:val="en-US" w:bidi="ar-SA"/>
        </w:rPr>
      </w:pPr>
      <w:r>
        <w:rPr>
          <w:rFonts w:hint="eastAsia" w:ascii="宋体" w:hAnsi="宋体" w:eastAsia="宋体" w:cs="宋体"/>
          <w:snapToGrid w:val="0"/>
          <w:color w:val="auto"/>
          <w:lang w:val="en-US" w:bidi="ar-SA"/>
        </w:rPr>
        <w:t>（2）飞云路农贸市场内乙方必须配备4名保洁人员（包含夜间值守人员及垃圾清运人员）。夏令时早上6：00到晚上经营户收摊为止，冬令时早上6:30到晚上经营户收摊为止。</w:t>
      </w:r>
      <w:r>
        <w:rPr>
          <w:rFonts w:hint="eastAsia" w:ascii="宋体" w:hAnsi="宋体" w:eastAsia="宋体" w:cs="宋体"/>
          <w:snapToGrid w:val="0"/>
          <w:color w:val="auto"/>
          <w:sz w:val="22"/>
          <w:szCs w:val="22"/>
          <w:lang w:val="en-US" w:eastAsia="zh-CN" w:bidi="ar-SA"/>
        </w:rPr>
        <w:t>早上7：00-12：00必须全员在岗，其余时间</w:t>
      </w:r>
      <w:r>
        <w:rPr>
          <w:rFonts w:hint="eastAsia" w:ascii="宋体" w:hAnsi="宋体" w:eastAsia="宋体" w:cs="宋体"/>
          <w:snapToGrid w:val="0"/>
          <w:color w:val="auto"/>
          <w:lang w:val="en-US" w:bidi="ar-SA"/>
        </w:rPr>
        <w:t>除就餐时间外必须全员在岗，就餐时间实行轮</w:t>
      </w:r>
      <w:r>
        <w:rPr>
          <w:rFonts w:hint="eastAsia" w:ascii="宋体" w:hAnsi="宋体" w:eastAsia="宋体" w:cs="宋体"/>
          <w:snapToGrid w:val="0"/>
          <w:color w:val="auto"/>
          <w:lang w:val="en-US" w:eastAsia="zh-CN" w:bidi="ar-SA"/>
        </w:rPr>
        <w:t>班</w:t>
      </w:r>
      <w:r>
        <w:rPr>
          <w:rFonts w:hint="eastAsia" w:ascii="宋体" w:hAnsi="宋体" w:eastAsia="宋体" w:cs="宋体"/>
          <w:snapToGrid w:val="0"/>
          <w:color w:val="auto"/>
          <w:lang w:val="en-US" w:bidi="ar-SA"/>
        </w:rPr>
        <w:t>制。</w:t>
      </w:r>
    </w:p>
    <w:p>
      <w:pPr>
        <w:autoSpaceDE/>
        <w:autoSpaceDN/>
        <w:snapToGrid w:val="0"/>
        <w:spacing w:line="312" w:lineRule="auto"/>
        <w:ind w:firstLine="480" w:firstLineChars="200"/>
        <w:jc w:val="both"/>
        <w:rPr>
          <w:rFonts w:ascii="宋体" w:hAnsi="宋体" w:eastAsia="宋体" w:cs="宋体"/>
          <w:snapToGrid w:val="0"/>
          <w:color w:val="auto"/>
          <w:lang w:val="en-US" w:bidi="ar-SA"/>
        </w:rPr>
      </w:pPr>
      <w:r>
        <w:rPr>
          <w:rFonts w:hint="eastAsia" w:ascii="宋体" w:hAnsi="宋体" w:eastAsia="宋体" w:cs="宋体"/>
          <w:snapToGrid w:val="0"/>
          <w:color w:val="auto"/>
          <w:lang w:val="en-US" w:bidi="ar-SA"/>
        </w:rPr>
        <w:t>（3）飞云路农贸市场4名保洁人员中含市场夜值守，夜值守人员在值守期间必须人在岗并保证手机畅通。</w:t>
      </w:r>
    </w:p>
    <w:p>
      <w:pPr>
        <w:autoSpaceDE/>
        <w:autoSpaceDN/>
        <w:snapToGrid w:val="0"/>
        <w:spacing w:line="312" w:lineRule="auto"/>
        <w:ind w:firstLine="480" w:firstLineChars="200"/>
        <w:jc w:val="left"/>
        <w:rPr>
          <w:rFonts w:ascii="宋体" w:hAnsi="宋体" w:eastAsia="宋体" w:cs="宋体"/>
          <w:snapToGrid w:val="0"/>
          <w:color w:val="auto"/>
          <w:lang w:val="en-US" w:bidi="ar-SA"/>
        </w:rPr>
      </w:pPr>
      <w:r>
        <w:rPr>
          <w:rFonts w:hint="eastAsia" w:ascii="宋体" w:hAnsi="宋体" w:eastAsia="宋体" w:cs="宋体"/>
          <w:snapToGrid w:val="0"/>
          <w:color w:val="auto"/>
          <w:lang w:val="en-US" w:bidi="ar-SA"/>
        </w:rPr>
        <w:t>2、乙方在保洁过程中作业要求</w:t>
      </w:r>
    </w:p>
    <w:p>
      <w:pPr>
        <w:autoSpaceDE/>
        <w:autoSpaceDN/>
        <w:snapToGrid w:val="0"/>
        <w:spacing w:line="312" w:lineRule="auto"/>
        <w:ind w:firstLine="480" w:firstLineChars="200"/>
        <w:jc w:val="both"/>
        <w:rPr>
          <w:rFonts w:ascii="宋体" w:hAnsi="宋体" w:eastAsia="宋体" w:cs="宋体"/>
          <w:snapToGrid w:val="0"/>
          <w:lang w:val="en-US" w:bidi="ar-SA"/>
        </w:rPr>
      </w:pPr>
      <w:r>
        <w:rPr>
          <w:rFonts w:hint="eastAsia" w:ascii="宋体" w:hAnsi="宋体" w:eastAsia="宋体" w:cs="宋体"/>
          <w:snapToGrid w:val="0"/>
          <w:lang w:val="en-US" w:bidi="ar-SA"/>
        </w:rPr>
        <w:t>（1）市场内保持整洁，无蜘蛛网、无杂物垃圾；市场大门通道清理及时，无垃圾、杂物、烟头；市场通道地面整洁、无积水；市场台面、摊位立面清爽干净；</w:t>
      </w:r>
      <w:r>
        <w:rPr>
          <w:rFonts w:hint="eastAsia" w:ascii="宋体" w:hAnsi="宋体" w:eastAsia="宋体" w:cs="宋体"/>
          <w:snapToGrid w:val="0"/>
          <w:color w:val="000000"/>
          <w:lang w:val="en-US" w:bidi="ar-SA"/>
        </w:rPr>
        <w:t>市场内每星期洗地一次，包括摊岛立面、空余摊位台面及立面清洗；市场小明沟清理干净、畅通；市场垃</w:t>
      </w:r>
      <w:r>
        <w:rPr>
          <w:rFonts w:hint="eastAsia" w:ascii="宋体" w:hAnsi="宋体" w:eastAsia="宋体" w:cs="宋体"/>
          <w:snapToGrid w:val="0"/>
          <w:lang w:val="en-US" w:bidi="ar-SA"/>
        </w:rPr>
        <w:t>圾桶垃圾及时清运、垃圾桶每天更换垃圾袋。</w:t>
      </w:r>
    </w:p>
    <w:p>
      <w:pPr>
        <w:autoSpaceDE/>
        <w:autoSpaceDN/>
        <w:snapToGrid w:val="0"/>
        <w:spacing w:line="312" w:lineRule="auto"/>
        <w:ind w:firstLine="480" w:firstLineChars="200"/>
        <w:jc w:val="both"/>
        <w:rPr>
          <w:rFonts w:ascii="宋体" w:hAnsi="宋体" w:eastAsia="宋体" w:cs="宋体"/>
          <w:snapToGrid w:val="0"/>
          <w:lang w:val="en-US" w:bidi="ar-SA"/>
        </w:rPr>
      </w:pPr>
      <w:r>
        <w:rPr>
          <w:rFonts w:hint="eastAsia" w:ascii="宋体" w:hAnsi="宋体" w:eastAsia="宋体" w:cs="宋体"/>
          <w:snapToGrid w:val="0"/>
          <w:lang w:val="en-US" w:bidi="ar-SA"/>
        </w:rPr>
        <w:t>（2）停车场全天候保持地面干净、无杂物，无卫生死角。</w:t>
      </w:r>
    </w:p>
    <w:p>
      <w:pPr>
        <w:autoSpaceDE/>
        <w:autoSpaceDN/>
        <w:snapToGrid w:val="0"/>
        <w:spacing w:line="312" w:lineRule="auto"/>
        <w:ind w:firstLine="480" w:firstLineChars="200"/>
        <w:jc w:val="both"/>
        <w:rPr>
          <w:rFonts w:ascii="宋体" w:hAnsi="宋体" w:eastAsia="宋体" w:cs="宋体"/>
          <w:snapToGrid w:val="0"/>
          <w:lang w:val="en-US" w:bidi="ar-SA"/>
        </w:rPr>
      </w:pPr>
      <w:r>
        <w:rPr>
          <w:rFonts w:hint="eastAsia" w:ascii="宋体" w:hAnsi="宋体" w:eastAsia="宋体" w:cs="宋体"/>
          <w:snapToGrid w:val="0"/>
          <w:lang w:val="en-US" w:bidi="ar-SA"/>
        </w:rPr>
        <w:t>（3）杂货市场全天候地面保持</w:t>
      </w:r>
      <w:r>
        <w:rPr>
          <w:rFonts w:hint="eastAsia" w:ascii="宋体" w:hAnsi="宋体" w:cs="宋体"/>
          <w:snapToGrid w:val="0"/>
          <w:lang w:val="en-US" w:eastAsia="zh-CN" w:bidi="ar-SA"/>
        </w:rPr>
        <w:t>整洁</w:t>
      </w:r>
      <w:r>
        <w:rPr>
          <w:rFonts w:hint="eastAsia" w:ascii="宋体" w:hAnsi="宋体" w:eastAsia="宋体" w:cs="宋体"/>
          <w:snapToGrid w:val="0"/>
          <w:lang w:val="en-US" w:bidi="ar-SA"/>
        </w:rPr>
        <w:t>、厕所保持干净、无卫生死角、无杂物堆放。</w:t>
      </w:r>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3、厕所保洁要求</w:t>
      </w:r>
    </w:p>
    <w:p>
      <w:pPr>
        <w:autoSpaceDE/>
        <w:autoSpaceDN/>
        <w:snapToGrid w:val="0"/>
        <w:spacing w:line="312" w:lineRule="auto"/>
        <w:ind w:firstLine="480" w:firstLineChars="200"/>
        <w:jc w:val="left"/>
        <w:rPr>
          <w:rFonts w:ascii="宋体" w:hAnsi="宋体" w:eastAsia="宋体" w:cs="宋体"/>
          <w:snapToGrid w:val="0"/>
          <w:color w:val="auto"/>
          <w:lang w:val="en-US" w:bidi="ar-SA"/>
        </w:rPr>
      </w:pPr>
      <w:r>
        <w:rPr>
          <w:rFonts w:hint="eastAsia" w:ascii="宋体" w:hAnsi="宋体" w:eastAsia="宋体" w:cs="宋体"/>
          <w:snapToGrid w:val="0"/>
          <w:lang w:val="en-US" w:bidi="ar-SA"/>
        </w:rPr>
        <w:t>河西街杂货市</w:t>
      </w:r>
      <w:r>
        <w:rPr>
          <w:rFonts w:hint="eastAsia" w:ascii="宋体" w:hAnsi="宋体" w:eastAsia="宋体" w:cs="宋体"/>
          <w:snapToGrid w:val="0"/>
          <w:color w:val="auto"/>
          <w:lang w:val="en-US" w:bidi="ar-SA"/>
        </w:rPr>
        <w:t>场厕所、飞云路农贸市场厕所每日有专人保洁，门窗、灯罩、以及地面墙面污迹等定期擦洗，无蛛网，无垃圾，便池无残留物，全天候保持整体干净。</w:t>
      </w:r>
    </w:p>
    <w:p>
      <w:pPr>
        <w:autoSpaceDE/>
        <w:autoSpaceDN/>
        <w:snapToGrid w:val="0"/>
        <w:spacing w:line="312" w:lineRule="auto"/>
        <w:ind w:firstLine="480" w:firstLineChars="200"/>
        <w:jc w:val="left"/>
        <w:rPr>
          <w:rFonts w:ascii="宋体" w:hAnsi="宋体" w:eastAsia="宋体" w:cs="宋体"/>
          <w:snapToGrid w:val="0"/>
          <w:color w:val="auto"/>
          <w:lang w:val="en-US" w:bidi="ar-SA"/>
        </w:rPr>
      </w:pPr>
      <w:r>
        <w:rPr>
          <w:rFonts w:hint="eastAsia" w:ascii="宋体" w:hAnsi="宋体" w:eastAsia="宋体" w:cs="宋体"/>
          <w:snapToGrid w:val="0"/>
          <w:color w:val="auto"/>
          <w:lang w:val="en-US" w:bidi="ar-SA"/>
        </w:rPr>
        <w:t>4、垃圾分类收集清运要求</w:t>
      </w:r>
    </w:p>
    <w:p>
      <w:pPr>
        <w:autoSpaceDE/>
        <w:autoSpaceDN/>
        <w:snapToGrid w:val="0"/>
        <w:spacing w:line="312" w:lineRule="auto"/>
        <w:ind w:firstLine="480" w:firstLineChars="200"/>
        <w:jc w:val="left"/>
        <w:rPr>
          <w:rFonts w:hint="eastAsia" w:ascii="宋体" w:hAnsi="宋体" w:eastAsia="宋体" w:cs="宋体"/>
          <w:snapToGrid w:val="0"/>
          <w:color w:val="auto"/>
          <w:lang w:val="en-US" w:bidi="ar-SA"/>
        </w:rPr>
      </w:pPr>
      <w:r>
        <w:rPr>
          <w:rFonts w:hint="eastAsia" w:ascii="宋体" w:hAnsi="宋体" w:eastAsia="宋体" w:cs="宋体"/>
          <w:snapToGrid w:val="0"/>
          <w:color w:val="auto"/>
          <w:lang w:val="en-US" w:eastAsia="zh-CN" w:bidi="ar-SA"/>
        </w:rPr>
        <w:t>按相关部门要求做好垃圾分类收集；垃圾满桶即时清运，做到车走、地净、桶空，垃圾无散落运输；无残渣及牵挂附着物，垃圾桶按要求每天更换垃圾袋。</w:t>
      </w:r>
    </w:p>
    <w:p>
      <w:pPr>
        <w:autoSpaceDE/>
        <w:autoSpaceDN/>
        <w:snapToGrid w:val="0"/>
        <w:spacing w:line="312" w:lineRule="auto"/>
        <w:ind w:firstLine="482" w:firstLineChars="200"/>
        <w:jc w:val="left"/>
        <w:outlineLvl w:val="1"/>
        <w:rPr>
          <w:rFonts w:ascii="宋体" w:hAnsi="宋体" w:eastAsia="宋体" w:cs="宋体"/>
          <w:b/>
          <w:bCs/>
          <w:snapToGrid w:val="0"/>
          <w:lang w:val="en-US" w:bidi="ar-SA"/>
        </w:rPr>
      </w:pPr>
      <w:bookmarkStart w:id="1199" w:name="_Toc20225"/>
      <w:bookmarkStart w:id="1200" w:name="_Toc26485"/>
      <w:bookmarkStart w:id="1201" w:name="_Toc3351"/>
      <w:r>
        <w:rPr>
          <w:rFonts w:hint="eastAsia" w:ascii="宋体" w:hAnsi="宋体" w:eastAsia="宋体" w:cs="宋体"/>
          <w:b/>
          <w:bCs/>
          <w:snapToGrid w:val="0"/>
          <w:lang w:val="en-US" w:eastAsia="zh-CN" w:bidi="ar-SA"/>
        </w:rPr>
        <w:t>八</w:t>
      </w:r>
      <w:r>
        <w:rPr>
          <w:rFonts w:hint="eastAsia" w:ascii="宋体" w:hAnsi="宋体" w:eastAsia="宋体" w:cs="宋体"/>
          <w:b/>
          <w:bCs/>
          <w:snapToGrid w:val="0"/>
          <w:lang w:val="en-US" w:bidi="ar-SA"/>
        </w:rPr>
        <w:t>、考核办法</w:t>
      </w:r>
      <w:bookmarkEnd w:id="1199"/>
      <w:bookmarkEnd w:id="1200"/>
      <w:bookmarkEnd w:id="1201"/>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见附件：《龙游县百益市场管理有限公司城区农贸市场保洁考核办法》。</w:t>
      </w:r>
    </w:p>
    <w:p>
      <w:pPr>
        <w:autoSpaceDE/>
        <w:autoSpaceDN/>
        <w:snapToGrid w:val="0"/>
        <w:spacing w:line="312" w:lineRule="auto"/>
        <w:ind w:firstLine="482" w:firstLineChars="200"/>
        <w:jc w:val="left"/>
        <w:outlineLvl w:val="1"/>
        <w:rPr>
          <w:rFonts w:ascii="宋体" w:hAnsi="宋体" w:eastAsia="宋体" w:cs="宋体"/>
          <w:b/>
          <w:bCs/>
          <w:snapToGrid w:val="0"/>
          <w:lang w:val="en-US" w:bidi="ar-SA"/>
        </w:rPr>
      </w:pPr>
      <w:bookmarkStart w:id="1202" w:name="_Toc4204"/>
      <w:bookmarkStart w:id="1203" w:name="_Toc4190"/>
      <w:bookmarkStart w:id="1204" w:name="_Toc24020"/>
      <w:r>
        <w:rPr>
          <w:rFonts w:hint="eastAsia" w:ascii="宋体" w:hAnsi="宋体" w:eastAsia="宋体" w:cs="宋体"/>
          <w:b/>
          <w:bCs/>
          <w:snapToGrid w:val="0"/>
          <w:lang w:val="en-US" w:eastAsia="zh-CN" w:bidi="ar-SA"/>
        </w:rPr>
        <w:t>九</w:t>
      </w:r>
      <w:r>
        <w:rPr>
          <w:rFonts w:hint="eastAsia" w:ascii="宋体" w:hAnsi="宋体" w:eastAsia="宋体" w:cs="宋体"/>
          <w:b/>
          <w:bCs/>
          <w:snapToGrid w:val="0"/>
          <w:lang w:val="en-US" w:bidi="ar-SA"/>
        </w:rPr>
        <w:t>、双方权利和义务</w:t>
      </w:r>
      <w:bookmarkEnd w:id="1202"/>
      <w:bookmarkEnd w:id="1203"/>
      <w:bookmarkEnd w:id="1204"/>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(一) 甲方</w:t>
      </w:r>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1、甲方有权对乙方承包的保洁范围内的保洁作业（包括飞云路农贸市场夜值守）进行全程监督、检查以及定期和不定期考核，《龙游县百益市场管理有限公司城区农贸市场保洁考核办法》与本合同具有同等法律效力。</w:t>
      </w:r>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2、甲方有权监督乙方的用工人数和用工最低工资标准。</w:t>
      </w:r>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(二) 乙方</w:t>
      </w:r>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l、乙方及其雇用的人员应遵守国家的法律、法规和甲方的管理规定，若有违反，所造成的一切后果由乙方自行负责。</w:t>
      </w:r>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2、乙方应加强对作业人员的管理、教育和上岗培训，严格遵守操作规程，遵守交通法规，文明作业，上岗作业时必须穿反光服，以确保安全，消除安全隐患，如果发生安全事故，责任由乙方全部承担。</w:t>
      </w:r>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3、乙方应遵守《劳动法》，乙方应与雇用人员签订用工劳务合同，并为雇用人员办理有关工伤人身意外保险手续，否则不得上岗。乙方与雇用人员签订的用工劳务合同及已办理的人身意外保险单复印件应送甲方备案存档。</w:t>
      </w:r>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4、乙方应服从甲方的工作安排，严格按照本合同及其附件中的条款开展保洁作业，不准在保洁工作时间内分捡垃圾遗弃物，并积极配合甲方进行检查、考核等工作，如造成市场因检查、巡查、督查扣分，责任全部由乙方承担。</w:t>
      </w:r>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5、在承包期间，如乙方及其</w:t>
      </w:r>
      <w:r>
        <w:rPr>
          <w:rFonts w:hint="eastAsia" w:ascii="宋体" w:hAnsi="宋体" w:cs="宋体"/>
          <w:snapToGrid w:val="0"/>
          <w:lang w:val="en-US" w:eastAsia="zh-CN" w:bidi="ar-SA"/>
        </w:rPr>
        <w:t>雇佣</w:t>
      </w:r>
      <w:r>
        <w:rPr>
          <w:rFonts w:hint="eastAsia" w:ascii="宋体" w:hAnsi="宋体" w:eastAsia="宋体" w:cs="宋体"/>
          <w:snapToGrid w:val="0"/>
          <w:lang w:val="en-US" w:bidi="ar-SA"/>
        </w:rPr>
        <w:t>人员在工作中发生人身、财产损害或致第三者人身、财产损害的，由乙方自行承担。</w:t>
      </w:r>
    </w:p>
    <w:p>
      <w:pPr>
        <w:autoSpaceDE/>
        <w:autoSpaceDN/>
        <w:snapToGrid w:val="0"/>
        <w:spacing w:line="312" w:lineRule="auto"/>
        <w:ind w:firstLine="482" w:firstLineChars="200"/>
        <w:jc w:val="left"/>
        <w:outlineLvl w:val="1"/>
        <w:rPr>
          <w:rFonts w:ascii="宋体" w:hAnsi="宋体" w:eastAsia="宋体" w:cs="宋体"/>
          <w:b/>
          <w:bCs/>
          <w:snapToGrid w:val="0"/>
          <w:lang w:val="en-US" w:bidi="ar-SA"/>
        </w:rPr>
      </w:pPr>
      <w:bookmarkStart w:id="1205" w:name="_Toc20906"/>
      <w:bookmarkStart w:id="1206" w:name="_Toc30094"/>
      <w:bookmarkStart w:id="1207" w:name="_Toc3831"/>
      <w:r>
        <w:rPr>
          <w:rFonts w:hint="eastAsia" w:ascii="宋体" w:hAnsi="宋体" w:eastAsia="宋体" w:cs="宋体"/>
          <w:b/>
          <w:bCs/>
          <w:snapToGrid w:val="0"/>
          <w:lang w:val="en-US" w:eastAsia="zh-CN" w:bidi="ar-SA"/>
        </w:rPr>
        <w:t>十</w:t>
      </w:r>
      <w:r>
        <w:rPr>
          <w:rFonts w:hint="eastAsia" w:ascii="宋体" w:hAnsi="宋体" w:eastAsia="宋体" w:cs="宋体"/>
          <w:b/>
          <w:bCs/>
          <w:snapToGrid w:val="0"/>
          <w:lang w:val="en-US" w:bidi="ar-SA"/>
        </w:rPr>
        <w:t>、履约保证金</w:t>
      </w:r>
      <w:bookmarkEnd w:id="1205"/>
      <w:bookmarkEnd w:id="1206"/>
      <w:bookmarkEnd w:id="1207"/>
    </w:p>
    <w:p>
      <w:pPr>
        <w:autoSpaceDE/>
        <w:autoSpaceDN/>
        <w:snapToGrid w:val="0"/>
        <w:spacing w:line="312" w:lineRule="auto"/>
        <w:ind w:firstLine="480" w:firstLineChars="200"/>
        <w:jc w:val="left"/>
        <w:rPr>
          <w:rFonts w:hint="eastAsia" w:ascii="宋体" w:hAnsi="宋体" w:eastAsia="宋体" w:cs="宋体"/>
          <w:snapToGrid w:val="0"/>
          <w:lang w:val="en-US" w:bidi="ar-SA"/>
        </w:rPr>
      </w:pPr>
      <w:r>
        <w:rPr>
          <w:rFonts w:hint="eastAsia" w:ascii="宋体" w:hAnsi="宋体" w:eastAsia="宋体" w:cs="宋体"/>
          <w:snapToGrid w:val="0"/>
          <w:lang w:val="en-US" w:bidi="ar-SA"/>
        </w:rPr>
        <w:t>乙方</w:t>
      </w:r>
      <w:r>
        <w:rPr>
          <w:rFonts w:hint="eastAsia" w:ascii="宋体" w:hAnsi="宋体" w:cs="宋体"/>
          <w:snapToGrid w:val="0"/>
          <w:lang w:val="en-US" w:eastAsia="zh-CN" w:bidi="ar-SA"/>
        </w:rPr>
        <w:t>在签订合同</w:t>
      </w:r>
      <w:r>
        <w:rPr>
          <w:rFonts w:hint="eastAsia" w:ascii="宋体" w:hAnsi="宋体" w:eastAsia="宋体" w:cs="宋体"/>
          <w:snapToGrid w:val="0"/>
          <w:lang w:val="en-US" w:bidi="ar-SA"/>
        </w:rPr>
        <w:t>前向甲方交纳履约保证金：人民币</w:t>
      </w:r>
      <w:r>
        <w:rPr>
          <w:rFonts w:hint="eastAsia" w:ascii="宋体" w:hAnsi="宋体" w:eastAsia="宋体" w:cs="宋体"/>
          <w:snapToGrid w:val="0"/>
          <w:u w:val="single"/>
          <w:lang w:val="en-US" w:bidi="ar-SA"/>
        </w:rPr>
        <w:t xml:space="preserve">   </w:t>
      </w:r>
      <w:r>
        <w:rPr>
          <w:rFonts w:hint="eastAsia" w:ascii="宋体" w:hAnsi="宋体" w:eastAsia="宋体" w:cs="宋体"/>
          <w:snapToGrid w:val="0"/>
          <w:u w:val="single"/>
          <w:lang w:val="en-US" w:eastAsia="zh-CN" w:bidi="ar-SA"/>
        </w:rPr>
        <w:t xml:space="preserve">   </w:t>
      </w:r>
      <w:r>
        <w:rPr>
          <w:rFonts w:hint="eastAsia" w:ascii="宋体" w:hAnsi="宋体" w:eastAsia="宋体" w:cs="宋体"/>
          <w:snapToGrid w:val="0"/>
          <w:u w:val="single"/>
          <w:lang w:val="en-US" w:bidi="ar-SA"/>
        </w:rPr>
        <w:t xml:space="preserve">  元</w:t>
      </w:r>
      <w:r>
        <w:rPr>
          <w:rFonts w:hint="eastAsia" w:ascii="宋体" w:hAnsi="宋体" w:eastAsia="宋体" w:cs="宋体"/>
          <w:snapToGrid w:val="0"/>
          <w:lang w:val="en-US" w:bidi="ar-SA"/>
        </w:rPr>
        <w:t>，大写：</w:t>
      </w:r>
      <w:r>
        <w:rPr>
          <w:rFonts w:hint="eastAsia" w:ascii="宋体" w:hAnsi="宋体" w:eastAsia="宋体" w:cs="宋体"/>
          <w:snapToGrid w:val="0"/>
          <w:u w:val="single"/>
          <w:lang w:val="en-US" w:bidi="ar-SA"/>
        </w:rPr>
        <w:t xml:space="preserve">        </w:t>
      </w:r>
      <w:r>
        <w:rPr>
          <w:rFonts w:hint="eastAsia" w:ascii="宋体" w:hAnsi="宋体" w:eastAsia="宋体" w:cs="宋体"/>
          <w:snapToGrid w:val="0"/>
          <w:lang w:val="en-US" w:bidi="ar-SA"/>
        </w:rPr>
        <w:t>元，合同到期后且无违约的情况下，一月内一次性退还。（不计息）</w:t>
      </w:r>
    </w:p>
    <w:p>
      <w:pPr>
        <w:autoSpaceDE/>
        <w:autoSpaceDN/>
        <w:snapToGrid w:val="0"/>
        <w:spacing w:line="312" w:lineRule="auto"/>
        <w:ind w:firstLine="482" w:firstLineChars="200"/>
        <w:jc w:val="left"/>
        <w:outlineLvl w:val="1"/>
        <w:rPr>
          <w:rFonts w:ascii="宋体" w:hAnsi="宋体" w:eastAsia="宋体" w:cs="宋体"/>
          <w:b/>
          <w:bCs/>
          <w:snapToGrid w:val="0"/>
          <w:lang w:val="en-US" w:bidi="ar-SA"/>
        </w:rPr>
      </w:pPr>
      <w:bookmarkStart w:id="1208" w:name="_Toc1221"/>
      <w:bookmarkStart w:id="1209" w:name="_Toc25893"/>
      <w:bookmarkStart w:id="1210" w:name="_Toc28028"/>
      <w:r>
        <w:rPr>
          <w:rFonts w:hint="eastAsia" w:ascii="宋体" w:hAnsi="宋体" w:eastAsia="宋体" w:cs="宋体"/>
          <w:b/>
          <w:bCs/>
          <w:snapToGrid w:val="0"/>
          <w:lang w:val="en-US" w:bidi="ar-SA"/>
        </w:rPr>
        <w:t>十</w:t>
      </w:r>
      <w:r>
        <w:rPr>
          <w:rFonts w:hint="eastAsia" w:ascii="宋体" w:hAnsi="宋体" w:eastAsia="宋体" w:cs="宋体"/>
          <w:b/>
          <w:bCs/>
          <w:snapToGrid w:val="0"/>
          <w:lang w:val="en-US" w:eastAsia="zh-CN" w:bidi="ar-SA"/>
        </w:rPr>
        <w:t>一</w:t>
      </w:r>
      <w:r>
        <w:rPr>
          <w:rFonts w:hint="eastAsia" w:ascii="宋体" w:hAnsi="宋体" w:eastAsia="宋体" w:cs="宋体"/>
          <w:b/>
          <w:bCs/>
          <w:snapToGrid w:val="0"/>
          <w:lang w:val="en-US" w:bidi="ar-SA"/>
        </w:rPr>
        <w:t>、终止合同条件及违约责任</w:t>
      </w:r>
      <w:bookmarkEnd w:id="1208"/>
      <w:bookmarkEnd w:id="1209"/>
      <w:bookmarkEnd w:id="1210"/>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1、乙方在承包期内连续三次月考核低于65分的或不服从管理的，甲方有权单方面终止本合同，同时没收乙方交纳的履约保证金。</w:t>
      </w:r>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2、乙方不得转包、分包给其他个人或单位，一经发现，甲方有权单方面终止本合同，同时没收乙方</w:t>
      </w:r>
      <w:r>
        <w:rPr>
          <w:rFonts w:hint="eastAsia" w:ascii="宋体" w:hAnsi="宋体" w:cs="宋体"/>
          <w:snapToGrid w:val="0"/>
          <w:lang w:val="en-US" w:eastAsia="zh-CN" w:bidi="ar-SA"/>
        </w:rPr>
        <w:t>缴纳</w:t>
      </w:r>
      <w:r>
        <w:rPr>
          <w:rFonts w:hint="eastAsia" w:ascii="宋体" w:hAnsi="宋体" w:eastAsia="宋体" w:cs="宋体"/>
          <w:snapToGrid w:val="0"/>
          <w:lang w:val="en-US" w:bidi="ar-SA"/>
        </w:rPr>
        <w:t>的履约保证金。</w:t>
      </w:r>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3、被县级以上媒体曝光或重大活动期间被有关部门通报整改的，每次罚款1000元；低于用工人数或最低工资标准的</w:t>
      </w:r>
      <w:r>
        <w:rPr>
          <w:rFonts w:hint="eastAsia" w:ascii="宋体" w:hAnsi="宋体" w:eastAsia="宋体" w:cs="宋体"/>
          <w:snapToGrid w:val="0"/>
          <w:lang w:val="en-US" w:eastAsia="zh-CN" w:bidi="ar-SA"/>
        </w:rPr>
        <w:t>每</w:t>
      </w:r>
      <w:r>
        <w:rPr>
          <w:rFonts w:hint="eastAsia" w:ascii="宋体" w:hAnsi="宋体" w:eastAsia="宋体" w:cs="宋体"/>
          <w:snapToGrid w:val="0"/>
          <w:lang w:val="en-US" w:bidi="ar-SA"/>
        </w:rPr>
        <w:t>发现一例罚款200元；若累计发生三次以上且情节严重的情况，甲方有权取消乙方的承包资格，终止合同。</w:t>
      </w:r>
    </w:p>
    <w:p>
      <w:pPr>
        <w:autoSpaceDE/>
        <w:autoSpaceDN/>
        <w:snapToGrid w:val="0"/>
        <w:spacing w:line="312" w:lineRule="auto"/>
        <w:ind w:firstLine="482" w:firstLineChars="200"/>
        <w:jc w:val="left"/>
        <w:outlineLvl w:val="1"/>
        <w:rPr>
          <w:rFonts w:ascii="宋体" w:hAnsi="宋体" w:eastAsia="宋体" w:cs="宋体"/>
          <w:b/>
          <w:bCs/>
          <w:snapToGrid w:val="0"/>
          <w:lang w:val="en-US" w:bidi="ar-SA"/>
        </w:rPr>
      </w:pPr>
      <w:bookmarkStart w:id="1211" w:name="_Toc21696"/>
      <w:bookmarkStart w:id="1212" w:name="_Toc24199"/>
      <w:bookmarkStart w:id="1213" w:name="_Toc13845"/>
      <w:r>
        <w:rPr>
          <w:rFonts w:hint="eastAsia" w:ascii="宋体" w:hAnsi="宋体" w:eastAsia="宋体" w:cs="宋体"/>
          <w:b/>
          <w:bCs/>
          <w:snapToGrid w:val="0"/>
          <w:lang w:val="en-US" w:bidi="ar-SA"/>
        </w:rPr>
        <w:t>十</w:t>
      </w:r>
      <w:r>
        <w:rPr>
          <w:rFonts w:hint="eastAsia" w:ascii="宋体" w:hAnsi="宋体" w:eastAsia="宋体" w:cs="宋体"/>
          <w:b/>
          <w:bCs/>
          <w:snapToGrid w:val="0"/>
          <w:lang w:val="en-US" w:eastAsia="zh-CN" w:bidi="ar-SA"/>
        </w:rPr>
        <w:t>二</w:t>
      </w:r>
      <w:r>
        <w:rPr>
          <w:rFonts w:hint="eastAsia" w:ascii="宋体" w:hAnsi="宋体" w:eastAsia="宋体" w:cs="宋体"/>
          <w:b/>
          <w:bCs/>
          <w:snapToGrid w:val="0"/>
          <w:lang w:val="en-US" w:bidi="ar-SA"/>
        </w:rPr>
        <w:t>、本合同发生争议</w:t>
      </w:r>
      <w:bookmarkEnd w:id="1211"/>
      <w:bookmarkEnd w:id="1212"/>
      <w:bookmarkEnd w:id="1213"/>
    </w:p>
    <w:p>
      <w:pPr>
        <w:autoSpaceDE/>
        <w:autoSpaceDN/>
        <w:snapToGrid w:val="0"/>
        <w:spacing w:line="312" w:lineRule="auto"/>
        <w:ind w:firstLine="480" w:firstLineChars="200"/>
        <w:jc w:val="left"/>
        <w:rPr>
          <w:rFonts w:ascii="宋体" w:hAnsi="宋体" w:eastAsia="宋体" w:cs="宋体"/>
          <w:snapToGrid w:val="0"/>
          <w:lang w:val="en-US" w:bidi="ar-SA"/>
        </w:rPr>
      </w:pPr>
      <w:r>
        <w:rPr>
          <w:rFonts w:hint="eastAsia" w:ascii="宋体" w:hAnsi="宋体" w:eastAsia="宋体" w:cs="宋体"/>
          <w:snapToGrid w:val="0"/>
          <w:lang w:val="en-US" w:bidi="ar-SA"/>
        </w:rPr>
        <w:t>双方在执行合同中所发生的一切争议，应通过协商解决。如协商不成，可向</w:t>
      </w:r>
      <w:r>
        <w:rPr>
          <w:rFonts w:hint="eastAsia" w:cs="宋体"/>
          <w:snapToGrid w:val="0"/>
          <w:lang w:val="en-US" w:eastAsia="zh-CN" w:bidi="ar-SA"/>
        </w:rPr>
        <w:t>龙游县</w:t>
      </w:r>
      <w:r>
        <w:rPr>
          <w:rFonts w:hint="eastAsia" w:ascii="宋体" w:hAnsi="宋体" w:eastAsia="宋体" w:cs="宋体"/>
          <w:snapToGrid w:val="0"/>
          <w:lang w:val="en-US" w:bidi="ar-SA"/>
        </w:rPr>
        <w:t>法院起诉。</w:t>
      </w:r>
    </w:p>
    <w:bookmarkEnd w:id="1185"/>
    <w:bookmarkEnd w:id="1186"/>
    <w:p>
      <w:pPr>
        <w:keepNext w:val="0"/>
        <w:keepLines w:val="0"/>
        <w:widowControl w:val="0"/>
        <w:suppressLineNumbers w:val="0"/>
        <w:spacing w:before="0" w:beforeAutospacing="0" w:after="0" w:afterAutospacing="0" w:line="312" w:lineRule="auto"/>
        <w:ind w:left="0" w:right="0" w:firstLine="482" w:firstLineChars="200"/>
        <w:jc w:val="both"/>
        <w:outlineLvl w:val="1"/>
        <w:rPr>
          <w:rFonts w:hint="eastAsia" w:ascii="宋体" w:hAnsi="Times New Roman" w:eastAsia="宋体" w:cs="宋体"/>
          <w:b/>
          <w:bCs w:val="0"/>
          <w:kern w:val="2"/>
          <w:sz w:val="24"/>
          <w:szCs w:val="24"/>
        </w:rPr>
      </w:pPr>
      <w:bookmarkStart w:id="1214" w:name="_Toc10861"/>
      <w:bookmarkStart w:id="1215" w:name="_Toc13051"/>
      <w:bookmarkStart w:id="1216" w:name="_Toc5259"/>
      <w:r>
        <w:rPr>
          <w:rFonts w:hint="eastAsia" w:ascii="宋体" w:hAnsi="宋体" w:eastAsia="宋体" w:cs="宋体"/>
          <w:b/>
          <w:bCs w:val="0"/>
          <w:kern w:val="2"/>
          <w:sz w:val="24"/>
          <w:szCs w:val="24"/>
          <w:lang w:val="en-US" w:eastAsia="zh-CN" w:bidi="ar"/>
        </w:rPr>
        <w:t>十</w:t>
      </w:r>
      <w:r>
        <w:rPr>
          <w:rFonts w:hint="eastAsia" w:ascii="宋体" w:hAnsi="宋体" w:cs="宋体"/>
          <w:b/>
          <w:bCs w:val="0"/>
          <w:kern w:val="2"/>
          <w:sz w:val="24"/>
          <w:szCs w:val="24"/>
          <w:lang w:val="en-US" w:eastAsia="zh-CN" w:bidi="ar"/>
        </w:rPr>
        <w:t>三</w:t>
      </w:r>
      <w:r>
        <w:rPr>
          <w:rFonts w:hint="eastAsia" w:ascii="宋体" w:hAnsi="宋体" w:eastAsia="宋体" w:cs="宋体"/>
          <w:b/>
          <w:bCs w:val="0"/>
          <w:kern w:val="2"/>
          <w:sz w:val="24"/>
          <w:szCs w:val="24"/>
          <w:lang w:val="en-US" w:eastAsia="zh-CN" w:bidi="ar"/>
        </w:rPr>
        <w:t>、合同生效</w:t>
      </w:r>
      <w:r>
        <w:rPr>
          <w:rFonts w:hint="eastAsia" w:ascii="宋体" w:hAnsi="宋体" w:cs="宋体"/>
          <w:b/>
          <w:bCs w:val="0"/>
          <w:kern w:val="2"/>
          <w:sz w:val="24"/>
          <w:szCs w:val="24"/>
          <w:lang w:val="en-US" w:eastAsia="zh-CN" w:bidi="ar"/>
        </w:rPr>
        <w:t>及其他</w:t>
      </w:r>
      <w:bookmarkEnd w:id="1214"/>
      <w:bookmarkEnd w:id="1215"/>
      <w:bookmarkEnd w:id="1216"/>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1.合同经双方法定代表人或授权代表签字并加盖单位</w:t>
      </w:r>
      <w:r>
        <w:rPr>
          <w:rFonts w:hint="eastAsia" w:ascii="宋体" w:hAnsi="宋体" w:cs="宋体"/>
          <w:kern w:val="2"/>
          <w:sz w:val="24"/>
          <w:szCs w:val="24"/>
          <w:lang w:val="en-US" w:eastAsia="zh-CN" w:bidi="ar"/>
        </w:rPr>
        <w:t>公章</w:t>
      </w:r>
      <w:r>
        <w:rPr>
          <w:rFonts w:hint="eastAsia" w:ascii="宋体" w:hAnsi="宋体" w:eastAsia="宋体" w:cs="宋体"/>
          <w:kern w:val="2"/>
          <w:sz w:val="24"/>
          <w:szCs w:val="24"/>
          <w:lang w:val="en-US" w:eastAsia="zh-CN" w:bidi="ar"/>
        </w:rPr>
        <w:t>后生效。</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2.本合同未尽事宜，遵照《民法典》有关条文执行。</w:t>
      </w:r>
    </w:p>
    <w:p>
      <w:pPr>
        <w:keepNext w:val="0"/>
        <w:keepLines w:val="0"/>
        <w:widowControl w:val="0"/>
        <w:suppressLineNumbers w:val="0"/>
        <w:spacing w:before="0" w:beforeAutospacing="0" w:after="0" w:afterAutospacing="0" w:line="312" w:lineRule="auto"/>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3.本合同一式七份，具有同等法律效力，甲乙双方各执三份，衢州宇信工程咨询有限公司执一份。</w:t>
      </w:r>
    </w:p>
    <w:tbl>
      <w:tblPr>
        <w:tblStyle w:val="36"/>
        <w:tblW w:w="92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43"/>
        <w:gridCol w:w="4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甲方（盖章）：</w:t>
            </w:r>
          </w:p>
        </w:tc>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单位负责人或授权代理人（签字）：</w:t>
            </w:r>
          </w:p>
        </w:tc>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单位负责人或授权代理人（签字）：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jc w:val="center"/>
        </w:trPr>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地址：</w:t>
            </w:r>
          </w:p>
        </w:tc>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jc w:val="center"/>
        </w:trPr>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联系方式：</w:t>
            </w:r>
          </w:p>
        </w:tc>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jc w:val="center"/>
        </w:trPr>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开户银行：</w:t>
            </w:r>
          </w:p>
        </w:tc>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账号：</w:t>
            </w:r>
          </w:p>
        </w:tc>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签订日期：2024年  月  日</w:t>
            </w:r>
          </w:p>
        </w:tc>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签订日期：2024年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480" w:firstLineChars="200"/>
              <w:jc w:val="left"/>
              <w:rPr>
                <w:rFonts w:hint="eastAsia" w:ascii="宋体" w:hAnsi="Times New Roman" w:eastAsia="宋体" w:cs="宋体"/>
                <w:kern w:val="0"/>
                <w:sz w:val="24"/>
                <w:szCs w:val="24"/>
              </w:rPr>
            </w:pPr>
          </w:p>
        </w:tc>
        <w:tc>
          <w:tcPr>
            <w:tcW w:w="464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240" w:lineRule="auto"/>
              <w:ind w:left="0" w:right="0" w:firstLine="480" w:firstLineChars="200"/>
              <w:jc w:val="left"/>
              <w:rPr>
                <w:rFonts w:hint="eastAsia" w:ascii="宋体" w:hAnsi="Times New Roman"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jc w:val="center"/>
        </w:trPr>
        <w:tc>
          <w:tcPr>
            <w:tcW w:w="9286" w:type="dxa"/>
            <w:gridSpan w:val="2"/>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合同鉴证方</w:t>
            </w:r>
            <w:r>
              <w:rPr>
                <w:rFonts w:hint="eastAsia" w:ascii="宋体" w:hAnsi="宋体" w:cs="宋体"/>
                <w:kern w:val="0"/>
                <w:sz w:val="24"/>
                <w:szCs w:val="24"/>
                <w:lang w:val="en-US" w:eastAsia="zh-CN" w:bidi="ar"/>
              </w:rPr>
              <w:t>：</w:t>
            </w:r>
          </w:p>
          <w:p>
            <w:pPr>
              <w:keepNext w:val="0"/>
              <w:keepLines w:val="0"/>
              <w:widowControl w:val="0"/>
              <w:suppressLineNumbers w:val="0"/>
              <w:spacing w:before="0" w:beforeAutospacing="0" w:after="0" w:afterAutospacing="0" w:line="240" w:lineRule="auto"/>
              <w:ind w:left="0" w:right="0" w:firstLine="0" w:firstLineChars="0"/>
              <w:jc w:val="left"/>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鉴证日期</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2024年  月   日</w:t>
            </w:r>
          </w:p>
        </w:tc>
      </w:tr>
    </w:tbl>
    <w:p>
      <w:pPr>
        <w:pStyle w:val="3"/>
        <w:widowControl/>
        <w:spacing w:before="312" w:beforeAutospacing="0" w:after="312" w:afterAutospacing="0"/>
        <w:ind w:left="0" w:firstLine="0" w:firstLineChars="0"/>
        <w:jc w:val="center"/>
        <w:outlineLvl w:val="0"/>
        <w:rPr>
          <w:rFonts w:hint="eastAsia" w:ascii="宋体" w:hAnsi="宋体" w:eastAsia="宋体" w:cs="宋体"/>
          <w:b/>
          <w:bCs w:val="0"/>
          <w:kern w:val="2"/>
          <w:sz w:val="36"/>
          <w:szCs w:val="36"/>
        </w:rPr>
      </w:pPr>
      <w:r>
        <w:rPr>
          <w:rFonts w:hint="eastAsia" w:ascii="宋体" w:hAnsi="宋体" w:eastAsia="宋体" w:cs="宋体"/>
          <w:b/>
          <w:bCs w:val="0"/>
          <w:kern w:val="2"/>
          <w:sz w:val="36"/>
          <w:szCs w:val="36"/>
        </w:rPr>
        <w:t xml:space="preserve"> </w:t>
      </w:r>
      <w:bookmarkStart w:id="1217" w:name="_Toc2611"/>
      <w:r>
        <w:rPr>
          <w:rFonts w:hint="eastAsia" w:ascii="宋体" w:hAnsi="宋体" w:eastAsia="宋体" w:cs="宋体"/>
          <w:b/>
          <w:bCs w:val="0"/>
          <w:kern w:val="2"/>
          <w:sz w:val="36"/>
          <w:szCs w:val="36"/>
        </w:rPr>
        <w:t>第六章  竞争性磋商响应文件格式</w:t>
      </w:r>
      <w:bookmarkEnd w:id="1217"/>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
          <w:bCs w:val="0"/>
          <w:kern w:val="2"/>
          <w:sz w:val="24"/>
          <w:szCs w:val="24"/>
        </w:rPr>
      </w:pPr>
      <w:r>
        <w:rPr>
          <w:rFonts w:hint="eastAsia" w:ascii="宋体" w:hAnsi="宋体" w:eastAsia="宋体" w:cs="宋体"/>
          <w:bCs/>
          <w:kern w:val="2"/>
          <w:sz w:val="24"/>
          <w:szCs w:val="24"/>
          <w:lang w:val="en-US" w:eastAsia="zh-CN" w:bidi="ar"/>
        </w:rPr>
        <w:t>本附件所有格式仅供制作竞争性磋商响应文件时参考，供应商应根据行业特点，结合本项目的相关要求，对有关内容、表格可进行补充或修改，但不得对实质性内容做出变动。</w:t>
      </w:r>
    </w:p>
    <w:p>
      <w:pPr>
        <w:keepNext w:val="0"/>
        <w:keepLines w:val="0"/>
        <w:widowControl w:val="0"/>
        <w:suppressLineNumbers w:val="0"/>
        <w:spacing w:before="0" w:beforeAutospacing="0" w:after="0" w:afterAutospacing="0" w:line="500" w:lineRule="exact"/>
        <w:ind w:left="0" w:right="0" w:firstLine="0" w:firstLineChars="0"/>
        <w:jc w:val="both"/>
        <w:rPr>
          <w:rFonts w:hint="eastAsia" w:ascii="宋体" w:hAnsi="宋体" w:eastAsia="宋体" w:cs="宋体"/>
          <w:b/>
          <w:bCs w:val="0"/>
          <w:kern w:val="2"/>
          <w:sz w:val="48"/>
          <w:szCs w:val="48"/>
        </w:rPr>
      </w:pPr>
      <w:r>
        <w:rPr>
          <w:rFonts w:hint="eastAsia" w:ascii="宋体" w:hAnsi="宋体" w:eastAsia="宋体" w:cs="宋体"/>
          <w:b/>
          <w:bCs w:val="0"/>
          <w:kern w:val="2"/>
          <w:sz w:val="48"/>
          <w:szCs w:val="48"/>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center"/>
        <w:rPr>
          <w:rFonts w:hint="eastAsia" w:ascii="宋体" w:hAnsi="宋体" w:eastAsia="宋体" w:cs="宋体"/>
          <w:b/>
          <w:bCs w:val="0"/>
          <w:kern w:val="2"/>
          <w:sz w:val="44"/>
          <w:szCs w:val="44"/>
        </w:rPr>
      </w:pPr>
      <w:r>
        <w:rPr>
          <w:rFonts w:hint="eastAsia" w:ascii="宋体" w:hAnsi="宋体" w:eastAsia="宋体" w:cs="宋体"/>
          <w:b/>
          <w:bCs w:val="0"/>
          <w:kern w:val="2"/>
          <w:sz w:val="44"/>
          <w:szCs w:val="4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center"/>
        <w:rPr>
          <w:rFonts w:hint="eastAsia" w:ascii="宋体" w:hAnsi="宋体" w:eastAsia="宋体" w:cs="宋体"/>
          <w:b/>
          <w:bCs w:val="0"/>
          <w:kern w:val="2"/>
          <w:sz w:val="44"/>
          <w:szCs w:val="44"/>
        </w:rPr>
      </w:pPr>
      <w:r>
        <w:rPr>
          <w:rFonts w:hint="eastAsia" w:ascii="宋体" w:hAnsi="宋体" w:eastAsia="宋体" w:cs="宋体"/>
          <w:b/>
          <w:bCs w:val="0"/>
          <w:kern w:val="2"/>
          <w:sz w:val="44"/>
          <w:szCs w:val="4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center"/>
        <w:rPr>
          <w:rFonts w:hint="eastAsia" w:ascii="宋体" w:hAnsi="宋体" w:eastAsia="宋体" w:cs="宋体"/>
          <w:b/>
          <w:bCs w:val="0"/>
          <w:kern w:val="2"/>
          <w:sz w:val="44"/>
          <w:szCs w:val="44"/>
        </w:rPr>
      </w:pPr>
      <w:r>
        <w:rPr>
          <w:rFonts w:hint="eastAsia" w:ascii="宋体" w:hAnsi="宋体" w:eastAsia="宋体" w:cs="宋体"/>
          <w:b/>
          <w:bCs w:val="0"/>
          <w:kern w:val="2"/>
          <w:sz w:val="44"/>
          <w:szCs w:val="4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center"/>
        <w:rPr>
          <w:rFonts w:hint="eastAsia" w:ascii="宋体" w:hAnsi="宋体" w:eastAsia="宋体" w:cs="宋体"/>
          <w:b/>
          <w:bCs w:val="0"/>
          <w:kern w:val="2"/>
          <w:sz w:val="44"/>
          <w:szCs w:val="44"/>
        </w:rPr>
      </w:pPr>
      <w:r>
        <w:rPr>
          <w:rFonts w:hint="eastAsia" w:ascii="宋体" w:hAnsi="宋体" w:eastAsia="宋体" w:cs="宋体"/>
          <w:b/>
          <w:bCs w:val="0"/>
          <w:kern w:val="2"/>
          <w:sz w:val="44"/>
          <w:szCs w:val="4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pacing w:before="0" w:beforeAutospacing="0" w:after="0" w:afterAutospacing="0" w:line="500" w:lineRule="exact"/>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pacing w:before="0" w:beforeAutospacing="0" w:after="0" w:afterAutospacing="0" w:line="500" w:lineRule="exact"/>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pacing w:before="0" w:beforeAutospacing="0" w:after="0" w:afterAutospacing="0" w:line="500" w:lineRule="exact"/>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pacing w:before="0" w:beforeAutospacing="0" w:after="0" w:afterAutospacing="0" w:line="500" w:lineRule="exact"/>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pacing w:before="0" w:beforeAutospacing="0" w:after="0" w:afterAutospacing="0" w:line="500" w:lineRule="exact"/>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pacing w:before="0" w:beforeAutospacing="0" w:after="0" w:afterAutospacing="0" w:line="500" w:lineRule="exact"/>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pacing w:before="0" w:beforeAutospacing="0" w:after="0" w:afterAutospacing="0" w:line="500" w:lineRule="exact"/>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pacing w:before="0" w:beforeAutospacing="0" w:after="0" w:afterAutospacing="0" w:line="500" w:lineRule="exact"/>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pacing w:before="0" w:beforeAutospacing="0" w:after="0" w:afterAutospacing="0" w:line="500" w:lineRule="exact"/>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pacing w:before="0" w:beforeAutospacing="0" w:after="0" w:afterAutospacing="0" w:line="500" w:lineRule="exact"/>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pacing w:before="0" w:beforeAutospacing="0" w:after="0" w:afterAutospacing="0" w:line="500" w:lineRule="exact"/>
        <w:ind w:left="0" w:right="0" w:firstLine="562" w:firstLineChars="200"/>
        <w:jc w:val="both"/>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 xml:space="preserve"> </w:t>
      </w:r>
    </w:p>
    <w:p>
      <w:pPr>
        <w:pStyle w:val="2"/>
        <w:rPr>
          <w:rFonts w:hint="eastAsia" w:ascii="宋体" w:hAnsi="宋体" w:eastAsia="宋体" w:cs="宋体"/>
          <w:b/>
          <w:bCs w:val="0"/>
          <w:kern w:val="2"/>
          <w:sz w:val="28"/>
          <w:szCs w:val="28"/>
          <w:lang w:val="en-US" w:eastAsia="zh-CN" w:bidi="ar"/>
        </w:rPr>
      </w:pPr>
    </w:p>
    <w:p>
      <w:pPr>
        <w:rPr>
          <w:rFonts w:hint="eastAsia" w:ascii="宋体" w:hAnsi="宋体" w:eastAsia="宋体" w:cs="宋体"/>
          <w:b/>
          <w:bCs w:val="0"/>
          <w:kern w:val="2"/>
          <w:sz w:val="28"/>
          <w:szCs w:val="28"/>
          <w:lang w:val="en-US" w:eastAsia="zh-CN" w:bidi="ar"/>
        </w:rPr>
      </w:pPr>
    </w:p>
    <w:p>
      <w:pPr>
        <w:pStyle w:val="2"/>
        <w:rPr>
          <w:rFonts w:hint="eastAsia" w:ascii="宋体" w:hAnsi="宋体" w:eastAsia="宋体" w:cs="宋体"/>
          <w:b/>
          <w:bCs w:val="0"/>
          <w:kern w:val="2"/>
          <w:sz w:val="28"/>
          <w:szCs w:val="28"/>
          <w:lang w:val="en-US" w:eastAsia="zh-CN" w:bidi="ar"/>
        </w:rPr>
      </w:pPr>
    </w:p>
    <w:p>
      <w:pPr>
        <w:rPr>
          <w:rFonts w:hint="eastAsia"/>
        </w:rPr>
      </w:pPr>
    </w:p>
    <w:p>
      <w:pPr>
        <w:keepNext w:val="0"/>
        <w:keepLines w:val="0"/>
        <w:widowControl w:val="0"/>
        <w:suppressLineNumbers w:val="0"/>
        <w:spacing w:before="0" w:beforeAutospacing="0" w:after="0" w:afterAutospacing="0" w:line="500" w:lineRule="exact"/>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pStyle w:val="32"/>
        <w:keepNext w:val="0"/>
        <w:keepLines w:val="0"/>
        <w:widowControl w:val="0"/>
        <w:suppressLineNumbers w:val="0"/>
        <w:spacing w:before="0" w:beforeAutospacing="0" w:after="0" w:afterAutospacing="0" w:line="500" w:lineRule="exact"/>
        <w:ind w:left="0" w:right="0" w:firstLine="562" w:firstLineChars="200"/>
        <w:jc w:val="left"/>
        <w:rPr>
          <w:rFonts w:hint="eastAsia" w:ascii="宋体" w:hAnsi="宋体" w:eastAsia="宋体" w:cs="宋体"/>
          <w:b/>
          <w:bCs/>
          <w:kern w:val="2"/>
          <w:sz w:val="28"/>
          <w:szCs w:val="28"/>
        </w:rPr>
      </w:pPr>
      <w:r>
        <w:rPr>
          <w:rFonts w:hint="eastAsia" w:ascii="宋体" w:hAnsi="宋体" w:eastAsia="宋体" w:cs="宋体"/>
          <w:b/>
          <w:bCs/>
          <w:kern w:val="2"/>
          <w:sz w:val="28"/>
          <w:szCs w:val="28"/>
          <w:lang w:val="en-US" w:eastAsia="zh-CN" w:bidi="ar"/>
        </w:rPr>
        <w:t xml:space="preserve"> </w:t>
      </w:r>
    </w:p>
    <w:p>
      <w:pPr>
        <w:pStyle w:val="32"/>
        <w:keepNext w:val="0"/>
        <w:keepLines w:val="0"/>
        <w:widowControl w:val="0"/>
        <w:suppressLineNumbers w:val="0"/>
        <w:spacing w:before="0" w:beforeAutospacing="0" w:after="0" w:afterAutospacing="0" w:line="500" w:lineRule="exact"/>
        <w:ind w:left="0" w:right="0" w:firstLine="562" w:firstLineChars="200"/>
        <w:jc w:val="left"/>
        <w:rPr>
          <w:rFonts w:hint="eastAsia" w:ascii="宋体" w:hAnsi="宋体" w:eastAsia="宋体" w:cs="宋体"/>
          <w:b/>
          <w:bCs/>
          <w:kern w:val="2"/>
          <w:sz w:val="28"/>
          <w:szCs w:val="28"/>
        </w:rPr>
      </w:pPr>
      <w:r>
        <w:rPr>
          <w:rFonts w:hint="eastAsia" w:ascii="宋体" w:hAnsi="宋体" w:eastAsia="宋体" w:cs="宋体"/>
          <w:b/>
          <w:bCs/>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cs="宋体"/>
          <w:b/>
          <w:bCs w:val="0"/>
          <w:kern w:val="2"/>
          <w:sz w:val="48"/>
          <w:szCs w:val="48"/>
          <w:lang w:val="en-US" w:eastAsia="zh-CN" w:bidi="ar"/>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800" w:lineRule="exact"/>
        <w:ind w:left="0" w:right="0" w:firstLine="0" w:firstLineChars="0"/>
        <w:jc w:val="center"/>
        <w:outlineLvl w:val="1"/>
        <w:rPr>
          <w:rFonts w:hint="eastAsia" w:ascii="宋体" w:hAnsi="宋体" w:eastAsia="宋体" w:cs="宋体"/>
          <w:b/>
          <w:bCs/>
          <w:kern w:val="2"/>
          <w:sz w:val="52"/>
          <w:szCs w:val="52"/>
        </w:rPr>
      </w:pPr>
      <w:bookmarkStart w:id="1218" w:name="_Toc10132"/>
      <w:r>
        <w:rPr>
          <w:rFonts w:hint="eastAsia" w:ascii="宋体" w:hAnsi="宋体" w:cs="宋体"/>
          <w:b/>
          <w:bCs w:val="0"/>
          <w:kern w:val="2"/>
          <w:sz w:val="52"/>
          <w:szCs w:val="52"/>
          <w:lang w:val="en-US" w:eastAsia="zh-CN" w:bidi="ar"/>
        </w:rPr>
        <w:t>2024年龙游县河西街、飞云路农贸市场保洁外包项目</w:t>
      </w:r>
      <w:bookmarkEnd w:id="1218"/>
      <w:r>
        <w:rPr>
          <w:rFonts w:hint="eastAsia" w:ascii="宋体" w:hAnsi="宋体" w:eastAsia="宋体" w:cs="宋体"/>
          <w:b/>
          <w:bCs/>
          <w:kern w:val="2"/>
          <w:sz w:val="52"/>
          <w:szCs w:val="52"/>
          <w:lang w:val="en-US" w:eastAsia="zh-CN" w:bidi="ar"/>
        </w:rPr>
        <w:t xml:space="preserve"> </w:t>
      </w:r>
    </w:p>
    <w:p>
      <w:pPr>
        <w:keepNext w:val="0"/>
        <w:keepLines w:val="0"/>
        <w:widowControl w:val="0"/>
        <w:suppressLineNumbers w:val="0"/>
        <w:snapToGrid w:val="0"/>
        <w:spacing w:before="0" w:beforeAutospacing="0" w:after="0" w:afterAutospacing="0" w:line="500" w:lineRule="exact"/>
        <w:ind w:left="0" w:right="0" w:firstLine="0" w:firstLineChars="0"/>
        <w:jc w:val="center"/>
        <w:outlineLvl w:val="9"/>
        <w:rPr>
          <w:rFonts w:hint="eastAsia" w:ascii="宋体" w:hAnsi="宋体" w:eastAsia="宋体" w:cs="宋体"/>
          <w:b/>
          <w:bCs/>
          <w:kern w:val="2"/>
          <w:sz w:val="48"/>
          <w:szCs w:val="48"/>
        </w:rPr>
      </w:pPr>
      <w:r>
        <w:rPr>
          <w:rFonts w:hint="eastAsia" w:ascii="宋体" w:hAnsi="宋体" w:eastAsia="宋体" w:cs="宋体"/>
          <w:b/>
          <w:bCs/>
          <w:kern w:val="2"/>
          <w:sz w:val="48"/>
          <w:szCs w:val="48"/>
          <w:lang w:val="en-US" w:eastAsia="zh-CN" w:bidi="ar"/>
        </w:rPr>
        <w:t xml:space="preserve"> </w:t>
      </w:r>
    </w:p>
    <w:p>
      <w:pPr>
        <w:pStyle w:val="35"/>
        <w:ind w:firstLine="0" w:firstLineChars="0"/>
        <w:rPr>
          <w:rFonts w:hint="eastAsia"/>
          <w:lang w:val="en-US" w:eastAsia="zh-CN"/>
        </w:rPr>
      </w:pPr>
      <w:bookmarkStart w:id="1219" w:name="_Toc12761"/>
      <w:bookmarkStart w:id="1220" w:name="_Toc28307"/>
    </w:p>
    <w:p>
      <w:pPr>
        <w:pStyle w:val="35"/>
        <w:ind w:firstLine="0" w:firstLineChars="0"/>
        <w:rPr>
          <w:rFonts w:hint="eastAsia"/>
          <w:lang w:val="en-US" w:eastAsia="zh-CN"/>
        </w:rPr>
      </w:pPr>
    </w:p>
    <w:p>
      <w:pPr>
        <w:rPr>
          <w:rFonts w:hint="eastAsia"/>
          <w:lang w:val="en-US" w:eastAsia="zh-CN"/>
        </w:rPr>
      </w:pPr>
    </w:p>
    <w:p>
      <w:pPr>
        <w:pStyle w:val="3"/>
        <w:ind w:firstLine="0" w:firstLineChars="0"/>
        <w:jc w:val="center"/>
        <w:rPr>
          <w:rFonts w:hint="default" w:ascii="Times New Roman" w:hAnsi="Times New Roman" w:eastAsia="宋体" w:cs="宋体"/>
          <w:kern w:val="2"/>
          <w:sz w:val="24"/>
          <w:szCs w:val="24"/>
        </w:rPr>
      </w:pPr>
      <w:bookmarkStart w:id="1221" w:name="_Toc17431"/>
      <w:r>
        <w:rPr>
          <w:rFonts w:hint="eastAsia"/>
          <w:sz w:val="84"/>
          <w:szCs w:val="84"/>
          <w:lang w:val="en-US" w:eastAsia="zh-CN"/>
        </w:rPr>
        <w:t>磋商响应文件</w:t>
      </w:r>
      <w:bookmarkEnd w:id="1219"/>
      <w:bookmarkEnd w:id="1220"/>
      <w:bookmarkEnd w:id="1221"/>
    </w:p>
    <w:p>
      <w:pPr>
        <w:spacing w:line="500" w:lineRule="exact"/>
        <w:ind w:firstLine="0" w:firstLineChars="0"/>
        <w:jc w:val="both"/>
        <w:rPr>
          <w:rFonts w:hint="default" w:ascii="Times New Roman" w:hAnsi="Times New Roman" w:eastAsia="宋体" w:cs="宋体"/>
          <w:kern w:val="2"/>
          <w:sz w:val="24"/>
          <w:szCs w:val="24"/>
          <w:lang w:val="en-US" w:eastAsia="zh-CN" w:bidi="ar"/>
        </w:rPr>
      </w:pPr>
      <w:r>
        <w:rPr>
          <w:rFonts w:hint="default" w:ascii="Times New Roman" w:hAnsi="Times New Roman" w:eastAsia="宋体" w:cs="宋体"/>
          <w:kern w:val="2"/>
          <w:sz w:val="24"/>
          <w:szCs w:val="24"/>
          <w:lang w:val="en-US" w:eastAsia="zh-CN" w:bidi="ar"/>
        </w:rPr>
        <w:t xml:space="preserve"> </w:t>
      </w:r>
    </w:p>
    <w:p>
      <w:pPr>
        <w:pStyle w:val="2"/>
        <w:rPr>
          <w:rFonts w:hint="default"/>
        </w:rPr>
      </w:pPr>
    </w:p>
    <w:p>
      <w:pPr>
        <w:pStyle w:val="32"/>
        <w:keepNext w:val="0"/>
        <w:keepLines w:val="0"/>
        <w:widowControl w:val="0"/>
        <w:suppressLineNumbers w:val="0"/>
        <w:spacing w:before="0" w:beforeAutospacing="0" w:after="0" w:afterAutospacing="0" w:line="720" w:lineRule="auto"/>
        <w:ind w:left="0" w:right="0" w:firstLine="0" w:firstLineChars="0"/>
        <w:jc w:val="center"/>
        <w:outlineLvl w:val="0"/>
        <w:rPr>
          <w:rFonts w:hint="eastAsia" w:ascii="宋体" w:hAnsi="宋体" w:eastAsia="宋体" w:cs="宋体"/>
          <w:b/>
          <w:bCs/>
          <w:kern w:val="2"/>
          <w:sz w:val="44"/>
          <w:szCs w:val="44"/>
        </w:rPr>
      </w:pPr>
      <w:bookmarkStart w:id="1222" w:name="_Toc4088"/>
      <w:bookmarkStart w:id="1223" w:name="_Toc393"/>
      <w:bookmarkStart w:id="1224" w:name="_Toc5514"/>
      <w:r>
        <w:rPr>
          <w:rFonts w:hint="eastAsia" w:ascii="宋体" w:hAnsi="宋体" w:eastAsia="宋体" w:cs="宋体"/>
          <w:b/>
          <w:bCs w:val="0"/>
          <w:spacing w:val="-11"/>
          <w:kern w:val="2"/>
          <w:sz w:val="44"/>
          <w:szCs w:val="44"/>
          <w:lang w:val="en-US" w:eastAsia="zh-CN" w:bidi="ar"/>
        </w:rPr>
        <w:t>资格文件/</w:t>
      </w:r>
      <w:r>
        <w:rPr>
          <w:rFonts w:hint="eastAsia" w:ascii="宋体" w:hAnsi="宋体" w:eastAsia="宋体" w:cs="宋体"/>
          <w:b/>
          <w:bCs/>
          <w:kern w:val="2"/>
          <w:sz w:val="44"/>
          <w:szCs w:val="44"/>
          <w:lang w:val="en-US" w:eastAsia="zh-CN" w:bidi="ar"/>
        </w:rPr>
        <w:t>资信商务技术文件/报价文件</w:t>
      </w:r>
      <w:bookmarkEnd w:id="1222"/>
      <w:bookmarkEnd w:id="1223"/>
      <w:bookmarkEnd w:id="1224"/>
    </w:p>
    <w:p>
      <w:pPr>
        <w:spacing w:beforeAutospacing="0" w:afterAutospacing="0" w:line="500" w:lineRule="exact"/>
        <w:ind w:left="0" w:firstLine="0" w:firstLineChars="0"/>
        <w:jc w:val="center"/>
        <w:rPr>
          <w:rFonts w:hint="default" w:ascii="Times New Roman" w:hAnsi="Times New Roman" w:eastAsia="宋体" w:cs="Times New Roman"/>
          <w:kern w:val="2"/>
          <w:sz w:val="24"/>
          <w:szCs w:val="24"/>
        </w:rPr>
      </w:pPr>
      <w:r>
        <w:rPr>
          <w:rFonts w:hint="eastAsia" w:ascii="宋体" w:hAnsi="宋体" w:eastAsia="宋体" w:cs="宋体"/>
          <w:b/>
          <w:bCs w:val="0"/>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center"/>
        <w:rPr>
          <w:rFonts w:hint="default" w:ascii="Times New Roman" w:hAnsi="Times New Roman" w:eastAsia="宋体" w:cs="宋体"/>
          <w:kern w:val="2"/>
          <w:sz w:val="24"/>
          <w:szCs w:val="24"/>
        </w:rPr>
      </w:pPr>
      <w:r>
        <w:rPr>
          <w:rFonts w:hint="eastAsia" w:ascii="宋体" w:hAnsi="宋体" w:eastAsia="宋体" w:cs="宋体"/>
          <w:b/>
          <w:bCs w:val="0"/>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center"/>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firstLine="843" w:firstLineChars="300"/>
        <w:jc w:val="both"/>
        <w:outlineLvl w:val="0"/>
        <w:rPr>
          <w:rFonts w:hint="eastAsia" w:ascii="宋体" w:hAnsi="宋体" w:eastAsia="宋体" w:cs="宋体"/>
          <w:b/>
          <w:bCs w:val="0"/>
          <w:kern w:val="2"/>
          <w:sz w:val="28"/>
          <w:szCs w:val="28"/>
          <w:u w:val="single"/>
        </w:rPr>
      </w:pPr>
      <w:bookmarkStart w:id="1225" w:name="_Toc21026"/>
      <w:bookmarkStart w:id="1226" w:name="_Toc29681"/>
      <w:bookmarkStart w:id="1227" w:name="_Toc32118"/>
      <w:r>
        <w:rPr>
          <w:rFonts w:hint="eastAsia" w:ascii="宋体" w:hAnsi="宋体" w:eastAsia="宋体" w:cs="宋体"/>
          <w:b/>
          <w:bCs w:val="0"/>
          <w:kern w:val="2"/>
          <w:sz w:val="28"/>
          <w:szCs w:val="28"/>
          <w:lang w:val="en-US" w:eastAsia="zh-CN" w:bidi="ar"/>
        </w:rPr>
        <w:t>项目编号：</w:t>
      </w:r>
      <w:bookmarkEnd w:id="1225"/>
      <w:bookmarkEnd w:id="1226"/>
      <w:bookmarkEnd w:id="1227"/>
      <w:r>
        <w:rPr>
          <w:rFonts w:hint="eastAsia" w:ascii="宋体" w:hAnsi="宋体" w:eastAsia="宋体" w:cs="宋体"/>
          <w:b/>
          <w:bCs w:val="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firstLine="843" w:firstLineChars="3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firstLine="843" w:firstLineChars="300"/>
        <w:jc w:val="both"/>
        <w:outlineLvl w:val="0"/>
        <w:rPr>
          <w:rFonts w:hint="eastAsia" w:ascii="宋体" w:hAnsi="宋体" w:eastAsia="宋体" w:cs="宋体"/>
          <w:b/>
          <w:bCs w:val="0"/>
          <w:kern w:val="2"/>
          <w:sz w:val="28"/>
          <w:szCs w:val="28"/>
          <w:u w:val="single"/>
        </w:rPr>
      </w:pPr>
      <w:bookmarkStart w:id="1228" w:name="_Toc20992"/>
      <w:bookmarkStart w:id="1229" w:name="_Toc25941"/>
      <w:bookmarkStart w:id="1230" w:name="_Toc9158"/>
      <w:r>
        <w:rPr>
          <w:rFonts w:hint="eastAsia" w:ascii="宋体" w:hAnsi="宋体" w:eastAsia="宋体" w:cs="宋体"/>
          <w:b/>
          <w:bCs w:val="0"/>
          <w:kern w:val="2"/>
          <w:sz w:val="28"/>
          <w:szCs w:val="28"/>
          <w:lang w:val="en-US" w:eastAsia="zh-CN" w:bidi="ar"/>
        </w:rPr>
        <w:t>供应商名称：</w:t>
      </w:r>
      <w:r>
        <w:rPr>
          <w:rFonts w:hint="eastAsia" w:ascii="宋体" w:hAnsi="宋体" w:eastAsia="宋体" w:cs="宋体"/>
          <w:b/>
          <w:bCs w:val="0"/>
          <w:kern w:val="2"/>
          <w:sz w:val="28"/>
          <w:szCs w:val="28"/>
          <w:u w:val="single"/>
          <w:lang w:val="en-US" w:eastAsia="zh-CN" w:bidi="ar"/>
        </w:rPr>
        <w:t xml:space="preserve">                              （盖单位</w:t>
      </w:r>
      <w:r>
        <w:rPr>
          <w:rFonts w:hint="eastAsia" w:ascii="宋体" w:hAnsi="宋体" w:cs="宋体"/>
          <w:b/>
          <w:bCs w:val="0"/>
          <w:kern w:val="2"/>
          <w:sz w:val="28"/>
          <w:szCs w:val="28"/>
          <w:u w:val="single"/>
          <w:lang w:val="en-US" w:eastAsia="zh-CN" w:bidi="ar"/>
        </w:rPr>
        <w:t>电子公章</w:t>
      </w:r>
      <w:r>
        <w:rPr>
          <w:rFonts w:hint="eastAsia" w:ascii="宋体" w:hAnsi="宋体" w:eastAsia="宋体" w:cs="宋体"/>
          <w:b/>
          <w:bCs w:val="0"/>
          <w:kern w:val="2"/>
          <w:sz w:val="28"/>
          <w:szCs w:val="28"/>
          <w:u w:val="single"/>
          <w:lang w:val="en-US" w:eastAsia="zh-CN" w:bidi="ar"/>
        </w:rPr>
        <w:t>）</w:t>
      </w:r>
      <w:bookmarkEnd w:id="1228"/>
      <w:bookmarkEnd w:id="1229"/>
      <w:bookmarkEnd w:id="1230"/>
    </w:p>
    <w:p>
      <w:pPr>
        <w:keepNext w:val="0"/>
        <w:keepLines w:val="0"/>
        <w:widowControl w:val="0"/>
        <w:suppressLineNumbers w:val="0"/>
        <w:snapToGrid w:val="0"/>
        <w:spacing w:before="0" w:beforeAutospacing="0" w:after="0" w:afterAutospacing="0" w:line="400" w:lineRule="exact"/>
        <w:ind w:left="0" w:right="0" w:firstLine="843" w:firstLineChars="300"/>
        <w:jc w:val="both"/>
        <w:rPr>
          <w:rFonts w:hint="eastAsia" w:ascii="宋体" w:hAnsi="宋体" w:eastAsia="宋体" w:cs="宋体"/>
          <w:b/>
          <w:bCs w:val="0"/>
          <w:kern w:val="2"/>
          <w:sz w:val="28"/>
          <w:szCs w:val="28"/>
          <w:u w:val="single"/>
          <w:lang w:val="en-US" w:eastAsia="zh-CN" w:bidi="ar"/>
        </w:rPr>
      </w:pPr>
    </w:p>
    <w:p>
      <w:pPr>
        <w:keepNext w:val="0"/>
        <w:keepLines w:val="0"/>
        <w:widowControl w:val="0"/>
        <w:suppressLineNumbers w:val="0"/>
        <w:snapToGrid w:val="0"/>
        <w:spacing w:before="0" w:beforeAutospacing="0" w:after="0" w:afterAutospacing="0" w:line="400" w:lineRule="exact"/>
        <w:ind w:left="0" w:right="0" w:firstLine="843" w:firstLineChars="300"/>
        <w:jc w:val="both"/>
        <w:outlineLvl w:val="0"/>
        <w:rPr>
          <w:rFonts w:hint="eastAsia" w:ascii="宋体" w:hAnsi="宋体" w:eastAsia="宋体" w:cs="宋体"/>
          <w:b/>
          <w:bCs w:val="0"/>
          <w:kern w:val="2"/>
          <w:sz w:val="28"/>
          <w:szCs w:val="28"/>
          <w:u w:val="single"/>
        </w:rPr>
      </w:pPr>
      <w:bookmarkStart w:id="1231" w:name="_Toc29046"/>
      <w:bookmarkStart w:id="1232" w:name="_Toc11135"/>
      <w:bookmarkStart w:id="1233" w:name="_Toc9304"/>
      <w:r>
        <w:rPr>
          <w:rFonts w:hint="eastAsia" w:ascii="宋体" w:hAnsi="宋体" w:eastAsia="宋体" w:cs="宋体"/>
          <w:b/>
          <w:bCs w:val="0"/>
          <w:kern w:val="2"/>
          <w:sz w:val="28"/>
          <w:szCs w:val="28"/>
          <w:lang w:val="en-US" w:eastAsia="zh-CN" w:bidi="ar"/>
        </w:rPr>
        <w:t>法定代表人或其授权代表（签字或盖章）：</w:t>
      </w:r>
      <w:bookmarkEnd w:id="1231"/>
      <w:r>
        <w:rPr>
          <w:rFonts w:hint="eastAsia" w:ascii="宋体" w:hAnsi="宋体" w:eastAsia="宋体" w:cs="宋体"/>
          <w:b/>
          <w:bCs w:val="0"/>
          <w:kern w:val="2"/>
          <w:sz w:val="28"/>
          <w:szCs w:val="28"/>
          <w:u w:val="single"/>
          <w:lang w:val="en-US" w:eastAsia="zh-CN" w:bidi="ar"/>
        </w:rPr>
        <w:t xml:space="preserve">                            </w:t>
      </w:r>
      <w:bookmarkEnd w:id="1232"/>
      <w:bookmarkEnd w:id="1233"/>
    </w:p>
    <w:p>
      <w:pPr>
        <w:keepNext w:val="0"/>
        <w:keepLines w:val="0"/>
        <w:widowControl w:val="0"/>
        <w:suppressLineNumbers w:val="0"/>
        <w:snapToGrid w:val="0"/>
        <w:spacing w:before="0" w:beforeAutospacing="0" w:after="0" w:afterAutospacing="0" w:line="400" w:lineRule="exact"/>
        <w:ind w:left="0" w:right="0" w:firstLine="843" w:firstLineChars="3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firstLine="843" w:firstLineChars="300"/>
        <w:jc w:val="both"/>
        <w:outlineLvl w:val="0"/>
        <w:rPr>
          <w:rFonts w:hint="eastAsia" w:ascii="宋体" w:hAnsi="宋体" w:eastAsia="宋体" w:cs="宋体"/>
          <w:b/>
          <w:bCs w:val="0"/>
          <w:kern w:val="2"/>
          <w:sz w:val="28"/>
          <w:szCs w:val="28"/>
          <w:u w:val="single"/>
        </w:rPr>
      </w:pPr>
      <w:bookmarkStart w:id="1234" w:name="_Toc24288"/>
      <w:bookmarkStart w:id="1235" w:name="_Toc20267"/>
      <w:bookmarkStart w:id="1236" w:name="_Toc15816"/>
      <w:r>
        <w:rPr>
          <w:rFonts w:hint="eastAsia" w:ascii="宋体" w:hAnsi="宋体" w:eastAsia="宋体" w:cs="宋体"/>
          <w:b/>
          <w:bCs w:val="0"/>
          <w:kern w:val="2"/>
          <w:sz w:val="28"/>
          <w:szCs w:val="28"/>
          <w:lang w:val="en-US" w:eastAsia="zh-CN" w:bidi="ar"/>
        </w:rPr>
        <w:t>供应商地址：</w:t>
      </w:r>
      <w:bookmarkEnd w:id="1234"/>
      <w:bookmarkEnd w:id="1235"/>
      <w:bookmarkEnd w:id="1236"/>
      <w:r>
        <w:rPr>
          <w:rFonts w:hint="eastAsia" w:ascii="宋体" w:hAnsi="宋体" w:eastAsia="宋体" w:cs="宋体"/>
          <w:b/>
          <w:bCs w:val="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firstLine="3092" w:firstLineChars="11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firstLine="3092" w:firstLineChars="1100"/>
        <w:jc w:val="both"/>
        <w:outlineLvl w:val="0"/>
        <w:rPr>
          <w:rFonts w:hint="eastAsia" w:ascii="宋体" w:hAnsi="宋体" w:eastAsia="宋体" w:cs="宋体"/>
          <w:b/>
          <w:bCs w:val="0"/>
          <w:kern w:val="2"/>
          <w:sz w:val="28"/>
          <w:szCs w:val="28"/>
        </w:rPr>
      </w:pPr>
      <w:bookmarkStart w:id="1237" w:name="_Toc4835"/>
      <w:bookmarkStart w:id="1238" w:name="_Toc24929"/>
      <w:bookmarkStart w:id="1239" w:name="_Toc30011"/>
      <w:r>
        <w:rPr>
          <w:rFonts w:hint="eastAsia" w:ascii="宋体" w:hAnsi="宋体" w:eastAsia="宋体" w:cs="宋体"/>
          <w:b/>
          <w:bCs w:val="0"/>
          <w:kern w:val="2"/>
          <w:sz w:val="28"/>
          <w:szCs w:val="28"/>
          <w:lang w:val="en-US" w:eastAsia="zh-CN" w:bidi="ar"/>
        </w:rPr>
        <w:t>日期：    年   月   日</w:t>
      </w:r>
      <w:bookmarkEnd w:id="1237"/>
      <w:bookmarkEnd w:id="1238"/>
      <w:bookmarkEnd w:id="1239"/>
    </w:p>
    <w:p>
      <w:pPr>
        <w:rPr>
          <w:rFonts w:hint="eastAsia" w:ascii="宋体" w:hAnsi="宋体" w:eastAsia="宋体" w:cs="宋体"/>
          <w:b/>
          <w:kern w:val="2"/>
          <w:sz w:val="28"/>
          <w:szCs w:val="28"/>
        </w:rPr>
        <w:sectPr>
          <w:headerReference r:id="rId13" w:type="first"/>
          <w:footerReference r:id="rId15" w:type="first"/>
          <w:headerReference r:id="rId11" w:type="default"/>
          <w:footerReference r:id="rId14" w:type="default"/>
          <w:headerReference r:id="rId12" w:type="even"/>
          <w:pgSz w:w="11906" w:h="16838"/>
          <w:pgMar w:top="1440" w:right="1080" w:bottom="1440" w:left="1080" w:header="737" w:footer="964" w:gutter="0"/>
          <w:pgBorders>
            <w:top w:val="thinThickSmallGap" w:color="auto" w:sz="12" w:space="10"/>
            <w:left w:val="none" w:sz="0" w:space="0"/>
            <w:bottom w:val="thinThickSmallGap" w:color="auto" w:sz="12" w:space="10"/>
            <w:right w:val="none" w:sz="0" w:space="0"/>
          </w:pgBorders>
          <w:cols w:space="720" w:num="1"/>
          <w:docGrid w:type="lines" w:linePitch="312" w:charSpace="0"/>
        </w:sectPr>
      </w:pPr>
    </w:p>
    <w:p>
      <w:pPr>
        <w:keepNext w:val="0"/>
        <w:keepLines w:val="0"/>
        <w:widowControl w:val="0"/>
        <w:suppressLineNumbers w:val="0"/>
        <w:spacing w:before="0" w:beforeAutospacing="0" w:after="0" w:afterAutospacing="0" w:line="500" w:lineRule="exact"/>
        <w:ind w:left="0" w:right="0" w:firstLine="0" w:firstLineChars="0"/>
        <w:jc w:val="center"/>
        <w:rPr>
          <w:rFonts w:hint="default" w:ascii="Times New Roman" w:hAnsi="Times New Roman" w:eastAsia="宋体" w:cs="宋体"/>
          <w:b/>
          <w:bCs/>
          <w:kern w:val="2"/>
          <w:sz w:val="30"/>
          <w:szCs w:val="30"/>
        </w:rPr>
      </w:pPr>
      <w:r>
        <w:rPr>
          <w:rFonts w:hint="eastAsia" w:ascii="宋体" w:hAnsi="宋体" w:eastAsia="宋体" w:cs="宋体"/>
          <w:b/>
          <w:bCs/>
          <w:kern w:val="2"/>
          <w:sz w:val="30"/>
          <w:szCs w:val="30"/>
          <w:lang w:val="en-US" w:eastAsia="zh-CN" w:bidi="ar"/>
        </w:rPr>
        <w:t>自评分对应表</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u w:val="single"/>
        </w:rPr>
      </w:pPr>
      <w:r>
        <w:rPr>
          <w:rFonts w:hint="eastAsia" w:ascii="宋体" w:hAnsi="宋体" w:eastAsia="宋体" w:cs="宋体"/>
          <w:kern w:val="2"/>
          <w:sz w:val="24"/>
          <w:szCs w:val="24"/>
          <w:lang w:val="en-US" w:eastAsia="zh-CN" w:bidi="ar"/>
        </w:rPr>
        <w:t>供应商全称（</w:t>
      </w:r>
      <w:r>
        <w:rPr>
          <w:rFonts w:hint="eastAsia" w:ascii="宋体" w:hAnsi="宋体" w:cs="宋体"/>
          <w:kern w:val="2"/>
          <w:sz w:val="24"/>
          <w:szCs w:val="24"/>
          <w:lang w:val="en-US" w:eastAsia="zh-CN" w:bidi="ar"/>
        </w:rPr>
        <w:t>电子公章</w:t>
      </w:r>
      <w:r>
        <w:rPr>
          <w:rFonts w:hint="eastAsia" w:ascii="宋体" w:hAnsi="宋体" w:eastAsia="宋体" w:cs="宋体"/>
          <w:kern w:val="2"/>
          <w:sz w:val="24"/>
          <w:szCs w:val="24"/>
          <w:lang w:val="en-US" w:eastAsia="zh-CN" w:bidi="ar"/>
        </w:rPr>
        <w:t>）：</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标项：</w:t>
      </w:r>
      <w:r>
        <w:rPr>
          <w:rFonts w:hint="eastAsia" w:ascii="宋体" w:hAnsi="宋体" w:eastAsia="宋体" w:cs="宋体"/>
          <w:kern w:val="2"/>
          <w:sz w:val="24"/>
          <w:szCs w:val="24"/>
          <w:u w:val="single"/>
          <w:lang w:val="en-US" w:eastAsia="zh-CN" w:bidi="ar"/>
        </w:rPr>
        <w:t xml:space="preserve">          </w:t>
      </w:r>
    </w:p>
    <w:tbl>
      <w:tblPr>
        <w:tblStyle w:val="36"/>
        <w:tblW w:w="9616"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303"/>
        <w:gridCol w:w="3977"/>
        <w:gridCol w:w="233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3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80" w:lineRule="exact"/>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评分项目</w:t>
            </w:r>
          </w:p>
        </w:tc>
        <w:tc>
          <w:tcPr>
            <w:tcW w:w="39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80" w:lineRule="exact"/>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响应文件页码</w:t>
            </w:r>
          </w:p>
        </w:tc>
        <w:tc>
          <w:tcPr>
            <w:tcW w:w="23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80" w:lineRule="exact"/>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自评分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对应磋商原则和磋商方法（商务技术及报价除外）</w:t>
            </w:r>
          </w:p>
        </w:tc>
        <w:tc>
          <w:tcPr>
            <w:tcW w:w="39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center"/>
              <w:rPr>
                <w:rFonts w:hint="eastAsia" w:ascii="宋体" w:hAnsi="宋体" w:eastAsia="宋体" w:cs="宋体"/>
                <w:kern w:val="2"/>
                <w:sz w:val="24"/>
                <w:szCs w:val="24"/>
              </w:rPr>
            </w:pPr>
          </w:p>
        </w:tc>
        <w:tc>
          <w:tcPr>
            <w:tcW w:w="2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w:t>
            </w:r>
          </w:p>
        </w:tc>
        <w:tc>
          <w:tcPr>
            <w:tcW w:w="39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2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39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2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39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2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39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2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39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2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39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2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39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2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39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c>
          <w:tcPr>
            <w:tcW w:w="2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80" w:lineRule="exact"/>
              <w:ind w:left="0" w:right="0" w:firstLine="480" w:firstLineChars="200"/>
              <w:jc w:val="both"/>
              <w:rPr>
                <w:rFonts w:hint="eastAsia" w:ascii="宋体" w:hAnsi="宋体" w:eastAsia="宋体" w:cs="宋体"/>
                <w:kern w:val="2"/>
                <w:sz w:val="24"/>
                <w:szCs w:val="24"/>
              </w:rPr>
            </w:pPr>
          </w:p>
        </w:tc>
      </w:tr>
    </w:tbl>
    <w:p>
      <w:pPr>
        <w:keepNext w:val="0"/>
        <w:keepLines w:val="0"/>
        <w:widowControl w:val="0"/>
        <w:suppressLineNumbers w:val="0"/>
        <w:snapToGrid w:val="0"/>
        <w:spacing w:before="156" w:beforeLines="50" w:beforeAutospacing="0" w:after="5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80" w:lineRule="exact"/>
        <w:ind w:left="0" w:right="0" w:firstLine="4560" w:firstLineChars="19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供应商名称（盖章）：</w:t>
      </w:r>
    </w:p>
    <w:p>
      <w:pPr>
        <w:keepNext w:val="0"/>
        <w:keepLines w:val="0"/>
        <w:widowControl w:val="0"/>
        <w:suppressLineNumbers w:val="0"/>
        <w:snapToGrid w:val="0"/>
        <w:spacing w:before="0" w:beforeAutospacing="0" w:after="0" w:afterAutospacing="0" w:line="480" w:lineRule="exact"/>
        <w:ind w:left="0" w:right="0" w:firstLine="4560" w:firstLineChars="19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法定代表人或授权委托人（签字或盖章）：</w:t>
      </w:r>
    </w:p>
    <w:p>
      <w:pPr>
        <w:keepNext w:val="0"/>
        <w:keepLines w:val="0"/>
        <w:widowControl w:val="0"/>
        <w:suppressLineNumbers w:val="0"/>
        <w:snapToGrid w:val="0"/>
        <w:spacing w:before="0" w:beforeAutospacing="0" w:after="0" w:afterAutospacing="0" w:line="480" w:lineRule="exact"/>
        <w:ind w:left="0" w:right="0" w:firstLine="4560" w:firstLineChars="19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日期：     年   月   日</w:t>
      </w:r>
    </w:p>
    <w:p>
      <w:pPr>
        <w:keepNext w:val="0"/>
        <w:keepLines w:val="0"/>
        <w:widowControl w:val="0"/>
        <w:suppressLineNumbers w:val="0"/>
        <w:spacing w:before="0" w:beforeAutospacing="0" w:after="0" w:afterAutospacing="0" w:line="500" w:lineRule="exact"/>
        <w:ind w:left="0" w:right="0" w:firstLine="0" w:firstLineChars="0"/>
        <w:jc w:val="left"/>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left"/>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left"/>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left"/>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left"/>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left"/>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left"/>
        <w:outlineLvl w:val="1"/>
        <w:rPr>
          <w:rFonts w:hint="eastAsia" w:ascii="宋体" w:hAnsi="宋体" w:eastAsia="宋体" w:cs="宋体"/>
          <w:b/>
          <w:bCs/>
          <w:kern w:val="2"/>
          <w:sz w:val="24"/>
          <w:szCs w:val="24"/>
        </w:rPr>
      </w:pPr>
      <w:bookmarkStart w:id="1240" w:name="_Toc18947"/>
      <w:bookmarkStart w:id="1241" w:name="_Toc12352"/>
      <w:bookmarkStart w:id="1242" w:name="_Toc209"/>
      <w:r>
        <w:rPr>
          <w:rFonts w:hint="eastAsia" w:ascii="宋体" w:hAnsi="宋体" w:eastAsia="宋体" w:cs="宋体"/>
          <w:b/>
          <w:bCs/>
          <w:kern w:val="2"/>
          <w:sz w:val="24"/>
          <w:szCs w:val="24"/>
          <w:lang w:val="en-US" w:eastAsia="zh-CN" w:bidi="ar"/>
        </w:rPr>
        <w:t>附件1</w:t>
      </w:r>
      <w:bookmarkEnd w:id="1240"/>
      <w:bookmarkEnd w:id="1241"/>
      <w:bookmarkEnd w:id="1242"/>
    </w:p>
    <w:p>
      <w:pPr>
        <w:keepNext w:val="0"/>
        <w:keepLines w:val="0"/>
        <w:widowControl w:val="0"/>
        <w:suppressLineNumbers w:val="0"/>
        <w:adjustRightInd w:val="0"/>
        <w:spacing w:before="0" w:beforeAutospacing="0" w:after="0" w:afterAutospacing="0" w:line="500" w:lineRule="exact"/>
        <w:ind w:left="0" w:right="0" w:firstLine="0" w:firstLineChars="0"/>
        <w:jc w:val="center"/>
        <w:textAlignment w:val="baseline"/>
        <w:rPr>
          <w:rFonts w:hint="eastAsia" w:ascii="宋体" w:hAnsi="宋体" w:eastAsia="宋体" w:cs="宋体"/>
          <w:b/>
          <w:bCs w:val="0"/>
          <w:kern w:val="2"/>
          <w:sz w:val="32"/>
          <w:szCs w:val="32"/>
          <w:vertAlign w:val="baseline"/>
        </w:rPr>
      </w:pPr>
      <w:r>
        <w:rPr>
          <w:rFonts w:hint="eastAsia" w:ascii="宋体" w:hAnsi="宋体" w:eastAsia="宋体" w:cs="宋体"/>
          <w:b/>
          <w:bCs w:val="0"/>
          <w:kern w:val="2"/>
          <w:sz w:val="32"/>
          <w:szCs w:val="32"/>
          <w:vertAlign w:val="baseline"/>
          <w:lang w:val="en-US" w:eastAsia="zh-CN" w:bidi="ar"/>
        </w:rPr>
        <w:t>供应商基本情况表</w:t>
      </w:r>
    </w:p>
    <w:tbl>
      <w:tblPr>
        <w:tblStyle w:val="36"/>
        <w:tblW w:w="9735" w:type="dxa"/>
        <w:tblInd w:w="135"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57"/>
        <w:gridCol w:w="2708"/>
        <w:gridCol w:w="1735"/>
        <w:gridCol w:w="3135"/>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shd w:val="clear" w:color="auto" w:fill="auto"/>
          <w:tblCellMar>
            <w:top w:w="0" w:type="dxa"/>
            <w:left w:w="108" w:type="dxa"/>
            <w:bottom w:w="0" w:type="dxa"/>
            <w:right w:w="108" w:type="dxa"/>
          </w:tblCellMar>
        </w:tblPrEx>
        <w:tc>
          <w:tcPr>
            <w:tcW w:w="9735" w:type="dxa"/>
            <w:gridSpan w:val="4"/>
            <w:tcBorders>
              <w:top w:val="thinThickSmallGap" w:color="auto" w:sz="12" w:space="0"/>
              <w:left w:val="thinThickSmallGap" w:color="auto" w:sz="12"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center"/>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供应商信息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企业名称</w:t>
            </w:r>
          </w:p>
        </w:tc>
        <w:tc>
          <w:tcPr>
            <w:tcW w:w="7578" w:type="dxa"/>
            <w:gridSpan w:val="3"/>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性质</w:t>
            </w:r>
          </w:p>
        </w:tc>
        <w:tc>
          <w:tcPr>
            <w:tcW w:w="7578" w:type="dxa"/>
            <w:gridSpan w:val="3"/>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单位□                                个人□</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统一社会信用代码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c>
          <w:tcPr>
            <w:tcW w:w="1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注册资金</w:t>
            </w:r>
          </w:p>
        </w:tc>
        <w:tc>
          <w:tcPr>
            <w:tcW w:w="3135" w:type="dxa"/>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法定代表人</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c>
          <w:tcPr>
            <w:tcW w:w="1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身份证号码</w:t>
            </w:r>
          </w:p>
        </w:tc>
        <w:tc>
          <w:tcPr>
            <w:tcW w:w="3135" w:type="dxa"/>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通信地址</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c>
          <w:tcPr>
            <w:tcW w:w="1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邮政编码</w:t>
            </w:r>
          </w:p>
        </w:tc>
        <w:tc>
          <w:tcPr>
            <w:tcW w:w="3135" w:type="dxa"/>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公司电话</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c>
          <w:tcPr>
            <w:tcW w:w="1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传真</w:t>
            </w:r>
          </w:p>
        </w:tc>
        <w:tc>
          <w:tcPr>
            <w:tcW w:w="3135" w:type="dxa"/>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公司网址</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c>
          <w:tcPr>
            <w:tcW w:w="1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电子邮箱</w:t>
            </w:r>
          </w:p>
        </w:tc>
        <w:tc>
          <w:tcPr>
            <w:tcW w:w="3135" w:type="dxa"/>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开户银行及账号</w:t>
            </w:r>
          </w:p>
        </w:tc>
        <w:tc>
          <w:tcPr>
            <w:tcW w:w="7578" w:type="dxa"/>
            <w:gridSpan w:val="3"/>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企业资质</w:t>
            </w:r>
          </w:p>
        </w:tc>
        <w:tc>
          <w:tcPr>
            <w:tcW w:w="7578" w:type="dxa"/>
            <w:gridSpan w:val="3"/>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autoSpaceDE w:val="0"/>
              <w:autoSpaceDN w:val="0"/>
              <w:adjustRightInd w:val="0"/>
              <w:snapToGrid w:val="0"/>
              <w:spacing w:before="156" w:beforeAutospacing="0" w:after="156" w:afterAutospacing="0" w:line="400" w:lineRule="exact"/>
              <w:ind w:left="0" w:right="0" w:firstLine="0" w:firstLineChars="0"/>
              <w:jc w:val="left"/>
              <w:rPr>
                <w:rFonts w:hint="eastAsia" w:ascii="宋体" w:hAnsi="Times New Roman" w:eastAsia="宋体" w:cs="宋体"/>
                <w:b/>
                <w:bCs w:val="0"/>
                <w:kern w:val="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权威认证</w:t>
            </w:r>
          </w:p>
        </w:tc>
        <w:tc>
          <w:tcPr>
            <w:tcW w:w="7578" w:type="dxa"/>
            <w:gridSpan w:val="3"/>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156" w:beforeAutospacing="0" w:after="156" w:afterAutospacing="0" w:line="400" w:lineRule="exact"/>
              <w:ind w:left="0" w:right="0" w:firstLine="0" w:firstLineChars="0"/>
              <w:jc w:val="both"/>
              <w:rPr>
                <w:rFonts w:hint="eastAsia" w:ascii="宋体" w:hAnsi="Times New Roman" w:eastAsia="宋体" w:cs="宋体"/>
                <w:kern w:val="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企业获奖（如有）</w:t>
            </w:r>
          </w:p>
        </w:tc>
        <w:tc>
          <w:tcPr>
            <w:tcW w:w="7578" w:type="dxa"/>
            <w:gridSpan w:val="3"/>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备注</w:t>
            </w:r>
          </w:p>
        </w:tc>
        <w:tc>
          <w:tcPr>
            <w:tcW w:w="7578" w:type="dxa"/>
            <w:gridSpan w:val="3"/>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9735" w:type="dxa"/>
            <w:gridSpan w:val="4"/>
            <w:tcBorders>
              <w:top w:val="single" w:color="auto" w:sz="4" w:space="0"/>
              <w:left w:val="thinThickSmallGap" w:color="auto" w:sz="12"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center"/>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供应商联系人信息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姓名</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c>
          <w:tcPr>
            <w:tcW w:w="1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手机</w:t>
            </w:r>
          </w:p>
        </w:tc>
        <w:tc>
          <w:tcPr>
            <w:tcW w:w="3135" w:type="dxa"/>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2157" w:type="dxa"/>
            <w:tcBorders>
              <w:top w:val="single" w:color="auto" w:sz="4" w:space="0"/>
              <w:left w:val="thinThickSmallGap" w:color="auto" w:sz="12"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固定电话</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c>
          <w:tcPr>
            <w:tcW w:w="1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电子邮箱</w:t>
            </w:r>
          </w:p>
        </w:tc>
        <w:tc>
          <w:tcPr>
            <w:tcW w:w="3135" w:type="dxa"/>
            <w:tcBorders>
              <w:top w:val="single" w:color="auto" w:sz="4" w:space="0"/>
              <w:left w:val="single" w:color="auto" w:sz="4" w:space="0"/>
              <w:bottom w:val="single" w:color="auto" w:sz="4"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9735" w:type="dxa"/>
            <w:gridSpan w:val="4"/>
            <w:tcBorders>
              <w:top w:val="single" w:color="auto" w:sz="4" w:space="0"/>
              <w:left w:val="thinThickSmallGap" w:color="auto" w:sz="12" w:space="0"/>
              <w:bottom w:val="thinThickSmallGap" w:color="auto" w:sz="12" w:space="0"/>
              <w:right w:val="thinThickSmallGap" w:color="auto" w:sz="12" w:space="0"/>
            </w:tcBorders>
            <w:shd w:val="clear" w:color="auto" w:fill="auto"/>
            <w:noWrap/>
            <w:vAlign w:val="center"/>
          </w:tcPr>
          <w:p>
            <w:pPr>
              <w:keepNext w:val="0"/>
              <w:keepLines w:val="0"/>
              <w:widowControl w:val="0"/>
              <w:suppressLineNumbers w:val="0"/>
              <w:snapToGrid w:val="0"/>
              <w:spacing w:before="93" w:beforeAutospacing="0" w:after="93" w:afterAutospacing="0" w:line="400" w:lineRule="exact"/>
              <w:ind w:left="0" w:right="0" w:firstLine="0" w:firstLineChars="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企业简介：（可另附页或企业对外宣传手册）</w:t>
            </w:r>
          </w:p>
        </w:tc>
      </w:tr>
    </w:tbl>
    <w:p>
      <w:pPr>
        <w:keepNext w:val="0"/>
        <w:keepLines w:val="0"/>
        <w:widowControl w:val="0"/>
        <w:suppressLineNumbers w:val="0"/>
        <w:spacing w:before="0" w:beforeAutospacing="0" w:after="0" w:afterAutospacing="0" w:line="500" w:lineRule="exact"/>
        <w:ind w:left="0" w:right="0" w:firstLine="0" w:firstLineChars="0"/>
        <w:jc w:val="center"/>
        <w:rPr>
          <w:rFonts w:hint="default" w:ascii="Times New Roman" w:hAnsi="Times New Roman" w:eastAsia="宋体" w:cs="宋体"/>
          <w:b/>
          <w:bCs/>
          <w:kern w:val="2"/>
          <w:sz w:val="30"/>
          <w:szCs w:val="30"/>
        </w:rPr>
      </w:pPr>
      <w:r>
        <w:rPr>
          <w:rFonts w:hint="default" w:ascii="Times New Roman" w:hAnsi="Times New Roman" w:eastAsia="宋体" w:cs="宋体"/>
          <w:b/>
          <w:bCs/>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供应商名称（盖章）：</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法定代表人或授权委托人（签字或盖章）：</w:t>
      </w:r>
    </w:p>
    <w:p>
      <w:pPr>
        <w:keepNext w:val="0"/>
        <w:keepLines w:val="0"/>
        <w:widowControl w:val="0"/>
        <w:suppressLineNumbers w:val="0"/>
        <w:snapToGrid w:val="0"/>
        <w:spacing w:before="0" w:beforeAutospacing="0" w:after="0" w:afterAutospacing="0" w:line="480" w:lineRule="exact"/>
        <w:ind w:left="0" w:right="0" w:firstLine="3840" w:firstLineChars="1600"/>
        <w:jc w:val="both"/>
      </w:pPr>
      <w:r>
        <w:rPr>
          <w:rFonts w:hint="eastAsia" w:ascii="宋体" w:hAnsi="宋体" w:eastAsia="宋体" w:cs="宋体"/>
          <w:kern w:val="2"/>
          <w:sz w:val="24"/>
          <w:szCs w:val="24"/>
          <w:lang w:val="en-US" w:eastAsia="zh-CN" w:bidi="ar"/>
        </w:rPr>
        <w:t>日期：     年   月   日</w:t>
      </w:r>
    </w:p>
    <w:p>
      <w:pPr>
        <w:rPr>
          <w:rFonts w:hint="default" w:ascii="Times New Roman" w:hAnsi="Times New Roman" w:eastAsia="宋体" w:cs="宋体"/>
          <w:kern w:val="2"/>
          <w:sz w:val="24"/>
          <w:szCs w:val="24"/>
        </w:rPr>
        <w:sectPr>
          <w:pgSz w:w="11906" w:h="16838"/>
          <w:pgMar w:top="1440" w:right="1080" w:bottom="1440" w:left="1080" w:header="737" w:footer="964" w:gutter="0"/>
          <w:pgBorders>
            <w:top w:val="thinThickSmallGap" w:color="auto" w:sz="12" w:space="10"/>
            <w:left w:val="none" w:sz="0" w:space="0"/>
            <w:bottom w:val="thinThickSmallGap" w:color="auto" w:sz="12" w:space="10"/>
            <w:right w:val="none" w:sz="0" w:space="0"/>
          </w:pgBorders>
          <w:cols w:space="720" w:num="1"/>
          <w:docGrid w:type="lines" w:linePitch="312" w:charSpace="0"/>
        </w:sectPr>
      </w:pPr>
    </w:p>
    <w:p>
      <w:pPr>
        <w:keepNext w:val="0"/>
        <w:keepLines w:val="0"/>
        <w:widowControl w:val="0"/>
        <w:suppressLineNumbers w:val="0"/>
        <w:spacing w:before="0" w:beforeAutospacing="0" w:after="0" w:afterAutospacing="0" w:line="500" w:lineRule="exact"/>
        <w:ind w:left="0" w:right="0" w:firstLine="0" w:firstLineChars="0"/>
        <w:jc w:val="left"/>
        <w:outlineLvl w:val="1"/>
        <w:rPr>
          <w:rFonts w:hint="eastAsia" w:ascii="宋体" w:hAnsi="宋体" w:eastAsia="宋体" w:cs="宋体"/>
          <w:b/>
          <w:bCs/>
          <w:kern w:val="2"/>
          <w:sz w:val="30"/>
          <w:szCs w:val="30"/>
        </w:rPr>
      </w:pPr>
      <w:bookmarkStart w:id="1243" w:name="_Toc21790"/>
      <w:bookmarkStart w:id="1244" w:name="_Toc11644"/>
      <w:bookmarkStart w:id="1245" w:name="_Toc23799"/>
      <w:r>
        <w:rPr>
          <w:rFonts w:hint="eastAsia" w:ascii="宋体" w:hAnsi="宋体" w:eastAsia="宋体" w:cs="宋体"/>
          <w:b/>
          <w:bCs/>
          <w:kern w:val="2"/>
          <w:sz w:val="24"/>
          <w:szCs w:val="24"/>
          <w:lang w:val="en-US" w:eastAsia="zh-CN" w:bidi="ar"/>
        </w:rPr>
        <w:t>附件2</w:t>
      </w:r>
      <w:bookmarkEnd w:id="1243"/>
      <w:bookmarkEnd w:id="1244"/>
      <w:bookmarkEnd w:id="1245"/>
    </w:p>
    <w:p>
      <w:pPr>
        <w:keepNext w:val="0"/>
        <w:keepLines w:val="0"/>
        <w:widowControl w:val="0"/>
        <w:suppressLineNumbers w:val="0"/>
        <w:adjustRightInd w:val="0"/>
        <w:spacing w:before="0" w:beforeAutospacing="0" w:after="0" w:afterAutospacing="0" w:line="500" w:lineRule="exact"/>
        <w:ind w:left="0" w:right="0" w:firstLine="0" w:firstLineChars="0"/>
        <w:jc w:val="center"/>
        <w:textAlignment w:val="baseline"/>
        <w:rPr>
          <w:rFonts w:hint="eastAsia" w:ascii="宋体" w:hAnsi="宋体" w:eastAsia="宋体" w:cs="宋体"/>
          <w:b/>
          <w:bCs w:val="0"/>
          <w:kern w:val="2"/>
          <w:sz w:val="32"/>
          <w:szCs w:val="32"/>
          <w:vertAlign w:val="baseline"/>
        </w:rPr>
      </w:pPr>
      <w:r>
        <w:rPr>
          <w:rFonts w:hint="eastAsia" w:ascii="宋体" w:hAnsi="宋体" w:eastAsia="宋体" w:cs="宋体"/>
          <w:b/>
          <w:bCs w:val="0"/>
          <w:kern w:val="2"/>
          <w:sz w:val="32"/>
          <w:szCs w:val="32"/>
          <w:vertAlign w:val="baseline"/>
          <w:lang w:val="en-US" w:eastAsia="zh-CN" w:bidi="ar"/>
        </w:rPr>
        <w:t xml:space="preserve">  符合参加国企采购活动应当具备的一般条件的承诺函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致：</w:t>
      </w:r>
      <w:r>
        <w:rPr>
          <w:rFonts w:hint="eastAsia" w:ascii="宋体" w:hAnsi="宋体" w:eastAsia="宋体" w:cs="宋体"/>
          <w:kern w:val="2"/>
          <w:sz w:val="24"/>
          <w:szCs w:val="24"/>
          <w:u w:val="single"/>
          <w:lang w:val="en-US" w:eastAsia="zh-CN" w:bidi="ar"/>
        </w:rPr>
        <w:t>（采购人）</w:t>
      </w:r>
      <w:r>
        <w:rPr>
          <w:rFonts w:hint="eastAsia" w:ascii="宋体" w:hAnsi="宋体" w:eastAsia="宋体" w:cs="宋体"/>
          <w:kern w:val="2"/>
          <w:sz w:val="24"/>
          <w:szCs w:val="24"/>
          <w:lang w:val="en-US" w:eastAsia="zh-CN" w:bidi="ar"/>
        </w:rPr>
        <w:t>：</w:t>
      </w:r>
    </w:p>
    <w:p>
      <w:pPr>
        <w:pStyle w:val="3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480" w:firstLineChars="200"/>
        <w:jc w:val="left"/>
        <w:rPr>
          <w:rFonts w:hint="default" w:ascii="Times New Roman" w:hAnsi="Times New Roman" w:eastAsia="宋体" w:cs="宋体"/>
          <w:kern w:val="2"/>
          <w:sz w:val="24"/>
          <w:szCs w:val="24"/>
        </w:rPr>
      </w:pPr>
      <w:r>
        <w:rPr>
          <w:rFonts w:hint="eastAsia" w:ascii="宋体" w:hAnsi="宋体" w:eastAsia="宋体" w:cs="宋体"/>
          <w:kern w:val="2"/>
          <w:sz w:val="24"/>
          <w:szCs w:val="24"/>
          <w:lang w:val="en-US" w:eastAsia="zh-CN" w:bidi="ar"/>
        </w:rPr>
        <w:t>我方参加</w:t>
      </w:r>
      <w:r>
        <w:rPr>
          <w:rFonts w:hint="eastAsia" w:ascii="宋体" w:hAnsi="宋体" w:eastAsia="宋体" w:cs="宋体"/>
          <w:kern w:val="2"/>
          <w:sz w:val="24"/>
          <w:szCs w:val="24"/>
          <w:u w:val="single"/>
          <w:lang w:val="en-US" w:eastAsia="zh-CN" w:bidi="ar"/>
        </w:rPr>
        <w:t>项目名称（项目编号</w:t>
      </w:r>
      <w:r>
        <w:rPr>
          <w:rFonts w:hint="default" w:ascii="Times New Roman" w:hAnsi="Times New Roman" w:eastAsia="宋体" w:cs="宋体"/>
          <w:kern w:val="2"/>
          <w:sz w:val="24"/>
          <w:szCs w:val="24"/>
          <w:u w:val="single"/>
          <w:lang w:val="en-US" w:eastAsia="zh-CN" w:bidi="ar"/>
        </w:rPr>
        <w:t>)</w:t>
      </w:r>
      <w:r>
        <w:rPr>
          <w:rFonts w:hint="eastAsia" w:ascii="宋体" w:hAnsi="宋体" w:eastAsia="宋体" w:cs="宋体"/>
          <w:kern w:val="2"/>
          <w:sz w:val="24"/>
          <w:szCs w:val="24"/>
          <w:lang w:val="en-US" w:eastAsia="zh-CN" w:bidi="ar"/>
        </w:rPr>
        <w:t>采购活动，郑重承诺：</w:t>
      </w:r>
    </w:p>
    <w:p>
      <w:pPr>
        <w:pStyle w:val="3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480" w:firstLineChars="200"/>
        <w:jc w:val="left"/>
        <w:outlineLvl w:val="1"/>
        <w:rPr>
          <w:rFonts w:hint="eastAsia" w:ascii="宋体" w:hAnsi="宋体" w:eastAsia="宋体" w:cs="宋体"/>
          <w:kern w:val="2"/>
          <w:sz w:val="24"/>
          <w:szCs w:val="24"/>
        </w:rPr>
      </w:pPr>
      <w:bookmarkStart w:id="1246" w:name="_Toc13357"/>
      <w:bookmarkStart w:id="1247" w:name="_Toc18296"/>
      <w:bookmarkStart w:id="1248" w:name="_Toc31072"/>
      <w:r>
        <w:rPr>
          <w:rFonts w:hint="eastAsia" w:ascii="宋体" w:hAnsi="宋体" w:eastAsia="宋体" w:cs="宋体"/>
          <w:kern w:val="2"/>
          <w:sz w:val="24"/>
          <w:szCs w:val="24"/>
          <w:lang w:val="en-US" w:eastAsia="zh-CN" w:bidi="ar"/>
        </w:rPr>
        <w:t>一、</w:t>
      </w:r>
      <w:r>
        <w:rPr>
          <w:rFonts w:hint="eastAsia" w:cs="宋体"/>
          <w:kern w:val="2"/>
          <w:sz w:val="24"/>
          <w:szCs w:val="24"/>
          <w:lang w:val="en-US" w:eastAsia="zh-CN" w:bidi="ar"/>
        </w:rPr>
        <w:t>满足《龙游县国有企业采购管理办法》（龙政办发〔2021〕58号）第十二条</w:t>
      </w:r>
      <w:r>
        <w:rPr>
          <w:rFonts w:hint="eastAsia" w:ascii="宋体" w:hAnsi="宋体" w:eastAsia="宋体" w:cs="宋体"/>
          <w:kern w:val="2"/>
          <w:sz w:val="24"/>
          <w:szCs w:val="24"/>
          <w:lang w:val="en-US" w:eastAsia="zh-CN" w:bidi="ar"/>
        </w:rPr>
        <w:t>规定的条件：</w:t>
      </w:r>
      <w:bookmarkEnd w:id="1246"/>
      <w:bookmarkEnd w:id="1247"/>
      <w:bookmarkEnd w:id="1248"/>
    </w:p>
    <w:p>
      <w:pPr>
        <w:pStyle w:val="3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1.具有独立承担民事责任的能力；</w:t>
      </w:r>
    </w:p>
    <w:p>
      <w:pPr>
        <w:pStyle w:val="3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2.具有良好的商业信誉和健全的财务会计制度；</w:t>
      </w:r>
    </w:p>
    <w:p>
      <w:pPr>
        <w:pStyle w:val="3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3.具有履行合同所必需的设备和专业技术能力；</w:t>
      </w:r>
    </w:p>
    <w:p>
      <w:pPr>
        <w:pStyle w:val="3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4.有依法缴纳税收和社会保障资金的良好记录；</w:t>
      </w:r>
    </w:p>
    <w:p>
      <w:pPr>
        <w:pStyle w:val="3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5.参加国企采购活动前三年内，在经营活动中没有重大违法记录；</w:t>
      </w:r>
    </w:p>
    <w:p>
      <w:pPr>
        <w:pStyle w:val="3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6.具有法律、行政法规规定的其他条件。</w:t>
      </w:r>
    </w:p>
    <w:p>
      <w:pPr>
        <w:pStyle w:val="3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二、未被“信用中国”（www.creditchina.gov.cn)、中国政府采购网（www.ccgp.gov.cn）列入失信被执行人、重大税收违法案件当事人名单、采购严重违法失信行为记录名单。</w:t>
      </w:r>
    </w:p>
    <w:p>
      <w:pPr>
        <w:pStyle w:val="3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480" w:firstLineChars="200"/>
        <w:jc w:val="left"/>
        <w:outlineLvl w:val="1"/>
        <w:rPr>
          <w:rFonts w:hint="eastAsia" w:ascii="宋体" w:hAnsi="宋体" w:eastAsia="宋体" w:cs="宋体"/>
          <w:kern w:val="2"/>
          <w:sz w:val="24"/>
          <w:szCs w:val="24"/>
        </w:rPr>
      </w:pPr>
      <w:bookmarkStart w:id="1249" w:name="_Toc32696"/>
      <w:bookmarkStart w:id="1250" w:name="_Toc1916"/>
      <w:bookmarkStart w:id="1251" w:name="_Toc9439"/>
      <w:r>
        <w:rPr>
          <w:rFonts w:hint="eastAsia" w:ascii="宋体" w:hAnsi="宋体" w:eastAsia="宋体" w:cs="宋体"/>
          <w:kern w:val="2"/>
          <w:sz w:val="24"/>
          <w:szCs w:val="24"/>
          <w:lang w:val="en-US" w:eastAsia="zh-CN" w:bidi="ar"/>
        </w:rPr>
        <w:t>三、没有下列情形：</w:t>
      </w:r>
      <w:bookmarkEnd w:id="1249"/>
      <w:bookmarkEnd w:id="1250"/>
      <w:bookmarkEnd w:id="1251"/>
    </w:p>
    <w:p>
      <w:pPr>
        <w:pStyle w:val="3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1.单位负责人为同一人或者存在直接控股、管理关系的不同供应商参加同一合同项下的采购活动的；</w:t>
      </w:r>
    </w:p>
    <w:p>
      <w:pPr>
        <w:pStyle w:val="3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480" w:firstLineChars="200"/>
        <w:jc w:val="left"/>
        <w:rPr>
          <w:rFonts w:hint="default" w:ascii="Times New Roman" w:hAnsi="宋体" w:eastAsia="宋体" w:cs="宋体"/>
          <w:kern w:val="2"/>
          <w:sz w:val="28"/>
          <w:szCs w:val="28"/>
        </w:rPr>
      </w:pPr>
      <w:r>
        <w:rPr>
          <w:rFonts w:hint="eastAsia" w:ascii="宋体" w:hAnsi="宋体" w:eastAsia="宋体" w:cs="宋体"/>
          <w:kern w:val="2"/>
          <w:sz w:val="24"/>
          <w:szCs w:val="24"/>
          <w:lang w:val="en-US" w:eastAsia="zh-CN" w:bidi="ar"/>
        </w:rPr>
        <w:t>我方对上述承诺的内容事项真实性负责，如有虚假，由我方承担相关法律责任。</w:t>
      </w:r>
    </w:p>
    <w:p>
      <w:pPr>
        <w:keepNext w:val="0"/>
        <w:keepLines w:val="0"/>
        <w:widowControl w:val="0"/>
        <w:suppressLineNumbers w:val="0"/>
        <w:spacing w:before="0" w:beforeAutospacing="0" w:after="0" w:afterAutospacing="0" w:line="500" w:lineRule="exact"/>
        <w:ind w:left="0" w:right="0" w:firstLine="4320" w:firstLineChars="1800"/>
        <w:jc w:val="both"/>
        <w:rPr>
          <w:rFonts w:hint="default" w:ascii="Times New Roman" w:hAnsi="Times New Roman" w:eastAsia="宋体" w:cs="宋体"/>
          <w:kern w:val="2"/>
          <w:sz w:val="24"/>
          <w:szCs w:val="24"/>
        </w:rPr>
      </w:pPr>
      <w:r>
        <w:rPr>
          <w:rFonts w:hint="default" w:ascii="Times New Roman" w:hAnsi="Times New Roman" w:eastAsia="宋体" w:cs="宋体"/>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供应商名称（盖章）：</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法定代表人或授权委托人（签字或盖章）：</w:t>
      </w:r>
    </w:p>
    <w:p>
      <w:pPr>
        <w:keepNext w:val="0"/>
        <w:keepLines w:val="0"/>
        <w:widowControl w:val="0"/>
        <w:suppressLineNumbers w:val="0"/>
        <w:snapToGrid w:val="0"/>
        <w:spacing w:before="0" w:beforeAutospacing="0" w:after="0" w:afterAutospacing="0" w:line="480" w:lineRule="exact"/>
        <w:ind w:left="0" w:right="0" w:firstLine="3840" w:firstLineChars="1600"/>
        <w:jc w:val="both"/>
      </w:pPr>
      <w:r>
        <w:rPr>
          <w:rFonts w:hint="eastAsia" w:ascii="宋体" w:hAnsi="宋体" w:eastAsia="宋体" w:cs="宋体"/>
          <w:kern w:val="2"/>
          <w:sz w:val="24"/>
          <w:szCs w:val="24"/>
          <w:lang w:val="en-US" w:eastAsia="zh-CN" w:bidi="ar"/>
        </w:rPr>
        <w:t>日期：     年   月   日</w:t>
      </w:r>
    </w:p>
    <w:p>
      <w:pPr>
        <w:rPr>
          <w:rFonts w:hint="default" w:ascii="Times New Roman" w:hAnsi="Times New Roman" w:eastAsia="宋体" w:cs="宋体"/>
          <w:kern w:val="2"/>
          <w:sz w:val="24"/>
          <w:szCs w:val="24"/>
        </w:rPr>
        <w:sectPr>
          <w:pgSz w:w="11906" w:h="16838"/>
          <w:pgMar w:top="1440" w:right="1080" w:bottom="1440" w:left="1080" w:header="737" w:footer="964" w:gutter="0"/>
          <w:pgBorders>
            <w:top w:val="thinThickSmallGap" w:color="auto" w:sz="12" w:space="10"/>
            <w:left w:val="none" w:sz="0" w:space="0"/>
            <w:bottom w:val="thinThickSmallGap" w:color="auto" w:sz="12" w:space="10"/>
            <w:right w:val="none" w:sz="0" w:space="0"/>
          </w:pgBorders>
          <w:cols w:space="720" w:num="1"/>
          <w:docGrid w:type="lines" w:linePitch="312" w:charSpace="0"/>
        </w:sectPr>
      </w:pPr>
    </w:p>
    <w:p>
      <w:pPr>
        <w:keepNext w:val="0"/>
        <w:keepLines w:val="0"/>
        <w:widowControl w:val="0"/>
        <w:suppressLineNumbers w:val="0"/>
        <w:spacing w:before="0" w:beforeAutospacing="0" w:after="0" w:afterAutospacing="0" w:line="360" w:lineRule="auto"/>
        <w:ind w:left="0" w:right="0" w:firstLine="0" w:firstLineChars="0"/>
        <w:jc w:val="left"/>
        <w:outlineLvl w:val="0"/>
        <w:rPr>
          <w:rFonts w:hint="eastAsia" w:ascii="仿宋" w:hAnsi="仿宋" w:eastAsia="宋体" w:cs="仿宋"/>
          <w:b/>
          <w:bCs w:val="0"/>
          <w:kern w:val="2"/>
          <w:sz w:val="30"/>
          <w:szCs w:val="30"/>
        </w:rPr>
      </w:pPr>
      <w:bookmarkStart w:id="1252" w:name="_Toc24745"/>
      <w:bookmarkStart w:id="1253" w:name="_Toc11749"/>
      <w:bookmarkStart w:id="1254" w:name="_Toc18881"/>
      <w:r>
        <w:rPr>
          <w:rFonts w:hint="eastAsia" w:ascii="宋体" w:hAnsi="宋体" w:eastAsia="宋体" w:cs="宋体"/>
          <w:b/>
          <w:bCs/>
          <w:kern w:val="2"/>
          <w:sz w:val="24"/>
          <w:szCs w:val="24"/>
          <w:lang w:val="en-US" w:eastAsia="zh-CN" w:bidi="ar"/>
        </w:rPr>
        <w:t>附件3</w:t>
      </w:r>
      <w:bookmarkEnd w:id="1252"/>
      <w:bookmarkEnd w:id="1253"/>
      <w:bookmarkEnd w:id="1254"/>
    </w:p>
    <w:p>
      <w:pPr>
        <w:keepNext w:val="0"/>
        <w:keepLines w:val="0"/>
        <w:widowControl w:val="0"/>
        <w:suppressLineNumbers w:val="0"/>
        <w:adjustRightInd w:val="0"/>
        <w:snapToGrid w:val="0"/>
        <w:spacing w:before="0" w:beforeAutospacing="0" w:after="0" w:afterAutospacing="0" w:line="500" w:lineRule="exact"/>
        <w:ind w:left="0" w:right="0" w:firstLine="0" w:firstLineChars="0"/>
        <w:jc w:val="center"/>
        <w:textAlignment w:val="baseline"/>
        <w:rPr>
          <w:rFonts w:hint="eastAsia" w:ascii="宋体" w:hAnsi="宋体" w:eastAsia="宋体" w:cs="宋体"/>
          <w:kern w:val="2"/>
          <w:sz w:val="32"/>
          <w:szCs w:val="32"/>
          <w:vertAlign w:val="baseline"/>
        </w:rPr>
      </w:pPr>
      <w:r>
        <w:rPr>
          <w:rFonts w:hint="eastAsia" w:ascii="宋体" w:hAnsi="宋体" w:eastAsia="宋体" w:cs="宋体"/>
          <w:b/>
          <w:bCs w:val="0"/>
          <w:kern w:val="2"/>
          <w:sz w:val="32"/>
          <w:szCs w:val="32"/>
          <w:vertAlign w:val="baseline"/>
          <w:lang w:val="en-US" w:eastAsia="zh-CN" w:bidi="ar"/>
        </w:rPr>
        <w:t>磋 商 函</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致：</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__________________(供应商全称)系中华人民共和国合法企业或事业单位，现授权_________ (授权委托人姓名</w:t>
      </w:r>
      <w:r>
        <w:rPr>
          <w:rFonts w:hint="eastAsia" w:ascii="宋体" w:hAnsi="宋体" w:eastAsia="宋体" w:cs="宋体"/>
          <w:kern w:val="2"/>
          <w:sz w:val="24"/>
          <w:szCs w:val="24"/>
          <w:u w:val="single"/>
          <w:lang w:val="en-US" w:eastAsia="zh-CN" w:bidi="ar"/>
        </w:rPr>
        <w:t>)          (</w:t>
      </w:r>
      <w:r>
        <w:rPr>
          <w:rFonts w:hint="eastAsia" w:ascii="宋体" w:hAnsi="宋体" w:eastAsia="宋体" w:cs="宋体"/>
          <w:kern w:val="2"/>
          <w:sz w:val="24"/>
          <w:szCs w:val="24"/>
          <w:lang w:val="en-US" w:eastAsia="zh-CN" w:bidi="ar"/>
        </w:rPr>
        <w:t>职务、职称)为全权代表，参加贵方组织的</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采购项目名称)采购的有关活动，并对此项目进行磋商。为便于贵方公正、择优地确定成交供应商，我方就本次磋商有关事项郑重承诺如下：</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1.我方向贵方提交的所有磋商响应文件、资料都是准确的和真实的。</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2.我方承诺已经具备《中华人民共和国政府采购法》中规定的参加政府采购活动的供应商应当具备的条件：</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（1）具有独立承担民事责任的能力；</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（2）遵守国家法律、行政法规，具有良好的信誉和商业道德；</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（3）具有履行合同的能力和良好</w:t>
      </w:r>
      <w:r>
        <w:rPr>
          <w:rFonts w:hint="eastAsia" w:ascii="宋体" w:hAnsi="宋体" w:cs="宋体"/>
          <w:kern w:val="2"/>
          <w:sz w:val="24"/>
          <w:szCs w:val="24"/>
          <w:lang w:val="en-US" w:eastAsia="zh-CN" w:bidi="ar"/>
        </w:rPr>
        <w:t>的</w:t>
      </w:r>
      <w:r>
        <w:rPr>
          <w:rFonts w:hint="eastAsia" w:ascii="宋体" w:hAnsi="宋体" w:eastAsia="宋体" w:cs="宋体"/>
          <w:kern w:val="2"/>
          <w:sz w:val="24"/>
          <w:szCs w:val="24"/>
          <w:lang w:val="en-US" w:eastAsia="zh-CN" w:bidi="ar"/>
        </w:rPr>
        <w:t>履行合同记录；</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（4）具有良好的资金、财务状况及依法缴纳税收和社会保障资金的记录；</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（5）前三年内没有违反政府采购法规、政策的记录；</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（6）没有发生重大经济纠纷、经济犯罪和走私犯罪记录；</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3.提供供应商须知规定的全部磋商响应文件，包括：</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竞争性磋商响应文件</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供应商须知要求的供应商提交的全部文件；</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4.如成交，我方将保证忠实地执行双方所签订的合同，并承担合同规定的责任和义务。</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5.服务期：</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6.保证遵守磋商文件中的其他有关条款。</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7.我方的磋商响应有效期</w:t>
      </w:r>
      <w:r>
        <w:rPr>
          <w:rFonts w:hint="eastAsia" w:ascii="宋体" w:hAnsi="宋体" w:cs="宋体"/>
          <w:kern w:val="2"/>
          <w:sz w:val="24"/>
          <w:szCs w:val="24"/>
          <w:lang w:val="en-US" w:eastAsia="zh-CN" w:bidi="ar"/>
        </w:rPr>
        <w:t>自</w:t>
      </w:r>
      <w:r>
        <w:rPr>
          <w:rFonts w:hint="eastAsia" w:ascii="宋体" w:hAnsi="宋体" w:eastAsia="宋体" w:cs="宋体"/>
          <w:kern w:val="2"/>
          <w:sz w:val="24"/>
          <w:szCs w:val="24"/>
          <w:lang w:val="en-US" w:eastAsia="zh-CN" w:bidi="ar"/>
        </w:rPr>
        <w:t>开标日起90天内有效。</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8.我方在磋商响应之前已经与贵方进行了充分的沟通，完全理解并接受磋商文件的各项规定和要求，对磋商文件的合理性、合法性不再有异议。</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9.我方愿意向贵方提供真实完整的任何与该项磋商响应有关的数据、情况和技术资料。若贵方需要，我方愿意提供我方</w:t>
      </w:r>
      <w:r>
        <w:rPr>
          <w:rFonts w:hint="eastAsia" w:ascii="宋体" w:hAnsi="宋体" w:cs="宋体"/>
          <w:kern w:val="2"/>
          <w:sz w:val="24"/>
          <w:szCs w:val="24"/>
          <w:lang w:val="en-US" w:eastAsia="zh-CN" w:bidi="ar"/>
        </w:rPr>
        <w:t>做出</w:t>
      </w:r>
      <w:r>
        <w:rPr>
          <w:rFonts w:hint="eastAsia" w:ascii="宋体" w:hAnsi="宋体" w:eastAsia="宋体" w:cs="宋体"/>
          <w:kern w:val="2"/>
          <w:sz w:val="24"/>
          <w:szCs w:val="24"/>
          <w:lang w:val="en-US" w:eastAsia="zh-CN" w:bidi="ar"/>
        </w:rPr>
        <w:t>的一切承诺的证明材料。</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10.我方已详细审核全部磋商文件，包括磋商文件的澄清或修改文件（如有的话）、参考资料及有关附件，已经了解我方对于磋商文件、采购过程、采购结果有依法进行询问、质疑、投诉的权利及相关渠道和要求。</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（一）提供虚假材料谋取中标、成交的；</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（二）采取不正当手段诋毁、排挤其他供应商的；</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（三）与采购人、</w:t>
      </w:r>
      <w:r>
        <w:rPr>
          <w:rFonts w:hint="eastAsia" w:ascii="宋体" w:hAnsi="宋体" w:cs="宋体"/>
          <w:kern w:val="2"/>
          <w:sz w:val="24"/>
          <w:szCs w:val="24"/>
          <w:lang w:val="en-US" w:eastAsia="zh-CN" w:bidi="ar"/>
        </w:rPr>
        <w:t>其他</w:t>
      </w:r>
      <w:r>
        <w:rPr>
          <w:rFonts w:hint="eastAsia" w:ascii="宋体" w:hAnsi="宋体" w:eastAsia="宋体" w:cs="宋体"/>
          <w:kern w:val="2"/>
          <w:sz w:val="24"/>
          <w:szCs w:val="24"/>
          <w:lang w:val="en-US" w:eastAsia="zh-CN" w:bidi="ar"/>
        </w:rPr>
        <w:t>供应商或者采购代理机构恶意串通的；</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（四）向采购人、采购代理机构行贿或者提供其他不正当利益的；</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（五）在磋商采购过程中与采购人进行协商磋商的；</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（六）拒绝有关部门监督检查或提供虚假情况的。</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12.如中标，本磋商响应文件至本项目合同履行完毕止均保持有效，本供应商将按“采购文件”及政府采购</w:t>
      </w:r>
      <w:r>
        <w:rPr>
          <w:rFonts w:hint="eastAsia" w:ascii="宋体" w:hAnsi="宋体" w:cs="宋体"/>
          <w:kern w:val="2"/>
          <w:sz w:val="24"/>
          <w:szCs w:val="24"/>
          <w:lang w:val="en-US" w:eastAsia="zh-CN" w:bidi="ar"/>
        </w:rPr>
        <w:t>法律法规</w:t>
      </w:r>
      <w:r>
        <w:rPr>
          <w:rFonts w:hint="eastAsia" w:ascii="宋体" w:hAnsi="宋体" w:eastAsia="宋体" w:cs="宋体"/>
          <w:kern w:val="2"/>
          <w:sz w:val="24"/>
          <w:szCs w:val="24"/>
          <w:lang w:val="en-US" w:eastAsia="zh-CN" w:bidi="ar"/>
        </w:rPr>
        <w:t>的规定履行合同责任和义务。</w:t>
      </w:r>
    </w:p>
    <w:p>
      <w:pPr>
        <w:keepNext w:val="0"/>
        <w:keepLines w:val="0"/>
        <w:widowControl w:val="0"/>
        <w:suppressLineNumbers w:val="0"/>
        <w:spacing w:before="0" w:beforeAutospacing="0" w:after="0" w:afterAutospacing="0" w:line="500" w:lineRule="exact"/>
        <w:ind w:left="0" w:right="0" w:firstLine="960" w:firstLineChars="4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与本磋商响应有关的一切正式往来信函请寄：</w:t>
      </w:r>
    </w:p>
    <w:p>
      <w:pPr>
        <w:keepNext w:val="0"/>
        <w:keepLines w:val="0"/>
        <w:widowControl w:val="0"/>
        <w:suppressLineNumbers w:val="0"/>
        <w:spacing w:before="0" w:beforeAutospacing="0" w:after="0" w:afterAutospacing="0" w:line="500" w:lineRule="exact"/>
        <w:ind w:left="0" w:right="0" w:firstLine="960" w:firstLineChars="4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地址：______________________________     邮编：____________</w:t>
      </w:r>
    </w:p>
    <w:p>
      <w:pPr>
        <w:keepNext w:val="0"/>
        <w:keepLines w:val="0"/>
        <w:widowControl w:val="0"/>
        <w:suppressLineNumbers w:val="0"/>
        <w:spacing w:before="0" w:beforeAutospacing="0" w:after="0" w:afterAutospacing="0" w:line="500" w:lineRule="exact"/>
        <w:ind w:left="0" w:right="0" w:firstLine="960" w:firstLineChars="400"/>
        <w:jc w:val="both"/>
        <w:rPr>
          <w:rFonts w:hint="eastAsia" w:ascii="宋体" w:hAnsi="宋体" w:eastAsia="宋体" w:cs="宋体"/>
          <w:b/>
          <w:bCs/>
          <w:kern w:val="0"/>
          <w:sz w:val="24"/>
          <w:szCs w:val="24"/>
        </w:rPr>
      </w:pPr>
      <w:r>
        <w:rPr>
          <w:rFonts w:hint="eastAsia" w:ascii="宋体" w:hAnsi="宋体" w:eastAsia="宋体" w:cs="宋体"/>
          <w:kern w:val="2"/>
          <w:sz w:val="24"/>
          <w:szCs w:val="24"/>
          <w:lang w:val="en-US" w:eastAsia="zh-CN" w:bidi="ar"/>
        </w:rPr>
        <w:t>电话：______________________________     传真：____________</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供应商名称（盖章）：</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法定代表人或授权委托人（签字或盖章）：</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default" w:ascii="Times New Roman" w:hAnsi="Times New Roman" w:eastAsia="宋体" w:cs="宋体"/>
          <w:kern w:val="2"/>
          <w:sz w:val="24"/>
          <w:szCs w:val="24"/>
        </w:rPr>
      </w:pPr>
      <w:r>
        <w:rPr>
          <w:rFonts w:hint="eastAsia" w:ascii="宋体" w:hAnsi="宋体" w:eastAsia="宋体" w:cs="宋体"/>
          <w:kern w:val="2"/>
          <w:sz w:val="24"/>
          <w:szCs w:val="24"/>
          <w:lang w:val="en-US" w:eastAsia="zh-CN" w:bidi="ar"/>
        </w:rPr>
        <w:t>日期：     年   月   日</w:t>
      </w:r>
    </w:p>
    <w:p>
      <w:pPr>
        <w:rPr>
          <w:rFonts w:hint="eastAsia" w:ascii="宋体" w:hAnsi="宋体" w:eastAsia="宋体" w:cs="宋体"/>
          <w:kern w:val="2"/>
          <w:sz w:val="24"/>
          <w:szCs w:val="24"/>
        </w:rPr>
        <w:sectPr>
          <w:pgSz w:w="11906" w:h="16838"/>
          <w:pgMar w:top="1440" w:right="1080" w:bottom="1440" w:left="1080" w:header="737" w:footer="964" w:gutter="0"/>
          <w:pgBorders>
            <w:top w:val="thinThickSmallGap" w:color="auto" w:sz="12" w:space="10"/>
            <w:left w:val="none" w:sz="0" w:space="0"/>
            <w:bottom w:val="thinThickSmallGap" w:color="auto" w:sz="12" w:space="10"/>
            <w:right w:val="none" w:sz="0" w:space="0"/>
          </w:pgBorders>
          <w:cols w:space="720" w:num="1"/>
          <w:docGrid w:type="lines" w:linePitch="312" w:charSpace="0"/>
        </w:sectPr>
      </w:pPr>
    </w:p>
    <w:p>
      <w:pPr>
        <w:keepNext w:val="0"/>
        <w:keepLines w:val="0"/>
        <w:widowControl w:val="0"/>
        <w:suppressLineNumbers w:val="0"/>
        <w:spacing w:before="0" w:beforeAutospacing="0" w:after="0" w:afterAutospacing="0" w:line="360" w:lineRule="auto"/>
        <w:ind w:left="0" w:right="0" w:firstLine="0" w:firstLineChars="0"/>
        <w:jc w:val="left"/>
        <w:outlineLvl w:val="0"/>
        <w:rPr>
          <w:rFonts w:hint="eastAsia" w:ascii="宋体" w:hAnsi="宋体" w:eastAsia="宋体" w:cs="宋体"/>
          <w:b/>
          <w:bCs w:val="0"/>
          <w:kern w:val="2"/>
          <w:sz w:val="30"/>
          <w:szCs w:val="30"/>
        </w:rPr>
      </w:pPr>
      <w:bookmarkStart w:id="1255" w:name="_Toc20515"/>
      <w:bookmarkStart w:id="1256" w:name="_Toc14167"/>
      <w:bookmarkStart w:id="1257" w:name="_Toc21307"/>
      <w:r>
        <w:rPr>
          <w:rFonts w:hint="eastAsia" w:ascii="宋体" w:hAnsi="宋体" w:eastAsia="宋体" w:cs="宋体"/>
          <w:b/>
          <w:bCs/>
          <w:kern w:val="2"/>
          <w:sz w:val="24"/>
          <w:szCs w:val="24"/>
          <w:lang w:val="en-US" w:eastAsia="zh-CN" w:bidi="ar"/>
        </w:rPr>
        <w:t>附件4</w:t>
      </w:r>
      <w:bookmarkEnd w:id="1255"/>
      <w:bookmarkEnd w:id="1256"/>
      <w:bookmarkEnd w:id="1257"/>
    </w:p>
    <w:p>
      <w:pPr>
        <w:pStyle w:val="4"/>
        <w:widowControl/>
        <w:spacing w:before="156" w:beforeAutospacing="0" w:after="156" w:afterAutospacing="0"/>
        <w:ind w:firstLine="0" w:firstLineChars="0"/>
        <w:jc w:val="center"/>
        <w:rPr>
          <w:rFonts w:hint="default" w:ascii="Times New Roman" w:hAnsi="Times New Roman" w:eastAsia="宋体" w:cs="宋体"/>
          <w:b/>
          <w:bCs/>
          <w:kern w:val="2"/>
          <w:sz w:val="30"/>
          <w:szCs w:val="30"/>
        </w:rPr>
      </w:pPr>
      <w:bookmarkStart w:id="1258" w:name="_Toc8917"/>
      <w:bookmarkStart w:id="1259" w:name="_Toc1416"/>
      <w:bookmarkStart w:id="1260" w:name="_Toc25571"/>
      <w:r>
        <w:rPr>
          <w:rFonts w:hint="eastAsia" w:ascii="宋体" w:hAnsi="宋体" w:eastAsia="宋体" w:cs="宋体"/>
          <w:b/>
          <w:bCs/>
          <w:kern w:val="2"/>
          <w:sz w:val="30"/>
          <w:szCs w:val="30"/>
        </w:rPr>
        <w:t>（一）法定代表人身份证明</w:t>
      </w:r>
      <w:bookmarkEnd w:id="1258"/>
      <w:bookmarkEnd w:id="1259"/>
      <w:bookmarkEnd w:id="1260"/>
    </w:p>
    <w:p>
      <w:pPr>
        <w:keepNext w:val="0"/>
        <w:keepLines w:val="0"/>
        <w:widowControl w:val="0"/>
        <w:suppressLineNumbers w:val="0"/>
        <w:spacing w:before="0" w:beforeAutospacing="0" w:after="0" w:afterAutospacing="0" w:line="440" w:lineRule="exact"/>
        <w:ind w:left="0" w:right="0" w:firstLine="400" w:firstLineChars="200"/>
        <w:jc w:val="both"/>
        <w:rPr>
          <w:rFonts w:hint="eastAsia" w:ascii="宋体" w:hAnsi="Times New Roman" w:eastAsia="宋体" w:cs="宋体"/>
          <w:kern w:val="2"/>
          <w:sz w:val="20"/>
          <w:szCs w:val="20"/>
        </w:rPr>
      </w:pPr>
      <w:r>
        <w:rPr>
          <w:rFonts w:hint="eastAsia" w:ascii="宋体" w:hAnsi="Times New Roman" w:eastAsia="宋体" w:cs="宋体"/>
          <w:kern w:val="2"/>
          <w:sz w:val="20"/>
          <w:szCs w:val="20"/>
          <w:lang w:val="en-US" w:eastAsia="zh-CN" w:bidi="ar"/>
        </w:rPr>
        <w:t xml:space="preserve"> </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供应商名称：</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单位性质：</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地址：</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成立时间：</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年</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月</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日</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经营期限：</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姓名：</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性别：</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年龄：</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职务：</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系</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（供应商名称）的法定代表人。</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特此证明。</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 xml:space="preserve">                          供应商：</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（盖单位章）</w:t>
      </w:r>
    </w:p>
    <w:p>
      <w:pPr>
        <w:keepNext w:val="0"/>
        <w:keepLines w:val="0"/>
        <w:widowControl w:val="0"/>
        <w:suppressLineNumbers w:val="0"/>
        <w:spacing w:before="0" w:beforeAutospacing="0" w:after="0" w:afterAutospacing="0" w:line="500" w:lineRule="exact"/>
        <w:ind w:left="0" w:right="0" w:firstLine="0" w:firstLineChars="0"/>
        <w:jc w:val="center"/>
        <w:outlineLvl w:val="0"/>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 xml:space="preserve">               </w:t>
      </w:r>
      <w:r>
        <w:rPr>
          <w:rFonts w:hint="eastAsia" w:ascii="宋体" w:hAnsi="宋体" w:eastAsia="宋体" w:cs="宋体"/>
          <w:kern w:val="2"/>
          <w:sz w:val="24"/>
          <w:szCs w:val="24"/>
          <w:u w:val="single"/>
          <w:lang w:val="en-US" w:eastAsia="zh-CN" w:bidi="ar"/>
        </w:rPr>
        <w:t xml:space="preserve">       </w:t>
      </w:r>
      <w:bookmarkStart w:id="1261" w:name="_Toc3918"/>
      <w:bookmarkStart w:id="1262" w:name="_Toc10818"/>
      <w:bookmarkStart w:id="1263" w:name="_Toc27053"/>
      <w:r>
        <w:rPr>
          <w:rFonts w:hint="eastAsia" w:ascii="宋体" w:hAnsi="宋体" w:eastAsia="宋体" w:cs="宋体"/>
          <w:kern w:val="2"/>
          <w:sz w:val="24"/>
          <w:szCs w:val="24"/>
          <w:lang w:val="en-US" w:eastAsia="zh-CN" w:bidi="ar"/>
        </w:rPr>
        <w:t>年</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月</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日</w:t>
      </w:r>
      <w:bookmarkEnd w:id="1261"/>
      <w:bookmarkEnd w:id="1262"/>
      <w:bookmarkEnd w:id="1263"/>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center"/>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center"/>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pStyle w:val="32"/>
        <w:keepNext w:val="0"/>
        <w:keepLines w:val="0"/>
        <w:widowControl/>
        <w:suppressLineNumbers w:val="0"/>
        <w:snapToGrid w:val="0"/>
        <w:spacing w:before="0" w:beforeAutospacing="1" w:after="0" w:afterAutospacing="1" w:line="500" w:lineRule="exact"/>
        <w:ind w:left="960" w:leftChars="400" w:right="0" w:firstLine="560" w:firstLineChars="200"/>
        <w:jc w:val="both"/>
        <w:rPr>
          <w:rFonts w:hint="default" w:ascii="楷体_GB2312" w:hAnsi="宋体" w:eastAsia="楷体_GB2312" w:cs="宋体"/>
          <w:kern w:val="0"/>
          <w:sz w:val="28"/>
          <w:szCs w:val="28"/>
        </w:rPr>
      </w:pPr>
      <w:r>
        <w:rPr>
          <w:rFonts w:hint="default" w:ascii="楷体_GB2312" w:hAnsi="宋体" w:eastAsia="楷体_GB2312" w:cs="宋体"/>
          <w:kern w:val="0"/>
          <w:sz w:val="28"/>
          <w:szCs w:val="28"/>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center"/>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center"/>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center"/>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pStyle w:val="32"/>
        <w:keepNext w:val="0"/>
        <w:keepLines w:val="0"/>
        <w:widowControl w:val="0"/>
        <w:suppressLineNumbers w:val="0"/>
        <w:spacing w:before="0" w:beforeAutospacing="0" w:after="0" w:afterAutospacing="0" w:line="500" w:lineRule="exact"/>
        <w:ind w:left="0" w:right="0" w:firstLine="480" w:firstLineChars="200"/>
        <w:jc w:val="left"/>
        <w:rPr>
          <w:rFonts w:hint="eastAsia" w:ascii="宋体" w:hAnsi="Times New Roman" w:eastAsia="宋体" w:cs="宋体"/>
          <w:bCs/>
          <w:kern w:val="2"/>
          <w:sz w:val="24"/>
          <w:szCs w:val="24"/>
        </w:rPr>
      </w:pPr>
      <w:r>
        <w:rPr>
          <w:rFonts w:hint="eastAsia" w:ascii="宋体" w:hAnsi="Times New Roman" w:eastAsia="宋体" w:cs="宋体"/>
          <w:bCs/>
          <w:kern w:val="2"/>
          <w:sz w:val="24"/>
          <w:szCs w:val="24"/>
          <w:lang w:val="en-US" w:eastAsia="zh-CN" w:bidi="ar"/>
        </w:rPr>
        <w:t xml:space="preserve"> </w:t>
      </w:r>
    </w:p>
    <w:p>
      <w:pPr>
        <w:pStyle w:val="35"/>
        <w:widowControl/>
        <w:ind w:left="0" w:firstLine="240"/>
        <w:rPr>
          <w:rFonts w:hint="eastAsia" w:ascii="宋体" w:hAnsi="Times New Roman" w:eastAsia="宋体" w:cs="宋体"/>
          <w:bCs/>
          <w:kern w:val="2"/>
          <w:sz w:val="24"/>
          <w:szCs w:val="24"/>
        </w:rPr>
      </w:pPr>
      <w:r>
        <w:rPr>
          <w:rFonts w:hint="eastAsia" w:ascii="宋体" w:hAnsi="Times New Roman" w:eastAsia="宋体" w:cs="宋体"/>
          <w:bCs/>
          <w:kern w:val="2"/>
          <w:sz w:val="24"/>
          <w:szCs w:val="24"/>
        </w:rPr>
        <w:t xml:space="preserve"> </w:t>
      </w:r>
    </w:p>
    <w:p>
      <w:pPr>
        <w:keepNext w:val="0"/>
        <w:keepLines w:val="0"/>
        <w:widowControl w:val="0"/>
        <w:suppressLineNumbers w:val="0"/>
        <w:spacing w:before="0" w:beforeAutospacing="0" w:after="0" w:afterAutospacing="0" w:line="500" w:lineRule="exact"/>
        <w:ind w:left="0" w:right="0" w:firstLine="480" w:firstLineChars="200"/>
        <w:jc w:val="both"/>
        <w:rPr>
          <w:rFonts w:hint="default" w:ascii="Times New Roman" w:hAnsi="Times New Roman" w:eastAsia="宋体" w:cs="宋体"/>
          <w:kern w:val="2"/>
          <w:sz w:val="24"/>
          <w:szCs w:val="24"/>
        </w:rPr>
      </w:pPr>
      <w:r>
        <w:rPr>
          <w:rFonts w:hint="default" w:ascii="Times New Roman" w:hAnsi="Times New Roman" w:eastAsia="宋体" w:cs="宋体"/>
          <w:kern w:val="2"/>
          <w:sz w:val="24"/>
          <w:szCs w:val="24"/>
          <w:lang w:val="en-US" w:eastAsia="zh-CN" w:bidi="ar"/>
        </w:rPr>
        <w:t xml:space="preserve"> </w:t>
      </w:r>
    </w:p>
    <w:p>
      <w:pPr>
        <w:pStyle w:val="35"/>
        <w:widowControl/>
        <w:ind w:left="0" w:firstLine="240"/>
        <w:rPr>
          <w:rFonts w:hint="eastAsia" w:ascii="宋体" w:hAnsi="Times New Roman" w:eastAsia="宋体" w:cs="宋体"/>
          <w:bCs/>
          <w:kern w:val="2"/>
          <w:sz w:val="24"/>
          <w:szCs w:val="24"/>
        </w:rPr>
      </w:pPr>
      <w:r>
        <w:rPr>
          <w:rFonts w:hint="eastAsia" w:ascii="宋体" w:hAnsi="Times New Roman" w:eastAsia="宋体" w:cs="宋体"/>
          <w:bCs/>
          <w:kern w:val="2"/>
          <w:sz w:val="24"/>
          <w:szCs w:val="24"/>
        </w:rPr>
        <w:t xml:space="preserve"> </w:t>
      </w:r>
    </w:p>
    <w:p>
      <w:pPr>
        <w:pStyle w:val="32"/>
        <w:spacing w:beforeAutospacing="1" w:after="0" w:afterAutospacing="1" w:line="240" w:lineRule="auto"/>
        <w:ind w:left="1050" w:firstLine="0" w:firstLineChars="0"/>
        <w:jc w:val="left"/>
        <w:rPr>
          <w:rFonts w:hint="eastAsia" w:ascii="宋体" w:hAnsi="Times New Roman" w:eastAsia="宋体" w:cs="宋体"/>
          <w:kern w:val="0"/>
          <w:sz w:val="21"/>
          <w:szCs w:val="21"/>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center"/>
        <w:outlineLvl w:val="0"/>
        <w:rPr>
          <w:rFonts w:hint="default" w:ascii="Times New Roman" w:hAnsi="Times New Roman" w:eastAsia="宋体" w:cs="宋体"/>
          <w:b/>
          <w:bCs/>
          <w:kern w:val="2"/>
          <w:sz w:val="30"/>
          <w:szCs w:val="30"/>
        </w:rPr>
      </w:pPr>
      <w:bookmarkStart w:id="1264" w:name="_Toc26160"/>
      <w:bookmarkStart w:id="1265" w:name="_Toc13018"/>
      <w:bookmarkStart w:id="1266" w:name="_Toc6607"/>
      <w:r>
        <w:rPr>
          <w:rFonts w:hint="eastAsia" w:ascii="宋体" w:hAnsi="宋体" w:eastAsia="宋体" w:cs="宋体"/>
          <w:b/>
          <w:bCs/>
          <w:kern w:val="2"/>
          <w:sz w:val="30"/>
          <w:szCs w:val="30"/>
          <w:lang w:val="en-US" w:eastAsia="zh-CN" w:bidi="ar"/>
        </w:rPr>
        <w:t>（二）授权委托书</w:t>
      </w:r>
      <w:bookmarkEnd w:id="1264"/>
      <w:bookmarkEnd w:id="1265"/>
      <w:bookmarkEnd w:id="1266"/>
    </w:p>
    <w:p>
      <w:pPr>
        <w:keepNext w:val="0"/>
        <w:keepLines w:val="0"/>
        <w:widowControl w:val="0"/>
        <w:suppressLineNumbers w:val="0"/>
        <w:snapToGrid w:val="0"/>
        <w:spacing w:before="0" w:beforeAutospacing="0" w:after="0" w:afterAutospacing="0" w:line="500" w:lineRule="exact"/>
        <w:ind w:left="0" w:right="0" w:firstLine="482" w:firstLineChars="200"/>
        <w:jc w:val="center"/>
        <w:rPr>
          <w:rFonts w:hint="eastAsia" w:ascii="宋体" w:hAnsi="Times New Roman" w:eastAsia="宋体" w:cs="宋体"/>
          <w:b/>
          <w:bCs w:val="0"/>
          <w:kern w:val="2"/>
          <w:sz w:val="24"/>
          <w:szCs w:val="24"/>
        </w:rPr>
      </w:pPr>
      <w:r>
        <w:rPr>
          <w:rFonts w:hint="eastAsia" w:ascii="宋体" w:hAnsi="Times New Roman" w:eastAsia="宋体" w:cs="宋体"/>
          <w:b/>
          <w:bCs w:val="0"/>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 xml:space="preserve">本人 </w:t>
      </w:r>
      <w:r>
        <w:rPr>
          <w:rFonts w:hint="eastAsia" w:ascii="宋体" w:hAnsi="宋体" w:eastAsia="宋体" w:cs="宋体"/>
          <w:kern w:val="2"/>
          <w:sz w:val="24"/>
          <w:szCs w:val="24"/>
          <w:u w:val="single"/>
          <w:lang w:val="en-US" w:eastAsia="zh-CN" w:bidi="ar"/>
        </w:rPr>
        <w:t xml:space="preserve">      （姓名）  </w:t>
      </w:r>
      <w:r>
        <w:rPr>
          <w:rFonts w:hint="eastAsia" w:ascii="宋体" w:hAnsi="宋体" w:eastAsia="宋体" w:cs="宋体"/>
          <w:kern w:val="2"/>
          <w:sz w:val="24"/>
          <w:szCs w:val="24"/>
          <w:lang w:val="en-US" w:eastAsia="zh-CN" w:bidi="ar"/>
        </w:rPr>
        <w:t>系</w:t>
      </w:r>
      <w:r>
        <w:rPr>
          <w:rFonts w:hint="eastAsia" w:ascii="宋体" w:hAnsi="宋体" w:eastAsia="宋体" w:cs="宋体"/>
          <w:kern w:val="2"/>
          <w:sz w:val="24"/>
          <w:szCs w:val="24"/>
          <w:u w:val="single"/>
          <w:lang w:val="en-US" w:eastAsia="zh-CN" w:bidi="ar"/>
        </w:rPr>
        <w:t xml:space="preserve">        （供应商名称）      </w:t>
      </w:r>
      <w:r>
        <w:rPr>
          <w:rFonts w:hint="eastAsia" w:ascii="宋体" w:hAnsi="宋体" w:eastAsia="宋体" w:cs="宋体"/>
          <w:kern w:val="2"/>
          <w:sz w:val="24"/>
          <w:szCs w:val="24"/>
          <w:lang w:val="en-US" w:eastAsia="zh-CN" w:bidi="ar"/>
        </w:rPr>
        <w:t>的法定代表人，现授权</w:t>
      </w:r>
    </w:p>
    <w:p>
      <w:pPr>
        <w:keepNext w:val="0"/>
        <w:keepLines w:val="0"/>
        <w:widowControl w:val="0"/>
        <w:suppressLineNumbers w:val="0"/>
        <w:spacing w:before="0" w:beforeAutospacing="0" w:after="0" w:afterAutospacing="0" w:line="500" w:lineRule="exact"/>
        <w:ind w:left="0" w:right="0" w:firstLine="0" w:firstLineChars="0"/>
        <w:jc w:val="both"/>
        <w:rPr>
          <w:rFonts w:hint="eastAsia" w:ascii="宋体" w:hAnsi="Times New Roman" w:eastAsia="宋体" w:cs="宋体"/>
          <w:kern w:val="2"/>
          <w:sz w:val="24"/>
          <w:szCs w:val="24"/>
        </w:rPr>
      </w:pPr>
      <w:r>
        <w:rPr>
          <w:rFonts w:hint="eastAsia" w:ascii="宋体" w:hAnsi="宋体" w:eastAsia="宋体" w:cs="宋体"/>
          <w:kern w:val="2"/>
          <w:sz w:val="24"/>
          <w:szCs w:val="24"/>
          <w:u w:val="single"/>
          <w:lang w:val="en-US" w:eastAsia="zh-CN" w:bidi="ar"/>
        </w:rPr>
        <w:t xml:space="preserve">      （姓名）  （   身份证号码   ）</w:t>
      </w:r>
      <w:r>
        <w:rPr>
          <w:rFonts w:hint="eastAsia" w:ascii="宋体" w:hAnsi="宋体" w:eastAsia="宋体" w:cs="宋体"/>
          <w:kern w:val="2"/>
          <w:sz w:val="24"/>
          <w:szCs w:val="24"/>
          <w:lang w:val="en-US" w:eastAsia="zh-CN" w:bidi="ar"/>
        </w:rPr>
        <w:t>为我方代理人。授权代理人根据授权对</w:t>
      </w:r>
    </w:p>
    <w:p>
      <w:pPr>
        <w:keepNext w:val="0"/>
        <w:keepLines w:val="0"/>
        <w:widowControl w:val="0"/>
        <w:suppressLineNumbers w:val="0"/>
        <w:spacing w:before="0" w:beforeAutospacing="0" w:after="0" w:afterAutospacing="0" w:line="500" w:lineRule="exact"/>
        <w:ind w:left="0" w:right="0" w:firstLine="0" w:firstLineChars="0"/>
        <w:jc w:val="both"/>
        <w:rPr>
          <w:rFonts w:hint="eastAsia" w:ascii="宋体" w:hAnsi="Times New Roman" w:eastAsia="宋体" w:cs="宋体"/>
          <w:kern w:val="2"/>
          <w:sz w:val="24"/>
          <w:szCs w:val="24"/>
        </w:rPr>
      </w:pPr>
      <w:r>
        <w:rPr>
          <w:rFonts w:hint="eastAsia" w:ascii="宋体" w:hAnsi="宋体" w:eastAsia="宋体" w:cs="宋体"/>
          <w:kern w:val="2"/>
          <w:sz w:val="24"/>
          <w:szCs w:val="24"/>
          <w:u w:val="single"/>
          <w:lang w:val="en-US" w:eastAsia="zh-CN" w:bidi="ar"/>
        </w:rPr>
        <w:t xml:space="preserve">      （项目名称）  投</w:t>
      </w:r>
      <w:r>
        <w:rPr>
          <w:rFonts w:hint="eastAsia" w:ascii="宋体" w:hAnsi="宋体" w:eastAsia="宋体" w:cs="宋体"/>
          <w:kern w:val="2"/>
          <w:sz w:val="24"/>
          <w:szCs w:val="24"/>
          <w:lang w:val="en-US" w:eastAsia="zh-CN" w:bidi="ar"/>
        </w:rPr>
        <w:t>标，以我方名义签署、澄清、说明、补正、提交、撤回、修改响应文件，签订合同和处理有关事宜，其法律后果由我方承担。</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委托期限：自</w:t>
      </w:r>
      <w:r>
        <w:rPr>
          <w:rFonts w:hint="eastAsia" w:ascii="宋体" w:hAnsi="宋体" w:cs="宋体"/>
          <w:kern w:val="2"/>
          <w:sz w:val="24"/>
          <w:szCs w:val="24"/>
          <w:lang w:val="en-US" w:eastAsia="zh-CN" w:bidi="ar"/>
        </w:rPr>
        <w:t>2024</w:t>
      </w:r>
      <w:r>
        <w:rPr>
          <w:rFonts w:hint="eastAsia" w:ascii="宋体" w:hAnsi="宋体" w:eastAsia="宋体" w:cs="宋体"/>
          <w:kern w:val="2"/>
          <w:sz w:val="24"/>
          <w:szCs w:val="24"/>
          <w:lang w:val="en-US" w:eastAsia="zh-CN" w:bidi="ar"/>
        </w:rPr>
        <w:t>年  月  日—</w:t>
      </w:r>
      <w:r>
        <w:rPr>
          <w:rFonts w:hint="eastAsia" w:ascii="宋体" w:hAnsi="宋体" w:cs="宋体"/>
          <w:kern w:val="2"/>
          <w:sz w:val="24"/>
          <w:szCs w:val="24"/>
          <w:lang w:val="en-US" w:eastAsia="zh-CN" w:bidi="ar"/>
        </w:rPr>
        <w:t>2024</w:t>
      </w:r>
      <w:r>
        <w:rPr>
          <w:rFonts w:hint="eastAsia" w:ascii="宋体" w:hAnsi="宋体" w:eastAsia="宋体" w:cs="宋体"/>
          <w:kern w:val="2"/>
          <w:sz w:val="24"/>
          <w:szCs w:val="24"/>
          <w:lang w:val="en-US" w:eastAsia="zh-CN" w:bidi="ar"/>
        </w:rPr>
        <w:t>年  月  日止。</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授权代理人无转委托权。</w:t>
      </w:r>
    </w:p>
    <w:p>
      <w:pPr>
        <w:keepNext w:val="0"/>
        <w:keepLines w:val="0"/>
        <w:widowControl w:val="0"/>
        <w:suppressLineNumbers w:val="0"/>
        <w:snapToGrid w:val="0"/>
        <w:spacing w:before="0" w:beforeAutospacing="0" w:after="0" w:afterAutospacing="0" w:line="312" w:lineRule="auto"/>
        <w:ind w:left="0" w:right="0" w:firstLine="0" w:firstLineChars="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4080" w:firstLineChars="1700"/>
        <w:jc w:val="both"/>
        <w:textAlignment w:val="baseline"/>
        <w:rPr>
          <w:rFonts w:hint="eastAsia" w:ascii="宋体" w:hAnsi="Times New Roman" w:eastAsia="宋体" w:cs="宋体"/>
          <w:kern w:val="2"/>
          <w:sz w:val="24"/>
          <w:szCs w:val="24"/>
          <w:vertAlign w:val="baseline"/>
        </w:rPr>
      </w:pPr>
      <w:r>
        <w:rPr>
          <w:rFonts w:hint="eastAsia" w:ascii="宋体" w:hAnsi="宋体" w:eastAsia="宋体" w:cs="宋体"/>
          <w:kern w:val="2"/>
          <w:sz w:val="24"/>
          <w:szCs w:val="24"/>
          <w:vertAlign w:val="baseline"/>
          <w:lang w:val="en-US" w:eastAsia="zh-CN" w:bidi="ar"/>
        </w:rPr>
        <w:t>供应商名称（盖章）</w:t>
      </w:r>
      <w:r>
        <w:rPr>
          <w:rFonts w:hint="eastAsia" w:ascii="宋体" w:hAnsi="宋体" w:cs="宋体"/>
          <w:kern w:val="2"/>
          <w:sz w:val="24"/>
          <w:szCs w:val="24"/>
          <w:vertAlign w:val="baseline"/>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firstLine="4080" w:firstLineChars="1700"/>
        <w:jc w:val="both"/>
        <w:textAlignment w:val="baseline"/>
        <w:rPr>
          <w:rFonts w:hint="eastAsia" w:ascii="宋体" w:hAnsi="Times New Roman" w:eastAsia="宋体" w:cs="宋体"/>
          <w:kern w:val="2"/>
          <w:sz w:val="24"/>
          <w:szCs w:val="24"/>
          <w:u w:val="single"/>
          <w:vertAlign w:val="baseline"/>
        </w:rPr>
      </w:pPr>
      <w:r>
        <w:rPr>
          <w:rFonts w:hint="eastAsia" w:ascii="宋体" w:hAnsi="宋体" w:eastAsia="宋体" w:cs="宋体"/>
          <w:kern w:val="2"/>
          <w:sz w:val="24"/>
          <w:szCs w:val="24"/>
          <w:vertAlign w:val="baseline"/>
          <w:lang w:val="en-US" w:eastAsia="zh-CN" w:bidi="ar"/>
        </w:rPr>
        <w:t>法定代表人（签字或盖章）</w:t>
      </w:r>
      <w:r>
        <w:rPr>
          <w:rFonts w:hint="eastAsia" w:ascii="宋体" w:hAnsi="宋体" w:cs="宋体"/>
          <w:kern w:val="2"/>
          <w:sz w:val="24"/>
          <w:szCs w:val="24"/>
          <w:vertAlign w:val="baseline"/>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firstLine="4080" w:firstLineChars="1700"/>
        <w:jc w:val="both"/>
        <w:textAlignment w:val="baseline"/>
        <w:rPr>
          <w:rFonts w:hint="eastAsia" w:ascii="宋体" w:hAnsi="Times New Roman" w:eastAsia="宋体" w:cs="宋体"/>
          <w:kern w:val="2"/>
          <w:sz w:val="24"/>
          <w:szCs w:val="24"/>
          <w:u w:val="single"/>
          <w:vertAlign w:val="baseline"/>
        </w:rPr>
      </w:pPr>
      <w:r>
        <w:rPr>
          <w:rFonts w:hint="eastAsia" w:ascii="宋体" w:hAnsi="宋体" w:eastAsia="宋体" w:cs="宋体"/>
          <w:kern w:val="2"/>
          <w:sz w:val="24"/>
          <w:szCs w:val="24"/>
          <w:vertAlign w:val="baseline"/>
          <w:lang w:val="en-US" w:eastAsia="zh-CN" w:bidi="ar"/>
        </w:rPr>
        <w:t>法定代表人移动电话</w:t>
      </w:r>
      <w:r>
        <w:rPr>
          <w:rFonts w:hint="eastAsia" w:ascii="宋体" w:hAnsi="宋体" w:cs="宋体"/>
          <w:kern w:val="2"/>
          <w:sz w:val="24"/>
          <w:szCs w:val="24"/>
          <w:vertAlign w:val="baseline"/>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firstLine="4080" w:firstLineChars="1700"/>
        <w:jc w:val="both"/>
        <w:textAlignment w:val="baseline"/>
        <w:rPr>
          <w:rFonts w:hint="eastAsia" w:ascii="宋体" w:hAnsi="Times New Roman" w:eastAsia="宋体" w:cs="宋体"/>
          <w:kern w:val="2"/>
          <w:sz w:val="24"/>
          <w:szCs w:val="24"/>
          <w:vertAlign w:val="baseline"/>
        </w:rPr>
      </w:pPr>
      <w:r>
        <w:rPr>
          <w:rFonts w:hint="eastAsia" w:ascii="宋体" w:hAnsi="宋体" w:eastAsia="宋体" w:cs="宋体"/>
          <w:kern w:val="2"/>
          <w:sz w:val="24"/>
          <w:szCs w:val="24"/>
          <w:vertAlign w:val="baseline"/>
          <w:lang w:val="en-US" w:eastAsia="zh-CN" w:bidi="ar"/>
        </w:rPr>
        <w:t>授权代理人移动电话</w:t>
      </w:r>
      <w:r>
        <w:rPr>
          <w:rFonts w:hint="eastAsia" w:ascii="宋体" w:hAnsi="宋体" w:cs="宋体"/>
          <w:kern w:val="2"/>
          <w:sz w:val="24"/>
          <w:szCs w:val="24"/>
          <w:vertAlign w:val="baseline"/>
          <w:lang w:val="en-US" w:eastAsia="zh-CN" w:bidi="ar"/>
        </w:rPr>
        <w:t>：</w:t>
      </w:r>
    </w:p>
    <w:p>
      <w:pPr>
        <w:keepNext w:val="0"/>
        <w:keepLines w:val="0"/>
        <w:widowControl w:val="0"/>
        <w:suppressLineNumbers w:val="0"/>
        <w:spacing w:before="0" w:beforeAutospacing="0" w:after="0" w:afterAutospacing="0" w:line="500" w:lineRule="exact"/>
        <w:ind w:left="0" w:right="440" w:firstLine="4080" w:firstLineChars="1700"/>
        <w:jc w:val="both"/>
        <w:rPr>
          <w:rFonts w:hint="eastAsia" w:ascii="宋体" w:hAnsi="Times New Roman" w:eastAsia="宋体" w:cs="宋体"/>
          <w:b/>
          <w:bCs/>
          <w:kern w:val="2"/>
          <w:sz w:val="24"/>
          <w:szCs w:val="24"/>
        </w:rPr>
      </w:pPr>
      <w:r>
        <w:rPr>
          <w:rFonts w:hint="eastAsia" w:ascii="宋体" w:hAnsi="宋体" w:eastAsia="宋体" w:cs="宋体"/>
          <w:bCs/>
          <w:kern w:val="2"/>
          <w:sz w:val="24"/>
          <w:szCs w:val="24"/>
          <w:lang w:val="en-US" w:eastAsia="zh-CN" w:bidi="ar"/>
        </w:rPr>
        <w:t>授权委托日期：</w:t>
      </w:r>
      <w:r>
        <w:rPr>
          <w:rFonts w:hint="eastAsia" w:ascii="宋体" w:hAnsi="宋体" w:cs="宋体"/>
          <w:bCs/>
          <w:kern w:val="2"/>
          <w:sz w:val="24"/>
          <w:szCs w:val="24"/>
          <w:lang w:val="en-US" w:eastAsia="zh-CN" w:bidi="ar"/>
        </w:rPr>
        <w:t>2024</w:t>
      </w:r>
      <w:r>
        <w:rPr>
          <w:rFonts w:hint="eastAsia" w:ascii="宋体" w:hAnsi="宋体" w:eastAsia="宋体" w:cs="宋体"/>
          <w:bCs/>
          <w:kern w:val="2"/>
          <w:sz w:val="24"/>
          <w:szCs w:val="24"/>
          <w:lang w:val="en-US" w:eastAsia="zh-CN" w:bidi="ar"/>
        </w:rPr>
        <w:t xml:space="preserve">年 </w:t>
      </w:r>
      <w:r>
        <w:rPr>
          <w:rFonts w:hint="eastAsia" w:ascii="宋体" w:hAnsi="宋体" w:cs="宋体"/>
          <w:bCs/>
          <w:kern w:val="2"/>
          <w:sz w:val="24"/>
          <w:szCs w:val="24"/>
          <w:lang w:val="en-US" w:eastAsia="zh-CN" w:bidi="ar"/>
        </w:rPr>
        <w:t xml:space="preserve">  </w:t>
      </w:r>
      <w:r>
        <w:rPr>
          <w:rFonts w:hint="eastAsia" w:ascii="宋体" w:hAnsi="宋体" w:eastAsia="宋体" w:cs="宋体"/>
          <w:bCs/>
          <w:kern w:val="2"/>
          <w:sz w:val="24"/>
          <w:szCs w:val="24"/>
          <w:lang w:val="en-US" w:eastAsia="zh-CN" w:bidi="ar"/>
        </w:rPr>
        <w:t xml:space="preserve">月 </w:t>
      </w:r>
      <w:r>
        <w:rPr>
          <w:rFonts w:hint="eastAsia" w:ascii="宋体" w:hAnsi="宋体" w:cs="宋体"/>
          <w:bCs/>
          <w:kern w:val="2"/>
          <w:sz w:val="24"/>
          <w:szCs w:val="24"/>
          <w:lang w:val="en-US" w:eastAsia="zh-CN" w:bidi="ar"/>
        </w:rPr>
        <w:t xml:space="preserve">  </w:t>
      </w:r>
      <w:r>
        <w:rPr>
          <w:rFonts w:hint="eastAsia" w:ascii="宋体" w:hAnsi="宋体" w:eastAsia="宋体" w:cs="宋体"/>
          <w:bCs/>
          <w:kern w:val="2"/>
          <w:sz w:val="24"/>
          <w:szCs w:val="24"/>
          <w:lang w:val="en-US" w:eastAsia="zh-CN" w:bidi="ar"/>
        </w:rPr>
        <w:t xml:space="preserve"> 日</w:t>
      </w:r>
    </w:p>
    <w:p>
      <w:pPr>
        <w:keepNext w:val="0"/>
        <w:keepLines w:val="0"/>
        <w:widowControl w:val="0"/>
        <w:suppressLineNumbers w:val="0"/>
        <w:spacing w:before="0" w:beforeAutospacing="0" w:after="0" w:afterAutospacing="0" w:line="360" w:lineRule="exact"/>
        <w:ind w:left="2699" w:right="0" w:firstLine="480" w:firstLineChars="200"/>
        <w:jc w:val="both"/>
        <w:rPr>
          <w:rFonts w:hint="eastAsia" w:ascii="宋体" w:hAnsi="Times New Roman" w:eastAsia="宋体" w:cs="宋体"/>
          <w:kern w:val="0"/>
          <w:sz w:val="24"/>
          <w:szCs w:val="24"/>
        </w:rPr>
      </w:pPr>
      <w:r>
        <w:rPr>
          <w:rFonts w:hint="eastAsia" w:ascii="宋体" w:hAnsi="Times New Roman" w:eastAsia="宋体" w:cs="宋体"/>
          <w:kern w:val="0"/>
          <w:sz w:val="24"/>
          <w:szCs w:val="24"/>
          <w:lang w:val="en-US" w:eastAsia="zh-CN" w:bidi="ar"/>
        </w:rPr>
        <w:t xml:space="preserve"> </w:t>
      </w:r>
    </w:p>
    <w:tbl>
      <w:tblPr>
        <w:tblStyle w:val="36"/>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93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exact"/>
              <w:ind w:left="0" w:right="0" w:firstLine="480" w:firstLineChars="200"/>
              <w:jc w:val="center"/>
              <w:rPr>
                <w:rFonts w:hint="eastAsia" w:ascii="宋体" w:hAnsi="Times New Roman" w:eastAsia="宋体" w:cs="宋体"/>
                <w:kern w:val="0"/>
                <w:sz w:val="24"/>
                <w:szCs w:val="24"/>
              </w:rPr>
            </w:pPr>
          </w:p>
          <w:p>
            <w:pPr>
              <w:keepNext w:val="0"/>
              <w:keepLines w:val="0"/>
              <w:widowControl w:val="0"/>
              <w:suppressLineNumbers w:val="0"/>
              <w:adjustRightInd w:val="0"/>
              <w:snapToGrid w:val="0"/>
              <w:spacing w:before="0" w:beforeAutospacing="0" w:after="0" w:afterAutospacing="0" w:line="360" w:lineRule="exact"/>
              <w:ind w:left="0" w:right="0" w:firstLine="480" w:firstLineChars="200"/>
              <w:jc w:val="center"/>
              <w:rPr>
                <w:rFonts w:hint="eastAsia" w:ascii="宋体" w:hAnsi="Times New Roman" w:eastAsia="宋体" w:cs="宋体"/>
                <w:kern w:val="0"/>
                <w:sz w:val="24"/>
                <w:szCs w:val="24"/>
              </w:rPr>
            </w:pPr>
          </w:p>
          <w:p>
            <w:pPr>
              <w:keepNext w:val="0"/>
              <w:keepLines w:val="0"/>
              <w:widowControl w:val="0"/>
              <w:suppressLineNumbers w:val="0"/>
              <w:adjustRightInd w:val="0"/>
              <w:snapToGrid w:val="0"/>
              <w:spacing w:before="0" w:beforeAutospacing="0" w:after="0" w:afterAutospacing="0" w:line="360" w:lineRule="exact"/>
              <w:ind w:left="0" w:right="0" w:firstLine="480" w:firstLineChars="200"/>
              <w:jc w:val="center"/>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粘贴法人授权代表身份证复印影印件</w:t>
            </w:r>
          </w:p>
          <w:p>
            <w:pPr>
              <w:keepNext w:val="0"/>
              <w:keepLines w:val="0"/>
              <w:widowControl w:val="0"/>
              <w:suppressLineNumbers w:val="0"/>
              <w:adjustRightInd w:val="0"/>
              <w:snapToGrid w:val="0"/>
              <w:spacing w:before="0" w:beforeAutospacing="0" w:after="0" w:afterAutospacing="0" w:line="360" w:lineRule="exact"/>
              <w:ind w:left="0" w:right="0" w:firstLine="480" w:firstLineChars="200"/>
              <w:jc w:val="center"/>
              <w:rPr>
                <w:rFonts w:hint="eastAsia" w:ascii="宋体" w:hAnsi="Times New Roman" w:eastAsia="宋体" w:cs="宋体"/>
                <w:kern w:val="0"/>
                <w:sz w:val="24"/>
                <w:szCs w:val="24"/>
              </w:rPr>
            </w:pPr>
          </w:p>
          <w:p>
            <w:pPr>
              <w:keepNext w:val="0"/>
              <w:keepLines w:val="0"/>
              <w:widowControl w:val="0"/>
              <w:suppressLineNumbers w:val="0"/>
              <w:adjustRightInd w:val="0"/>
              <w:snapToGrid w:val="0"/>
              <w:spacing w:before="0" w:beforeAutospacing="0" w:after="0" w:afterAutospacing="0" w:line="360" w:lineRule="exact"/>
              <w:ind w:left="0" w:right="0" w:firstLine="480" w:firstLineChars="200"/>
              <w:jc w:val="center"/>
              <w:rPr>
                <w:rFonts w:hint="eastAsia" w:ascii="宋体" w:hAnsi="Times New Roman" w:eastAsia="宋体" w:cs="宋体"/>
                <w:kern w:val="0"/>
                <w:sz w:val="24"/>
                <w:szCs w:val="24"/>
              </w:rPr>
            </w:pPr>
          </w:p>
        </w:tc>
      </w:tr>
    </w:tbl>
    <w:p>
      <w:pPr>
        <w:keepNext w:val="0"/>
        <w:keepLines w:val="0"/>
        <w:widowControl w:val="0"/>
        <w:suppressLineNumbers w:val="0"/>
        <w:adjustRightInd w:val="0"/>
        <w:snapToGrid w:val="0"/>
        <w:spacing w:before="0" w:beforeAutospacing="0" w:after="0" w:afterAutospacing="0" w:line="360" w:lineRule="exact"/>
        <w:ind w:left="0" w:right="0" w:firstLine="480" w:firstLineChars="200"/>
        <w:jc w:val="center"/>
        <w:rPr>
          <w:rFonts w:hint="eastAsia" w:ascii="宋体" w:hAnsi="Times New Roman" w:eastAsia="宋体" w:cs="宋体"/>
          <w:kern w:val="0"/>
          <w:sz w:val="24"/>
          <w:szCs w:val="24"/>
        </w:rPr>
      </w:pPr>
      <w:r>
        <w:rPr>
          <w:rFonts w:hint="eastAsia" w:ascii="宋体" w:hAnsi="Times New Roman" w:eastAsia="宋体" w:cs="宋体"/>
          <w:kern w:val="0"/>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exact"/>
        <w:ind w:left="0" w:right="0" w:firstLine="480" w:firstLineChars="200"/>
        <w:jc w:val="center"/>
        <w:rPr>
          <w:rFonts w:hint="eastAsia" w:ascii="宋体" w:hAnsi="Times New Roman" w:eastAsia="宋体" w:cs="宋体"/>
          <w:kern w:val="0"/>
          <w:sz w:val="24"/>
          <w:szCs w:val="24"/>
        </w:rPr>
      </w:pPr>
      <w:r>
        <w:rPr>
          <w:rFonts w:hint="eastAsia" w:ascii="宋体" w:hAnsi="Times New Roman" w:eastAsia="宋体" w:cs="宋体"/>
          <w:kern w:val="0"/>
          <w:sz w:val="24"/>
          <w:szCs w:val="24"/>
          <w:lang w:val="en-US" w:eastAsia="zh-CN" w:bidi="ar"/>
        </w:rPr>
        <w:t xml:space="preserve"> </w:t>
      </w:r>
    </w:p>
    <w:tbl>
      <w:tblPr>
        <w:tblStyle w:val="36"/>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69" w:hRule="atLeast"/>
        </w:trPr>
        <w:tc>
          <w:tcPr>
            <w:tcW w:w="93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exact"/>
              <w:ind w:left="0" w:right="0" w:firstLine="480" w:firstLineChars="200"/>
              <w:jc w:val="center"/>
              <w:rPr>
                <w:rFonts w:hint="eastAsia" w:ascii="宋体" w:hAnsi="Times New Roman" w:eastAsia="宋体" w:cs="宋体"/>
                <w:kern w:val="0"/>
                <w:sz w:val="24"/>
                <w:szCs w:val="24"/>
              </w:rPr>
            </w:pPr>
          </w:p>
          <w:p>
            <w:pPr>
              <w:keepNext w:val="0"/>
              <w:keepLines w:val="0"/>
              <w:widowControl w:val="0"/>
              <w:suppressLineNumbers w:val="0"/>
              <w:adjustRightInd w:val="0"/>
              <w:snapToGrid w:val="0"/>
              <w:spacing w:before="0" w:beforeAutospacing="0" w:after="0" w:afterAutospacing="0" w:line="360" w:lineRule="exact"/>
              <w:ind w:left="0" w:right="0" w:firstLine="480" w:firstLineChars="200"/>
              <w:jc w:val="center"/>
              <w:rPr>
                <w:rFonts w:hint="eastAsia" w:ascii="宋体" w:hAnsi="Times New Roman" w:eastAsia="宋体" w:cs="宋体"/>
                <w:kern w:val="0"/>
                <w:sz w:val="24"/>
                <w:szCs w:val="24"/>
              </w:rPr>
            </w:pPr>
          </w:p>
          <w:p>
            <w:pPr>
              <w:keepNext w:val="0"/>
              <w:keepLines w:val="0"/>
              <w:widowControl w:val="0"/>
              <w:suppressLineNumbers w:val="0"/>
              <w:adjustRightInd w:val="0"/>
              <w:snapToGrid w:val="0"/>
              <w:spacing w:before="0" w:beforeAutospacing="0" w:after="0" w:afterAutospacing="0" w:line="360" w:lineRule="exact"/>
              <w:ind w:left="0" w:right="0" w:firstLine="480" w:firstLineChars="200"/>
              <w:jc w:val="center"/>
              <w:rPr>
                <w:rFonts w:hint="eastAsia" w:ascii="宋体" w:hAnsi="Times New Roman" w:eastAsia="宋体" w:cs="宋体"/>
                <w:kern w:val="0"/>
                <w:sz w:val="24"/>
                <w:szCs w:val="24"/>
              </w:rPr>
            </w:pPr>
            <w:r>
              <w:rPr>
                <w:rFonts w:hint="eastAsia" w:ascii="宋体" w:hAnsi="宋体" w:eastAsia="宋体" w:cs="宋体"/>
                <w:kern w:val="0"/>
                <w:sz w:val="24"/>
                <w:szCs w:val="24"/>
                <w:lang w:val="en-US" w:eastAsia="zh-CN" w:bidi="ar"/>
              </w:rPr>
              <w:t>粘贴法人身份证复印影印件</w:t>
            </w:r>
          </w:p>
          <w:p>
            <w:pPr>
              <w:keepNext w:val="0"/>
              <w:keepLines w:val="0"/>
              <w:widowControl w:val="0"/>
              <w:suppressLineNumbers w:val="0"/>
              <w:adjustRightInd w:val="0"/>
              <w:snapToGrid w:val="0"/>
              <w:spacing w:before="0" w:beforeAutospacing="0" w:after="0" w:afterAutospacing="0" w:line="360" w:lineRule="exact"/>
              <w:ind w:left="0" w:right="0" w:firstLine="480" w:firstLineChars="200"/>
              <w:jc w:val="center"/>
              <w:rPr>
                <w:rFonts w:hint="eastAsia" w:ascii="宋体" w:hAnsi="Times New Roman" w:eastAsia="宋体" w:cs="宋体"/>
                <w:kern w:val="0"/>
                <w:sz w:val="24"/>
                <w:szCs w:val="24"/>
              </w:rPr>
            </w:pPr>
          </w:p>
          <w:p>
            <w:pPr>
              <w:keepNext w:val="0"/>
              <w:keepLines w:val="0"/>
              <w:widowControl w:val="0"/>
              <w:suppressLineNumbers w:val="0"/>
              <w:adjustRightInd w:val="0"/>
              <w:snapToGrid w:val="0"/>
              <w:spacing w:before="0" w:beforeAutospacing="0" w:after="0" w:afterAutospacing="0" w:line="360" w:lineRule="exact"/>
              <w:ind w:left="0" w:right="0" w:firstLine="480" w:firstLineChars="200"/>
              <w:jc w:val="center"/>
              <w:rPr>
                <w:rFonts w:hint="eastAsia" w:ascii="宋体" w:hAnsi="Times New Roman" w:eastAsia="宋体" w:cs="宋体"/>
                <w:kern w:val="0"/>
                <w:sz w:val="24"/>
                <w:szCs w:val="24"/>
              </w:rPr>
            </w:pPr>
          </w:p>
        </w:tc>
      </w:tr>
    </w:tbl>
    <w:p>
      <w:pPr>
        <w:rPr>
          <w:rFonts w:hint="default" w:ascii="Times New Roman" w:hAnsi="Times New Roman" w:eastAsia="宋体" w:cs="宋体"/>
          <w:bCs/>
          <w:kern w:val="2"/>
          <w:sz w:val="24"/>
          <w:szCs w:val="24"/>
        </w:rPr>
        <w:sectPr>
          <w:pgSz w:w="11906" w:h="16838"/>
          <w:pgMar w:top="1440" w:right="1080" w:bottom="1440" w:left="1080" w:header="737" w:footer="964" w:gutter="0"/>
          <w:pgBorders>
            <w:top w:val="thinThickSmallGap" w:color="auto" w:sz="12" w:space="10"/>
            <w:left w:val="none" w:sz="0" w:space="0"/>
            <w:bottom w:val="thinThickSmallGap" w:color="auto" w:sz="12" w:space="10"/>
            <w:right w:val="none" w:sz="0" w:space="0"/>
          </w:pgBorders>
          <w:cols w:space="720" w:num="1"/>
          <w:docGrid w:type="lines" w:linePitch="312" w:charSpace="0"/>
        </w:sectPr>
      </w:pPr>
    </w:p>
    <w:p>
      <w:pPr>
        <w:keepNext w:val="0"/>
        <w:keepLines w:val="0"/>
        <w:widowControl w:val="0"/>
        <w:suppressLineNumbers w:val="0"/>
        <w:spacing w:before="0" w:beforeAutospacing="0" w:after="0" w:afterAutospacing="0" w:line="500" w:lineRule="exact"/>
        <w:ind w:left="0" w:right="0" w:firstLine="0" w:firstLineChars="0"/>
        <w:jc w:val="both"/>
        <w:outlineLvl w:val="0"/>
        <w:rPr>
          <w:rFonts w:hint="eastAsia" w:ascii="宋体" w:hAnsi="宋体" w:eastAsia="宋体" w:cs="宋体"/>
          <w:b/>
          <w:bCs/>
          <w:kern w:val="2"/>
          <w:sz w:val="24"/>
          <w:szCs w:val="24"/>
        </w:rPr>
      </w:pPr>
      <w:bookmarkStart w:id="1267" w:name="_Toc505"/>
      <w:bookmarkStart w:id="1268" w:name="_Toc16410"/>
      <w:bookmarkStart w:id="1269" w:name="_Toc5123"/>
      <w:r>
        <w:rPr>
          <w:rFonts w:hint="eastAsia" w:ascii="宋体" w:hAnsi="宋体" w:eastAsia="宋体" w:cs="宋体"/>
          <w:b/>
          <w:bCs/>
          <w:kern w:val="2"/>
          <w:sz w:val="24"/>
          <w:szCs w:val="24"/>
          <w:lang w:val="en-US" w:eastAsia="zh-CN" w:bidi="ar"/>
        </w:rPr>
        <w:t>附件5</w:t>
      </w:r>
      <w:bookmarkEnd w:id="1267"/>
      <w:bookmarkEnd w:id="1268"/>
      <w:bookmarkEnd w:id="1269"/>
    </w:p>
    <w:p>
      <w:pPr>
        <w:keepNext w:val="0"/>
        <w:keepLines w:val="0"/>
        <w:widowControl w:val="0"/>
        <w:suppressLineNumbers w:val="0"/>
        <w:spacing w:before="0" w:beforeAutospacing="0" w:after="0" w:afterAutospacing="0" w:line="500" w:lineRule="exact"/>
        <w:ind w:left="0" w:right="0" w:firstLine="0" w:firstLineChars="0"/>
        <w:jc w:val="center"/>
        <w:rPr>
          <w:rFonts w:hint="eastAsia" w:ascii="宋体" w:hAnsi="宋体" w:eastAsia="宋体" w:cs="宋体"/>
          <w:b/>
          <w:bCs/>
          <w:kern w:val="2"/>
          <w:sz w:val="30"/>
          <w:szCs w:val="30"/>
        </w:rPr>
      </w:pPr>
      <w:r>
        <w:rPr>
          <w:rFonts w:hint="eastAsia" w:ascii="宋体" w:hAnsi="宋体" w:eastAsia="宋体" w:cs="宋体"/>
          <w:b/>
          <w:bCs/>
          <w:kern w:val="2"/>
          <w:sz w:val="30"/>
          <w:szCs w:val="30"/>
          <w:lang w:val="en-US" w:eastAsia="zh-CN" w:bidi="ar"/>
        </w:rPr>
        <w:t>类似业绩一览表</w:t>
      </w:r>
    </w:p>
    <w:p>
      <w:pPr>
        <w:keepNext w:val="0"/>
        <w:keepLines w:val="0"/>
        <w:widowControl w:val="0"/>
        <w:suppressLineNumbers w:val="0"/>
        <w:spacing w:before="0" w:beforeAutospacing="0" w:after="0" w:afterAutospacing="0" w:line="500" w:lineRule="exact"/>
        <w:ind w:left="0" w:right="0" w:firstLine="480" w:firstLineChars="200"/>
        <w:jc w:val="both"/>
        <w:rPr>
          <w:rFonts w:hint="default" w:ascii="Times New Roman" w:hAnsi="Times New Roman" w:eastAsia="宋体" w:cs="宋体"/>
          <w:kern w:val="2"/>
          <w:sz w:val="24"/>
          <w:szCs w:val="24"/>
        </w:rPr>
      </w:pPr>
      <w:r>
        <w:rPr>
          <w:rFonts w:hint="eastAsia" w:ascii="宋体" w:hAnsi="宋体" w:eastAsia="宋体" w:cs="宋体"/>
          <w:kern w:val="2"/>
          <w:sz w:val="24"/>
          <w:szCs w:val="24"/>
          <w:lang w:val="en-US" w:eastAsia="zh-CN" w:bidi="ar"/>
        </w:rPr>
        <w:t>项目名称：</w:t>
      </w:r>
    </w:p>
    <w:p>
      <w:pPr>
        <w:keepNext w:val="0"/>
        <w:keepLines w:val="0"/>
        <w:widowControl w:val="0"/>
        <w:suppressLineNumbers w:val="0"/>
        <w:spacing w:before="0" w:beforeAutospacing="0" w:after="0" w:afterAutospacing="0" w:line="500" w:lineRule="exact"/>
        <w:ind w:left="0" w:right="0" w:firstLine="480" w:firstLineChars="200"/>
        <w:jc w:val="both"/>
        <w:rPr>
          <w:rFonts w:hint="default" w:ascii="Times New Roman" w:hAnsi="Times New Roman" w:eastAsia="宋体" w:cs="宋体"/>
          <w:kern w:val="2"/>
          <w:sz w:val="24"/>
          <w:szCs w:val="24"/>
        </w:rPr>
      </w:pPr>
      <w:r>
        <w:rPr>
          <w:rFonts w:hint="eastAsia" w:ascii="宋体" w:hAnsi="宋体" w:eastAsia="宋体" w:cs="宋体"/>
          <w:kern w:val="2"/>
          <w:sz w:val="24"/>
          <w:szCs w:val="24"/>
          <w:lang w:val="en-US" w:eastAsia="zh-CN" w:bidi="ar"/>
        </w:rPr>
        <w:t>项目编号：</w:t>
      </w:r>
    </w:p>
    <w:tbl>
      <w:tblPr>
        <w:tblStyle w:val="36"/>
        <w:tblW w:w="9566"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734"/>
        <w:gridCol w:w="1243"/>
        <w:gridCol w:w="1832"/>
        <w:gridCol w:w="1425"/>
        <w:gridCol w:w="1565"/>
        <w:gridCol w:w="176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1212" w:hRule="atLeast"/>
          <w:jc w:val="center"/>
        </w:trPr>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firstLine="0" w:firstLineChars="0"/>
              <w:jc w:val="both"/>
              <w:rPr>
                <w:rFonts w:hint="default" w:ascii="Times New Roman" w:hAnsi="Times New Roman" w:eastAsia="宋体" w:cs="宋体"/>
                <w:kern w:val="2"/>
                <w:sz w:val="24"/>
                <w:szCs w:val="24"/>
              </w:rPr>
            </w:pPr>
            <w:r>
              <w:rPr>
                <w:rFonts w:hint="eastAsia" w:ascii="宋体" w:hAnsi="宋体" w:eastAsia="宋体" w:cs="宋体"/>
                <w:kern w:val="2"/>
                <w:sz w:val="24"/>
                <w:szCs w:val="24"/>
                <w:lang w:val="en-US" w:eastAsia="zh-CN" w:bidi="ar"/>
              </w:rPr>
              <w:t>采购人名称</w:t>
            </w:r>
          </w:p>
        </w:tc>
        <w:tc>
          <w:tcPr>
            <w:tcW w:w="12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firstLine="0" w:firstLineChars="0"/>
              <w:jc w:val="both"/>
              <w:rPr>
                <w:rFonts w:hint="default" w:ascii="Times New Roman" w:hAnsi="Times New Roman" w:eastAsia="宋体" w:cs="宋体"/>
                <w:kern w:val="2"/>
                <w:sz w:val="24"/>
                <w:szCs w:val="24"/>
              </w:rPr>
            </w:pPr>
            <w:r>
              <w:rPr>
                <w:rFonts w:hint="eastAsia" w:ascii="宋体" w:hAnsi="宋体" w:eastAsia="宋体" w:cs="宋体"/>
                <w:kern w:val="2"/>
                <w:sz w:val="24"/>
                <w:szCs w:val="24"/>
                <w:lang w:val="en-US" w:eastAsia="zh-CN" w:bidi="ar"/>
              </w:rPr>
              <w:t>项目名称</w:t>
            </w:r>
          </w:p>
        </w:tc>
        <w:tc>
          <w:tcPr>
            <w:tcW w:w="1832"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firstLine="0" w:firstLineChars="0"/>
              <w:jc w:val="both"/>
              <w:rPr>
                <w:rFonts w:hint="default" w:ascii="Times New Roman" w:hAnsi="Times New Roman" w:eastAsia="宋体" w:cs="宋体"/>
                <w:kern w:val="2"/>
                <w:sz w:val="24"/>
                <w:szCs w:val="24"/>
              </w:rPr>
            </w:pPr>
            <w:r>
              <w:rPr>
                <w:rFonts w:hint="eastAsia" w:ascii="宋体" w:hAnsi="宋体" w:eastAsia="宋体" w:cs="宋体"/>
                <w:kern w:val="2"/>
                <w:sz w:val="24"/>
                <w:szCs w:val="24"/>
                <w:lang w:val="en-US" w:eastAsia="zh-CN" w:bidi="ar"/>
              </w:rPr>
              <w:t>项目简要描述</w:t>
            </w:r>
          </w:p>
        </w:tc>
        <w:tc>
          <w:tcPr>
            <w:tcW w:w="14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firstLine="0" w:firstLineChars="0"/>
              <w:jc w:val="both"/>
              <w:rPr>
                <w:rFonts w:hint="default" w:ascii="Times New Roman" w:hAnsi="Times New Roman" w:eastAsia="宋体" w:cs="宋体"/>
                <w:kern w:val="2"/>
                <w:sz w:val="24"/>
                <w:szCs w:val="24"/>
              </w:rPr>
            </w:pPr>
            <w:r>
              <w:rPr>
                <w:rFonts w:hint="eastAsia" w:ascii="宋体" w:hAnsi="宋体" w:eastAsia="宋体" w:cs="宋体"/>
                <w:kern w:val="2"/>
                <w:sz w:val="24"/>
                <w:szCs w:val="24"/>
                <w:lang w:val="en-US" w:eastAsia="zh-CN" w:bidi="ar"/>
              </w:rPr>
              <w:t>合同金额</w:t>
            </w:r>
          </w:p>
          <w:p>
            <w:pPr>
              <w:keepNext w:val="0"/>
              <w:keepLines w:val="0"/>
              <w:widowControl w:val="0"/>
              <w:suppressLineNumbers w:val="0"/>
              <w:snapToGrid w:val="0"/>
              <w:spacing w:before="0" w:beforeAutospacing="0" w:after="0" w:afterAutospacing="0" w:line="500" w:lineRule="exact"/>
              <w:ind w:left="0" w:right="0" w:firstLine="0" w:firstLineChars="0"/>
              <w:jc w:val="both"/>
              <w:rPr>
                <w:rFonts w:hint="default" w:ascii="Times New Roman" w:hAnsi="Times New Roman" w:eastAsia="宋体" w:cs="宋体"/>
                <w:kern w:val="2"/>
                <w:sz w:val="24"/>
                <w:szCs w:val="24"/>
              </w:rPr>
            </w:pPr>
            <w:r>
              <w:rPr>
                <w:rFonts w:hint="eastAsia" w:ascii="宋体" w:hAnsi="宋体" w:eastAsia="宋体" w:cs="宋体"/>
                <w:kern w:val="2"/>
                <w:sz w:val="24"/>
                <w:szCs w:val="24"/>
                <w:lang w:val="en-US" w:eastAsia="zh-CN" w:bidi="ar"/>
              </w:rPr>
              <w:t>（万元）</w:t>
            </w:r>
          </w:p>
        </w:tc>
        <w:tc>
          <w:tcPr>
            <w:tcW w:w="1565"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firstLine="0" w:firstLineChars="0"/>
              <w:jc w:val="both"/>
              <w:rPr>
                <w:rFonts w:hint="default" w:ascii="Times New Roman" w:hAnsi="Times New Roman" w:eastAsia="宋体" w:cs="宋体"/>
                <w:kern w:val="2"/>
                <w:sz w:val="24"/>
                <w:szCs w:val="24"/>
              </w:rPr>
            </w:pPr>
            <w:r>
              <w:rPr>
                <w:rFonts w:hint="eastAsia" w:ascii="宋体" w:hAnsi="宋体" w:eastAsia="宋体" w:cs="宋体"/>
                <w:kern w:val="2"/>
                <w:sz w:val="24"/>
                <w:szCs w:val="24"/>
                <w:lang w:val="en-US" w:eastAsia="zh-CN" w:bidi="ar"/>
              </w:rPr>
              <w:t>实施时间</w:t>
            </w: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firstLine="0" w:firstLineChars="0"/>
              <w:jc w:val="both"/>
              <w:rPr>
                <w:rFonts w:hint="default" w:ascii="Times New Roman" w:hAnsi="Times New Roman" w:eastAsia="宋体" w:cs="宋体"/>
                <w:kern w:val="2"/>
                <w:sz w:val="24"/>
                <w:szCs w:val="24"/>
              </w:rPr>
            </w:pPr>
            <w:r>
              <w:rPr>
                <w:rFonts w:hint="eastAsia" w:ascii="宋体" w:hAnsi="宋体" w:eastAsia="宋体" w:cs="宋体"/>
                <w:kern w:val="2"/>
                <w:sz w:val="24"/>
                <w:szCs w:val="24"/>
                <w:lang w:val="en-US" w:eastAsia="zh-CN" w:bidi="ar"/>
              </w:rPr>
              <w:t>采购人联系人及联系电话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2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8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5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0" w:hRule="atLeast"/>
          <w:jc w:val="center"/>
        </w:trPr>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2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8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5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2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8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5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2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8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5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2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8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5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2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8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5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2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8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5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156" w:afterLines="50" w:afterAutospacing="0" w:line="500" w:lineRule="exact"/>
              <w:ind w:left="0" w:right="0" w:firstLine="480" w:firstLineChars="200"/>
              <w:jc w:val="center"/>
              <w:rPr>
                <w:rFonts w:hint="default" w:ascii="Times New Roman" w:hAnsi="Times New Roman" w:eastAsia="宋体" w:cs="宋体"/>
                <w:kern w:val="2"/>
                <w:sz w:val="24"/>
                <w:szCs w:val="24"/>
              </w:rPr>
            </w:pPr>
          </w:p>
        </w:tc>
      </w:tr>
    </w:tbl>
    <w:p>
      <w:pPr>
        <w:keepNext w:val="0"/>
        <w:keepLines w:val="0"/>
        <w:widowControl w:val="0"/>
        <w:suppressLineNumbers w:val="0"/>
        <w:snapToGrid w:val="0"/>
        <w:spacing w:before="72" w:beforeAutospacing="0" w:after="72" w:afterAutospacing="0" w:line="360" w:lineRule="exact"/>
        <w:ind w:left="0" w:right="0" w:firstLine="0" w:firstLineChars="0"/>
        <w:jc w:val="both"/>
        <w:rPr>
          <w:rFonts w:hint="default" w:ascii="华文中宋" w:hAnsi="华文中宋" w:eastAsia="华文中宋" w:cs="华文中宋"/>
          <w:kern w:val="2"/>
          <w:sz w:val="24"/>
          <w:szCs w:val="24"/>
        </w:rPr>
      </w:pPr>
      <w:r>
        <w:rPr>
          <w:rFonts w:hint="default" w:ascii="华文中宋" w:hAnsi="华文中宋" w:eastAsia="华文中宋" w:cs="华文中宋"/>
          <w:kern w:val="2"/>
          <w:sz w:val="24"/>
          <w:szCs w:val="24"/>
          <w:lang w:val="en-US" w:eastAsia="zh-CN" w:bidi="ar"/>
        </w:rPr>
        <w:t xml:space="preserve">                                    </w:t>
      </w:r>
    </w:p>
    <w:p>
      <w:pPr>
        <w:keepNext w:val="0"/>
        <w:keepLines w:val="0"/>
        <w:widowControl w:val="0"/>
        <w:suppressLineNumbers w:val="0"/>
        <w:snapToGrid w:val="0"/>
        <w:spacing w:before="72" w:beforeAutospacing="0" w:after="72" w:afterAutospacing="0" w:line="360" w:lineRule="exact"/>
        <w:ind w:left="0" w:right="0" w:firstLine="0" w:firstLineChars="0"/>
        <w:jc w:val="both"/>
        <w:rPr>
          <w:rFonts w:hint="default" w:ascii="华文中宋" w:hAnsi="华文中宋" w:eastAsia="华文中宋" w:cs="华文中宋"/>
          <w:kern w:val="2"/>
          <w:sz w:val="24"/>
          <w:szCs w:val="24"/>
        </w:rPr>
      </w:pPr>
      <w:r>
        <w:rPr>
          <w:rFonts w:hint="default" w:ascii="华文中宋" w:hAnsi="华文中宋" w:eastAsia="华文中宋" w:cs="华文中宋"/>
          <w:kern w:val="2"/>
          <w:sz w:val="24"/>
          <w:szCs w:val="24"/>
          <w:lang w:val="en-US" w:eastAsia="zh-CN" w:bidi="ar"/>
        </w:rPr>
        <w:t xml:space="preserve"> </w:t>
      </w:r>
    </w:p>
    <w:p>
      <w:pPr>
        <w:keepNext w:val="0"/>
        <w:keepLines w:val="0"/>
        <w:widowControl w:val="0"/>
        <w:suppressLineNumbers w:val="0"/>
        <w:snapToGrid w:val="0"/>
        <w:spacing w:before="72" w:beforeAutospacing="0" w:after="72" w:afterAutospacing="0" w:line="360" w:lineRule="exact"/>
        <w:ind w:left="0" w:right="0" w:firstLine="0" w:firstLineChars="0"/>
        <w:jc w:val="both"/>
        <w:rPr>
          <w:rFonts w:hint="default" w:ascii="华文中宋" w:hAnsi="华文中宋" w:eastAsia="华文中宋" w:cs="华文中宋"/>
          <w:kern w:val="2"/>
          <w:sz w:val="24"/>
          <w:szCs w:val="24"/>
        </w:rPr>
      </w:pPr>
      <w:r>
        <w:rPr>
          <w:rFonts w:hint="default" w:ascii="华文中宋" w:hAnsi="华文中宋" w:eastAsia="华文中宋" w:cs="华文中宋"/>
          <w:kern w:val="2"/>
          <w:sz w:val="24"/>
          <w:szCs w:val="24"/>
          <w:lang w:val="en-US" w:eastAsia="zh-CN" w:bidi="ar"/>
        </w:rPr>
        <w:t xml:space="preserve"> </w:t>
      </w:r>
    </w:p>
    <w:p>
      <w:pPr>
        <w:keepNext w:val="0"/>
        <w:keepLines w:val="0"/>
        <w:widowControl w:val="0"/>
        <w:suppressLineNumbers w:val="0"/>
        <w:snapToGrid w:val="0"/>
        <w:spacing w:before="72" w:beforeAutospacing="0" w:after="72" w:afterAutospacing="0" w:line="360" w:lineRule="exact"/>
        <w:ind w:left="0" w:right="0" w:firstLine="0" w:firstLineChars="0"/>
        <w:jc w:val="both"/>
        <w:rPr>
          <w:rFonts w:hint="default" w:ascii="华文中宋" w:hAnsi="华文中宋" w:eastAsia="华文中宋" w:cs="华文中宋"/>
          <w:kern w:val="2"/>
          <w:sz w:val="24"/>
          <w:szCs w:val="24"/>
        </w:rPr>
      </w:pPr>
      <w:r>
        <w:rPr>
          <w:rFonts w:hint="default" w:ascii="华文中宋" w:hAnsi="华文中宋" w:eastAsia="华文中宋" w:cs="华文中宋"/>
          <w:kern w:val="2"/>
          <w:sz w:val="24"/>
          <w:szCs w:val="24"/>
          <w:lang w:val="en-US" w:eastAsia="zh-CN" w:bidi="ar"/>
        </w:rPr>
        <w:t xml:space="preserve"> </w:t>
      </w:r>
    </w:p>
    <w:p>
      <w:pPr>
        <w:keepNext w:val="0"/>
        <w:keepLines w:val="0"/>
        <w:widowControl w:val="0"/>
        <w:suppressLineNumbers w:val="0"/>
        <w:snapToGrid w:val="0"/>
        <w:spacing w:before="72" w:beforeAutospacing="0" w:after="72" w:afterAutospacing="0" w:line="360" w:lineRule="exact"/>
        <w:ind w:left="0" w:right="0" w:firstLine="0" w:firstLineChars="0"/>
        <w:jc w:val="both"/>
        <w:rPr>
          <w:rFonts w:hint="eastAsia" w:ascii="宋体" w:hAnsi="宋体" w:eastAsia="宋体" w:cs="宋体"/>
          <w:kern w:val="2"/>
          <w:sz w:val="24"/>
          <w:szCs w:val="24"/>
        </w:rPr>
      </w:pPr>
      <w:r>
        <w:rPr>
          <w:rFonts w:hint="default" w:ascii="华文中宋" w:hAnsi="华文中宋" w:eastAsia="华文中宋" w:cs="华文中宋"/>
          <w:kern w:val="2"/>
          <w:sz w:val="24"/>
          <w:szCs w:val="24"/>
          <w:lang w:val="en-US" w:eastAsia="zh-CN" w:bidi="ar"/>
        </w:rPr>
        <w:t xml:space="preserve">                                       </w:t>
      </w:r>
      <w:r>
        <w:rPr>
          <w:rFonts w:hint="eastAsia" w:ascii="宋体" w:hAnsi="宋体" w:eastAsia="宋体" w:cs="宋体"/>
          <w:kern w:val="2"/>
          <w:sz w:val="24"/>
          <w:szCs w:val="24"/>
          <w:lang w:val="en-US" w:eastAsia="zh-CN" w:bidi="ar"/>
        </w:rPr>
        <w:t>供应商名称（盖章）：</w:t>
      </w:r>
    </w:p>
    <w:p>
      <w:pPr>
        <w:keepNext w:val="0"/>
        <w:keepLines w:val="0"/>
        <w:widowControl w:val="0"/>
        <w:suppressLineNumbers w:val="0"/>
        <w:snapToGrid w:val="0"/>
        <w:spacing w:before="72" w:beforeAutospacing="0" w:after="72" w:afterAutospacing="0" w:line="360" w:lineRule="exact"/>
        <w:ind w:left="0" w:right="0" w:firstLine="0" w:firstLineChars="0"/>
        <w:jc w:val="both"/>
        <w:rPr>
          <w:rFonts w:hint="eastAsia" w:ascii="宋体" w:hAnsi="宋体" w:eastAsia="宋体" w:cs="宋体"/>
          <w:kern w:val="2"/>
          <w:sz w:val="24"/>
          <w:szCs w:val="24"/>
        </w:rPr>
      </w:pPr>
      <w:r>
        <w:rPr>
          <w:rFonts w:hint="default" w:ascii="华文中宋" w:hAnsi="华文中宋" w:eastAsia="华文中宋" w:cs="华文中宋"/>
          <w:kern w:val="2"/>
          <w:sz w:val="24"/>
          <w:szCs w:val="24"/>
          <w:lang w:val="en-US" w:eastAsia="zh-CN" w:bidi="ar"/>
        </w:rPr>
        <w:t xml:space="preserve">                                       </w:t>
      </w:r>
      <w:r>
        <w:rPr>
          <w:rFonts w:hint="eastAsia" w:ascii="宋体" w:hAnsi="宋体" w:eastAsia="宋体" w:cs="宋体"/>
          <w:kern w:val="2"/>
          <w:sz w:val="24"/>
          <w:szCs w:val="24"/>
          <w:lang w:val="en-US" w:eastAsia="zh-CN" w:bidi="ar"/>
        </w:rPr>
        <w:t>法定代表人或授权委托人（签字或盖章）：</w:t>
      </w:r>
    </w:p>
    <w:p>
      <w:pPr>
        <w:keepNext w:val="0"/>
        <w:keepLines w:val="0"/>
        <w:widowControl w:val="0"/>
        <w:suppressLineNumbers w:val="0"/>
        <w:snapToGrid w:val="0"/>
        <w:spacing w:before="72" w:beforeAutospacing="0" w:after="72" w:afterAutospacing="0" w:line="360" w:lineRule="exact"/>
        <w:ind w:left="0" w:right="0" w:firstLine="4800" w:firstLineChars="20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日期：   年   月   日</w:t>
      </w:r>
    </w:p>
    <w:p>
      <w:pPr>
        <w:keepNext w:val="0"/>
        <w:keepLines w:val="0"/>
        <w:widowControl w:val="0"/>
        <w:suppressLineNumbers w:val="0"/>
        <w:spacing w:before="0" w:beforeAutospacing="0" w:after="0" w:afterAutospacing="0" w:line="500" w:lineRule="exact"/>
        <w:ind w:left="0" w:right="0" w:firstLine="0" w:firstLineChars="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both"/>
        <w:outlineLvl w:val="0"/>
        <w:rPr>
          <w:rFonts w:hint="eastAsia" w:ascii="宋体" w:hAnsi="Times New Roman" w:eastAsia="宋体" w:cs="宋体"/>
          <w:b/>
          <w:bCs/>
          <w:kern w:val="2"/>
          <w:sz w:val="24"/>
          <w:szCs w:val="24"/>
        </w:rPr>
      </w:pPr>
      <w:bookmarkStart w:id="1270" w:name="_Toc1514"/>
      <w:bookmarkStart w:id="1271" w:name="_Toc30615"/>
      <w:bookmarkStart w:id="1272" w:name="_Toc14871"/>
      <w:r>
        <w:rPr>
          <w:rFonts w:hint="eastAsia" w:ascii="宋体" w:hAnsi="宋体" w:eastAsia="宋体" w:cs="宋体"/>
          <w:b/>
          <w:bCs/>
          <w:kern w:val="2"/>
          <w:sz w:val="24"/>
          <w:szCs w:val="24"/>
          <w:lang w:val="en-US" w:eastAsia="zh-CN" w:bidi="ar"/>
        </w:rPr>
        <w:t>附件6</w:t>
      </w:r>
      <w:bookmarkEnd w:id="1270"/>
      <w:bookmarkEnd w:id="1271"/>
      <w:bookmarkEnd w:id="1272"/>
    </w:p>
    <w:p>
      <w:pPr>
        <w:snapToGrid w:val="0"/>
        <w:ind w:firstLine="0" w:firstLineChars="0"/>
        <w:jc w:val="center"/>
        <w:outlineLvl w:val="9"/>
        <w:rPr>
          <w:rFonts w:hint="eastAsia" w:ascii="Times New Roman" w:hAnsi="Times New Roman" w:cs="宋体"/>
          <w:b/>
          <w:bCs/>
          <w:sz w:val="30"/>
          <w:szCs w:val="30"/>
        </w:rPr>
      </w:pPr>
      <w:bookmarkStart w:id="1273" w:name="_Toc19920"/>
      <w:bookmarkStart w:id="1274" w:name="_Toc27517"/>
      <w:bookmarkStart w:id="1275" w:name="_Toc21050"/>
      <w:bookmarkStart w:id="1276" w:name="_Toc26095"/>
      <w:r>
        <w:rPr>
          <w:rFonts w:hint="eastAsia" w:ascii="Times New Roman" w:hAnsi="Times New Roman" w:cs="宋体"/>
          <w:b/>
          <w:bCs/>
          <w:sz w:val="30"/>
          <w:szCs w:val="30"/>
          <w:lang w:val="en-US" w:eastAsia="zh-CN"/>
        </w:rPr>
        <w:t>拟派</w:t>
      </w:r>
      <w:r>
        <w:rPr>
          <w:rFonts w:hint="eastAsia" w:ascii="Times New Roman" w:hAnsi="Times New Roman" w:cs="宋体"/>
          <w:b/>
          <w:bCs/>
          <w:sz w:val="30"/>
          <w:szCs w:val="30"/>
        </w:rPr>
        <w:t>项目负责人情况表</w:t>
      </w:r>
      <w:bookmarkEnd w:id="1273"/>
      <w:bookmarkEnd w:id="1274"/>
      <w:bookmarkEnd w:id="1275"/>
      <w:bookmarkEnd w:id="1276"/>
    </w:p>
    <w:p>
      <w:pPr>
        <w:pStyle w:val="16"/>
        <w:ind w:firstLine="480"/>
        <w:rPr>
          <w:rFonts w:ascii="宋体" w:cs="宋体"/>
        </w:rPr>
      </w:pPr>
    </w:p>
    <w:tbl>
      <w:tblPr>
        <w:tblStyle w:val="36"/>
        <w:tblpPr w:leftFromText="180" w:rightFromText="180" w:vertAnchor="text" w:tblpXSpec="center" w:tblpY="1"/>
        <w:tblOverlap w:val="never"/>
        <w:tblW w:w="0" w:type="auto"/>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2289"/>
        <w:gridCol w:w="1129"/>
        <w:gridCol w:w="1422"/>
        <w:gridCol w:w="3515"/>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7" w:type="dxa"/>
            <w:tcBorders>
              <w:top w:val="thinThickSmallGap" w:color="auto" w:sz="12" w:space="0"/>
            </w:tcBorders>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r>
              <w:rPr>
                <w:rFonts w:hint="eastAsia" w:ascii="宋体" w:hAnsi="宋体" w:cs="宋体"/>
              </w:rPr>
              <w:t>姓名</w:t>
            </w:r>
          </w:p>
        </w:tc>
        <w:tc>
          <w:tcPr>
            <w:tcW w:w="3418" w:type="dxa"/>
            <w:gridSpan w:val="2"/>
            <w:tcBorders>
              <w:top w:val="thinThickSmallGap" w:color="auto" w:sz="12" w:space="0"/>
            </w:tcBorders>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p>
        </w:tc>
        <w:tc>
          <w:tcPr>
            <w:tcW w:w="1422" w:type="dxa"/>
            <w:tcBorders>
              <w:top w:val="thinThickSmallGap" w:color="auto" w:sz="12" w:space="0"/>
            </w:tcBorders>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r>
              <w:rPr>
                <w:rFonts w:hint="eastAsia" w:ascii="宋体" w:hAnsi="宋体" w:cs="宋体"/>
              </w:rPr>
              <w:t>性别</w:t>
            </w:r>
          </w:p>
        </w:tc>
        <w:tc>
          <w:tcPr>
            <w:tcW w:w="3515" w:type="dxa"/>
            <w:tcBorders>
              <w:top w:val="thinThickSmallGap" w:color="auto" w:sz="12" w:space="0"/>
            </w:tcBorders>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7" w:type="dxa"/>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r>
              <w:rPr>
                <w:rFonts w:hint="eastAsia" w:ascii="宋体" w:hAnsi="宋体" w:cs="宋体"/>
              </w:rPr>
              <w:t>出生年月</w:t>
            </w:r>
          </w:p>
        </w:tc>
        <w:tc>
          <w:tcPr>
            <w:tcW w:w="3418" w:type="dxa"/>
            <w:gridSpan w:val="2"/>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p>
        </w:tc>
        <w:tc>
          <w:tcPr>
            <w:tcW w:w="1422" w:type="dxa"/>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r>
              <w:rPr>
                <w:rFonts w:hint="eastAsia" w:ascii="宋体" w:hAnsi="宋体" w:cs="宋体"/>
              </w:rPr>
              <w:t>职务</w:t>
            </w:r>
          </w:p>
        </w:tc>
        <w:tc>
          <w:tcPr>
            <w:tcW w:w="3515" w:type="dxa"/>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7" w:type="dxa"/>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r>
              <w:rPr>
                <w:rFonts w:hint="eastAsia" w:ascii="宋体" w:hAnsi="宋体" w:cs="宋体"/>
              </w:rPr>
              <w:t>职称</w:t>
            </w:r>
          </w:p>
        </w:tc>
        <w:tc>
          <w:tcPr>
            <w:tcW w:w="3418" w:type="dxa"/>
            <w:gridSpan w:val="2"/>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p>
        </w:tc>
        <w:tc>
          <w:tcPr>
            <w:tcW w:w="1422" w:type="dxa"/>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r>
              <w:rPr>
                <w:rFonts w:hint="eastAsia" w:ascii="宋体" w:hAnsi="宋体" w:cs="宋体"/>
              </w:rPr>
              <w:t>移动电话</w:t>
            </w:r>
          </w:p>
        </w:tc>
        <w:tc>
          <w:tcPr>
            <w:tcW w:w="3515" w:type="dxa"/>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7" w:type="dxa"/>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r>
              <w:rPr>
                <w:rFonts w:hint="eastAsia" w:ascii="宋体" w:hAnsi="宋体" w:cs="宋体"/>
              </w:rPr>
              <w:t>注册资格</w:t>
            </w:r>
          </w:p>
        </w:tc>
        <w:tc>
          <w:tcPr>
            <w:tcW w:w="8355" w:type="dxa"/>
            <w:gridSpan w:val="4"/>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7" w:type="dxa"/>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r>
              <w:rPr>
                <w:rFonts w:hint="eastAsia" w:ascii="宋体" w:hAnsi="宋体" w:cs="宋体"/>
              </w:rPr>
              <w:t>毕业学校</w:t>
            </w:r>
          </w:p>
        </w:tc>
        <w:tc>
          <w:tcPr>
            <w:tcW w:w="8355" w:type="dxa"/>
            <w:gridSpan w:val="4"/>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7" w:type="dxa"/>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r>
              <w:rPr>
                <w:rFonts w:hint="eastAsia" w:ascii="宋体" w:hAnsi="宋体" w:cs="宋体"/>
              </w:rPr>
              <w:t>毕业时间</w:t>
            </w:r>
          </w:p>
        </w:tc>
        <w:tc>
          <w:tcPr>
            <w:tcW w:w="8355" w:type="dxa"/>
            <w:gridSpan w:val="4"/>
            <w:vAlign w:val="center"/>
          </w:tcPr>
          <w:p>
            <w:pPr>
              <w:keepNext w:val="0"/>
              <w:keepLines w:val="0"/>
              <w:suppressLineNumbers w:val="0"/>
              <w:snapToGrid w:val="0"/>
              <w:spacing w:before="168" w:beforeAutospacing="0" w:after="168" w:afterAutospacing="0" w:line="360" w:lineRule="exact"/>
              <w:ind w:left="0" w:right="0" w:firstLine="0" w:firstLineChars="0"/>
              <w:jc w:val="center"/>
              <w:rPr>
                <w:rFonts w:hint="default" w:ascii="宋体" w:cs="宋体"/>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7" w:type="dxa"/>
            <w:vAlign w:val="center"/>
          </w:tcPr>
          <w:p>
            <w:pPr>
              <w:keepNext w:val="0"/>
              <w:keepLines w:val="0"/>
              <w:suppressLineNumbers w:val="0"/>
              <w:snapToGrid w:val="0"/>
              <w:spacing w:before="120" w:beforeAutospacing="0" w:after="120" w:afterAutospacing="0" w:line="360" w:lineRule="exact"/>
              <w:ind w:left="0" w:right="0" w:firstLine="0" w:firstLineChars="0"/>
              <w:jc w:val="center"/>
              <w:rPr>
                <w:rFonts w:hint="default" w:ascii="宋体" w:cs="宋体"/>
              </w:rPr>
            </w:pPr>
            <w:r>
              <w:rPr>
                <w:rFonts w:hint="eastAsia" w:ascii="宋体" w:hAnsi="宋体" w:cs="宋体"/>
              </w:rPr>
              <w:t>本项目拟担任工作</w:t>
            </w:r>
          </w:p>
        </w:tc>
        <w:tc>
          <w:tcPr>
            <w:tcW w:w="8355" w:type="dxa"/>
            <w:gridSpan w:val="4"/>
            <w:vAlign w:val="center"/>
          </w:tcPr>
          <w:p>
            <w:pPr>
              <w:keepNext w:val="0"/>
              <w:keepLines w:val="0"/>
              <w:suppressLineNumbers w:val="0"/>
              <w:snapToGrid w:val="0"/>
              <w:spacing w:before="120" w:beforeAutospacing="0" w:after="120" w:afterAutospacing="0" w:line="360" w:lineRule="exact"/>
              <w:ind w:left="0" w:right="0" w:firstLine="0" w:firstLineChars="0"/>
              <w:jc w:val="center"/>
              <w:rPr>
                <w:rFonts w:hint="default" w:ascii="宋体" w:cs="宋体"/>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96" w:type="dxa"/>
            <w:gridSpan w:val="2"/>
            <w:tcBorders>
              <w:bottom w:val="thinThickSmallGap" w:color="auto" w:sz="12" w:space="0"/>
            </w:tcBorders>
            <w:vAlign w:val="center"/>
          </w:tcPr>
          <w:p>
            <w:pPr>
              <w:keepNext w:val="0"/>
              <w:keepLines w:val="0"/>
              <w:suppressLineNumbers w:val="0"/>
              <w:adjustRightInd w:val="0"/>
              <w:snapToGrid w:val="0"/>
              <w:spacing w:before="120" w:beforeAutospacing="0" w:after="120" w:afterAutospacing="0" w:line="360" w:lineRule="exact"/>
              <w:ind w:left="0" w:right="0" w:firstLine="0" w:firstLineChars="0"/>
              <w:rPr>
                <w:rFonts w:hint="default" w:ascii="宋体" w:cs="宋体"/>
              </w:rPr>
            </w:pPr>
            <w:r>
              <w:rPr>
                <w:rFonts w:hint="eastAsia" w:ascii="宋体" w:hAnsi="宋体" w:cs="宋体"/>
              </w:rPr>
              <w:t>曾参与本项目类似的工作业绩获奖情况、担任的主要工作</w:t>
            </w:r>
          </w:p>
        </w:tc>
        <w:tc>
          <w:tcPr>
            <w:tcW w:w="6066" w:type="dxa"/>
            <w:gridSpan w:val="3"/>
            <w:tcBorders>
              <w:bottom w:val="thinThickSmallGap" w:color="auto" w:sz="12" w:space="0"/>
            </w:tcBorders>
            <w:vAlign w:val="center"/>
          </w:tcPr>
          <w:p>
            <w:pPr>
              <w:keepNext w:val="0"/>
              <w:keepLines w:val="0"/>
              <w:suppressLineNumbers w:val="0"/>
              <w:snapToGrid w:val="0"/>
              <w:spacing w:before="120" w:beforeAutospacing="0" w:after="120" w:afterAutospacing="0" w:line="360" w:lineRule="exact"/>
              <w:ind w:left="0" w:right="0" w:firstLine="0" w:firstLineChars="0"/>
              <w:jc w:val="center"/>
              <w:rPr>
                <w:rFonts w:hint="default" w:ascii="宋体" w:cs="宋体"/>
              </w:rPr>
            </w:pPr>
          </w:p>
        </w:tc>
      </w:tr>
    </w:tbl>
    <w:p>
      <w:pPr>
        <w:ind w:firstLine="4320" w:firstLineChars="1800"/>
        <w:rPr>
          <w:rFonts w:hint="eastAsia" w:eastAsia="宋体"/>
          <w:lang w:eastAsia="zh-CN"/>
        </w:rPr>
      </w:pPr>
    </w:p>
    <w:p>
      <w:pPr>
        <w:ind w:firstLine="4320" w:firstLineChars="1800"/>
        <w:rPr>
          <w:rFonts w:hint="eastAsia"/>
        </w:rPr>
      </w:pPr>
    </w:p>
    <w:p>
      <w:pPr>
        <w:keepNext w:val="0"/>
        <w:keepLines w:val="0"/>
        <w:widowControl w:val="0"/>
        <w:suppressLineNumbers w:val="0"/>
        <w:snapToGrid w:val="0"/>
        <w:spacing w:before="72" w:beforeAutospacing="0" w:after="72" w:afterAutospacing="0" w:line="360" w:lineRule="exact"/>
        <w:ind w:left="0" w:right="0" w:firstLine="0" w:firstLineChars="0"/>
        <w:jc w:val="both"/>
        <w:rPr>
          <w:rFonts w:hint="eastAsia" w:ascii="宋体" w:hAnsi="Times New Roman" w:eastAsia="宋体" w:cs="宋体"/>
          <w:kern w:val="2"/>
          <w:sz w:val="24"/>
          <w:szCs w:val="24"/>
        </w:rPr>
      </w:pPr>
      <w:r>
        <w:rPr>
          <w:rFonts w:hint="default" w:ascii="华文中宋" w:hAnsi="华文中宋" w:eastAsia="华文中宋" w:cs="华文中宋"/>
          <w:kern w:val="2"/>
          <w:sz w:val="24"/>
          <w:szCs w:val="24"/>
          <w:lang w:val="en-US" w:eastAsia="zh-CN" w:bidi="ar"/>
        </w:rPr>
        <w:t xml:space="preserve">        </w:t>
      </w:r>
      <w:r>
        <w:rPr>
          <w:rFonts w:hint="eastAsia" w:ascii="华文中宋" w:hAnsi="华文中宋" w:eastAsia="华文中宋" w:cs="华文中宋"/>
          <w:kern w:val="2"/>
          <w:sz w:val="24"/>
          <w:szCs w:val="24"/>
          <w:lang w:val="en-US" w:eastAsia="zh-CN" w:bidi="ar"/>
        </w:rPr>
        <w:t xml:space="preserve">                              </w:t>
      </w:r>
      <w:r>
        <w:rPr>
          <w:rFonts w:hint="eastAsia" w:ascii="宋体" w:hAnsi="宋体" w:eastAsia="宋体" w:cs="宋体"/>
          <w:kern w:val="2"/>
          <w:sz w:val="24"/>
          <w:szCs w:val="24"/>
          <w:lang w:val="en-US" w:eastAsia="zh-CN" w:bidi="ar"/>
        </w:rPr>
        <w:t>供应商名称（盖章）：</w:t>
      </w:r>
    </w:p>
    <w:p>
      <w:pPr>
        <w:keepNext w:val="0"/>
        <w:keepLines w:val="0"/>
        <w:widowControl w:val="0"/>
        <w:suppressLineNumbers w:val="0"/>
        <w:snapToGrid w:val="0"/>
        <w:spacing w:before="72" w:beforeAutospacing="0" w:after="72" w:afterAutospacing="0" w:line="360" w:lineRule="exact"/>
        <w:ind w:left="0" w:right="0" w:firstLine="0" w:firstLineChars="0"/>
        <w:jc w:val="both"/>
        <w:rPr>
          <w:rFonts w:hint="eastAsia" w:ascii="宋体" w:hAnsi="Times New Roman" w:eastAsia="宋体" w:cs="宋体"/>
          <w:kern w:val="2"/>
          <w:sz w:val="24"/>
          <w:szCs w:val="24"/>
        </w:rPr>
      </w:pPr>
      <w:r>
        <w:rPr>
          <w:rFonts w:hint="default" w:ascii="华文中宋" w:hAnsi="华文中宋" w:eastAsia="华文中宋" w:cs="华文中宋"/>
          <w:kern w:val="2"/>
          <w:sz w:val="24"/>
          <w:szCs w:val="24"/>
          <w:lang w:val="en-US" w:eastAsia="zh-CN" w:bidi="ar"/>
        </w:rPr>
        <w:t xml:space="preserve">                                      </w:t>
      </w:r>
      <w:r>
        <w:rPr>
          <w:rFonts w:hint="eastAsia" w:ascii="宋体" w:hAnsi="宋体" w:eastAsia="宋体" w:cs="宋体"/>
          <w:kern w:val="2"/>
          <w:sz w:val="24"/>
          <w:szCs w:val="24"/>
          <w:lang w:val="en-US" w:eastAsia="zh-CN" w:bidi="ar"/>
        </w:rPr>
        <w:t>法定代表人或授权委托人（签字或盖章）：</w:t>
      </w:r>
    </w:p>
    <w:p>
      <w:pPr>
        <w:keepNext w:val="0"/>
        <w:keepLines w:val="0"/>
        <w:widowControl w:val="0"/>
        <w:suppressLineNumbers w:val="0"/>
        <w:snapToGrid w:val="0"/>
        <w:spacing w:before="72" w:beforeAutospacing="0" w:after="72" w:afterAutospacing="0" w:line="360" w:lineRule="exact"/>
        <w:ind w:left="0" w:right="0" w:firstLine="4560" w:firstLineChars="19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日期：   年   月   日</w:t>
      </w:r>
    </w:p>
    <w:p>
      <w:pPr>
        <w:keepNext w:val="0"/>
        <w:keepLines w:val="0"/>
        <w:widowControl w:val="0"/>
        <w:suppressLineNumbers w:val="0"/>
        <w:spacing w:before="0" w:beforeAutospacing="0" w:after="0" w:afterAutospacing="0" w:line="500" w:lineRule="exact"/>
        <w:ind w:left="0" w:right="0" w:firstLine="0" w:firstLineChars="0"/>
        <w:jc w:val="both"/>
        <w:outlineLvl w:val="9"/>
        <w:rPr>
          <w:rFonts w:hint="eastAsia" w:ascii="宋体" w:hAnsi="宋体" w:eastAsia="宋体" w:cs="宋体"/>
          <w:b/>
          <w:bCs/>
          <w:kern w:val="2"/>
          <w:sz w:val="24"/>
          <w:szCs w:val="24"/>
          <w:lang w:val="en-US" w:eastAsia="zh-CN" w:bidi="ar"/>
        </w:rPr>
      </w:pPr>
    </w:p>
    <w:p>
      <w:pPr>
        <w:keepNext w:val="0"/>
        <w:keepLines w:val="0"/>
        <w:widowControl w:val="0"/>
        <w:suppressLineNumbers w:val="0"/>
        <w:spacing w:before="0" w:beforeAutospacing="0" w:after="0" w:afterAutospacing="0" w:line="500" w:lineRule="exact"/>
        <w:ind w:left="0" w:right="0" w:firstLine="0" w:firstLineChars="0"/>
        <w:jc w:val="both"/>
        <w:outlineLvl w:val="9"/>
        <w:rPr>
          <w:rFonts w:hint="eastAsia" w:ascii="宋体" w:hAnsi="宋体" w:eastAsia="宋体" w:cs="宋体"/>
          <w:b/>
          <w:bCs/>
          <w:kern w:val="2"/>
          <w:sz w:val="24"/>
          <w:szCs w:val="24"/>
          <w:lang w:val="en-US" w:eastAsia="zh-CN" w:bidi="ar"/>
        </w:rPr>
      </w:pPr>
    </w:p>
    <w:p>
      <w:pPr>
        <w:keepNext w:val="0"/>
        <w:keepLines w:val="0"/>
        <w:widowControl w:val="0"/>
        <w:suppressLineNumbers w:val="0"/>
        <w:spacing w:before="0" w:beforeAutospacing="0" w:after="0" w:afterAutospacing="0" w:line="500" w:lineRule="exact"/>
        <w:ind w:left="0" w:right="0" w:firstLine="0" w:firstLineChars="0"/>
        <w:jc w:val="both"/>
        <w:outlineLvl w:val="9"/>
        <w:rPr>
          <w:rFonts w:hint="eastAsia" w:ascii="宋体" w:hAnsi="宋体" w:eastAsia="宋体" w:cs="宋体"/>
          <w:b/>
          <w:bCs/>
          <w:kern w:val="2"/>
          <w:sz w:val="24"/>
          <w:szCs w:val="24"/>
          <w:lang w:val="en-US" w:eastAsia="zh-CN" w:bidi="ar"/>
        </w:rPr>
      </w:pPr>
    </w:p>
    <w:p>
      <w:pPr>
        <w:keepNext w:val="0"/>
        <w:keepLines w:val="0"/>
        <w:widowControl w:val="0"/>
        <w:suppressLineNumbers w:val="0"/>
        <w:spacing w:before="0" w:beforeAutospacing="0" w:after="0" w:afterAutospacing="0" w:line="500" w:lineRule="exact"/>
        <w:ind w:left="0" w:right="0" w:firstLine="0" w:firstLineChars="0"/>
        <w:jc w:val="both"/>
        <w:outlineLvl w:val="9"/>
        <w:rPr>
          <w:rFonts w:hint="eastAsia" w:ascii="宋体" w:hAnsi="宋体" w:eastAsia="宋体" w:cs="宋体"/>
          <w:b/>
          <w:bCs/>
          <w:kern w:val="2"/>
          <w:sz w:val="24"/>
          <w:szCs w:val="24"/>
          <w:lang w:val="en-US" w:eastAsia="zh-CN" w:bidi="ar"/>
        </w:rPr>
      </w:pPr>
    </w:p>
    <w:p>
      <w:pPr>
        <w:keepNext w:val="0"/>
        <w:keepLines w:val="0"/>
        <w:widowControl w:val="0"/>
        <w:suppressLineNumbers w:val="0"/>
        <w:spacing w:before="0" w:beforeAutospacing="0" w:after="0" w:afterAutospacing="0" w:line="500" w:lineRule="exact"/>
        <w:ind w:left="0" w:right="0" w:firstLine="0" w:firstLineChars="0"/>
        <w:jc w:val="both"/>
        <w:outlineLvl w:val="9"/>
        <w:rPr>
          <w:rFonts w:hint="eastAsia" w:ascii="宋体" w:hAnsi="宋体" w:eastAsia="宋体" w:cs="宋体"/>
          <w:b/>
          <w:bCs/>
          <w:kern w:val="2"/>
          <w:sz w:val="24"/>
          <w:szCs w:val="24"/>
          <w:lang w:val="en-US" w:eastAsia="zh-CN" w:bidi="ar"/>
        </w:rPr>
      </w:pPr>
    </w:p>
    <w:p>
      <w:pPr>
        <w:keepNext w:val="0"/>
        <w:keepLines w:val="0"/>
        <w:widowControl w:val="0"/>
        <w:suppressLineNumbers w:val="0"/>
        <w:spacing w:before="0" w:beforeAutospacing="0" w:after="0" w:afterAutospacing="0" w:line="500" w:lineRule="exact"/>
        <w:ind w:left="0" w:right="0" w:firstLine="0" w:firstLineChars="0"/>
        <w:jc w:val="both"/>
        <w:outlineLvl w:val="9"/>
        <w:rPr>
          <w:rFonts w:hint="eastAsia" w:ascii="宋体" w:hAnsi="宋体" w:eastAsia="宋体" w:cs="宋体"/>
          <w:b/>
          <w:bCs/>
          <w:kern w:val="2"/>
          <w:sz w:val="24"/>
          <w:szCs w:val="24"/>
          <w:lang w:val="en-US" w:eastAsia="zh-CN" w:bidi="ar"/>
        </w:rPr>
      </w:pPr>
    </w:p>
    <w:p>
      <w:pPr>
        <w:keepNext w:val="0"/>
        <w:keepLines w:val="0"/>
        <w:widowControl w:val="0"/>
        <w:suppressLineNumbers w:val="0"/>
        <w:spacing w:before="0" w:beforeAutospacing="0" w:after="0" w:afterAutospacing="0" w:line="500" w:lineRule="exact"/>
        <w:ind w:left="0" w:right="0" w:firstLine="0" w:firstLineChars="0"/>
        <w:jc w:val="both"/>
        <w:outlineLvl w:val="9"/>
        <w:rPr>
          <w:rFonts w:hint="eastAsia" w:ascii="宋体" w:hAnsi="宋体" w:eastAsia="宋体" w:cs="宋体"/>
          <w:b/>
          <w:bCs/>
          <w:kern w:val="2"/>
          <w:sz w:val="24"/>
          <w:szCs w:val="24"/>
          <w:lang w:val="en-US" w:eastAsia="zh-CN" w:bidi="ar"/>
        </w:rPr>
      </w:pPr>
    </w:p>
    <w:p>
      <w:pPr>
        <w:keepNext w:val="0"/>
        <w:keepLines w:val="0"/>
        <w:widowControl w:val="0"/>
        <w:suppressLineNumbers w:val="0"/>
        <w:spacing w:before="0" w:beforeAutospacing="0" w:after="0" w:afterAutospacing="0" w:line="500" w:lineRule="exact"/>
        <w:ind w:left="0" w:right="0" w:firstLine="0" w:firstLineChars="0"/>
        <w:jc w:val="both"/>
        <w:outlineLvl w:val="0"/>
        <w:rPr>
          <w:rFonts w:hint="eastAsia" w:ascii="宋体" w:hAnsi="Times New Roman" w:eastAsia="宋体" w:cs="宋体"/>
          <w:b/>
          <w:bCs/>
          <w:kern w:val="2"/>
          <w:sz w:val="24"/>
          <w:szCs w:val="24"/>
        </w:rPr>
      </w:pPr>
      <w:bookmarkStart w:id="1277" w:name="_Toc30323"/>
      <w:r>
        <w:rPr>
          <w:rFonts w:hint="eastAsia" w:ascii="宋体" w:hAnsi="宋体" w:eastAsia="宋体" w:cs="宋体"/>
          <w:b/>
          <w:bCs/>
          <w:kern w:val="2"/>
          <w:sz w:val="24"/>
          <w:szCs w:val="24"/>
          <w:lang w:val="en-US" w:eastAsia="zh-CN" w:bidi="ar"/>
        </w:rPr>
        <w:t>附件7</w:t>
      </w:r>
      <w:bookmarkEnd w:id="1277"/>
    </w:p>
    <w:p>
      <w:pPr>
        <w:keepNext w:val="0"/>
        <w:keepLines w:val="0"/>
        <w:widowControl w:val="0"/>
        <w:suppressLineNumbers w:val="0"/>
        <w:spacing w:before="0" w:beforeAutospacing="0" w:after="0" w:afterAutospacing="0" w:line="360" w:lineRule="auto"/>
        <w:ind w:left="0" w:right="0" w:firstLine="0" w:firstLineChars="0"/>
        <w:jc w:val="center"/>
        <w:outlineLvl w:val="0"/>
        <w:rPr>
          <w:rFonts w:hint="eastAsia" w:ascii="宋体" w:hAnsi="宋体" w:eastAsia="宋体" w:cs="宋体"/>
          <w:b/>
          <w:bCs w:val="0"/>
          <w:kern w:val="2"/>
          <w:sz w:val="30"/>
          <w:szCs w:val="30"/>
        </w:rPr>
      </w:pPr>
      <w:bookmarkStart w:id="1278" w:name="_Toc15721"/>
      <w:bookmarkStart w:id="1279" w:name="_Toc23696"/>
      <w:bookmarkStart w:id="1280" w:name="_Toc28880"/>
      <w:r>
        <w:rPr>
          <w:rFonts w:hint="eastAsia" w:ascii="宋体" w:hAnsi="宋体" w:eastAsia="宋体" w:cs="宋体"/>
          <w:b/>
          <w:bCs w:val="0"/>
          <w:kern w:val="2"/>
          <w:sz w:val="30"/>
          <w:szCs w:val="30"/>
          <w:lang w:val="en-US" w:eastAsia="zh-CN" w:bidi="ar"/>
        </w:rPr>
        <w:t>商务响应承诺函</w:t>
      </w:r>
      <w:bookmarkEnd w:id="1278"/>
      <w:bookmarkEnd w:id="1279"/>
      <w:bookmarkEnd w:id="1280"/>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致：</w:t>
      </w:r>
      <w:r>
        <w:rPr>
          <w:rFonts w:hint="eastAsia" w:ascii="宋体" w:hAnsi="宋体" w:eastAsia="宋体" w:cs="宋体"/>
          <w:kern w:val="2"/>
          <w:sz w:val="24"/>
          <w:szCs w:val="24"/>
          <w:u w:val="single"/>
          <w:lang w:val="en-US" w:eastAsia="zh-CN" w:bidi="ar"/>
        </w:rPr>
        <w:t xml:space="preserve">     (采购人）           </w:t>
      </w:r>
      <w:r>
        <w:rPr>
          <w:rFonts w:hint="eastAsia" w:ascii="宋体" w:hAnsi="宋体" w:eastAsia="宋体" w:cs="宋体"/>
          <w:kern w:val="2"/>
          <w:sz w:val="24"/>
          <w:szCs w:val="24"/>
          <w:lang w:val="en-US" w:eastAsia="zh-CN" w:bidi="ar"/>
        </w:rPr>
        <w:t>：</w:t>
      </w:r>
    </w:p>
    <w:p>
      <w:pPr>
        <w:pStyle w:val="32"/>
        <w:keepNext w:val="0"/>
        <w:keepLines w:val="0"/>
        <w:widowControl w:val="0"/>
        <w:suppressLineNumbers w:val="0"/>
        <w:spacing w:before="60" w:beforeAutospacing="0" w:after="6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我方参与的</w:t>
      </w:r>
      <w:r>
        <w:rPr>
          <w:rFonts w:hint="eastAsia" w:ascii="宋体" w:hAnsi="宋体" w:eastAsia="宋体" w:cs="宋体"/>
          <w:kern w:val="2"/>
          <w:sz w:val="24"/>
          <w:szCs w:val="24"/>
          <w:u w:val="single"/>
          <w:lang w:val="en-US" w:eastAsia="zh-CN" w:bidi="ar"/>
        </w:rPr>
        <w:t xml:space="preserve"> （项目名称）（项目编号） </w:t>
      </w:r>
      <w:r>
        <w:rPr>
          <w:rFonts w:hint="eastAsia" w:ascii="宋体" w:hAnsi="宋体" w:eastAsia="宋体" w:cs="宋体"/>
          <w:kern w:val="2"/>
          <w:sz w:val="24"/>
          <w:szCs w:val="24"/>
          <w:lang w:val="en-US" w:eastAsia="zh-CN" w:bidi="ar"/>
        </w:rPr>
        <w:t xml:space="preserve"> 的磋商活动，我方郑重承诺，我方承诺对磋商文件中的商务要求完全响应。</w:t>
      </w:r>
    </w:p>
    <w:p>
      <w:pPr>
        <w:pStyle w:val="32"/>
        <w:keepNext w:val="0"/>
        <w:keepLines w:val="0"/>
        <w:widowControl w:val="0"/>
        <w:suppressLineNumbers w:val="0"/>
        <w:spacing w:before="60" w:beforeAutospacing="0" w:after="60" w:afterAutospacing="0" w:line="50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如本公司对以上条款提供虚假承诺，愿承担一切法律责任。</w:t>
      </w:r>
    </w:p>
    <w:p>
      <w:pPr>
        <w:keepNext w:val="0"/>
        <w:keepLines w:val="0"/>
        <w:widowControl w:val="0"/>
        <w:suppressLineNumbers w:val="0"/>
        <w:spacing w:before="0" w:beforeAutospacing="0" w:after="0" w:afterAutospacing="0" w:line="360" w:lineRule="auto"/>
        <w:ind w:left="0" w:right="0" w:firstLine="3780" w:firstLineChars="18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3780" w:firstLineChars="18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pStyle w:val="35"/>
        <w:widowControl/>
        <w:ind w:left="0" w:firstLine="210"/>
        <w:rPr>
          <w:rFonts w:hint="eastAsia" w:ascii="宋体" w:hAnsi="宋体" w:eastAsia="宋体" w:cs="宋体"/>
          <w:bCs/>
          <w:kern w:val="2"/>
          <w:sz w:val="21"/>
          <w:szCs w:val="21"/>
        </w:rPr>
      </w:pPr>
      <w:r>
        <w:rPr>
          <w:rFonts w:hint="eastAsia" w:ascii="宋体" w:hAnsi="宋体" w:eastAsia="宋体" w:cs="宋体"/>
          <w:bCs/>
          <w:kern w:val="2"/>
          <w:sz w:val="21"/>
          <w:szCs w:val="21"/>
        </w:rPr>
        <w:t xml:space="preserve"> </w:t>
      </w:r>
    </w:p>
    <w:p>
      <w:pPr>
        <w:pStyle w:val="32"/>
        <w:keepNext w:val="0"/>
        <w:keepLines w:val="0"/>
        <w:widowControl w:val="0"/>
        <w:suppressLineNumbers w:val="0"/>
        <w:spacing w:before="0" w:beforeAutospacing="1" w:after="0" w:afterAutospacing="1" w:line="240" w:lineRule="auto"/>
        <w:ind w:left="105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50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pStyle w:val="35"/>
        <w:widowControl/>
        <w:ind w:left="0" w:firstLine="240"/>
        <w:rPr>
          <w:rFonts w:hint="default" w:ascii="Times New Roman" w:hAnsi="Times New Roman" w:eastAsia="宋体" w:cs="宋体"/>
          <w:bCs/>
          <w:kern w:val="2"/>
          <w:sz w:val="24"/>
          <w:szCs w:val="24"/>
        </w:rPr>
      </w:pPr>
      <w:r>
        <w:rPr>
          <w:rFonts w:hint="default" w:ascii="Times New Roman" w:hAnsi="Times New Roman" w:eastAsia="宋体" w:cs="宋体"/>
          <w:bCs/>
          <w:kern w:val="2"/>
          <w:sz w:val="24"/>
          <w:szCs w:val="24"/>
        </w:rPr>
        <w:t xml:space="preserve"> </w:t>
      </w:r>
    </w:p>
    <w:p>
      <w:pPr>
        <w:keepNext w:val="0"/>
        <w:keepLines w:val="0"/>
        <w:widowControl w:val="0"/>
        <w:suppressLineNumbers w:val="0"/>
        <w:snapToGrid w:val="0"/>
        <w:spacing w:before="72" w:beforeAutospacing="0" w:after="72" w:afterAutospacing="0" w:line="360" w:lineRule="exact"/>
        <w:ind w:left="0" w:right="0" w:firstLine="0" w:firstLineChars="0"/>
        <w:jc w:val="both"/>
        <w:rPr>
          <w:rFonts w:hint="eastAsia" w:ascii="宋体" w:hAnsi="宋体" w:eastAsia="宋体" w:cs="宋体"/>
          <w:kern w:val="2"/>
          <w:sz w:val="24"/>
          <w:szCs w:val="24"/>
        </w:rPr>
      </w:pPr>
      <w:r>
        <w:rPr>
          <w:rFonts w:hint="default" w:ascii="华文中宋" w:hAnsi="华文中宋" w:eastAsia="华文中宋" w:cs="华文中宋"/>
          <w:kern w:val="2"/>
          <w:sz w:val="24"/>
          <w:szCs w:val="24"/>
          <w:lang w:val="en-US" w:eastAsia="zh-CN" w:bidi="ar"/>
        </w:rPr>
        <w:t xml:space="preserve">                                      </w:t>
      </w:r>
      <w:r>
        <w:rPr>
          <w:rFonts w:hint="eastAsia" w:ascii="宋体" w:hAnsi="宋体" w:eastAsia="宋体" w:cs="宋体"/>
          <w:kern w:val="2"/>
          <w:sz w:val="24"/>
          <w:szCs w:val="24"/>
          <w:lang w:val="en-US" w:eastAsia="zh-CN" w:bidi="ar"/>
        </w:rPr>
        <w:t>供应商名称（盖章）：</w:t>
      </w:r>
    </w:p>
    <w:p>
      <w:pPr>
        <w:keepNext w:val="0"/>
        <w:keepLines w:val="0"/>
        <w:widowControl w:val="0"/>
        <w:suppressLineNumbers w:val="0"/>
        <w:snapToGrid w:val="0"/>
        <w:spacing w:before="72" w:beforeAutospacing="0" w:after="72" w:afterAutospacing="0" w:line="360" w:lineRule="exact"/>
        <w:ind w:left="0" w:right="0" w:firstLine="0" w:firstLineChars="0"/>
        <w:jc w:val="both"/>
        <w:rPr>
          <w:rFonts w:hint="eastAsia" w:ascii="宋体" w:hAnsi="宋体" w:eastAsia="宋体" w:cs="宋体"/>
          <w:kern w:val="2"/>
          <w:sz w:val="24"/>
          <w:szCs w:val="24"/>
        </w:rPr>
      </w:pPr>
      <w:r>
        <w:rPr>
          <w:rFonts w:hint="default" w:ascii="华文中宋" w:hAnsi="华文中宋" w:eastAsia="华文中宋" w:cs="华文中宋"/>
          <w:kern w:val="2"/>
          <w:sz w:val="24"/>
          <w:szCs w:val="24"/>
          <w:lang w:val="en-US" w:eastAsia="zh-CN" w:bidi="ar"/>
        </w:rPr>
        <w:t xml:space="preserve">                                      </w:t>
      </w:r>
      <w:r>
        <w:rPr>
          <w:rFonts w:hint="eastAsia" w:ascii="宋体" w:hAnsi="宋体" w:eastAsia="宋体" w:cs="宋体"/>
          <w:kern w:val="2"/>
          <w:sz w:val="24"/>
          <w:szCs w:val="24"/>
          <w:lang w:val="en-US" w:eastAsia="zh-CN" w:bidi="ar"/>
        </w:rPr>
        <w:t>法定代表人或授权委托人（签字或盖章）：</w:t>
      </w:r>
    </w:p>
    <w:p>
      <w:pPr>
        <w:keepNext w:val="0"/>
        <w:keepLines w:val="0"/>
        <w:widowControl w:val="0"/>
        <w:suppressLineNumbers w:val="0"/>
        <w:snapToGrid w:val="0"/>
        <w:spacing w:before="72" w:beforeAutospacing="0" w:after="72" w:afterAutospacing="0" w:line="360" w:lineRule="exact"/>
        <w:ind w:left="0" w:right="0" w:firstLine="4560" w:firstLineChars="19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日期：   年   月   日</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b/>
          <w:bCs w:val="0"/>
          <w:spacing w:val="-4"/>
          <w:kern w:val="2"/>
          <w:sz w:val="32"/>
          <w:szCs w:val="32"/>
        </w:rPr>
      </w:pPr>
      <w:r>
        <w:rPr>
          <w:rFonts w:hint="eastAsia" w:ascii="宋体" w:hAnsi="宋体" w:eastAsia="宋体" w:cs="宋体"/>
          <w:b/>
          <w:bCs w:val="0"/>
          <w:spacing w:val="-4"/>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b/>
          <w:bCs w:val="0"/>
          <w:spacing w:val="-4"/>
          <w:kern w:val="2"/>
          <w:sz w:val="32"/>
          <w:szCs w:val="32"/>
        </w:rPr>
      </w:pPr>
      <w:r>
        <w:rPr>
          <w:rFonts w:hint="eastAsia" w:ascii="宋体" w:hAnsi="宋体" w:eastAsia="宋体" w:cs="宋体"/>
          <w:b/>
          <w:bCs w:val="0"/>
          <w:spacing w:val="-4"/>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b/>
          <w:bCs w:val="0"/>
          <w:spacing w:val="-4"/>
          <w:kern w:val="2"/>
          <w:sz w:val="32"/>
          <w:szCs w:val="32"/>
        </w:rPr>
      </w:pPr>
      <w:r>
        <w:rPr>
          <w:rFonts w:hint="eastAsia" w:ascii="宋体" w:hAnsi="宋体" w:eastAsia="宋体" w:cs="宋体"/>
          <w:b/>
          <w:bCs w:val="0"/>
          <w:spacing w:val="-4"/>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b/>
          <w:bCs w:val="0"/>
          <w:spacing w:val="-4"/>
          <w:kern w:val="2"/>
          <w:sz w:val="32"/>
          <w:szCs w:val="32"/>
        </w:rPr>
      </w:pPr>
      <w:r>
        <w:rPr>
          <w:rFonts w:hint="eastAsia" w:ascii="宋体" w:hAnsi="宋体" w:eastAsia="宋体" w:cs="宋体"/>
          <w:b/>
          <w:bCs w:val="0"/>
          <w:spacing w:val="-4"/>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b/>
          <w:bCs w:val="0"/>
          <w:spacing w:val="-4"/>
          <w:kern w:val="2"/>
          <w:sz w:val="32"/>
          <w:szCs w:val="32"/>
        </w:rPr>
      </w:pPr>
      <w:r>
        <w:rPr>
          <w:rFonts w:hint="eastAsia" w:ascii="宋体" w:hAnsi="宋体" w:eastAsia="宋体" w:cs="宋体"/>
          <w:b/>
          <w:bCs w:val="0"/>
          <w:spacing w:val="-4"/>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b/>
          <w:bCs w:val="0"/>
          <w:spacing w:val="-4"/>
          <w:kern w:val="2"/>
          <w:sz w:val="32"/>
          <w:szCs w:val="32"/>
        </w:rPr>
      </w:pPr>
      <w:r>
        <w:rPr>
          <w:rFonts w:hint="eastAsia" w:ascii="宋体" w:hAnsi="宋体" w:eastAsia="宋体" w:cs="宋体"/>
          <w:b/>
          <w:bCs w:val="0"/>
          <w:spacing w:val="-4"/>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b/>
          <w:bCs w:val="0"/>
          <w:spacing w:val="-4"/>
          <w:kern w:val="2"/>
          <w:sz w:val="32"/>
          <w:szCs w:val="32"/>
        </w:rPr>
      </w:pPr>
      <w:r>
        <w:rPr>
          <w:rFonts w:hint="eastAsia" w:ascii="宋体" w:hAnsi="宋体" w:eastAsia="宋体" w:cs="宋体"/>
          <w:b/>
          <w:bCs w:val="0"/>
          <w:spacing w:val="-4"/>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b/>
          <w:bCs w:val="0"/>
          <w:spacing w:val="-4"/>
          <w:kern w:val="2"/>
          <w:sz w:val="32"/>
          <w:szCs w:val="32"/>
        </w:rPr>
      </w:pPr>
      <w:r>
        <w:rPr>
          <w:rFonts w:hint="eastAsia" w:ascii="宋体" w:hAnsi="宋体" w:eastAsia="宋体" w:cs="宋体"/>
          <w:b/>
          <w:bCs w:val="0"/>
          <w:spacing w:val="-4"/>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b/>
          <w:bCs w:val="0"/>
          <w:spacing w:val="-4"/>
          <w:kern w:val="2"/>
          <w:sz w:val="32"/>
          <w:szCs w:val="32"/>
          <w:lang w:val="en-US" w:eastAsia="zh-CN" w:bidi="ar"/>
        </w:rPr>
      </w:pPr>
      <w:r>
        <w:rPr>
          <w:rFonts w:hint="eastAsia" w:ascii="宋体" w:hAnsi="宋体" w:eastAsia="宋体" w:cs="宋体"/>
          <w:b/>
          <w:bCs w:val="0"/>
          <w:spacing w:val="-4"/>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both"/>
        <w:outlineLvl w:val="9"/>
        <w:rPr>
          <w:rFonts w:hint="default" w:ascii="宋体" w:hAnsi="宋体" w:eastAsia="宋体" w:cs="宋体"/>
          <w:b/>
          <w:bCs w:val="0"/>
          <w:spacing w:val="-4"/>
          <w:kern w:val="2"/>
          <w:sz w:val="32"/>
          <w:szCs w:val="32"/>
          <w:lang w:val="en-US"/>
        </w:rPr>
      </w:pPr>
      <w:r>
        <w:rPr>
          <w:rFonts w:hint="default" w:ascii="Times New Roman" w:hAnsi="Times New Roman" w:eastAsia="宋体" w:cs="宋体"/>
          <w:kern w:val="2"/>
          <w:sz w:val="24"/>
          <w:szCs w:val="24"/>
          <w:lang w:val="en-US" w:eastAsia="zh-CN" w:bidi="ar"/>
        </w:rPr>
        <w:t xml:space="preserve"> </w:t>
      </w:r>
      <w:r>
        <w:rPr>
          <w:rFonts w:hint="eastAsia" w:ascii="宋体" w:hAnsi="宋体" w:eastAsia="宋体" w:cs="宋体"/>
          <w:b/>
          <w:bCs w:val="0"/>
          <w:spacing w:val="-4"/>
          <w:kern w:val="2"/>
          <w:sz w:val="24"/>
          <w:szCs w:val="24"/>
          <w:lang w:val="en-US" w:eastAsia="zh-CN" w:bidi="ar"/>
        </w:rPr>
        <w:t>附件</w:t>
      </w:r>
      <w:r>
        <w:rPr>
          <w:rFonts w:hint="eastAsia" w:ascii="宋体" w:hAnsi="宋体" w:cs="宋体"/>
          <w:b/>
          <w:bCs w:val="0"/>
          <w:spacing w:val="-4"/>
          <w:kern w:val="2"/>
          <w:sz w:val="24"/>
          <w:szCs w:val="24"/>
          <w:lang w:val="en-US" w:eastAsia="zh-CN" w:bidi="ar"/>
        </w:rPr>
        <w:t>8</w:t>
      </w:r>
    </w:p>
    <w:p>
      <w:pPr>
        <w:keepNext w:val="0"/>
        <w:keepLines w:val="0"/>
        <w:widowControl w:val="0"/>
        <w:suppressLineNumbers w:val="0"/>
        <w:spacing w:before="0" w:beforeAutospacing="0" w:after="0" w:afterAutospacing="0" w:line="460" w:lineRule="exact"/>
        <w:ind w:left="0" w:right="0" w:firstLine="0" w:firstLineChars="0"/>
        <w:jc w:val="center"/>
        <w:rPr>
          <w:rFonts w:hint="eastAsia" w:ascii="宋体" w:hAnsi="Times New Roman" w:eastAsia="宋体" w:cs="宋体"/>
          <w:b/>
          <w:bCs/>
          <w:kern w:val="2"/>
          <w:sz w:val="30"/>
          <w:szCs w:val="30"/>
        </w:rPr>
      </w:pPr>
      <w:r>
        <w:rPr>
          <w:rFonts w:hint="eastAsia" w:ascii="宋体" w:hAnsi="宋体" w:eastAsia="宋体" w:cs="宋体"/>
          <w:b/>
          <w:bCs/>
          <w:kern w:val="2"/>
          <w:sz w:val="30"/>
          <w:szCs w:val="30"/>
          <w:lang w:val="en-US" w:eastAsia="zh-CN" w:bidi="ar"/>
        </w:rPr>
        <w:t>首次报价表</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Times New Roman" w:eastAsia="宋体" w:cs="宋体"/>
          <w:spacing w:val="-4"/>
          <w:kern w:val="2"/>
          <w:sz w:val="32"/>
          <w:szCs w:val="32"/>
        </w:rPr>
      </w:pPr>
      <w:r>
        <w:rPr>
          <w:rFonts w:hint="eastAsia" w:ascii="宋体" w:hAnsi="宋体" w:eastAsia="宋体" w:cs="宋体"/>
          <w:spacing w:val="-4"/>
          <w:kern w:val="2"/>
          <w:sz w:val="24"/>
          <w:szCs w:val="24"/>
          <w:lang w:val="en-US" w:eastAsia="zh-CN" w:bidi="ar"/>
        </w:rPr>
        <w:t xml:space="preserve">                         </w:t>
      </w:r>
      <w:r>
        <w:rPr>
          <w:rFonts w:hint="eastAsia" w:ascii="宋体" w:hAnsi="宋体" w:cs="宋体"/>
          <w:spacing w:val="-4"/>
          <w:kern w:val="2"/>
          <w:sz w:val="24"/>
          <w:szCs w:val="24"/>
          <w:lang w:val="en-US" w:eastAsia="zh-CN" w:bidi="ar"/>
        </w:rPr>
        <w:t xml:space="preserve">                                     </w:t>
      </w:r>
      <w:r>
        <w:rPr>
          <w:rFonts w:hint="eastAsia" w:ascii="宋体" w:hAnsi="宋体" w:eastAsia="宋体" w:cs="宋体"/>
          <w:spacing w:val="-4"/>
          <w:kern w:val="2"/>
          <w:sz w:val="24"/>
          <w:szCs w:val="24"/>
          <w:lang w:val="en-US" w:eastAsia="zh-CN" w:bidi="ar"/>
        </w:rPr>
        <w:t xml:space="preserve"> </w:t>
      </w:r>
      <w:r>
        <w:rPr>
          <w:rFonts w:hint="eastAsia" w:ascii="宋体" w:hAnsi="宋体"/>
          <w:b/>
          <w:kern w:val="0"/>
          <w:sz w:val="24"/>
          <w:lang w:val="zh-CN"/>
        </w:rPr>
        <w:t>货币单位：人民币</w:t>
      </w:r>
      <w:r>
        <w:rPr>
          <w:rFonts w:hint="eastAsia" w:ascii="宋体" w:hAnsi="宋体"/>
          <w:b/>
          <w:kern w:val="0"/>
          <w:sz w:val="24"/>
          <w:lang w:val="en-US" w:eastAsia="zh-CN"/>
        </w:rPr>
        <w:t>/</w:t>
      </w:r>
      <w:r>
        <w:rPr>
          <w:rFonts w:hint="eastAsia" w:ascii="宋体" w:hAnsi="宋体"/>
          <w:b/>
          <w:kern w:val="0"/>
          <w:sz w:val="24"/>
          <w:lang w:val="zh-CN"/>
        </w:rPr>
        <w:t>元</w:t>
      </w:r>
      <w:r>
        <w:rPr>
          <w:rFonts w:hint="eastAsia" w:ascii="宋体" w:hAnsi="宋体" w:eastAsia="宋体" w:cs="宋体"/>
          <w:spacing w:val="-4"/>
          <w:kern w:val="2"/>
          <w:sz w:val="24"/>
          <w:szCs w:val="24"/>
          <w:lang w:val="en-US" w:eastAsia="zh-CN" w:bidi="ar"/>
        </w:rPr>
        <w:t xml:space="preserve">                                          </w:t>
      </w:r>
    </w:p>
    <w:tbl>
      <w:tblPr>
        <w:tblStyle w:val="36"/>
        <w:tblW w:w="99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902"/>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23" w:hRule="atLeast"/>
          <w:jc w:val="center"/>
        </w:trPr>
        <w:tc>
          <w:tcPr>
            <w:tcW w:w="2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adjustRightInd w:val="0"/>
              <w:snapToGrid w:val="0"/>
              <w:spacing w:before="0" w:beforeAutospacing="0" w:after="0" w:afterAutospacing="0" w:line="312" w:lineRule="auto"/>
              <w:ind w:left="0" w:right="0" w:firstLine="0" w:firstLineChars="0"/>
              <w:jc w:val="center"/>
              <w:rPr>
                <w:rFonts w:hint="eastAsia" w:ascii="宋体" w:hAnsi="宋体"/>
                <w:lang w:bidi="ar"/>
              </w:rPr>
            </w:pPr>
            <w:bookmarkStart w:id="1295" w:name="_GoBack" w:colFirst="0" w:colLast="0"/>
          </w:p>
          <w:p>
            <w:pPr>
              <w:keepNext w:val="0"/>
              <w:keepLines w:val="0"/>
              <w:widowControl w:val="0"/>
              <w:suppressLineNumbers w:val="0"/>
              <w:adjustRightInd w:val="0"/>
              <w:snapToGrid w:val="0"/>
              <w:spacing w:before="0" w:beforeAutospacing="0" w:after="0" w:afterAutospacing="0" w:line="312" w:lineRule="auto"/>
              <w:ind w:left="0" w:right="0" w:firstLine="0" w:firstLineChars="0"/>
              <w:jc w:val="center"/>
              <w:rPr>
                <w:rFonts w:hint="eastAsia" w:ascii="宋体" w:hAnsi="宋体" w:eastAsia="宋体" w:cs="宋体"/>
                <w:kern w:val="2"/>
                <w:sz w:val="24"/>
                <w:szCs w:val="24"/>
                <w:lang w:bidi="ar"/>
              </w:rPr>
            </w:pPr>
            <w:r>
              <w:rPr>
                <w:rFonts w:hint="eastAsia" w:ascii="宋体" w:hAnsi="宋体" w:eastAsia="宋体" w:cs="宋体"/>
                <w:kern w:val="2"/>
                <w:sz w:val="24"/>
                <w:szCs w:val="24"/>
                <w:lang w:val="en-US" w:eastAsia="zh-CN" w:bidi="ar"/>
              </w:rPr>
              <w:t>项目编号</w:t>
            </w:r>
          </w:p>
        </w:tc>
        <w:tc>
          <w:tcPr>
            <w:tcW w:w="7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40" w:firstLineChars="100"/>
              <w:jc w:val="center"/>
              <w:rPr>
                <w:rFonts w:hint="eastAsia" w:ascii="宋体" w:hAnsi="Times New Roman" w:eastAsia="宋体" w:cs="宋体"/>
                <w:kern w:val="2"/>
                <w:sz w:val="24"/>
                <w:szCs w:val="24"/>
              </w:rPr>
            </w:pPr>
          </w:p>
          <w:p>
            <w:pPr>
              <w:keepNext w:val="0"/>
              <w:keepLines w:val="0"/>
              <w:widowControl w:val="0"/>
              <w:suppressLineNumbers w:val="0"/>
              <w:spacing w:before="0" w:beforeAutospacing="0" w:after="0" w:afterAutospacing="0" w:line="360" w:lineRule="auto"/>
              <w:ind w:left="0" w:right="0" w:firstLine="240" w:firstLineChars="100"/>
              <w:jc w:val="center"/>
              <w:rPr>
                <w:rFonts w:hint="eastAsia" w:ascii="宋体" w:hAnsi="Times New Roman"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jc w:val="center"/>
        </w:trPr>
        <w:tc>
          <w:tcPr>
            <w:tcW w:w="2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adjustRightInd w:val="0"/>
              <w:snapToGrid w:val="0"/>
              <w:spacing w:before="0" w:beforeAutospacing="0" w:after="0" w:afterAutospacing="0" w:line="312" w:lineRule="auto"/>
              <w:ind w:left="0" w:right="0" w:firstLine="0" w:firstLineChars="0"/>
              <w:jc w:val="center"/>
              <w:rPr>
                <w:rFonts w:hint="eastAsia" w:ascii="宋体" w:hAnsi="宋体"/>
                <w:lang w:bidi="ar"/>
              </w:rPr>
            </w:pPr>
          </w:p>
          <w:p>
            <w:pPr>
              <w:keepNext w:val="0"/>
              <w:keepLines w:val="0"/>
              <w:widowControl w:val="0"/>
              <w:suppressLineNumbers w:val="0"/>
              <w:adjustRightInd w:val="0"/>
              <w:snapToGrid w:val="0"/>
              <w:spacing w:before="0" w:beforeAutospacing="0" w:after="0" w:afterAutospacing="0" w:line="312" w:lineRule="auto"/>
              <w:ind w:left="0" w:right="0" w:firstLine="0" w:firstLineChars="0"/>
              <w:jc w:val="center"/>
              <w:rPr>
                <w:rFonts w:hint="eastAsia" w:ascii="宋体" w:hAnsi="宋体" w:eastAsia="宋体" w:cs="宋体"/>
                <w:kern w:val="2"/>
                <w:sz w:val="24"/>
                <w:szCs w:val="24"/>
                <w:lang w:bidi="ar"/>
              </w:rPr>
            </w:pPr>
            <w:r>
              <w:rPr>
                <w:rFonts w:hint="eastAsia" w:ascii="宋体" w:hAnsi="宋体" w:eastAsia="宋体" w:cs="宋体"/>
                <w:kern w:val="2"/>
                <w:sz w:val="24"/>
                <w:szCs w:val="24"/>
                <w:lang w:val="en-US" w:eastAsia="zh-CN" w:bidi="ar"/>
              </w:rPr>
              <w:t>项目名称</w:t>
            </w:r>
          </w:p>
        </w:tc>
        <w:tc>
          <w:tcPr>
            <w:tcW w:w="7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12" w:lineRule="auto"/>
              <w:ind w:left="0" w:right="0" w:firstLine="0" w:firstLineChars="0"/>
              <w:jc w:val="center"/>
              <w:rPr>
                <w:rFonts w:hint="eastAsia" w:ascii="宋体" w:hAnsi="Times New Roman"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jc w:val="center"/>
        </w:trPr>
        <w:tc>
          <w:tcPr>
            <w:tcW w:w="2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12" w:lineRule="auto"/>
              <w:ind w:left="0" w:right="0" w:firstLine="0" w:firstLineChars="0"/>
              <w:jc w:val="center"/>
              <w:rPr>
                <w:rFonts w:hint="eastAsia" w:ascii="宋体" w:hAnsi="宋体" w:eastAsia="宋体" w:cs="宋体"/>
                <w:kern w:val="2"/>
                <w:sz w:val="24"/>
                <w:szCs w:val="24"/>
                <w:lang w:bidi="ar"/>
              </w:rPr>
            </w:pPr>
            <w:r>
              <w:rPr>
                <w:rFonts w:hint="eastAsia" w:ascii="宋体" w:hAnsi="宋体" w:eastAsia="宋体" w:cs="宋体"/>
                <w:kern w:val="2"/>
                <w:sz w:val="24"/>
                <w:szCs w:val="24"/>
                <w:lang w:val="en-US" w:eastAsia="zh-CN" w:bidi="ar"/>
              </w:rPr>
              <w:t>服务期限</w:t>
            </w:r>
          </w:p>
        </w:tc>
        <w:tc>
          <w:tcPr>
            <w:tcW w:w="7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12" w:lineRule="auto"/>
              <w:ind w:left="0" w:right="0" w:firstLine="0" w:firstLineChars="0"/>
              <w:jc w:val="center"/>
              <w:rPr>
                <w:rFonts w:hint="eastAsia" w:ascii="宋体" w:hAnsi="Times New Roman"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jc w:val="center"/>
        </w:trPr>
        <w:tc>
          <w:tcPr>
            <w:tcW w:w="2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12" w:lineRule="auto"/>
              <w:ind w:left="0" w:right="0" w:firstLine="0" w:firstLineChars="0"/>
              <w:jc w:val="center"/>
              <w:rPr>
                <w:rFonts w:hint="default" w:ascii="宋体" w:hAnsi="宋体" w:eastAsia="宋体" w:cs="宋体"/>
                <w:kern w:val="2"/>
                <w:sz w:val="24"/>
                <w:szCs w:val="24"/>
                <w:lang w:val="en-US" w:bidi="ar"/>
              </w:rPr>
            </w:pPr>
            <w:r>
              <w:rPr>
                <w:rFonts w:hint="eastAsia" w:ascii="宋体" w:hAnsi="宋体" w:cs="宋体"/>
                <w:kern w:val="2"/>
                <w:sz w:val="24"/>
                <w:szCs w:val="24"/>
                <w:lang w:val="en-US" w:eastAsia="zh-CN" w:bidi="ar"/>
              </w:rPr>
              <w:t>磋商报价</w:t>
            </w:r>
          </w:p>
        </w:tc>
        <w:tc>
          <w:tcPr>
            <w:tcW w:w="7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snapToGrid/>
              <w:spacing w:before="0" w:beforeAutospacing="0" w:after="0" w:afterAutospacing="0" w:line="360" w:lineRule="auto"/>
              <w:ind w:left="0" w:right="0" w:firstLine="0" w:firstLineChars="0"/>
              <w:jc w:val="left"/>
              <w:rPr>
                <w:rFonts w:hint="default" w:ascii="Times New Roman" w:hAnsi="Times New Roman" w:eastAsia="宋体" w:cs="宋体"/>
                <w:kern w:val="2"/>
                <w:sz w:val="24"/>
                <w:szCs w:val="24"/>
              </w:rPr>
            </w:pPr>
            <w:r>
              <w:rPr>
                <w:rFonts w:hint="eastAsia" w:ascii="宋体" w:hAnsi="宋体"/>
                <w:sz w:val="24"/>
              </w:rPr>
              <w:t>（小写）：</w:t>
            </w:r>
            <w:r>
              <w:rPr>
                <w:rFonts w:hint="eastAsia" w:ascii="宋体" w:hAnsi="宋体"/>
                <w:sz w:val="24"/>
                <w:u w:val="single"/>
                <w:lang w:val="en-US" w:eastAsia="zh-CN"/>
              </w:rPr>
              <w:t xml:space="preserve">         </w:t>
            </w:r>
            <w:r>
              <w:rPr>
                <w:rFonts w:hint="eastAsia" w:ascii="宋体" w:hAnsi="宋体"/>
                <w:sz w:val="24"/>
                <w:u w:val="none"/>
                <w:lang w:val="en-US" w:eastAsia="zh-CN"/>
              </w:rPr>
              <w:t>元；</w:t>
            </w:r>
            <w:r>
              <w:rPr>
                <w:rFonts w:hint="eastAsia" w:ascii="宋体" w:hAnsi="宋体"/>
                <w:sz w:val="24"/>
              </w:rPr>
              <w:t>（大写）：</w:t>
            </w:r>
            <w:r>
              <w:rPr>
                <w:rFonts w:hint="eastAsia" w:ascii="宋体" w:hAnsi="宋体"/>
                <w:sz w:val="24"/>
                <w:u w:val="single"/>
                <w:lang w:val="en-US" w:eastAsia="zh-CN"/>
              </w:rPr>
              <w:t xml:space="preserve">       </w:t>
            </w:r>
            <w:r>
              <w:rPr>
                <w:rFonts w:hint="eastAsia" w:ascii="宋体" w:hAnsi="宋体"/>
                <w:sz w:val="24"/>
                <w:u w:val="none"/>
                <w:lang w:val="en-US" w:eastAsia="zh-CN"/>
              </w:rPr>
              <w:t>元；</w:t>
            </w:r>
          </w:p>
        </w:tc>
      </w:tr>
      <w:bookmarkEnd w:id="1295"/>
    </w:tbl>
    <w:p>
      <w:pPr>
        <w:keepNext w:val="0"/>
        <w:keepLines w:val="0"/>
        <w:widowControl w:val="0"/>
        <w:suppressLineNumbers w:val="0"/>
        <w:spacing w:before="0" w:beforeAutospacing="0" w:after="0" w:afterAutospacing="0" w:line="288" w:lineRule="auto"/>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注：</w:t>
      </w:r>
    </w:p>
    <w:p>
      <w:pPr>
        <w:keepNext w:val="0"/>
        <w:keepLines w:val="0"/>
        <w:widowControl w:val="0"/>
        <w:suppressLineNumbers w:val="0"/>
        <w:spacing w:before="0" w:beforeAutospacing="0" w:after="0" w:afterAutospacing="0" w:line="288" w:lineRule="auto"/>
        <w:ind w:left="0" w:right="0" w:firstLine="480" w:firstLineChars="200"/>
        <w:jc w:val="both"/>
        <w:rPr>
          <w:rFonts w:hint="eastAsia" w:ascii="宋体" w:hAnsi="宋体" w:eastAsia="宋体" w:cs="宋体"/>
          <w:kern w:val="2"/>
          <w:sz w:val="24"/>
          <w:szCs w:val="24"/>
          <w:lang w:bidi="ar"/>
        </w:rPr>
      </w:pPr>
      <w:r>
        <w:rPr>
          <w:rFonts w:hint="eastAsia" w:ascii="宋体" w:hAnsi="宋体" w:eastAsia="宋体" w:cs="宋体"/>
          <w:kern w:val="2"/>
          <w:sz w:val="24"/>
          <w:szCs w:val="24"/>
          <w:lang w:val="en-US" w:eastAsia="zh-CN" w:bidi="ar"/>
        </w:rPr>
        <w:t>1.本表由供应商填写，供开标会参考所用。▲报价填写必须为印刷体打印，手写无效报价。</w:t>
      </w:r>
    </w:p>
    <w:p>
      <w:pPr>
        <w:spacing w:line="288" w:lineRule="auto"/>
        <w:ind w:left="0" w:firstLine="480"/>
        <w:rPr>
          <w:rFonts w:hint="eastAsia" w:ascii="宋体" w:hAnsi="宋体" w:eastAsia="宋体" w:cs="宋体"/>
          <w:sz w:val="24"/>
          <w:lang w:bidi="ar"/>
        </w:rPr>
      </w:pPr>
      <w:r>
        <w:rPr>
          <w:rFonts w:hint="eastAsia" w:ascii="宋体" w:hAnsi="宋体" w:eastAsia="宋体" w:cs="宋体"/>
          <w:spacing w:val="0"/>
          <w:sz w:val="24"/>
          <w:lang w:val="en-US" w:eastAsia="zh-CN" w:bidi="ar"/>
        </w:rPr>
        <w:t>2.</w:t>
      </w:r>
      <w:r>
        <w:rPr>
          <w:rFonts w:hint="eastAsia" w:ascii="宋体" w:hAnsi="宋体" w:eastAsia="宋体" w:cs="宋体"/>
          <w:spacing w:val="0"/>
          <w:sz w:val="24"/>
          <w:lang w:bidi="ar"/>
        </w:rPr>
        <w:t>投标报价是指供应商在正确地完全履行合同义务后采购人应支付的货物和服务价格，包括但不限于</w:t>
      </w:r>
      <w:r>
        <w:rPr>
          <w:rFonts w:hint="eastAsia" w:ascii="宋体" w:hAnsi="宋体" w:cs="宋体"/>
          <w:spacing w:val="0"/>
          <w:sz w:val="24"/>
          <w:lang w:eastAsia="zh-CN" w:bidi="ar"/>
        </w:rPr>
        <w:t>包括</w:t>
      </w:r>
      <w:r>
        <w:rPr>
          <w:rFonts w:hint="eastAsia" w:ascii="宋体" w:hAnsi="宋体" w:eastAsia="宋体" w:cs="宋体"/>
          <w:spacing w:val="0"/>
          <w:sz w:val="24"/>
          <w:lang w:bidi="ar"/>
        </w:rPr>
        <w:t>人工费、运输费、装卸车费、专用工具费、劳保费、消毒用品、售后服务、保险、税金、采购代理费等费用。如有漏项，视同已包含在其它项目中，价格不作调整，成交后不允许擅自改变服务内容、质量标准、期限和追加项目费用。</w:t>
      </w:r>
    </w:p>
    <w:p>
      <w:pPr>
        <w:spacing w:line="288" w:lineRule="auto"/>
        <w:ind w:left="0"/>
        <w:jc w:val="both"/>
        <w:rPr>
          <w:rFonts w:hint="eastAsia" w:ascii="宋体" w:hAnsi="宋体" w:eastAsia="宋体" w:cs="宋体"/>
          <w:sz w:val="24"/>
          <w:lang w:bidi="ar"/>
        </w:rPr>
      </w:pPr>
      <w:r>
        <w:rPr>
          <w:rFonts w:hint="eastAsia" w:ascii="宋体" w:hAnsi="宋体" w:eastAsia="宋体" w:cs="宋体"/>
          <w:sz w:val="24"/>
          <w:lang w:val="en-US" w:eastAsia="zh-CN" w:bidi="ar"/>
        </w:rPr>
        <w:t>3.</w:t>
      </w:r>
      <w:r>
        <w:rPr>
          <w:rFonts w:hint="eastAsia" w:ascii="宋体" w:hAnsi="宋体" w:eastAsia="宋体" w:cs="宋体"/>
          <w:sz w:val="24"/>
          <w:lang w:bidi="ar"/>
        </w:rPr>
        <w:t>本次报价仅做磋商参考，不做成交依据。</w:t>
      </w:r>
    </w:p>
    <w:p>
      <w:pPr>
        <w:spacing w:line="288" w:lineRule="auto"/>
        <w:ind w:left="0"/>
        <w:jc w:val="both"/>
        <w:rPr>
          <w:rFonts w:hint="eastAsia" w:ascii="宋体" w:hAnsi="宋体" w:eastAsia="宋体" w:cs="宋体"/>
          <w:lang w:bidi="ar"/>
        </w:rPr>
      </w:pPr>
      <w:r>
        <w:rPr>
          <w:rFonts w:hint="eastAsia" w:ascii="宋体" w:hAnsi="宋体" w:eastAsia="宋体" w:cs="宋体"/>
          <w:sz w:val="24"/>
          <w:lang w:val="en-US" w:eastAsia="zh-CN" w:bidi="ar"/>
        </w:rPr>
        <w:t>4.</w:t>
      </w:r>
      <w:r>
        <w:rPr>
          <w:rFonts w:hint="eastAsia" w:ascii="宋体" w:hAnsi="宋体" w:eastAsia="宋体" w:cs="宋体"/>
          <w:sz w:val="24"/>
          <w:lang w:bidi="ar"/>
        </w:rPr>
        <w:t>报价不得超过总限价。</w:t>
      </w:r>
    </w:p>
    <w:p>
      <w:pPr>
        <w:keepNext w:val="0"/>
        <w:keepLines w:val="0"/>
        <w:widowControl w:val="0"/>
        <w:suppressLineNumbers w:val="0"/>
        <w:spacing w:before="0" w:beforeAutospacing="0" w:after="0" w:afterAutospacing="0" w:line="288" w:lineRule="auto"/>
        <w:ind w:left="0" w:right="0" w:firstLine="480" w:firstLineChars="20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500" w:lineRule="exact"/>
        <w:ind w:left="0" w:right="0" w:firstLine="4320" w:firstLineChars="1800"/>
        <w:jc w:val="both"/>
        <w:rPr>
          <w:rFonts w:hint="default" w:ascii="Times New Roman" w:hAnsi="Times New Roman" w:eastAsia="宋体" w:cs="宋体"/>
          <w:kern w:val="2"/>
          <w:sz w:val="24"/>
          <w:szCs w:val="24"/>
        </w:rPr>
      </w:pPr>
      <w:r>
        <w:rPr>
          <w:rFonts w:hint="default" w:ascii="Times New Roman" w:hAnsi="Times New Roman" w:eastAsia="宋体" w:cs="宋体"/>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供应商名称（盖章）：</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法定代表人或授权委托人（签字或盖章）：</w:t>
      </w:r>
    </w:p>
    <w:p>
      <w:pPr>
        <w:keepNext w:val="0"/>
        <w:keepLines w:val="0"/>
        <w:widowControl w:val="0"/>
        <w:suppressLineNumbers w:val="0"/>
        <w:snapToGrid w:val="0"/>
        <w:spacing w:before="0" w:beforeAutospacing="0" w:after="0" w:afterAutospacing="0" w:line="480" w:lineRule="exact"/>
        <w:ind w:left="0" w:right="0" w:firstLine="3840" w:firstLineChars="1600"/>
        <w:jc w:val="both"/>
      </w:pPr>
      <w:r>
        <w:rPr>
          <w:rFonts w:hint="eastAsia" w:ascii="宋体" w:hAnsi="宋体" w:eastAsia="宋体" w:cs="宋体"/>
          <w:kern w:val="2"/>
          <w:sz w:val="24"/>
          <w:szCs w:val="24"/>
          <w:lang w:val="en-US" w:eastAsia="zh-CN" w:bidi="ar"/>
        </w:rPr>
        <w:t>日期：     年   月   日</w:t>
      </w:r>
    </w:p>
    <w:p>
      <w:pPr>
        <w:rPr>
          <w:rFonts w:hint="default" w:ascii="Times New Roman" w:hAnsi="Times New Roman" w:eastAsia="宋体" w:cs="宋体"/>
          <w:kern w:val="2"/>
          <w:sz w:val="24"/>
          <w:szCs w:val="24"/>
        </w:rPr>
        <w:sectPr>
          <w:pgSz w:w="11906" w:h="16838"/>
          <w:pgMar w:top="1440" w:right="1080" w:bottom="1440" w:left="1080" w:header="737" w:footer="964" w:gutter="0"/>
          <w:pgBorders>
            <w:top w:val="thinThickSmallGap" w:color="auto" w:sz="12" w:space="10"/>
            <w:left w:val="none" w:sz="0" w:space="0"/>
            <w:bottom w:val="thinThickSmallGap" w:color="auto" w:sz="12" w:space="10"/>
            <w:right w:val="none" w:sz="0" w:space="0"/>
          </w:pgBorders>
          <w:cols w:space="720" w:num="1"/>
          <w:docGrid w:type="lines" w:linePitch="312" w:charSpace="0"/>
        </w:sectPr>
      </w:pPr>
    </w:p>
    <w:p>
      <w:pPr>
        <w:keepNext w:val="0"/>
        <w:keepLines w:val="0"/>
        <w:widowControl w:val="0"/>
        <w:suppressLineNumbers w:val="0"/>
        <w:spacing w:before="0" w:beforeAutospacing="0" w:after="0" w:afterAutospacing="0" w:line="360" w:lineRule="auto"/>
        <w:ind w:left="0" w:right="0" w:firstLine="0" w:firstLineChars="0"/>
        <w:jc w:val="both"/>
        <w:outlineLvl w:val="0"/>
        <w:rPr>
          <w:rFonts w:hint="eastAsia" w:ascii="宋体" w:hAnsi="宋体" w:cs="宋体"/>
          <w:b/>
          <w:bCs/>
          <w:kern w:val="2"/>
          <w:sz w:val="24"/>
          <w:szCs w:val="24"/>
          <w:lang w:val="en-US" w:eastAsia="zh-CN" w:bidi="ar"/>
        </w:rPr>
      </w:pPr>
      <w:bookmarkStart w:id="1281" w:name="_Toc25459"/>
      <w:bookmarkStart w:id="1282" w:name="_Toc18966"/>
      <w:bookmarkStart w:id="1283" w:name="_Toc5356"/>
      <w:r>
        <w:rPr>
          <w:rFonts w:hint="eastAsia" w:ascii="宋体" w:hAnsi="宋体" w:eastAsia="宋体" w:cs="宋体"/>
          <w:b/>
          <w:bCs/>
          <w:kern w:val="2"/>
          <w:sz w:val="24"/>
          <w:szCs w:val="24"/>
          <w:lang w:val="en-US" w:eastAsia="zh-CN" w:bidi="ar"/>
        </w:rPr>
        <w:t>附件</w:t>
      </w:r>
      <w:bookmarkEnd w:id="1281"/>
      <w:r>
        <w:rPr>
          <w:rFonts w:hint="eastAsia" w:ascii="宋体" w:hAnsi="宋体" w:cs="宋体"/>
          <w:b/>
          <w:bCs/>
          <w:kern w:val="2"/>
          <w:sz w:val="24"/>
          <w:szCs w:val="24"/>
          <w:lang w:val="en-US" w:eastAsia="zh-CN" w:bidi="ar"/>
        </w:rPr>
        <w:t>9</w:t>
      </w:r>
      <w:bookmarkEnd w:id="1282"/>
    </w:p>
    <w:p>
      <w:pPr>
        <w:spacing w:line="460" w:lineRule="exact"/>
        <w:ind w:firstLine="0" w:firstLineChars="0"/>
        <w:jc w:val="center"/>
        <w:rPr>
          <w:rFonts w:hint="eastAsia" w:ascii="宋体" w:hAnsi="宋体" w:eastAsia="宋体" w:cs="宋体"/>
          <w:b/>
          <w:bCs/>
          <w:sz w:val="30"/>
          <w:szCs w:val="30"/>
          <w:lang w:val="en-US" w:eastAsia="zh-CN" w:bidi="ar"/>
        </w:rPr>
      </w:pPr>
      <w:r>
        <w:rPr>
          <w:rFonts w:hint="eastAsia" w:ascii="宋体" w:hAnsi="宋体" w:eastAsia="宋体" w:cs="宋体"/>
          <w:b/>
          <w:bCs/>
          <w:kern w:val="2"/>
          <w:sz w:val="30"/>
          <w:szCs w:val="30"/>
          <w:lang w:val="en-US" w:eastAsia="zh-CN" w:bidi="ar"/>
        </w:rPr>
        <w:t>报价明细表</w:t>
      </w:r>
    </w:p>
    <w:bookmarkEnd w:id="1283"/>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Times New Roman" w:eastAsia="宋体" w:cs="宋体"/>
          <w:spacing w:val="-4"/>
          <w:kern w:val="2"/>
          <w:sz w:val="32"/>
          <w:szCs w:val="32"/>
        </w:rPr>
      </w:pPr>
      <w:r>
        <w:rPr>
          <w:rFonts w:hint="eastAsia" w:ascii="宋体" w:hAnsi="宋体" w:eastAsia="宋体" w:cs="宋体"/>
          <w:spacing w:val="-4"/>
          <w:kern w:val="2"/>
          <w:sz w:val="24"/>
          <w:szCs w:val="24"/>
          <w:lang w:val="en-US" w:eastAsia="zh-CN" w:bidi="ar"/>
        </w:rPr>
        <w:t xml:space="preserve">                            </w:t>
      </w:r>
      <w:r>
        <w:rPr>
          <w:rFonts w:hint="eastAsia" w:ascii="宋体" w:hAnsi="宋体" w:cs="宋体"/>
          <w:spacing w:val="-4"/>
          <w:kern w:val="2"/>
          <w:sz w:val="24"/>
          <w:szCs w:val="24"/>
          <w:lang w:val="en-US" w:eastAsia="zh-CN" w:bidi="ar"/>
        </w:rPr>
        <w:t xml:space="preserve">                               </w:t>
      </w:r>
      <w:r>
        <w:rPr>
          <w:rFonts w:hint="eastAsia" w:ascii="宋体" w:hAnsi="宋体" w:eastAsia="宋体" w:cs="宋体"/>
          <w:spacing w:val="-4"/>
          <w:kern w:val="2"/>
          <w:sz w:val="24"/>
          <w:szCs w:val="24"/>
          <w:lang w:val="en-US" w:eastAsia="zh-CN" w:bidi="ar"/>
        </w:rPr>
        <w:t xml:space="preserve"> </w:t>
      </w:r>
      <w:r>
        <w:rPr>
          <w:rFonts w:hint="eastAsia" w:ascii="宋体" w:hAnsi="宋体"/>
          <w:b/>
          <w:kern w:val="0"/>
          <w:sz w:val="24"/>
          <w:lang w:val="zh-CN"/>
        </w:rPr>
        <w:t>货币单位：人民币</w:t>
      </w:r>
      <w:r>
        <w:rPr>
          <w:rFonts w:hint="eastAsia" w:ascii="宋体" w:hAnsi="宋体"/>
          <w:b/>
          <w:kern w:val="0"/>
          <w:sz w:val="24"/>
          <w:lang w:val="en-US" w:eastAsia="zh-CN"/>
        </w:rPr>
        <w:t>/</w:t>
      </w:r>
      <w:r>
        <w:rPr>
          <w:rFonts w:hint="eastAsia" w:ascii="宋体" w:hAnsi="宋体"/>
          <w:b/>
          <w:kern w:val="0"/>
          <w:sz w:val="24"/>
          <w:lang w:val="zh-CN"/>
        </w:rPr>
        <w:t>元</w:t>
      </w:r>
      <w:r>
        <w:rPr>
          <w:rFonts w:hint="eastAsia" w:ascii="宋体" w:hAnsi="宋体" w:eastAsia="宋体" w:cs="宋体"/>
          <w:spacing w:val="-4"/>
          <w:kern w:val="2"/>
          <w:sz w:val="24"/>
          <w:szCs w:val="24"/>
          <w:lang w:val="en-US" w:eastAsia="zh-CN" w:bidi="ar"/>
        </w:rPr>
        <w:t xml:space="preserve">             </w:t>
      </w:r>
    </w:p>
    <w:tbl>
      <w:tblPr>
        <w:tblStyle w:val="36"/>
        <w:tblW w:w="987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8"/>
        <w:gridCol w:w="939"/>
        <w:gridCol w:w="1649"/>
        <w:gridCol w:w="1550"/>
        <w:gridCol w:w="1967"/>
        <w:gridCol w:w="1864"/>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6105"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支出项目</w:t>
            </w:r>
          </w:p>
        </w:tc>
        <w:tc>
          <w:tcPr>
            <w:tcW w:w="1864"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测算说明</w:t>
            </w:r>
          </w:p>
        </w:tc>
        <w:tc>
          <w:tcPr>
            <w:tcW w:w="1214"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年支出/元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w:t>
            </w:r>
          </w:p>
        </w:tc>
        <w:tc>
          <w:tcPr>
            <w:tcW w:w="939"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人工费用</w:t>
            </w: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人员名称</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数量</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人工工资、工资性附加</w:t>
            </w:r>
          </w:p>
        </w:tc>
        <w:tc>
          <w:tcPr>
            <w:tcW w:w="1864" w:type="dxa"/>
            <w:vMerge w:val="continue"/>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214" w:type="dxa"/>
            <w:vMerge w:val="continue"/>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保洁员</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8人</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8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440" w:firstLineChars="20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夜班值守</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1人</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8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440" w:firstLineChars="20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垃圾清运</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1人</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8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法定假日补助</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8人</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8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小计</w:t>
            </w: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总人数</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8人</w:t>
            </w: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二、</w:t>
            </w:r>
          </w:p>
        </w:tc>
        <w:tc>
          <w:tcPr>
            <w:tcW w:w="939" w:type="dxa"/>
            <w:vMerge w:val="restart"/>
            <w:tcBorders>
              <w:top w:val="nil"/>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其他费用</w:t>
            </w: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项目名称</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数量</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支出金额</w:t>
            </w:r>
          </w:p>
        </w:tc>
        <w:tc>
          <w:tcPr>
            <w:tcW w:w="18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测算说明</w:t>
            </w: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年支出/元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保洁用品费</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一年</w:t>
            </w: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保洁工具费</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一年</w:t>
            </w: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垃圾袋</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一年</w:t>
            </w: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绿化植被修剪</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一年</w:t>
            </w: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降温费</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一年</w:t>
            </w: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意外保险费</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一年</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8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sz w:val="24"/>
                <w:szCs w:val="24"/>
              </w:rPr>
            </w:pPr>
          </w:p>
        </w:tc>
        <w:tc>
          <w:tcPr>
            <w:tcW w:w="93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小计</w:t>
            </w:r>
          </w:p>
        </w:tc>
        <w:tc>
          <w:tcPr>
            <w:tcW w:w="1649"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939" w:type="dxa"/>
            <w:tcBorders>
              <w:top w:val="nil"/>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合计</w:t>
            </w: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93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管理费</w:t>
            </w: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93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共计</w:t>
            </w: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合计+管理费</w:t>
            </w: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bl>
    <w:p>
      <w:pPr>
        <w:spacing w:before="0" w:line="360" w:lineRule="auto"/>
        <w:ind w:left="0" w:right="0" w:firstLine="240" w:firstLineChars="100"/>
        <w:jc w:val="both"/>
      </w:pPr>
      <w:r>
        <w:rPr>
          <w:rFonts w:hint="eastAsia" w:ascii="宋体" w:hAnsi="宋体" w:eastAsia="宋体" w:cs="宋体"/>
          <w:kern w:val="2"/>
          <w:sz w:val="24"/>
          <w:szCs w:val="24"/>
          <w:lang w:val="en-US" w:eastAsia="zh-CN" w:bidi="ar"/>
        </w:rPr>
        <w:t>注：</w:t>
      </w:r>
      <w:r>
        <w:rPr>
          <w:spacing w:val="-12"/>
        </w:rPr>
        <w:t>上述表格式供参考，供应商可自制，报价应包括完成项目的所有费用，若遗漏或未</w:t>
      </w:r>
      <w:r>
        <w:t>列明，</w:t>
      </w:r>
      <w:r>
        <w:rPr>
          <w:rFonts w:hint="eastAsia"/>
          <w:lang w:eastAsia="zh-CN"/>
        </w:rPr>
        <w:t>包含</w:t>
      </w:r>
      <w:r>
        <w:t>在投标报价中。</w:t>
      </w:r>
    </w:p>
    <w:p>
      <w:pPr>
        <w:pStyle w:val="35"/>
        <w:widowControl/>
        <w:ind w:left="0" w:firstLine="240"/>
        <w:rPr>
          <w:rFonts w:hint="default" w:ascii="Times New Roman" w:hAnsi="Times New Roman" w:eastAsia="宋体" w:cs="宋体"/>
          <w:bCs/>
          <w:kern w:val="2"/>
          <w:sz w:val="24"/>
          <w:szCs w:val="24"/>
        </w:rPr>
      </w:pPr>
      <w:r>
        <w:rPr>
          <w:rFonts w:hint="default" w:ascii="Times New Roman" w:hAnsi="Times New Roman" w:eastAsia="宋体" w:cs="宋体"/>
          <w:bCs/>
          <w:kern w:val="2"/>
          <w:sz w:val="24"/>
          <w:szCs w:val="24"/>
        </w:rPr>
        <w:t xml:space="preserve"> </w:t>
      </w:r>
    </w:p>
    <w:p>
      <w:pPr>
        <w:keepNext w:val="0"/>
        <w:keepLines w:val="0"/>
        <w:widowControl w:val="0"/>
        <w:suppressLineNumbers w:val="0"/>
        <w:spacing w:before="0" w:beforeAutospacing="0" w:after="0" w:afterAutospacing="0" w:line="500" w:lineRule="exact"/>
        <w:ind w:left="0" w:right="0" w:firstLine="480" w:firstLineChars="200"/>
        <w:jc w:val="both"/>
        <w:rPr>
          <w:rFonts w:hint="default" w:ascii="Times New Roman" w:hAnsi="Times New Roman" w:eastAsia="宋体" w:cs="宋体"/>
          <w:kern w:val="2"/>
          <w:sz w:val="24"/>
          <w:szCs w:val="24"/>
        </w:rPr>
      </w:pPr>
      <w:r>
        <w:rPr>
          <w:rFonts w:hint="default" w:ascii="Times New Roman" w:hAnsi="Times New Roman" w:eastAsia="宋体" w:cs="宋体"/>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供应商名称（盖章）：</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法定代表人或授权委托人（签字或盖章）：</w:t>
      </w:r>
    </w:p>
    <w:p>
      <w:pPr>
        <w:keepNext w:val="0"/>
        <w:keepLines w:val="0"/>
        <w:widowControl w:val="0"/>
        <w:suppressLineNumbers w:val="0"/>
        <w:snapToGrid w:val="0"/>
        <w:spacing w:before="0" w:beforeAutospacing="0" w:after="0" w:afterAutospacing="0" w:line="480" w:lineRule="exact"/>
        <w:ind w:left="0" w:right="0" w:firstLine="3840" w:firstLineChars="1600"/>
        <w:jc w:val="both"/>
      </w:pPr>
      <w:r>
        <w:rPr>
          <w:rFonts w:hint="eastAsia" w:ascii="宋体" w:hAnsi="宋体" w:eastAsia="宋体" w:cs="宋体"/>
          <w:kern w:val="2"/>
          <w:sz w:val="24"/>
          <w:szCs w:val="24"/>
          <w:lang w:val="en-US" w:eastAsia="zh-CN" w:bidi="ar"/>
        </w:rPr>
        <w:t>日期：     年   月   日</w:t>
      </w:r>
    </w:p>
    <w:p>
      <w:pPr>
        <w:rPr>
          <w:rFonts w:hint="default" w:ascii="Times New Roman" w:hAnsi="Times New Roman" w:eastAsia="宋体" w:cs="宋体"/>
          <w:kern w:val="2"/>
          <w:sz w:val="24"/>
          <w:szCs w:val="24"/>
        </w:rPr>
        <w:sectPr>
          <w:pgSz w:w="11906" w:h="16838"/>
          <w:pgMar w:top="1440" w:right="1080" w:bottom="1440" w:left="1080" w:header="737" w:footer="964" w:gutter="0"/>
          <w:pgBorders>
            <w:top w:val="thinThickSmallGap" w:color="auto" w:sz="12" w:space="10"/>
            <w:left w:val="none" w:sz="0" w:space="0"/>
            <w:bottom w:val="thinThickSmallGap" w:color="auto" w:sz="12" w:space="10"/>
            <w:right w:val="none" w:sz="0" w:space="0"/>
          </w:pgBorders>
          <w:cols w:space="720" w:num="1"/>
          <w:docGrid w:type="lines" w:linePitch="312" w:charSpace="0"/>
        </w:sectPr>
      </w:pPr>
    </w:p>
    <w:p>
      <w:pPr>
        <w:keepNext w:val="0"/>
        <w:keepLines w:val="0"/>
        <w:widowControl w:val="0"/>
        <w:suppressLineNumbers w:val="0"/>
        <w:spacing w:before="0" w:beforeAutospacing="0" w:after="0" w:afterAutospacing="0" w:line="360" w:lineRule="auto"/>
        <w:ind w:left="0" w:right="0" w:firstLine="0" w:firstLineChars="0"/>
        <w:jc w:val="both"/>
        <w:outlineLvl w:val="0"/>
        <w:rPr>
          <w:rFonts w:hint="default" w:ascii="宋体" w:hAnsi="宋体" w:eastAsia="宋体" w:cs="宋体"/>
          <w:b/>
          <w:bCs/>
          <w:kern w:val="2"/>
          <w:sz w:val="24"/>
          <w:szCs w:val="24"/>
          <w:lang w:val="en-US" w:eastAsia="zh-CN" w:bidi="ar"/>
        </w:rPr>
      </w:pPr>
      <w:bookmarkStart w:id="1284" w:name="_Toc14242"/>
      <w:r>
        <w:rPr>
          <w:rFonts w:hint="eastAsia" w:ascii="宋体" w:hAnsi="宋体" w:eastAsia="宋体" w:cs="宋体"/>
          <w:b/>
          <w:bCs/>
          <w:kern w:val="2"/>
          <w:sz w:val="24"/>
          <w:szCs w:val="24"/>
          <w:lang w:val="en-US" w:eastAsia="zh-CN" w:bidi="ar"/>
        </w:rPr>
        <w:t>附件</w:t>
      </w:r>
      <w:r>
        <w:rPr>
          <w:rFonts w:hint="eastAsia" w:ascii="宋体" w:hAnsi="宋体" w:cs="宋体"/>
          <w:b/>
          <w:bCs/>
          <w:kern w:val="2"/>
          <w:sz w:val="24"/>
          <w:szCs w:val="24"/>
          <w:lang w:val="en-US" w:eastAsia="zh-CN" w:bidi="ar"/>
        </w:rPr>
        <w:t>10</w:t>
      </w:r>
      <w:bookmarkEnd w:id="1284"/>
    </w:p>
    <w:p>
      <w:pPr>
        <w:keepNext w:val="0"/>
        <w:keepLines w:val="0"/>
        <w:widowControl w:val="0"/>
        <w:suppressLineNumbers w:val="0"/>
        <w:spacing w:before="0" w:beforeAutospacing="0" w:after="0" w:afterAutospacing="0" w:line="360" w:lineRule="auto"/>
        <w:ind w:left="0" w:right="0" w:firstLine="0" w:firstLineChars="0"/>
        <w:jc w:val="center"/>
        <w:outlineLvl w:val="0"/>
        <w:rPr>
          <w:rFonts w:hint="eastAsia" w:ascii="宋体" w:hAnsi="宋体" w:eastAsia="宋体" w:cs="宋体"/>
          <w:b/>
          <w:bCs w:val="0"/>
          <w:spacing w:val="-4"/>
          <w:kern w:val="2"/>
          <w:sz w:val="32"/>
          <w:szCs w:val="32"/>
        </w:rPr>
      </w:pPr>
      <w:bookmarkStart w:id="1285" w:name="_Toc4080"/>
      <w:r>
        <w:rPr>
          <w:rFonts w:hint="eastAsia" w:ascii="宋体" w:hAnsi="宋体" w:eastAsia="宋体" w:cs="宋体"/>
          <w:b/>
          <w:bCs w:val="0"/>
          <w:spacing w:val="-4"/>
          <w:kern w:val="2"/>
          <w:sz w:val="32"/>
          <w:szCs w:val="32"/>
          <w:lang w:val="en-US" w:eastAsia="zh-CN" w:bidi="ar"/>
        </w:rPr>
        <w:t>最终报价一览表</w:t>
      </w:r>
      <w:bookmarkEnd w:id="1285"/>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b/>
          <w:bCs/>
          <w:sz w:val="24"/>
          <w:szCs w:val="24"/>
        </w:rPr>
      </w:pPr>
      <w:r>
        <w:rPr>
          <w:rFonts w:hint="eastAsia" w:ascii="宋体" w:hAnsi="宋体" w:eastAsia="宋体" w:cs="宋体"/>
          <w:spacing w:val="-4"/>
          <w:kern w:val="2"/>
          <w:sz w:val="24"/>
          <w:szCs w:val="24"/>
          <w:lang w:val="en-US" w:eastAsia="zh-CN" w:bidi="ar"/>
        </w:rPr>
        <w:t xml:space="preserve">                                  </w:t>
      </w:r>
      <w:r>
        <w:rPr>
          <w:rFonts w:hint="eastAsia" w:ascii="宋体" w:hAnsi="宋体" w:cs="宋体"/>
          <w:spacing w:val="-4"/>
          <w:kern w:val="2"/>
          <w:sz w:val="24"/>
          <w:szCs w:val="24"/>
          <w:lang w:val="en-US" w:eastAsia="zh-CN" w:bidi="ar"/>
        </w:rPr>
        <w:t xml:space="preserve">                             </w:t>
      </w:r>
      <w:r>
        <w:rPr>
          <w:rFonts w:hint="eastAsia" w:ascii="宋体" w:hAnsi="宋体"/>
          <w:b/>
          <w:kern w:val="0"/>
          <w:sz w:val="24"/>
          <w:lang w:val="zh-CN"/>
        </w:rPr>
        <w:t>货币单位：人民币</w:t>
      </w:r>
      <w:r>
        <w:rPr>
          <w:rFonts w:hint="eastAsia" w:ascii="宋体" w:hAnsi="宋体"/>
          <w:b/>
          <w:kern w:val="0"/>
          <w:sz w:val="24"/>
          <w:lang w:val="en-US" w:eastAsia="zh-CN"/>
        </w:rPr>
        <w:t>/</w:t>
      </w:r>
      <w:r>
        <w:rPr>
          <w:rFonts w:hint="eastAsia" w:ascii="宋体" w:hAnsi="宋体"/>
          <w:b/>
          <w:kern w:val="0"/>
          <w:sz w:val="24"/>
          <w:lang w:val="zh-CN"/>
        </w:rPr>
        <w:t>元</w:t>
      </w:r>
      <w:r>
        <w:rPr>
          <w:rFonts w:hint="eastAsia" w:ascii="宋体" w:hAnsi="宋体" w:eastAsia="宋体" w:cs="宋体"/>
          <w:spacing w:val="-4"/>
          <w:kern w:val="2"/>
          <w:sz w:val="24"/>
          <w:szCs w:val="24"/>
          <w:lang w:val="en-US" w:eastAsia="zh-CN" w:bidi="ar"/>
        </w:rPr>
        <w:t xml:space="preserve">   </w:t>
      </w:r>
    </w:p>
    <w:tbl>
      <w:tblPr>
        <w:tblStyle w:val="36"/>
        <w:tblW w:w="987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8"/>
        <w:gridCol w:w="939"/>
        <w:gridCol w:w="1649"/>
        <w:gridCol w:w="1550"/>
        <w:gridCol w:w="1967"/>
        <w:gridCol w:w="1864"/>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firstLine="0" w:firstLineChars="0"/>
              <w:jc w:val="both"/>
              <w:textAlignment w:val="auto"/>
              <w:rPr>
                <w:rFonts w:hint="eastAsia" w:ascii="宋体" w:hAnsi="宋体" w:eastAsia="宋体" w:cs="宋体"/>
                <w:i w:val="0"/>
                <w:iCs w:val="0"/>
                <w:color w:val="000000"/>
                <w:kern w:val="2"/>
                <w:sz w:val="22"/>
                <w:szCs w:val="22"/>
              </w:rPr>
            </w:pPr>
            <w:r>
              <w:rPr>
                <w:rFonts w:hint="eastAsia" w:ascii="宋体" w:hAnsi="宋体" w:eastAsia="宋体" w:cs="宋体"/>
                <w:b/>
                <w:bCs/>
                <w:kern w:val="2"/>
                <w:sz w:val="24"/>
                <w:szCs w:val="24"/>
                <w:lang w:val="en-US" w:eastAsia="zh-CN" w:bidi="ar"/>
              </w:rPr>
              <w:t xml:space="preserve"> </w:t>
            </w:r>
            <w:r>
              <w:rPr>
                <w:rFonts w:hint="eastAsia" w:ascii="宋体" w:hAnsi="宋体" w:eastAsia="宋体" w:cs="宋体"/>
                <w:i w:val="0"/>
                <w:iCs w:val="0"/>
                <w:color w:val="000000"/>
                <w:kern w:val="0"/>
                <w:sz w:val="22"/>
                <w:szCs w:val="22"/>
                <w:lang w:val="en-US" w:eastAsia="zh-CN" w:bidi="ar"/>
              </w:rPr>
              <w:t>序号</w:t>
            </w:r>
          </w:p>
        </w:tc>
        <w:tc>
          <w:tcPr>
            <w:tcW w:w="6105"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支出项目</w:t>
            </w:r>
          </w:p>
        </w:tc>
        <w:tc>
          <w:tcPr>
            <w:tcW w:w="1864"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测算说明</w:t>
            </w:r>
          </w:p>
        </w:tc>
        <w:tc>
          <w:tcPr>
            <w:tcW w:w="1214"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年支出/元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w:t>
            </w:r>
          </w:p>
        </w:tc>
        <w:tc>
          <w:tcPr>
            <w:tcW w:w="939"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人工费用</w:t>
            </w: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人员名称</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数量</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人工工资、工资性附加</w:t>
            </w:r>
          </w:p>
        </w:tc>
        <w:tc>
          <w:tcPr>
            <w:tcW w:w="1864" w:type="dxa"/>
            <w:vMerge w:val="continue"/>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214" w:type="dxa"/>
            <w:vMerge w:val="continue"/>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保洁员</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8人</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8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440" w:firstLineChars="20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夜班值守</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1人</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8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440" w:firstLineChars="20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垃圾清运</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1人</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8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法定假日补助</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8人</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8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小计</w:t>
            </w: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总人数</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8人</w:t>
            </w: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二、</w:t>
            </w:r>
          </w:p>
        </w:tc>
        <w:tc>
          <w:tcPr>
            <w:tcW w:w="939" w:type="dxa"/>
            <w:vMerge w:val="restart"/>
            <w:tcBorders>
              <w:top w:val="nil"/>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其他费用</w:t>
            </w: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项目名称</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数量</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支出金额</w:t>
            </w:r>
          </w:p>
        </w:tc>
        <w:tc>
          <w:tcPr>
            <w:tcW w:w="18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测算说明</w:t>
            </w: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年支出/元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保洁用品费</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一年</w:t>
            </w: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保洁工具费</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一年</w:t>
            </w: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垃圾袋</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一年</w:t>
            </w: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绿化植被修剪</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一年</w:t>
            </w: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降温费</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一年</w:t>
            </w: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939" w:type="dxa"/>
            <w:vMerge w:val="continue"/>
            <w:tcBorders>
              <w:top w:val="nil"/>
              <w:left w:val="nil"/>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sz w:val="24"/>
                <w:szCs w:val="24"/>
              </w:rPr>
            </w:pP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意外保险费</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一年</w:t>
            </w:r>
          </w:p>
        </w:tc>
        <w:tc>
          <w:tcPr>
            <w:tcW w:w="1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8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sz w:val="24"/>
                <w:szCs w:val="24"/>
              </w:rPr>
            </w:pPr>
          </w:p>
        </w:tc>
        <w:tc>
          <w:tcPr>
            <w:tcW w:w="93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小计</w:t>
            </w:r>
          </w:p>
        </w:tc>
        <w:tc>
          <w:tcPr>
            <w:tcW w:w="1649"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939" w:type="dxa"/>
            <w:tcBorders>
              <w:top w:val="nil"/>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合计</w:t>
            </w: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93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管理费</w:t>
            </w: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93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共计</w:t>
            </w:r>
          </w:p>
        </w:tc>
        <w:tc>
          <w:tcPr>
            <w:tcW w:w="16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c>
          <w:tcPr>
            <w:tcW w:w="38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合计+管理费</w:t>
            </w:r>
          </w:p>
        </w:tc>
        <w:tc>
          <w:tcPr>
            <w:tcW w:w="12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i w:val="0"/>
                <w:iCs w:val="0"/>
                <w:color w:val="000000"/>
                <w:kern w:val="0"/>
                <w:sz w:val="22"/>
                <w:szCs w:val="22"/>
              </w:rPr>
            </w:pPr>
          </w:p>
        </w:tc>
      </w:tr>
    </w:tbl>
    <w:p>
      <w:pPr>
        <w:pStyle w:val="16"/>
        <w:spacing w:before="80" w:line="312" w:lineRule="auto"/>
        <w:ind w:left="500" w:right="517" w:firstLine="480"/>
        <w:rPr>
          <w:rFonts w:hint="eastAsia" w:ascii="宋体" w:hAnsi="宋体" w:eastAsia="宋体" w:cs="宋体"/>
        </w:rPr>
      </w:pPr>
      <w:r>
        <w:rPr>
          <w:rFonts w:hint="eastAsia" w:ascii="宋体" w:hAnsi="宋体" w:eastAsia="宋体" w:cs="宋体"/>
          <w:b/>
          <w:bCs/>
          <w:spacing w:val="-12"/>
          <w:lang w:val="en-US" w:eastAsia="zh-CN"/>
        </w:rPr>
        <w:t>注：</w:t>
      </w:r>
      <w:r>
        <w:rPr>
          <w:rFonts w:hint="eastAsia" w:ascii="宋体" w:hAnsi="宋体" w:eastAsia="宋体" w:cs="宋体"/>
          <w:b/>
          <w:bCs/>
          <w:spacing w:val="-12"/>
        </w:rPr>
        <w:t>此表无需在制作竞争性磋商响应文件时填写，作为磋商过程后</w:t>
      </w:r>
      <w:r>
        <w:rPr>
          <w:rFonts w:hint="eastAsia" w:ascii="宋体" w:hAnsi="宋体" w:eastAsia="宋体" w:cs="宋体"/>
          <w:b/>
          <w:bCs/>
          <w:spacing w:val="-12"/>
          <w:lang w:val="en-US" w:eastAsia="zh-CN"/>
        </w:rPr>
        <w:t>最终</w:t>
      </w:r>
      <w:r>
        <w:rPr>
          <w:rFonts w:hint="eastAsia" w:ascii="宋体" w:hAnsi="宋体" w:eastAsia="宋体" w:cs="宋体"/>
          <w:b/>
          <w:bCs/>
          <w:spacing w:val="-12"/>
        </w:rPr>
        <w:t>报价时填写</w:t>
      </w:r>
      <w:r>
        <w:rPr>
          <w:rFonts w:hint="eastAsia" w:ascii="宋体" w:hAnsi="宋体" w:eastAsia="宋体" w:cs="宋体"/>
          <w:b/>
          <w:bCs/>
          <w:spacing w:val="-12"/>
          <w:lang w:val="en-US" w:eastAsia="zh-CN"/>
        </w:rPr>
        <w:t>并发送至951172785@qq.com</w:t>
      </w:r>
      <w:r>
        <w:rPr>
          <w:rFonts w:hint="eastAsia" w:ascii="宋体" w:hAnsi="宋体" w:eastAsia="宋体" w:cs="宋体"/>
          <w:b/>
          <w:bCs/>
          <w:spacing w:val="-12"/>
        </w:rPr>
        <w:t>。</w:t>
      </w:r>
      <w:r>
        <w:rPr>
          <w:rFonts w:hint="eastAsia" w:ascii="宋体" w:hAnsi="宋体" w:eastAsia="宋体" w:cs="宋体"/>
          <w:b/>
          <w:bCs/>
          <w:spacing w:val="-12"/>
          <w:lang w:val="en-US" w:eastAsia="zh-CN"/>
        </w:rPr>
        <w:t>最终</w:t>
      </w:r>
      <w:r>
        <w:rPr>
          <w:rFonts w:hint="eastAsia" w:ascii="宋体" w:hAnsi="宋体" w:eastAsia="宋体" w:cs="宋体"/>
          <w:b/>
          <w:bCs/>
          <w:spacing w:val="-12"/>
        </w:rPr>
        <w:t>报价由各供应商在规定的时间内在衢州市阳光交易服务平台https://qzygjy.com/在线完成。</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供应商名称（盖章）：</w:t>
      </w:r>
    </w:p>
    <w:p>
      <w:pPr>
        <w:keepNext w:val="0"/>
        <w:keepLines w:val="0"/>
        <w:widowControl w:val="0"/>
        <w:suppressLineNumbers w:val="0"/>
        <w:snapToGrid w:val="0"/>
        <w:spacing w:before="0" w:beforeAutospacing="0" w:after="0" w:afterAutospacing="0" w:line="480" w:lineRule="exact"/>
        <w:ind w:left="0" w:right="0" w:firstLine="3840" w:firstLineChars="16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法定代表人或授权委托人（签字或盖章）：</w:t>
      </w:r>
    </w:p>
    <w:p>
      <w:pPr>
        <w:keepNext w:val="0"/>
        <w:keepLines w:val="0"/>
        <w:widowControl w:val="0"/>
        <w:suppressLineNumbers w:val="0"/>
        <w:snapToGrid w:val="0"/>
        <w:spacing w:before="0" w:beforeAutospacing="0" w:after="0" w:afterAutospacing="0" w:line="480" w:lineRule="exact"/>
        <w:ind w:left="0" w:right="0" w:firstLine="3840" w:firstLineChars="1600"/>
        <w:jc w:val="both"/>
      </w:pPr>
      <w:r>
        <w:rPr>
          <w:rFonts w:hint="eastAsia" w:ascii="宋体" w:hAnsi="宋体" w:eastAsia="宋体" w:cs="宋体"/>
          <w:kern w:val="2"/>
          <w:sz w:val="24"/>
          <w:szCs w:val="24"/>
          <w:lang w:val="en-US" w:eastAsia="zh-CN" w:bidi="ar"/>
        </w:rPr>
        <w:t>日期：     年   月   日</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b/>
          <w:bCs/>
          <w:sz w:val="24"/>
          <w:szCs w:val="24"/>
        </w:rPr>
      </w:pP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 xml:space="preserve"> </w:t>
      </w:r>
    </w:p>
    <w:p>
      <w:pPr>
        <w:widowControl w:val="0"/>
        <w:rPr>
          <w:rFonts w:hint="eastAsia" w:ascii="宋体" w:hAnsi="宋体" w:eastAsia="宋体" w:cs="宋体"/>
          <w:b/>
          <w:bCs/>
          <w:kern w:val="2"/>
          <w:sz w:val="24"/>
          <w:szCs w:val="24"/>
          <w:lang w:val="en-US" w:eastAsia="zh-CN" w:bidi="ar"/>
        </w:rPr>
      </w:pPr>
      <w:bookmarkStart w:id="1286" w:name="_Toc8208"/>
      <w:bookmarkStart w:id="1287" w:name="_Toc16326"/>
    </w:p>
    <w:p>
      <w:pPr>
        <w:keepNext w:val="0"/>
        <w:keepLines w:val="0"/>
        <w:widowControl w:val="0"/>
        <w:suppressLineNumbers w:val="0"/>
        <w:spacing w:before="0" w:beforeAutospacing="0" w:after="0" w:afterAutospacing="0" w:line="360" w:lineRule="auto"/>
        <w:ind w:left="0" w:right="0" w:firstLine="0" w:firstLineChars="0"/>
        <w:jc w:val="both"/>
        <w:outlineLvl w:val="0"/>
        <w:rPr>
          <w:rFonts w:hint="default" w:ascii="宋体" w:hAnsi="宋体" w:eastAsia="仿宋" w:cs="宋体"/>
          <w:b/>
          <w:bCs w:val="0"/>
          <w:spacing w:val="-4"/>
          <w:kern w:val="2"/>
          <w:sz w:val="32"/>
          <w:szCs w:val="32"/>
          <w:lang w:val="en-US"/>
        </w:rPr>
      </w:pPr>
      <w:bookmarkStart w:id="1288" w:name="_Toc10104"/>
      <w:r>
        <w:rPr>
          <w:rFonts w:hint="eastAsia" w:ascii="宋体" w:hAnsi="宋体" w:eastAsia="宋体" w:cs="宋体"/>
          <w:b/>
          <w:bCs/>
          <w:kern w:val="2"/>
          <w:sz w:val="24"/>
          <w:szCs w:val="24"/>
          <w:lang w:val="en-US" w:eastAsia="zh-CN" w:bidi="ar"/>
        </w:rPr>
        <w:t>附件</w:t>
      </w:r>
      <w:bookmarkEnd w:id="1286"/>
      <w:bookmarkEnd w:id="1287"/>
      <w:r>
        <w:rPr>
          <w:rFonts w:hint="eastAsia" w:ascii="宋体" w:hAnsi="宋体" w:cs="宋体"/>
          <w:b/>
          <w:bCs/>
          <w:kern w:val="2"/>
          <w:sz w:val="24"/>
          <w:szCs w:val="24"/>
          <w:lang w:val="en-US" w:eastAsia="zh-CN" w:bidi="ar"/>
        </w:rPr>
        <w:t>11</w:t>
      </w:r>
      <w:bookmarkEnd w:id="1288"/>
    </w:p>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Times New Roman" w:eastAsia="宋体" w:cs="宋体"/>
          <w:b/>
          <w:bCs w:val="0"/>
          <w:kern w:val="2"/>
          <w:sz w:val="30"/>
          <w:szCs w:val="30"/>
        </w:rPr>
      </w:pPr>
      <w:r>
        <w:rPr>
          <w:rFonts w:hint="eastAsia" w:ascii="宋体" w:hAnsi="宋体" w:eastAsia="宋体" w:cs="宋体"/>
          <w:b/>
          <w:bCs w:val="0"/>
          <w:kern w:val="2"/>
          <w:sz w:val="30"/>
          <w:szCs w:val="30"/>
          <w:lang w:val="en-US" w:eastAsia="zh-CN" w:bidi="ar"/>
        </w:rPr>
        <w:t>中小企业声明函、监狱企业、残疾人福利性单位及其他相关的充分的证明材料中小企业声明函及其相关的充分的证明材料</w:t>
      </w:r>
    </w:p>
    <w:p>
      <w:pPr>
        <w:keepNext w:val="0"/>
        <w:keepLines w:val="0"/>
        <w:widowControl w:val="0"/>
        <w:suppressLineNumbers w:val="0"/>
        <w:spacing w:before="0" w:beforeAutospacing="0" w:after="0" w:afterAutospacing="0" w:line="500" w:lineRule="exact"/>
        <w:ind w:left="0" w:right="0" w:firstLine="602" w:firstLineChars="200"/>
        <w:jc w:val="center"/>
        <w:rPr>
          <w:rFonts w:hint="eastAsia" w:ascii="宋体" w:hAnsi="Times New Roman" w:eastAsia="宋体" w:cs="Arial"/>
          <w:b/>
          <w:bCs/>
          <w:kern w:val="0"/>
          <w:sz w:val="30"/>
          <w:szCs w:val="30"/>
        </w:rPr>
      </w:pPr>
      <w:r>
        <w:rPr>
          <w:rFonts w:hint="eastAsia" w:ascii="宋体" w:hAnsi="宋体" w:eastAsia="宋体" w:cs="宋体"/>
          <w:b/>
          <w:bCs/>
          <w:kern w:val="0"/>
          <w:sz w:val="30"/>
          <w:szCs w:val="30"/>
          <w:lang w:val="en-US" w:eastAsia="zh-CN" w:bidi="ar"/>
        </w:rPr>
        <w:t>中小企业声明函（服务）</w:t>
      </w:r>
    </w:p>
    <w:p>
      <w:pPr>
        <w:keepNext w:val="0"/>
        <w:keepLines w:val="0"/>
        <w:widowControl w:val="0"/>
        <w:suppressLineNumbers w:val="0"/>
        <w:spacing w:before="0" w:beforeAutospacing="0" w:after="0" w:afterAutospacing="0" w:line="500" w:lineRule="exact"/>
        <w:ind w:left="0" w:right="0" w:firstLine="0" w:firstLineChars="0"/>
        <w:jc w:val="both"/>
        <w:rPr>
          <w:rFonts w:hint="default" w:ascii="Times New Roman" w:hAnsi="Times New Roman" w:eastAsia="宋体" w:cs="宋体"/>
          <w:kern w:val="2"/>
          <w:sz w:val="24"/>
          <w:szCs w:val="24"/>
        </w:rPr>
      </w:pPr>
      <w:r>
        <w:rPr>
          <w:rFonts w:hint="default" w:ascii="Times New Roman" w:hAnsi="Times New Roman"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Times New Roman" w:eastAsia="宋体" w:cs="Arial"/>
          <w:bCs/>
          <w:kern w:val="0"/>
          <w:sz w:val="24"/>
          <w:szCs w:val="24"/>
        </w:rPr>
      </w:pPr>
      <w:r>
        <w:rPr>
          <w:rFonts w:hint="eastAsia" w:ascii="宋体" w:hAnsi="宋体" w:eastAsia="宋体" w:cs="宋体"/>
          <w:bCs/>
          <w:kern w:val="0"/>
          <w:sz w:val="24"/>
          <w:szCs w:val="24"/>
          <w:lang w:val="en-US" w:eastAsia="zh-CN" w:bidi="ar"/>
        </w:rPr>
        <w:t>本公司郑重声明，根据《政府采购促进中小企业发展管理办法》（财库</w:t>
      </w:r>
      <w:r>
        <w:rPr>
          <w:rFonts w:hint="eastAsia" w:ascii="宋体" w:hAnsi="宋体" w:eastAsia="宋体" w:cs="宋体"/>
          <w:kern w:val="2"/>
          <w:sz w:val="24"/>
          <w:szCs w:val="24"/>
          <w:lang w:val="en-US" w:eastAsia="zh-CN" w:bidi="ar"/>
        </w:rPr>
        <w:t>〔2020〕</w:t>
      </w:r>
      <w:r>
        <w:rPr>
          <w:rFonts w:hint="eastAsia" w:ascii="宋体" w:hAnsi="宋体" w:eastAsia="宋体" w:cs="Arial"/>
          <w:bCs/>
          <w:kern w:val="0"/>
          <w:sz w:val="24"/>
          <w:szCs w:val="24"/>
          <w:lang w:val="en-US" w:eastAsia="zh-CN" w:bidi="ar"/>
        </w:rPr>
        <w:t xml:space="preserve">46 </w:t>
      </w:r>
      <w:r>
        <w:rPr>
          <w:rFonts w:hint="eastAsia" w:ascii="宋体" w:hAnsi="宋体" w:eastAsia="宋体" w:cs="宋体"/>
          <w:bCs/>
          <w:kern w:val="0"/>
          <w:sz w:val="24"/>
          <w:szCs w:val="24"/>
          <w:lang w:val="en-US" w:eastAsia="zh-CN" w:bidi="ar"/>
        </w:rPr>
        <w:t>号）的规定，本公司参加</w:t>
      </w:r>
      <w:r>
        <w:rPr>
          <w:rFonts w:hint="eastAsia" w:ascii="宋体" w:hAnsi="宋体" w:eastAsia="宋体" w:cs="Arial"/>
          <w:bCs/>
          <w:kern w:val="0"/>
          <w:sz w:val="24"/>
          <w:szCs w:val="24"/>
          <w:lang w:val="en-US" w:eastAsia="zh-CN" w:bidi="ar"/>
        </w:rPr>
        <w:t>__________________</w:t>
      </w:r>
      <w:r>
        <w:rPr>
          <w:rFonts w:hint="eastAsia" w:ascii="宋体" w:hAnsi="宋体" w:eastAsia="宋体" w:cs="宋体"/>
          <w:bCs/>
          <w:kern w:val="0"/>
          <w:sz w:val="24"/>
          <w:szCs w:val="24"/>
          <w:lang w:val="en-US" w:eastAsia="zh-CN" w:bidi="ar"/>
        </w:rPr>
        <w:t>（单位名称）</w:t>
      </w:r>
      <w:r>
        <w:rPr>
          <w:rFonts w:hint="eastAsia" w:ascii="宋体" w:hAnsi="宋体" w:eastAsia="宋体" w:cs="Arial"/>
          <w:bCs/>
          <w:kern w:val="0"/>
          <w:sz w:val="24"/>
          <w:szCs w:val="24"/>
          <w:lang w:val="en-US" w:eastAsia="zh-CN" w:bidi="ar"/>
        </w:rPr>
        <w:t xml:space="preserve"> </w:t>
      </w:r>
      <w:r>
        <w:rPr>
          <w:rFonts w:hint="eastAsia" w:ascii="宋体" w:hAnsi="宋体" w:eastAsia="宋体" w:cs="宋体"/>
          <w:bCs/>
          <w:kern w:val="0"/>
          <w:sz w:val="24"/>
          <w:szCs w:val="24"/>
          <w:lang w:val="en-US" w:eastAsia="zh-CN" w:bidi="ar"/>
        </w:rPr>
        <w:t>的</w:t>
      </w:r>
      <w:r>
        <w:rPr>
          <w:rFonts w:hint="eastAsia" w:ascii="宋体" w:hAnsi="宋体" w:eastAsia="宋体" w:cs="Arial"/>
          <w:bCs/>
          <w:kern w:val="0"/>
          <w:sz w:val="24"/>
          <w:szCs w:val="24"/>
          <w:lang w:val="en-US" w:eastAsia="zh-CN" w:bidi="ar"/>
        </w:rPr>
        <w:t>__________________</w:t>
      </w:r>
      <w:r>
        <w:rPr>
          <w:rFonts w:hint="eastAsia" w:ascii="宋体" w:hAnsi="宋体" w:eastAsia="宋体" w:cs="宋体"/>
          <w:bCs/>
          <w:kern w:val="0"/>
          <w:sz w:val="24"/>
          <w:szCs w:val="24"/>
          <w:lang w:val="en-US" w:eastAsia="zh-CN" w:bidi="ar"/>
        </w:rPr>
        <w:t>（项目名称）</w:t>
      </w:r>
      <w:r>
        <w:rPr>
          <w:rFonts w:hint="eastAsia" w:ascii="宋体" w:hAnsi="宋体" w:eastAsia="宋体" w:cs="Arial"/>
          <w:bCs/>
          <w:kern w:val="0"/>
          <w:sz w:val="24"/>
          <w:szCs w:val="24"/>
          <w:lang w:val="en-US" w:eastAsia="zh-CN" w:bidi="ar"/>
        </w:rPr>
        <w:t xml:space="preserve"> </w:t>
      </w:r>
      <w:r>
        <w:rPr>
          <w:rFonts w:hint="eastAsia" w:ascii="宋体" w:hAnsi="宋体" w:eastAsia="宋体" w:cs="宋体"/>
          <w:bCs/>
          <w:kern w:val="0"/>
          <w:sz w:val="24"/>
          <w:szCs w:val="24"/>
          <w:lang w:val="en-US" w:eastAsia="zh-CN" w:bidi="ar"/>
        </w:rPr>
        <w:t>采购活动，服务全部由符合政策要求的中小企业承接。相关企业（含联合体中的中小企业、签订分包意向协议的中小企业）的具体情况如下：</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Times New Roman" w:eastAsia="宋体" w:cs="Arial"/>
          <w:bCs/>
          <w:kern w:val="0"/>
          <w:sz w:val="24"/>
          <w:szCs w:val="24"/>
        </w:rPr>
      </w:pPr>
      <w:r>
        <w:rPr>
          <w:rFonts w:hint="eastAsia" w:ascii="宋体" w:hAnsi="宋体" w:eastAsia="宋体" w:cs="宋体"/>
          <w:bCs/>
          <w:kern w:val="0"/>
          <w:sz w:val="24"/>
          <w:szCs w:val="24"/>
          <w:lang w:val="en-US" w:eastAsia="zh-CN" w:bidi="ar"/>
        </w:rPr>
        <w:t>（标的名称），属于（采购文件中明确的所属行业）行业；承接企业为</w:t>
      </w:r>
      <w:r>
        <w:rPr>
          <w:rFonts w:hint="eastAsia" w:ascii="宋体" w:hAnsi="宋体" w:eastAsia="宋体" w:cs="Arial"/>
          <w:bCs/>
          <w:kern w:val="0"/>
          <w:sz w:val="24"/>
          <w:szCs w:val="24"/>
          <w:lang w:val="en-US" w:eastAsia="zh-CN" w:bidi="ar"/>
        </w:rPr>
        <w:t xml:space="preserve"> </w:t>
      </w:r>
      <w:r>
        <w:rPr>
          <w:rFonts w:hint="eastAsia" w:ascii="宋体" w:hAnsi="宋体" w:eastAsia="宋体" w:cs="宋体"/>
          <w:bCs/>
          <w:kern w:val="0"/>
          <w:sz w:val="24"/>
          <w:szCs w:val="24"/>
          <w:lang w:val="en-US" w:eastAsia="zh-CN" w:bidi="ar"/>
        </w:rPr>
        <w:t>（企业名称），从业人员</w:t>
      </w:r>
      <w:r>
        <w:rPr>
          <w:rFonts w:hint="eastAsia" w:ascii="宋体" w:hAnsi="宋体" w:eastAsia="宋体" w:cs="Arial"/>
          <w:bCs/>
          <w:kern w:val="0"/>
          <w:sz w:val="24"/>
          <w:szCs w:val="24"/>
          <w:lang w:val="en-US" w:eastAsia="zh-CN" w:bidi="ar"/>
        </w:rPr>
        <w:t>_____</w:t>
      </w:r>
      <w:r>
        <w:rPr>
          <w:rFonts w:hint="eastAsia" w:ascii="宋体" w:hAnsi="宋体" w:eastAsia="宋体" w:cs="宋体"/>
          <w:bCs/>
          <w:kern w:val="0"/>
          <w:sz w:val="24"/>
          <w:szCs w:val="24"/>
          <w:lang w:val="en-US" w:eastAsia="zh-CN" w:bidi="ar"/>
        </w:rPr>
        <w:t>人，营业收入为</w:t>
      </w:r>
      <w:r>
        <w:rPr>
          <w:rFonts w:hint="eastAsia" w:ascii="宋体" w:hAnsi="宋体" w:eastAsia="宋体" w:cs="Arial"/>
          <w:bCs/>
          <w:kern w:val="0"/>
          <w:sz w:val="24"/>
          <w:szCs w:val="24"/>
          <w:lang w:val="en-US" w:eastAsia="zh-CN" w:bidi="ar"/>
        </w:rPr>
        <w:t>_____</w:t>
      </w:r>
      <w:r>
        <w:rPr>
          <w:rFonts w:hint="eastAsia" w:ascii="宋体" w:hAnsi="宋体" w:eastAsia="宋体" w:cs="宋体"/>
          <w:bCs/>
          <w:kern w:val="0"/>
          <w:sz w:val="24"/>
          <w:szCs w:val="24"/>
          <w:lang w:val="en-US" w:eastAsia="zh-CN" w:bidi="ar"/>
        </w:rPr>
        <w:t>万元，资产总额为</w:t>
      </w:r>
      <w:r>
        <w:rPr>
          <w:rFonts w:hint="eastAsia" w:ascii="宋体" w:hAnsi="宋体" w:eastAsia="宋体" w:cs="Arial"/>
          <w:bCs/>
          <w:kern w:val="0"/>
          <w:sz w:val="24"/>
          <w:szCs w:val="24"/>
          <w:lang w:val="en-US" w:eastAsia="zh-CN" w:bidi="ar"/>
        </w:rPr>
        <w:t>_____</w:t>
      </w:r>
      <w:r>
        <w:rPr>
          <w:rFonts w:hint="eastAsia" w:ascii="宋体" w:hAnsi="宋体" w:eastAsia="宋体" w:cs="宋体"/>
          <w:bCs/>
          <w:kern w:val="0"/>
          <w:sz w:val="24"/>
          <w:szCs w:val="24"/>
          <w:lang w:val="en-US" w:eastAsia="zh-CN" w:bidi="ar"/>
        </w:rPr>
        <w:t>万元，属于（中型企业、小型企业、微型企业）；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Times New Roman" w:eastAsia="宋体" w:cs="Arial"/>
          <w:bCs/>
          <w:kern w:val="0"/>
          <w:sz w:val="24"/>
          <w:szCs w:val="24"/>
        </w:rPr>
      </w:pPr>
      <w:r>
        <w:rPr>
          <w:rFonts w:hint="eastAsia" w:ascii="宋体" w:hAnsi="宋体" w:eastAsia="宋体" w:cs="宋体"/>
          <w:bCs/>
          <w:kern w:val="0"/>
          <w:sz w:val="24"/>
          <w:szCs w:val="24"/>
          <w:lang w:val="en-US" w:eastAsia="zh-CN" w:bidi="ar"/>
        </w:rPr>
        <w:t>本企业对上述声明内容的真实性负责。如有虚假，将依法承担相应责任。</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Times New Roman" w:eastAsia="宋体" w:cs="Arial"/>
          <w:bCs/>
          <w:kern w:val="0"/>
          <w:sz w:val="24"/>
          <w:szCs w:val="24"/>
        </w:rPr>
      </w:pPr>
      <w:r>
        <w:rPr>
          <w:rFonts w:hint="eastAsia" w:ascii="宋体" w:hAnsi="Times New Roman" w:eastAsia="宋体" w:cs="Arial"/>
          <w:bCs/>
          <w:kern w:val="0"/>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5040" w:firstLineChars="2100"/>
        <w:jc w:val="both"/>
        <w:rPr>
          <w:rFonts w:hint="eastAsia" w:ascii="宋体" w:hAnsi="Times New Roman" w:eastAsia="宋体" w:cs="宋体"/>
          <w:kern w:val="2"/>
          <w:sz w:val="24"/>
          <w:szCs w:val="24"/>
          <w:u w:val="single"/>
        </w:rPr>
      </w:pPr>
      <w:r>
        <w:rPr>
          <w:rFonts w:hint="eastAsia" w:ascii="宋体" w:hAnsi="宋体" w:eastAsia="宋体" w:cs="宋体"/>
          <w:kern w:val="2"/>
          <w:sz w:val="24"/>
          <w:szCs w:val="24"/>
          <w:lang w:val="en-US" w:eastAsia="zh-CN" w:bidi="ar"/>
        </w:rPr>
        <w:t>供应商名称（盖章）：</w:t>
      </w:r>
    </w:p>
    <w:p>
      <w:pPr>
        <w:keepNext w:val="0"/>
        <w:keepLines w:val="0"/>
        <w:widowControl w:val="0"/>
        <w:suppressLineNumbers w:val="0"/>
        <w:adjustRightInd w:val="0"/>
        <w:snapToGrid w:val="0"/>
        <w:spacing w:before="0" w:beforeAutospacing="0" w:after="0" w:afterAutospacing="0" w:line="500" w:lineRule="exact"/>
        <w:ind w:left="0" w:right="0" w:firstLine="3600" w:firstLineChars="15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5040" w:firstLineChars="21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日期：    年   月   日</w:t>
      </w:r>
    </w:p>
    <w:p>
      <w:pPr>
        <w:keepNext w:val="0"/>
        <w:keepLines w:val="0"/>
        <w:widowControl w:val="0"/>
        <w:suppressLineNumbers w:val="0"/>
        <w:spacing w:before="0" w:beforeAutospacing="1" w:after="0" w:afterAutospacing="1" w:line="500" w:lineRule="exact"/>
        <w:ind w:left="0" w:right="0" w:firstLine="482" w:firstLineChars="200"/>
        <w:jc w:val="both"/>
        <w:rPr>
          <w:rFonts w:hint="eastAsia" w:ascii="宋体" w:hAnsi="Times New Roman" w:eastAsia="宋体" w:cs="Arial"/>
          <w:b/>
          <w:bCs/>
          <w:kern w:val="0"/>
          <w:sz w:val="24"/>
          <w:szCs w:val="24"/>
        </w:rPr>
      </w:pPr>
      <w:r>
        <w:rPr>
          <w:rFonts w:hint="eastAsia" w:ascii="宋体" w:hAnsi="Times New Roman" w:eastAsia="宋体" w:cs="Arial"/>
          <w:b/>
          <w:bCs/>
          <w:kern w:val="0"/>
          <w:sz w:val="24"/>
          <w:szCs w:val="24"/>
          <w:lang w:val="en-US" w:eastAsia="zh-CN" w:bidi="ar"/>
        </w:rPr>
        <w:t xml:space="preserve"> </w:t>
      </w:r>
    </w:p>
    <w:p>
      <w:pPr>
        <w:pStyle w:val="11"/>
        <w:widowControl/>
        <w:ind w:left="0" w:firstLine="422"/>
        <w:rPr>
          <w:rFonts w:hint="eastAsia" w:ascii="宋体" w:hAnsi="Times New Roman" w:eastAsia="宋体" w:cs="Arial"/>
          <w:b/>
          <w:bCs/>
          <w:kern w:val="0"/>
          <w:sz w:val="24"/>
          <w:szCs w:val="24"/>
        </w:rPr>
      </w:pPr>
      <w:r>
        <w:rPr>
          <w:rFonts w:hint="eastAsia" w:ascii="宋体" w:hAnsi="Times New Roman" w:eastAsia="宋体" w:cs="Arial"/>
          <w:b/>
          <w:bCs/>
          <w:kern w:val="0"/>
          <w:sz w:val="24"/>
          <w:szCs w:val="24"/>
        </w:rPr>
        <w:t xml:space="preserve"> </w:t>
      </w:r>
    </w:p>
    <w:p>
      <w:pPr>
        <w:keepNext w:val="0"/>
        <w:keepLines w:val="0"/>
        <w:widowControl w:val="0"/>
        <w:suppressLineNumbers w:val="0"/>
        <w:spacing w:before="0" w:beforeAutospacing="0" w:after="0" w:afterAutospacing="0" w:line="500" w:lineRule="exact"/>
        <w:ind w:left="0" w:right="0" w:firstLine="480" w:firstLineChars="200"/>
        <w:jc w:val="both"/>
        <w:rPr>
          <w:rFonts w:hint="default" w:ascii="Times New Roman" w:hAnsi="Times New Roman" w:eastAsia="宋体" w:cs="宋体"/>
          <w:kern w:val="2"/>
          <w:sz w:val="24"/>
          <w:szCs w:val="24"/>
        </w:rPr>
      </w:pPr>
      <w:r>
        <w:rPr>
          <w:rFonts w:hint="default" w:ascii="Times New Roman" w:hAnsi="Times New Roman" w:eastAsia="宋体" w:cs="宋体"/>
          <w:kern w:val="2"/>
          <w:sz w:val="24"/>
          <w:szCs w:val="24"/>
          <w:lang w:val="en-US" w:eastAsia="zh-CN" w:bidi="ar"/>
        </w:rPr>
        <w:t xml:space="preserve"> </w:t>
      </w:r>
    </w:p>
    <w:p>
      <w:pPr>
        <w:keepNext w:val="0"/>
        <w:keepLines w:val="0"/>
        <w:widowControl/>
        <w:suppressLineNumbers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注：</w:t>
      </w:r>
    </w:p>
    <w:p>
      <w:pPr>
        <w:keepNext w:val="0"/>
        <w:keepLines w:val="0"/>
        <w:widowControl/>
        <w:suppressLineNumbers w:val="0"/>
        <w:snapToGrid w:val="0"/>
        <w:spacing w:before="0" w:beforeAutospacing="0" w:after="0" w:afterAutospacing="0" w:line="500" w:lineRule="exact"/>
        <w:ind w:left="0" w:right="0" w:firstLine="480" w:firstLineChars="200"/>
        <w:jc w:val="both"/>
        <w:outlineLvl w:val="1"/>
        <w:rPr>
          <w:rFonts w:hint="eastAsia" w:ascii="宋体" w:hAnsi="Times New Roman" w:eastAsia="宋体" w:cs="宋体"/>
          <w:kern w:val="2"/>
          <w:sz w:val="24"/>
          <w:szCs w:val="24"/>
        </w:rPr>
      </w:pPr>
      <w:bookmarkStart w:id="1289" w:name="_Toc4196"/>
      <w:bookmarkStart w:id="1290" w:name="_Toc7059"/>
      <w:bookmarkStart w:id="1291" w:name="_Toc30387"/>
      <w:r>
        <w:rPr>
          <w:rFonts w:hint="eastAsia" w:ascii="宋体" w:hAnsi="宋体" w:eastAsia="宋体" w:cs="宋体"/>
          <w:kern w:val="2"/>
          <w:sz w:val="24"/>
          <w:szCs w:val="24"/>
          <w:lang w:val="en-US" w:eastAsia="zh-CN" w:bidi="ar"/>
        </w:rPr>
        <w:t>1.如承接单位为小微企业，则需提供中小企业声明函。</w:t>
      </w:r>
      <w:bookmarkEnd w:id="1289"/>
      <w:bookmarkEnd w:id="1290"/>
      <w:bookmarkEnd w:id="1291"/>
    </w:p>
    <w:p>
      <w:pPr>
        <w:keepNext w:val="0"/>
        <w:keepLines w:val="0"/>
        <w:widowControl/>
        <w:suppressLineNumbers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2.如成交供应商声明为小微企业，本声明函将随成交结果同时公告，接受社会监督。</w:t>
      </w:r>
    </w:p>
    <w:p>
      <w:pPr>
        <w:keepNext w:val="0"/>
        <w:keepLines w:val="0"/>
        <w:widowControl/>
        <w:suppressLineNumbers w:val="0"/>
        <w:snapToGrid w:val="0"/>
        <w:spacing w:before="0" w:beforeAutospacing="0" w:after="0" w:afterAutospacing="0" w:line="500" w:lineRule="exact"/>
        <w:ind w:left="0" w:right="0" w:firstLine="480" w:firstLineChars="200"/>
        <w:jc w:val="both"/>
        <w:rPr>
          <w:rFonts w:hint="default" w:ascii="Times New Roman" w:hAnsi="Times New Roman" w:eastAsia="宋体" w:cs="宋体"/>
          <w:kern w:val="2"/>
          <w:sz w:val="24"/>
          <w:szCs w:val="24"/>
        </w:rPr>
      </w:pPr>
      <w:r>
        <w:rPr>
          <w:rFonts w:hint="eastAsia" w:ascii="宋体" w:hAnsi="宋体" w:eastAsia="宋体" w:cs="宋体"/>
          <w:kern w:val="2"/>
          <w:sz w:val="24"/>
          <w:szCs w:val="24"/>
          <w:lang w:val="en-US" w:eastAsia="zh-CN" w:bidi="ar"/>
        </w:rPr>
        <w:t>3.如</w:t>
      </w:r>
      <w:r>
        <w:rPr>
          <w:rFonts w:hint="eastAsia" w:ascii="宋体" w:hAnsi="宋体" w:cs="宋体"/>
          <w:kern w:val="2"/>
          <w:sz w:val="24"/>
          <w:szCs w:val="24"/>
          <w:lang w:val="en-US" w:eastAsia="zh-CN" w:bidi="ar"/>
        </w:rPr>
        <w:t>中标</w:t>
      </w:r>
      <w:r>
        <w:rPr>
          <w:rFonts w:hint="eastAsia" w:ascii="宋体" w:hAnsi="宋体" w:eastAsia="宋体" w:cs="宋体"/>
          <w:kern w:val="2"/>
          <w:sz w:val="24"/>
          <w:szCs w:val="24"/>
          <w:lang w:val="en-US" w:eastAsia="zh-CN" w:bidi="ar"/>
        </w:rPr>
        <w:t>供应商声明为小微企业，本声明函将随中标结果同时公告，接受社会监督。</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Times New Roman" w:eastAsia="宋体" w:cs="宋体"/>
          <w:b/>
          <w:bCs w:val="0"/>
          <w:kern w:val="2"/>
          <w:sz w:val="30"/>
          <w:szCs w:val="30"/>
        </w:rPr>
      </w:pPr>
      <w:r>
        <w:rPr>
          <w:rFonts w:hint="eastAsia" w:ascii="宋体" w:hAnsi="Times New Roman" w:eastAsia="宋体" w:cs="宋体"/>
          <w:b/>
          <w:bCs w:val="0"/>
          <w:kern w:val="2"/>
          <w:sz w:val="30"/>
          <w:szCs w:val="30"/>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 w:eastAsia="宋体" w:cs="宋体"/>
          <w:b/>
          <w:bCs w:val="0"/>
          <w:kern w:val="2"/>
          <w:sz w:val="30"/>
          <w:szCs w:val="30"/>
        </w:rPr>
      </w:pPr>
      <w:r>
        <w:rPr>
          <w:rFonts w:hint="eastAsia" w:ascii="宋体" w:hAnsi="Times New Roman" w:eastAsia="宋体" w:cs="宋体"/>
          <w:b/>
          <w:bCs w:val="0"/>
          <w:kern w:val="2"/>
          <w:sz w:val="30"/>
          <w:szCs w:val="30"/>
          <w:lang w:val="en-US" w:eastAsia="zh-CN" w:bidi="ar"/>
        </w:rPr>
        <w:t xml:space="preserve"> </w:t>
      </w:r>
    </w:p>
    <w:p>
      <w:pPr>
        <w:keepNext w:val="0"/>
        <w:keepLines w:val="0"/>
        <w:widowControl w:val="0"/>
        <w:suppressLineNumbers w:val="0"/>
        <w:spacing w:before="0" w:beforeAutospacing="0" w:after="0" w:afterAutospacing="0" w:line="500" w:lineRule="exact"/>
        <w:ind w:left="0" w:right="0" w:firstLine="0" w:firstLineChars="0"/>
        <w:jc w:val="center"/>
        <w:rPr>
          <w:rFonts w:hint="eastAsia" w:ascii="宋体" w:hAnsi="Times New Roman" w:eastAsia="宋体" w:cs="Arial"/>
          <w:b/>
          <w:bCs/>
          <w:kern w:val="0"/>
          <w:sz w:val="30"/>
          <w:szCs w:val="30"/>
        </w:rPr>
      </w:pPr>
      <w:r>
        <w:rPr>
          <w:rFonts w:hint="eastAsia" w:ascii="宋体" w:hAnsi="宋体" w:eastAsia="宋体" w:cs="宋体"/>
          <w:b/>
          <w:bCs/>
          <w:kern w:val="0"/>
          <w:sz w:val="30"/>
          <w:szCs w:val="30"/>
          <w:lang w:val="en-US" w:eastAsia="zh-CN" w:bidi="ar"/>
        </w:rPr>
        <w:t>监狱企业声明函</w:t>
      </w:r>
    </w:p>
    <w:p>
      <w:pPr>
        <w:keepNext w:val="0"/>
        <w:keepLines w:val="0"/>
        <w:widowControl w:val="0"/>
        <w:suppressLineNumbers w:val="0"/>
        <w:spacing w:before="0" w:beforeAutospacing="0" w:after="0" w:afterAutospacing="0" w:line="500" w:lineRule="exact"/>
        <w:ind w:left="0" w:right="0" w:firstLine="0" w:firstLineChars="0"/>
        <w:jc w:val="center"/>
        <w:rPr>
          <w:rFonts w:hint="eastAsia" w:ascii="宋体" w:hAnsi="Times New Roman" w:eastAsia="宋体" w:cs="Arial"/>
          <w:b/>
          <w:bCs/>
          <w:kern w:val="0"/>
          <w:sz w:val="30"/>
          <w:szCs w:val="30"/>
        </w:rPr>
      </w:pPr>
      <w:r>
        <w:rPr>
          <w:rFonts w:hint="eastAsia" w:ascii="宋体" w:hAnsi="宋体" w:eastAsia="宋体" w:cs="宋体"/>
          <w:b/>
          <w:bCs/>
          <w:kern w:val="0"/>
          <w:sz w:val="30"/>
          <w:szCs w:val="30"/>
          <w:lang w:val="en-US" w:eastAsia="zh-CN" w:bidi="ar"/>
        </w:rPr>
        <w:t>【非监狱企业不需提供】</w:t>
      </w:r>
    </w:p>
    <w:p>
      <w:pPr>
        <w:keepNext w:val="0"/>
        <w:keepLines w:val="0"/>
        <w:widowControl/>
        <w:suppressLineNumbers w:val="0"/>
        <w:adjustRightInd w:val="0"/>
        <w:snapToGrid w:val="0"/>
        <w:spacing w:before="0" w:beforeAutospacing="0" w:after="0" w:afterAutospacing="0" w:line="500" w:lineRule="exact"/>
        <w:ind w:left="0" w:right="0" w:firstLine="480" w:firstLineChars="20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本企业郑重声明，根据《关于政府采购支持监狱企业发展有关问题的通知》（财库〔2014〕68号）的规定，本企业为</w:t>
      </w:r>
      <w:r>
        <w:rPr>
          <w:rFonts w:hint="eastAsia" w:ascii="宋体" w:hAnsi="宋体" w:eastAsia="宋体" w:cs="宋体"/>
          <w:kern w:val="2"/>
          <w:sz w:val="24"/>
          <w:szCs w:val="24"/>
          <w:u w:val="single"/>
          <w:lang w:val="en-US" w:eastAsia="zh-CN" w:bidi="ar"/>
        </w:rPr>
        <w:t>监狱企业</w:t>
      </w:r>
      <w:r>
        <w:rPr>
          <w:rFonts w:hint="eastAsia" w:ascii="宋体" w:hAnsi="宋体" w:eastAsia="宋体" w:cs="宋体"/>
          <w:kern w:val="2"/>
          <w:sz w:val="24"/>
          <w:szCs w:val="24"/>
          <w:lang w:val="en-US" w:eastAsia="zh-CN" w:bidi="ar"/>
        </w:rPr>
        <w:t>。</w:t>
      </w:r>
    </w:p>
    <w:p>
      <w:pPr>
        <w:keepNext w:val="0"/>
        <w:keepLines w:val="0"/>
        <w:widowControl/>
        <w:suppressLineNumbers w:val="0"/>
        <w:adjustRightInd w:val="0"/>
        <w:snapToGrid w:val="0"/>
        <w:spacing w:before="0" w:beforeAutospacing="0" w:after="0" w:afterAutospacing="0" w:line="500" w:lineRule="exact"/>
        <w:ind w:left="0" w:right="0" w:firstLine="480" w:firstLineChars="200"/>
        <w:jc w:val="left"/>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根据上述标准，我企业属于</w:t>
      </w:r>
      <w:r>
        <w:rPr>
          <w:rFonts w:hint="eastAsia" w:ascii="宋体" w:hAnsi="宋体" w:eastAsia="宋体" w:cs="宋体"/>
          <w:kern w:val="2"/>
          <w:sz w:val="24"/>
          <w:szCs w:val="24"/>
          <w:u w:val="single"/>
          <w:lang w:val="en-US" w:eastAsia="zh-CN" w:bidi="ar"/>
        </w:rPr>
        <w:t>监狱企业</w:t>
      </w:r>
      <w:r>
        <w:rPr>
          <w:rFonts w:hint="eastAsia" w:ascii="宋体" w:hAnsi="宋体" w:eastAsia="宋体" w:cs="宋体"/>
          <w:kern w:val="2"/>
          <w:sz w:val="24"/>
          <w:szCs w:val="24"/>
          <w:lang w:val="en-US" w:eastAsia="zh-CN" w:bidi="ar"/>
        </w:rPr>
        <w:t>的理由为：</w:t>
      </w:r>
    </w:p>
    <w:p>
      <w:pPr>
        <w:keepNext w:val="0"/>
        <w:keepLines w:val="0"/>
        <w:widowControl/>
        <w:suppressLineNumbers w:val="0"/>
        <w:adjustRightInd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本企业为参加（项目名称：）（项目编号：）采购活动提供本企业的产品。</w:t>
      </w:r>
    </w:p>
    <w:p>
      <w:pPr>
        <w:keepNext w:val="0"/>
        <w:keepLines w:val="0"/>
        <w:widowControl/>
        <w:suppressLineNumbers w:val="0"/>
        <w:adjustRightInd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本企业对上述声明的真实性负责。如有虚假，将依法承担相应责任。</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center"/>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center"/>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center"/>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center"/>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center"/>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center"/>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center"/>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5040" w:firstLineChars="2100"/>
        <w:jc w:val="both"/>
        <w:rPr>
          <w:rFonts w:hint="eastAsia" w:ascii="宋体" w:hAnsi="Times New Roman" w:eastAsia="宋体" w:cs="宋体"/>
          <w:kern w:val="2"/>
          <w:sz w:val="24"/>
          <w:szCs w:val="24"/>
          <w:u w:val="single"/>
        </w:rPr>
      </w:pPr>
      <w:r>
        <w:rPr>
          <w:rFonts w:hint="eastAsia" w:ascii="宋体" w:hAnsi="宋体" w:eastAsia="宋体" w:cs="宋体"/>
          <w:kern w:val="2"/>
          <w:sz w:val="24"/>
          <w:szCs w:val="24"/>
          <w:lang w:val="en-US" w:eastAsia="zh-CN" w:bidi="ar"/>
        </w:rPr>
        <w:t>供应商名称（盖章）：</w:t>
      </w:r>
    </w:p>
    <w:p>
      <w:pPr>
        <w:keepNext w:val="0"/>
        <w:keepLines w:val="0"/>
        <w:widowControl w:val="0"/>
        <w:suppressLineNumbers w:val="0"/>
        <w:adjustRightInd w:val="0"/>
        <w:snapToGrid w:val="0"/>
        <w:spacing w:before="0" w:beforeAutospacing="0" w:after="0" w:afterAutospacing="0" w:line="500" w:lineRule="exact"/>
        <w:ind w:left="0" w:right="0" w:firstLine="3600" w:firstLineChars="15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5040" w:firstLineChars="21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日期：    年   月   日</w:t>
      </w:r>
    </w:p>
    <w:p>
      <w:pPr>
        <w:keepNext w:val="0"/>
        <w:keepLines w:val="0"/>
        <w:widowControl/>
        <w:suppressLineNumbers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suppressLineNumbers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pStyle w:val="3"/>
        <w:widowControl/>
        <w:spacing w:before="312" w:beforeAutospacing="0" w:after="312" w:afterAutospacing="0"/>
        <w:ind w:left="0" w:firstLine="0" w:firstLineChars="0"/>
        <w:outlineLvl w:val="9"/>
        <w:rPr>
          <w:rFonts w:hint="default" w:ascii="Times New Roman" w:hAnsi="Times New Roman" w:eastAsia="宋体" w:cs="宋体"/>
          <w:b/>
          <w:bCs w:val="0"/>
          <w:kern w:val="2"/>
          <w:sz w:val="36"/>
          <w:szCs w:val="36"/>
        </w:rPr>
      </w:pPr>
      <w:r>
        <w:rPr>
          <w:rFonts w:hint="default" w:ascii="Times New Roman" w:hAnsi="Times New Roman" w:eastAsia="宋体" w:cs="宋体"/>
          <w:b/>
          <w:bCs w:val="0"/>
          <w:kern w:val="2"/>
          <w:sz w:val="36"/>
          <w:szCs w:val="36"/>
        </w:rPr>
        <w:t xml:space="preserve"> </w:t>
      </w:r>
    </w:p>
    <w:p>
      <w:pPr>
        <w:keepNext w:val="0"/>
        <w:keepLines w:val="0"/>
        <w:widowControl/>
        <w:suppressLineNumbers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供应商为监狱企业的提供此函。</w:t>
      </w:r>
    </w:p>
    <w:p>
      <w:pPr>
        <w:keepNext w:val="0"/>
        <w:keepLines w:val="0"/>
        <w:widowControl/>
        <w:suppressLineNumbers w:val="0"/>
        <w:snapToGrid w:val="0"/>
        <w:spacing w:before="0" w:beforeAutospacing="0" w:after="0" w:afterAutospacing="0" w:line="500" w:lineRule="exact"/>
        <w:ind w:left="0" w:right="0" w:firstLine="480" w:firstLineChars="200"/>
        <w:jc w:val="both"/>
        <w:rPr>
          <w:rFonts w:hint="eastAsia" w:ascii="宋体" w:hAnsi="Times New Roman" w:eastAsia="宋体" w:cs="宋体"/>
          <w:bCs/>
          <w:kern w:val="2"/>
          <w:sz w:val="24"/>
          <w:szCs w:val="24"/>
        </w:rPr>
      </w:pPr>
      <w:r>
        <w:rPr>
          <w:rFonts w:hint="eastAsia" w:ascii="宋体" w:hAnsi="宋体" w:eastAsia="宋体" w:cs="宋体"/>
          <w:kern w:val="2"/>
          <w:sz w:val="24"/>
          <w:szCs w:val="24"/>
          <w:lang w:val="en-US" w:eastAsia="zh-CN" w:bidi="ar"/>
        </w:rPr>
        <w:t>监狱企业参加政府采购活动时，应当提供由省级以上监狱管理局、戒毒管理局（含新疆生产建设兵团）出具的属于监狱企业的证明文件。</w:t>
      </w:r>
    </w:p>
    <w:p>
      <w:pPr>
        <w:keepNext w:val="0"/>
        <w:keepLines w:val="0"/>
        <w:widowControl w:val="0"/>
        <w:suppressLineNumbers w:val="0"/>
        <w:adjustRightInd w:val="0"/>
        <w:snapToGrid w:val="0"/>
        <w:spacing w:before="0" w:beforeAutospacing="0" w:after="0" w:afterAutospacing="0" w:line="500" w:lineRule="exact"/>
        <w:ind w:left="0" w:right="0" w:firstLine="0" w:firstLineChars="0"/>
        <w:jc w:val="center"/>
        <w:textAlignment w:val="baseline"/>
        <w:rPr>
          <w:rFonts w:hint="eastAsia" w:ascii="宋体" w:hAnsi="Times New Roman" w:eastAsia="宋体" w:cs="宋体"/>
          <w:b/>
          <w:bCs/>
          <w:kern w:val="2"/>
          <w:sz w:val="28"/>
          <w:szCs w:val="28"/>
          <w:vertAlign w:val="baseline"/>
        </w:rPr>
      </w:pPr>
      <w:r>
        <w:rPr>
          <w:rFonts w:hint="eastAsia" w:ascii="宋体" w:hAnsi="Times New Roman" w:eastAsia="宋体" w:cs="宋体"/>
          <w:b/>
          <w:bCs/>
          <w:kern w:val="2"/>
          <w:sz w:val="28"/>
          <w:szCs w:val="28"/>
          <w:vertAlign w:val="baseline"/>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0" w:firstLineChars="0"/>
        <w:jc w:val="center"/>
        <w:textAlignment w:val="baseline"/>
        <w:outlineLvl w:val="9"/>
        <w:rPr>
          <w:rFonts w:hint="eastAsia" w:ascii="宋体" w:hAnsi="Times New Roman" w:eastAsia="宋体" w:cs="宋体"/>
          <w:b/>
          <w:bCs/>
          <w:kern w:val="2"/>
          <w:sz w:val="28"/>
          <w:szCs w:val="28"/>
          <w:vertAlign w:val="baseline"/>
        </w:rPr>
      </w:pPr>
      <w:r>
        <w:rPr>
          <w:rFonts w:hint="eastAsia" w:ascii="宋体" w:hAnsi="Times New Roman" w:eastAsia="宋体" w:cs="宋体"/>
          <w:b/>
          <w:bCs/>
          <w:kern w:val="2"/>
          <w:sz w:val="28"/>
          <w:szCs w:val="28"/>
          <w:vertAlign w:val="baselin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602" w:firstLineChars="200"/>
        <w:jc w:val="center"/>
        <w:outlineLvl w:val="0"/>
        <w:rPr>
          <w:rFonts w:hint="eastAsia" w:ascii="宋体" w:hAnsi="Times New Roman" w:eastAsia="宋体" w:cs="Arial"/>
          <w:b/>
          <w:bCs/>
          <w:kern w:val="0"/>
          <w:sz w:val="30"/>
          <w:szCs w:val="30"/>
        </w:rPr>
      </w:pPr>
      <w:bookmarkStart w:id="1292" w:name="_Toc19810"/>
      <w:bookmarkStart w:id="1293" w:name="_Toc8038"/>
      <w:bookmarkStart w:id="1294" w:name="_Toc8695"/>
      <w:r>
        <w:rPr>
          <w:rFonts w:hint="eastAsia" w:ascii="宋体" w:hAnsi="宋体" w:eastAsia="宋体" w:cs="宋体"/>
          <w:b/>
          <w:bCs/>
          <w:kern w:val="0"/>
          <w:sz w:val="30"/>
          <w:szCs w:val="30"/>
          <w:lang w:val="en-US" w:eastAsia="zh-CN" w:bidi="ar"/>
        </w:rPr>
        <w:t>残疾人福利性单位声明函</w:t>
      </w:r>
      <w:bookmarkEnd w:id="1292"/>
      <w:bookmarkEnd w:id="1293"/>
      <w:bookmarkEnd w:id="1294"/>
    </w:p>
    <w:p>
      <w:pPr>
        <w:keepNext w:val="0"/>
        <w:keepLines w:val="0"/>
        <w:widowControl w:val="0"/>
        <w:suppressLineNumbers w:val="0"/>
        <w:spacing w:before="0" w:beforeAutospacing="0" w:after="0" w:afterAutospacing="0" w:line="500" w:lineRule="exact"/>
        <w:ind w:left="0" w:right="0" w:firstLine="602" w:firstLineChars="200"/>
        <w:jc w:val="center"/>
        <w:rPr>
          <w:rFonts w:hint="eastAsia" w:ascii="宋体" w:hAnsi="Times New Roman" w:eastAsia="宋体" w:cs="Arial"/>
          <w:b/>
          <w:bCs/>
          <w:kern w:val="0"/>
          <w:sz w:val="30"/>
          <w:szCs w:val="30"/>
        </w:rPr>
      </w:pPr>
      <w:r>
        <w:rPr>
          <w:rFonts w:hint="eastAsia" w:ascii="宋体" w:hAnsi="宋体" w:eastAsia="宋体" w:cs="宋体"/>
          <w:b/>
          <w:bCs/>
          <w:kern w:val="0"/>
          <w:sz w:val="30"/>
          <w:szCs w:val="30"/>
          <w:lang w:val="en-US" w:eastAsia="zh-CN" w:bidi="ar"/>
        </w:rPr>
        <w:t>【非残疾人福利性单位不需提供】</w:t>
      </w:r>
    </w:p>
    <w:p>
      <w:pPr>
        <w:keepNext w:val="0"/>
        <w:keepLines w:val="0"/>
        <w:widowControl w:val="0"/>
        <w:suppressLineNumbers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本单位郑重声明，根据《财政部民政部中国残疾人联合会关于促进残疾人就业政府采购政策的通知》（财库〔2017〕141号）的规定，本单位为符合条件的残疾人福利性单位，且本单位参加</w:t>
      </w:r>
      <w:r>
        <w:rPr>
          <w:rFonts w:hint="eastAsia" w:ascii="宋体" w:hAnsi="宋体" w:eastAsia="宋体" w:cs="宋体"/>
          <w:kern w:val="2"/>
          <w:sz w:val="24"/>
          <w:szCs w:val="24"/>
          <w:u w:val="single"/>
          <w:lang w:val="en-US" w:eastAsia="zh-CN" w:bidi="ar"/>
        </w:rPr>
        <w:t>（采购人名称）</w:t>
      </w:r>
      <w:r>
        <w:rPr>
          <w:rFonts w:hint="eastAsia" w:ascii="宋体" w:hAnsi="宋体" w:eastAsia="宋体" w:cs="宋体"/>
          <w:kern w:val="2"/>
          <w:sz w:val="24"/>
          <w:szCs w:val="24"/>
          <w:lang w:val="en-US" w:eastAsia="zh-CN" w:bidi="ar"/>
        </w:rPr>
        <w:t>单位的</w:t>
      </w:r>
      <w:r>
        <w:rPr>
          <w:rFonts w:hint="eastAsia" w:ascii="宋体" w:hAnsi="宋体" w:eastAsia="宋体" w:cs="宋体"/>
          <w:kern w:val="2"/>
          <w:sz w:val="24"/>
          <w:szCs w:val="24"/>
          <w:u w:val="single"/>
          <w:lang w:val="en-US" w:eastAsia="zh-CN" w:bidi="ar"/>
        </w:rPr>
        <w:t>（项目名称）</w:t>
      </w:r>
      <w:r>
        <w:rPr>
          <w:rFonts w:hint="eastAsia" w:ascii="宋体" w:hAnsi="宋体" w:eastAsia="宋体" w:cs="宋体"/>
          <w:kern w:val="2"/>
          <w:sz w:val="24"/>
          <w:szCs w:val="24"/>
          <w:lang w:val="en-US" w:eastAsia="zh-CN" w:bidi="ar"/>
        </w:rPr>
        <w:t>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本单位对上述声明的真实性负责。如有虚假，将依法承担相应责任。</w:t>
      </w:r>
    </w:p>
    <w:p>
      <w:pPr>
        <w:keepNext w:val="0"/>
        <w:keepLines w:val="0"/>
        <w:widowControl w:val="0"/>
        <w:suppressLineNumbers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080" w:firstLineChars="1700"/>
        <w:jc w:val="both"/>
        <w:rPr>
          <w:rFonts w:hint="eastAsia" w:ascii="宋体" w:hAnsi="Times New Roman" w:eastAsia="宋体" w:cs="宋体"/>
          <w:kern w:val="2"/>
          <w:sz w:val="24"/>
          <w:szCs w:val="24"/>
          <w:u w:val="single"/>
        </w:rPr>
      </w:pPr>
      <w:r>
        <w:rPr>
          <w:rFonts w:hint="eastAsia" w:ascii="宋体" w:hAnsi="宋体" w:eastAsia="宋体" w:cs="宋体"/>
          <w:kern w:val="2"/>
          <w:sz w:val="24"/>
          <w:szCs w:val="24"/>
          <w:lang w:val="en-US" w:eastAsia="zh-CN" w:bidi="ar"/>
        </w:rPr>
        <w:t>供应商名称（盖章）：</w:t>
      </w:r>
    </w:p>
    <w:p>
      <w:pPr>
        <w:keepNext w:val="0"/>
        <w:keepLines w:val="0"/>
        <w:widowControl w:val="0"/>
        <w:suppressLineNumbers w:val="0"/>
        <w:adjustRightInd w:val="0"/>
        <w:snapToGrid w:val="0"/>
        <w:spacing w:before="0" w:beforeAutospacing="0" w:after="0" w:afterAutospacing="0" w:line="500" w:lineRule="exact"/>
        <w:ind w:left="0" w:right="0" w:firstLine="3600" w:firstLineChars="15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ab/>
      </w:r>
    </w:p>
    <w:p>
      <w:pPr>
        <w:keepNext w:val="0"/>
        <w:keepLines w:val="0"/>
        <w:widowControl w:val="0"/>
        <w:suppressLineNumbers w:val="0"/>
        <w:adjustRightInd w:val="0"/>
        <w:snapToGrid w:val="0"/>
        <w:spacing w:before="0" w:beforeAutospacing="0" w:after="0" w:afterAutospacing="0" w:line="500" w:lineRule="exact"/>
        <w:ind w:left="0" w:right="0" w:firstLine="4080" w:firstLineChars="17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日期：    年   月  日</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Times New Roman"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供应商为残疾人福利性单位的提供此函。</w:t>
      </w:r>
    </w:p>
    <w:p>
      <w:pPr>
        <w:keepNext w:val="0"/>
        <w:keepLines w:val="0"/>
        <w:widowControl w:val="0"/>
        <w:suppressLineNumbers w:val="0"/>
        <w:spacing w:before="0" w:beforeAutospacing="1" w:after="120" w:afterAutospacing="0" w:line="500" w:lineRule="exact"/>
        <w:ind w:left="0" w:right="0" w:firstLine="480" w:firstLineChars="200"/>
        <w:jc w:val="both"/>
        <w:rPr>
          <w:rFonts w:hint="eastAsia" w:ascii="宋体" w:hAnsi="Times New Roman" w:eastAsia="宋体" w:cs="宋体"/>
          <w:kern w:val="2"/>
          <w:sz w:val="24"/>
          <w:szCs w:val="24"/>
        </w:rPr>
      </w:pPr>
      <w:r>
        <w:rPr>
          <w:rFonts w:hint="eastAsia" w:ascii="宋体" w:hAnsi="宋体" w:eastAsia="宋体" w:cs="宋体"/>
          <w:kern w:val="2"/>
          <w:sz w:val="24"/>
          <w:szCs w:val="24"/>
          <w:lang w:val="en-US" w:eastAsia="zh-CN" w:bidi="ar"/>
        </w:rPr>
        <w:t>备注：成交供应商为残疾人福利性单位的，应当随中标结果同时公告其《残疾人福利性单位声明函》，接受社会监督。</w:t>
      </w:r>
    </w:p>
    <w:p>
      <w:pPr>
        <w:pStyle w:val="149"/>
        <w:shd w:val="clear" w:color="auto" w:fill="FFFFFF"/>
        <w:adjustRightInd w:val="0"/>
        <w:snapToGrid w:val="0"/>
        <w:spacing w:before="0" w:beforeAutospacing="0" w:after="0" w:afterAutospacing="0" w:line="312" w:lineRule="auto"/>
        <w:ind w:firstLine="480"/>
        <w:rPr>
          <w:rFonts w:hint="eastAsia"/>
          <w:color w:val="auto"/>
        </w:rPr>
      </w:pPr>
    </w:p>
    <w:p>
      <w:pPr>
        <w:pStyle w:val="149"/>
        <w:shd w:val="clear" w:color="auto" w:fill="FFFFFF"/>
        <w:adjustRightInd w:val="0"/>
        <w:snapToGrid w:val="0"/>
        <w:spacing w:before="0" w:beforeAutospacing="0" w:after="0" w:afterAutospacing="0" w:line="312" w:lineRule="auto"/>
        <w:ind w:firstLine="0" w:firstLineChars="0"/>
        <w:rPr>
          <w:rFonts w:hint="eastAsia"/>
          <w:color w:val="auto"/>
        </w:rPr>
      </w:pPr>
    </w:p>
    <w:bookmarkEnd w:id="805"/>
    <w:bookmarkEnd w:id="806"/>
    <w:bookmarkEnd w:id="807"/>
    <w:bookmarkEnd w:id="808"/>
    <w:bookmarkEnd w:id="809"/>
    <w:bookmarkEnd w:id="837"/>
    <w:bookmarkEnd w:id="83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45"/>
    <w:bookmarkEnd w:id="1074"/>
    <w:bookmarkEnd w:id="1075"/>
    <w:bookmarkEnd w:id="1076"/>
    <w:bookmarkEnd w:id="1077"/>
    <w:bookmarkEnd w:id="1078"/>
    <w:bookmarkEnd w:id="1079"/>
    <w:bookmarkEnd w:id="1080"/>
    <w:bookmarkEnd w:id="1081"/>
    <w:bookmarkEnd w:id="1082"/>
    <w:bookmarkEnd w:id="1083"/>
    <w:bookmarkEnd w:id="1084"/>
    <w:bookmarkEnd w:id="1085"/>
    <w:p>
      <w:pPr>
        <w:ind w:firstLine="0" w:firstLineChars="0"/>
        <w:rPr>
          <w:color w:val="auto"/>
          <w:highlight w:val="none"/>
        </w:rPr>
      </w:pPr>
    </w:p>
    <w:sectPr>
      <w:pgSz w:w="11906" w:h="16838"/>
      <w:pgMar w:top="1440" w:right="1080" w:bottom="1440" w:left="1080" w:header="737" w:footer="964" w:gutter="0"/>
      <w:pgBorders>
        <w:top w:val="thinThickSmallGap" w:color="auto" w:sz="12" w:space="10"/>
        <w:left w:val="none" w:sz="0" w:space="0"/>
        <w:bottom w:val="thinThickSmallGap" w:color="auto" w:sz="12" w:space="10"/>
        <w:right w:val="none" w:sz="0" w:space="0"/>
      </w:pgBorders>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 w:name="ヒラギノ角ゴ Pro W3">
    <w:altName w:val="Yu Gothic"/>
    <w:panose1 w:val="00000000000000000000"/>
    <w:charset w:val="80"/>
    <w:family w:val="auto"/>
    <w:pitch w:val="default"/>
    <w:sig w:usb0="00000000" w:usb1="00000000" w:usb2="00000012" w:usb3="00000000" w:csb0="0002000D"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PMingLiU_x0004_falt">
    <w:altName w:val="Microsoft JhengHei"/>
    <w:panose1 w:val="00000000000000000000"/>
    <w:charset w:val="88"/>
    <w:family w:val="auto"/>
    <w:pitch w:val="default"/>
    <w:sig w:usb0="00000000" w:usb1="00000000" w:usb2="00000010" w:usb3="00000000" w:csb0="00100000"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3360" behindDoc="0" locked="0" layoutInCell="1" allowOverlap="1">
              <wp:simplePos x="0" y="0"/>
              <wp:positionH relativeFrom="margin">
                <wp:posOffset>2519680</wp:posOffset>
              </wp:positionH>
              <wp:positionV relativeFrom="paragraph">
                <wp:posOffset>19050</wp:posOffset>
              </wp:positionV>
              <wp:extent cx="1345565" cy="3429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45565" cy="342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b/>
                              <w:bCs/>
                            </w:rPr>
                          </w:pPr>
                          <w:r>
                            <w:rPr>
                              <w:rFonts w:hint="eastAsia" w:ascii="宋体" w:hAnsi="宋体"/>
                              <w:b/>
                              <w:bCs/>
                            </w:rPr>
                            <w:t xml:space="preserve">第 </w:t>
                          </w:r>
                          <w:r>
                            <w:rPr>
                              <w:rFonts w:hint="eastAsia" w:ascii="宋体" w:hAnsi="宋体"/>
                              <w:b/>
                              <w:bCs/>
                            </w:rPr>
                            <w:fldChar w:fldCharType="begin"/>
                          </w:r>
                          <w:r>
                            <w:rPr>
                              <w:rFonts w:hint="eastAsia" w:ascii="宋体" w:hAnsi="宋体"/>
                              <w:b/>
                              <w:bCs/>
                            </w:rPr>
                            <w:instrText xml:space="preserve"> PAGE  \* MERGEFORMAT </w:instrText>
                          </w:r>
                          <w:r>
                            <w:rPr>
                              <w:rFonts w:hint="eastAsia" w:ascii="宋体" w:hAnsi="宋体"/>
                              <w:b/>
                              <w:bCs/>
                            </w:rPr>
                            <w:fldChar w:fldCharType="separate"/>
                          </w:r>
                          <w:r>
                            <w:rPr>
                              <w:rFonts w:ascii="宋体" w:hAnsi="宋体"/>
                              <w:b/>
                              <w:bCs/>
                            </w:rPr>
                            <w:t>1</w:t>
                          </w:r>
                          <w:r>
                            <w:rPr>
                              <w:rFonts w:hint="eastAsia" w:ascii="宋体" w:hAnsi="宋体"/>
                              <w:b/>
                              <w:bCs/>
                            </w:rPr>
                            <w:fldChar w:fldCharType="end"/>
                          </w:r>
                          <w:r>
                            <w:rPr>
                              <w:rFonts w:hint="eastAsia" w:ascii="宋体" w:hAnsi="宋体"/>
                              <w:b/>
                              <w:bCs/>
                            </w:rPr>
                            <w:t xml:space="preserve"> 页 共 </w:t>
                          </w:r>
                          <w:r>
                            <w:rPr>
                              <w:rFonts w:hint="eastAsia" w:ascii="宋体" w:hAnsi="宋体"/>
                              <w:b/>
                              <w:bCs/>
                            </w:rPr>
                            <w:fldChar w:fldCharType="begin"/>
                          </w:r>
                          <w:r>
                            <w:rPr>
                              <w:rFonts w:hint="eastAsia" w:ascii="宋体" w:hAnsi="宋体"/>
                              <w:b/>
                              <w:bCs/>
                            </w:rPr>
                            <w:instrText xml:space="preserve"> NUMPAGES  \* MERGEFORMAT </w:instrText>
                          </w:r>
                          <w:r>
                            <w:rPr>
                              <w:rFonts w:hint="eastAsia" w:ascii="宋体" w:hAnsi="宋体"/>
                              <w:b/>
                              <w:bCs/>
                            </w:rPr>
                            <w:fldChar w:fldCharType="separate"/>
                          </w:r>
                          <w:r>
                            <w:rPr>
                              <w:rFonts w:ascii="宋体" w:hAnsi="宋体"/>
                              <w:b/>
                              <w:bCs/>
                            </w:rPr>
                            <w:t>63</w:t>
                          </w:r>
                          <w:r>
                            <w:rPr>
                              <w:rFonts w:hint="eastAsia" w:ascii="宋体" w:hAnsi="宋体"/>
                              <w:b/>
                              <w:bCs/>
                            </w:rPr>
                            <w:fldChar w:fldCharType="end"/>
                          </w:r>
                          <w:r>
                            <w:rPr>
                              <w:rFonts w:hint="eastAsia" w:ascii="宋体" w:hAnsi="宋体"/>
                              <w:b/>
                              <w:bCs/>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8.4pt;margin-top:1.5pt;height:27pt;width:105.95pt;mso-position-horizontal-relative:margin;z-index:251663360;mso-width-relative:page;mso-height-relative:page;" filled="f" stroked="f" coordsize="21600,21600" o:gfxdata="UEsDBAoAAAAAAIdO4kAAAAAAAAAAAAAAAAAEAAAAZHJzL1BLAwQUAAAACACHTuJAIgsaGdcAAAAI&#10;AQAADwAAAGRycy9kb3ducmV2LnhtbE2PS0/DMBCE70j8B2uRuFE7INI2xOmBx41nKRLcnHhJImI7&#10;sjdp+fcsJ7jNalYz35SbgxvEjDH1wWvIFgoE+ibY3rcadq93ZysQiYy3ZggeNXxjgk11fFSawoa9&#10;f8F5S63gEJ8Ko6EjGgspU9OhM2kRRvTsfYboDPEZW2mj2XO4G+S5Url0pvfc0JkRrztsvraT0zC8&#10;p3hfK/qYb9oHen6S09tt9qj16UmmrkAQHujvGX7xGR0qZqrD5G0Sg4aLdc7oxIInsZ+r1RJEreFy&#10;qUBWpfw/oPoBUEsDBBQAAAAIAIdO4kAZz2GQMgIAAFYEAAAOAAAAZHJzL2Uyb0RvYy54bWytVE2O&#10;0zAU3iNxB8t7mrSdVlA1HZWpipAqZqQBsXYdp7Fk+xnbbVIOADdgNRv2nKvn4NlpOmhgMQs27ovf&#10;7/f5e51ft1qRg3BeginocJBTIgyHUppdQT99XL96TYkPzJRMgREFPQpPrxcvX8wbOxMjqEGVwhEs&#10;YvyssQWtQ7CzLPO8Fpr5AVhh0FmB0yzgp9tlpWMNVtcqG+X5NGvAldYBF97j7apz0nNF95yCUFWS&#10;ixXwvRYmdFWdUCwgJF9L6+kiTVtVgofbqvIiEFVQRBrSiU3Q3sYzW8zZbOeYrSU/j8CeM8ITTJpJ&#10;g00vpVYsMLJ38q9SWnIHHqow4KCzDkhiBFEM8yfc3NfMioQFqfb2Qrr/f2X5h8OdI7Is6IgSwzQ+&#10;+OnH99PDr9PPb2QU6Wmsn2HUvcW40L6FFkXT33u8jKjbyun4i3gI+pHc44Vc0QbCY9L4ajKZTijh&#10;6Btfjd7kif3sMds6H94J0CQaBXX4eIlTdtj4gJNgaB8SmxlYS6XSAypDmoJOx5M8JVw8mKEMJkYM&#10;3azRCu22PQPbQnlEXA46YXjL1xKbb5gPd8yhEhAK7kq4xaNSgE3gbFFSg/v6r/sYjw+EXkoaVFZB&#10;/Zc9c4IS9d7g00UZ9obrjW1vmL2+ARTrELfQ8mRigguqNysH+jOu0DJ2QRczHHsVNPTmTej0jSvI&#10;xXKZglBsloWNubc8lu7oW+4DVDIxG2npuDizhXJLhJ9XI+r5z+8U9fh3sP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gsaGdcAAAAIAQAADwAAAAAAAAABACAAAAAiAAAAZHJzL2Rvd25yZXYueG1s&#10;UEsBAhQAFAAAAAgAh07iQBnPYZAyAgAAVgQAAA4AAAAAAAAAAQAgAAAAJgEAAGRycy9lMm9Eb2Mu&#10;eG1sUEsFBgAAAAAGAAYAWQEAAMoFAAAAAA==&#10;">
              <v:fill on="f" focussize="0,0"/>
              <v:stroke on="f" weight="0.5pt"/>
              <v:imagedata o:title=""/>
              <o:lock v:ext="edit" aspectratio="f"/>
              <v:textbox inset="0mm,0mm,0mm,0mm">
                <w:txbxContent>
                  <w:p>
                    <w:pPr>
                      <w:pStyle w:val="27"/>
                      <w:rPr>
                        <w:b/>
                        <w:bCs/>
                      </w:rPr>
                    </w:pPr>
                    <w:r>
                      <w:rPr>
                        <w:rFonts w:hint="eastAsia" w:ascii="宋体" w:hAnsi="宋体"/>
                        <w:b/>
                        <w:bCs/>
                      </w:rPr>
                      <w:t xml:space="preserve">第 </w:t>
                    </w:r>
                    <w:r>
                      <w:rPr>
                        <w:rFonts w:hint="eastAsia" w:ascii="宋体" w:hAnsi="宋体"/>
                        <w:b/>
                        <w:bCs/>
                      </w:rPr>
                      <w:fldChar w:fldCharType="begin"/>
                    </w:r>
                    <w:r>
                      <w:rPr>
                        <w:rFonts w:hint="eastAsia" w:ascii="宋体" w:hAnsi="宋体"/>
                        <w:b/>
                        <w:bCs/>
                      </w:rPr>
                      <w:instrText xml:space="preserve"> PAGE  \* MERGEFORMAT </w:instrText>
                    </w:r>
                    <w:r>
                      <w:rPr>
                        <w:rFonts w:hint="eastAsia" w:ascii="宋体" w:hAnsi="宋体"/>
                        <w:b/>
                        <w:bCs/>
                      </w:rPr>
                      <w:fldChar w:fldCharType="separate"/>
                    </w:r>
                    <w:r>
                      <w:rPr>
                        <w:rFonts w:ascii="宋体" w:hAnsi="宋体"/>
                        <w:b/>
                        <w:bCs/>
                      </w:rPr>
                      <w:t>1</w:t>
                    </w:r>
                    <w:r>
                      <w:rPr>
                        <w:rFonts w:hint="eastAsia" w:ascii="宋体" w:hAnsi="宋体"/>
                        <w:b/>
                        <w:bCs/>
                      </w:rPr>
                      <w:fldChar w:fldCharType="end"/>
                    </w:r>
                    <w:r>
                      <w:rPr>
                        <w:rFonts w:hint="eastAsia" w:ascii="宋体" w:hAnsi="宋体"/>
                        <w:b/>
                        <w:bCs/>
                      </w:rPr>
                      <w:t xml:space="preserve"> 页 共 </w:t>
                    </w:r>
                    <w:r>
                      <w:rPr>
                        <w:rFonts w:hint="eastAsia" w:ascii="宋体" w:hAnsi="宋体"/>
                        <w:b/>
                        <w:bCs/>
                      </w:rPr>
                      <w:fldChar w:fldCharType="begin"/>
                    </w:r>
                    <w:r>
                      <w:rPr>
                        <w:rFonts w:hint="eastAsia" w:ascii="宋体" w:hAnsi="宋体"/>
                        <w:b/>
                        <w:bCs/>
                      </w:rPr>
                      <w:instrText xml:space="preserve"> NUMPAGES  \* MERGEFORMAT </w:instrText>
                    </w:r>
                    <w:r>
                      <w:rPr>
                        <w:rFonts w:hint="eastAsia" w:ascii="宋体" w:hAnsi="宋体"/>
                        <w:b/>
                        <w:bCs/>
                      </w:rPr>
                      <w:fldChar w:fldCharType="separate"/>
                    </w:r>
                    <w:r>
                      <w:rPr>
                        <w:rFonts w:ascii="宋体" w:hAnsi="宋体"/>
                        <w:b/>
                        <w:bCs/>
                      </w:rPr>
                      <w:t>63</w:t>
                    </w:r>
                    <w:r>
                      <w:rPr>
                        <w:rFonts w:hint="eastAsia" w:ascii="宋体" w:hAnsi="宋体"/>
                        <w:b/>
                        <w:bCs/>
                      </w:rPr>
                      <w:fldChar w:fldCharType="end"/>
                    </w:r>
                    <w:r>
                      <w:rPr>
                        <w:rFonts w:hint="eastAsia" w:ascii="宋体" w:hAnsi="宋体"/>
                        <w:b/>
                        <w:bCs/>
                      </w:rPr>
                      <w:t xml:space="preserve"> 页</w:t>
                    </w:r>
                  </w:p>
                </w:txbxContent>
              </v:textbox>
            </v:shape>
          </w:pict>
        </mc:Fallback>
      </mc:AlternateContent>
    </w:r>
    <w:r>
      <w:rPr>
        <w:rFonts w:ascii="宋体" w:hAnsi="宋体"/>
        <w:b/>
        <w:bCs/>
        <w:i/>
        <w:iCs/>
        <w:color w:val="00B050"/>
      </w:rPr>
      <w:drawing>
        <wp:anchor distT="0" distB="0" distL="114300" distR="114300" simplePos="0" relativeHeight="251662336" behindDoc="1" locked="0" layoutInCell="1" allowOverlap="1">
          <wp:simplePos x="0" y="0"/>
          <wp:positionH relativeFrom="column">
            <wp:posOffset>19050</wp:posOffset>
          </wp:positionH>
          <wp:positionV relativeFrom="page">
            <wp:posOffset>9907270</wp:posOffset>
          </wp:positionV>
          <wp:extent cx="927735" cy="164465"/>
          <wp:effectExtent l="0" t="0" r="5715" b="45085"/>
          <wp:wrapTight wrapText="bothSides">
            <wp:wrapPolygon>
              <wp:start x="0" y="0"/>
              <wp:lineTo x="0" y="19348"/>
              <wp:lineTo x="21290" y="19348"/>
              <wp:lineTo x="21290" y="0"/>
              <wp:lineTo x="0" y="0"/>
            </wp:wrapPolygon>
          </wp:wrapTight>
          <wp:docPr id="3" name="图片 3" descr="1660788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0788654(1)"/>
                  <pic:cNvPicPr>
                    <a:picLocks noChangeAspect="1"/>
                  </pic:cNvPicPr>
                </pic:nvPicPr>
                <pic:blipFill>
                  <a:blip r:embed="rId1"/>
                  <a:stretch>
                    <a:fillRect/>
                  </a:stretch>
                </pic:blipFill>
                <pic:spPr>
                  <a:xfrm>
                    <a:off x="0" y="0"/>
                    <a:ext cx="927735" cy="1644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drawing>
        <wp:anchor distT="0" distB="0" distL="114300" distR="114300" simplePos="0" relativeHeight="251665408" behindDoc="0" locked="0" layoutInCell="1" allowOverlap="1">
          <wp:simplePos x="0" y="0"/>
          <wp:positionH relativeFrom="column">
            <wp:posOffset>52705</wp:posOffset>
          </wp:positionH>
          <wp:positionV relativeFrom="page">
            <wp:posOffset>9933305</wp:posOffset>
          </wp:positionV>
          <wp:extent cx="777240" cy="160020"/>
          <wp:effectExtent l="0" t="0" r="3810" b="11430"/>
          <wp:wrapNone/>
          <wp:docPr id="4" name="图片 5" descr="1660788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1660788654(1)"/>
                  <pic:cNvPicPr>
                    <a:picLocks noChangeAspect="1"/>
                  </pic:cNvPicPr>
                </pic:nvPicPr>
                <pic:blipFill>
                  <a:blip r:embed="rId1"/>
                  <a:stretch>
                    <a:fillRect/>
                  </a:stretch>
                </pic:blipFill>
                <pic:spPr>
                  <a:xfrm>
                    <a:off x="0" y="0"/>
                    <a:ext cx="777240" cy="160020"/>
                  </a:xfrm>
                  <a:prstGeom prst="rect">
                    <a:avLst/>
                  </a:prstGeom>
                  <a:noFill/>
                  <a:ln>
                    <a:noFill/>
                  </a:ln>
                </pic:spPr>
              </pic:pic>
            </a:graphicData>
          </a:graphic>
        </wp:anchor>
      </w:drawing>
    </w:r>
    <w:r>
      <mc:AlternateContent>
        <mc:Choice Requires="wps">
          <w:drawing>
            <wp:anchor distT="0" distB="0" distL="114300" distR="114300" simplePos="0" relativeHeight="251664384" behindDoc="0" locked="0" layoutInCell="1" allowOverlap="1">
              <wp:simplePos x="0" y="0"/>
              <wp:positionH relativeFrom="margin">
                <wp:posOffset>2491105</wp:posOffset>
              </wp:positionH>
              <wp:positionV relativeFrom="paragraph">
                <wp:posOffset>43180</wp:posOffset>
              </wp:positionV>
              <wp:extent cx="1361440" cy="3759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61440" cy="375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ascii="宋体" w:hAnsi="宋体"/>
                              <w:b/>
                              <w:bCs/>
                            </w:rPr>
                          </w:pPr>
                          <w:r>
                            <w:rPr>
                              <w:rFonts w:hint="eastAsia" w:ascii="宋体" w:hAnsi="宋体"/>
                              <w:b/>
                              <w:bCs/>
                            </w:rPr>
                            <w:t xml:space="preserve">第 </w:t>
                          </w:r>
                          <w:r>
                            <w:rPr>
                              <w:rFonts w:hint="eastAsia" w:ascii="宋体" w:hAnsi="宋体"/>
                              <w:b/>
                              <w:bCs/>
                            </w:rPr>
                            <w:fldChar w:fldCharType="begin"/>
                          </w:r>
                          <w:r>
                            <w:rPr>
                              <w:rFonts w:hint="eastAsia" w:ascii="宋体" w:hAnsi="宋体"/>
                              <w:b/>
                              <w:bCs/>
                            </w:rPr>
                            <w:instrText xml:space="preserve"> PAGE  \* MERGEFORMAT </w:instrText>
                          </w:r>
                          <w:r>
                            <w:rPr>
                              <w:rFonts w:hint="eastAsia" w:ascii="宋体" w:hAnsi="宋体"/>
                              <w:b/>
                              <w:bCs/>
                            </w:rPr>
                            <w:fldChar w:fldCharType="separate"/>
                          </w:r>
                          <w:r>
                            <w:rPr>
                              <w:rFonts w:ascii="宋体" w:hAnsi="宋体"/>
                              <w:b/>
                              <w:bCs/>
                            </w:rPr>
                            <w:t>2</w:t>
                          </w:r>
                          <w:r>
                            <w:rPr>
                              <w:rFonts w:hint="eastAsia" w:ascii="宋体" w:hAnsi="宋体"/>
                              <w:b/>
                              <w:bCs/>
                            </w:rPr>
                            <w:fldChar w:fldCharType="end"/>
                          </w:r>
                          <w:r>
                            <w:rPr>
                              <w:rFonts w:hint="eastAsia" w:ascii="宋体" w:hAnsi="宋体"/>
                              <w:b/>
                              <w:bCs/>
                            </w:rPr>
                            <w:t xml:space="preserve"> 页 共 </w:t>
                          </w:r>
                          <w:r>
                            <w:rPr>
                              <w:rFonts w:hint="eastAsia" w:ascii="宋体" w:hAnsi="宋体"/>
                              <w:b/>
                              <w:bCs/>
                            </w:rPr>
                            <w:fldChar w:fldCharType="begin"/>
                          </w:r>
                          <w:r>
                            <w:rPr>
                              <w:rFonts w:hint="eastAsia" w:ascii="宋体" w:hAnsi="宋体"/>
                              <w:b/>
                              <w:bCs/>
                            </w:rPr>
                            <w:instrText xml:space="preserve"> NUMPAGES  \* MERGEFORMAT </w:instrText>
                          </w:r>
                          <w:r>
                            <w:rPr>
                              <w:rFonts w:hint="eastAsia" w:ascii="宋体" w:hAnsi="宋体"/>
                              <w:b/>
                              <w:bCs/>
                            </w:rPr>
                            <w:fldChar w:fldCharType="separate"/>
                          </w:r>
                          <w:r>
                            <w:rPr>
                              <w:rFonts w:ascii="宋体" w:hAnsi="宋体"/>
                              <w:b/>
                              <w:bCs/>
                            </w:rPr>
                            <w:t>63</w:t>
                          </w:r>
                          <w:r>
                            <w:rPr>
                              <w:rFonts w:hint="eastAsia" w:ascii="宋体" w:hAnsi="宋体"/>
                              <w:b/>
                              <w:bCs/>
                            </w:rPr>
                            <w:fldChar w:fldCharType="end"/>
                          </w:r>
                          <w:r>
                            <w:rPr>
                              <w:rFonts w:hint="eastAsia" w:ascii="宋体" w:hAnsi="宋体"/>
                              <w:b/>
                              <w:bCs/>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6.15pt;margin-top:3.4pt;height:29.6pt;width:107.2pt;mso-position-horizontal-relative:margin;z-index:251664384;mso-width-relative:page;mso-height-relative:page;" filled="f" stroked="f" coordsize="21600,21600" o:gfxdata="UEsDBAoAAAAAAIdO4kAAAAAAAAAAAAAAAAAEAAAAZHJzL1BLAwQUAAAACACHTuJAMePrpdcAAAAI&#10;AQAADwAAAGRycy9kb3ducmV2LnhtbE2PS0/DMBCE70j8B2uRuFE7rWQgxOmBx41HKa0ENydekgg/&#10;IttJy79nOcFtRzOa/aZaH51lM8Y0BK+gWAhg6NtgBt8p2L09XFwBS1l7o23wqOAbE6zr05NKlyYc&#10;/CvO29wxKvGp1Ar6nMeS89T26HRahBE9eZ8hOp1Jxo6bqA9U7ixfCiG504OnD70e8bbH9ms7OQX2&#10;PcXHRuSP+a57ypsXPu3vi2elzs8KcQMs4zH/heEXn9ChJqYmTN4kZhWsrpcriiqQtIB8KeQlsIYO&#10;KYDXFf8/oP4BUEsDBBQAAAAIAIdO4kAXppZZMgIAAFYEAAAOAAAAZHJzL2Uyb0RvYy54bWytVMFu&#10;EzEQvSPxD5bvdJOmDRB1U4VWRUgVrVQQZ8frza5ke4ztdLd8APwBJy7c+a5+B8/ebIoKhx64OLOe&#10;mTfznmdyctobzW6VDy3Zkk8PJpwpK6lq7abkHz9cvHjFWYjCVkKTVSW/U4GfLp8/O+ncQh1SQ7pS&#10;ngHEhkXnSt7E6BZFEWSjjAgH5JSFsyZvRMSn3xSVFx3QjS4OJ5N50ZGvnCepQsDt+eDkO0T/FECq&#10;61aqc5Jbo2wcUL3SIoJSaFoX+DJ3W9dKxqu6DioyXXIwjflEEdjrdBbLE7HYeOGaVu5aEE9p4REn&#10;I1qLonuocxEF2/r2LyjTSk+B6nggyRQDkawIWEwnj7S5aYRTmQukDm4vevh/sPL97bVnbVXyOWdW&#10;GDz4/fdv9z9+3f/8yuZJns6FBaJuHOJi/4Z6DM14H3CZWPe1N+kXfBj8EPduL67qI5MpaTafHh3B&#10;JeGbvTx+fZjVLx6ynQ/xrSLDklFyj8fLmorbyxDRCULHkFTM0kWrdX5AbVkHBrPjSU7Ye5ChLRIT&#10;h6HXZMV+3e+Iram6Ay9Pw2AEJy9aFL8UIV4Lj0lAv9iVeIWj1oQitLM4a8h/+dd9iscDwctZh8kq&#10;efi8FV5xpt9ZPB0g42j40ViPht2aM8KwTrGFTmYTCT7q0aw9mU9YoVWqApewErVKHkfzLA7zjRWU&#10;arXKQRg2J+KlvXEyQQ/yrbaR6jYrm2QZtNiphXHLgu9WI83zn9856uHvYP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ePrpdcAAAAIAQAADwAAAAAAAAABACAAAAAiAAAAZHJzL2Rvd25yZXYueG1s&#10;UEsBAhQAFAAAAAgAh07iQBemllkyAgAAVgQAAA4AAAAAAAAAAQAgAAAAJgEAAGRycy9lMm9Eb2Mu&#10;eG1sUEsFBgAAAAAGAAYAWQEAAMoFAAAAAA==&#10;">
              <v:fill on="f" focussize="0,0"/>
              <v:stroke on="f" weight="0.5pt"/>
              <v:imagedata o:title=""/>
              <o:lock v:ext="edit" aspectratio="f"/>
              <v:textbox inset="0mm,0mm,0mm,0mm">
                <w:txbxContent>
                  <w:p>
                    <w:pPr>
                      <w:pStyle w:val="27"/>
                      <w:rPr>
                        <w:rFonts w:ascii="宋体" w:hAnsi="宋体"/>
                        <w:b/>
                        <w:bCs/>
                      </w:rPr>
                    </w:pPr>
                    <w:r>
                      <w:rPr>
                        <w:rFonts w:hint="eastAsia" w:ascii="宋体" w:hAnsi="宋体"/>
                        <w:b/>
                        <w:bCs/>
                      </w:rPr>
                      <w:t xml:space="preserve">第 </w:t>
                    </w:r>
                    <w:r>
                      <w:rPr>
                        <w:rFonts w:hint="eastAsia" w:ascii="宋体" w:hAnsi="宋体"/>
                        <w:b/>
                        <w:bCs/>
                      </w:rPr>
                      <w:fldChar w:fldCharType="begin"/>
                    </w:r>
                    <w:r>
                      <w:rPr>
                        <w:rFonts w:hint="eastAsia" w:ascii="宋体" w:hAnsi="宋体"/>
                        <w:b/>
                        <w:bCs/>
                      </w:rPr>
                      <w:instrText xml:space="preserve"> PAGE  \* MERGEFORMAT </w:instrText>
                    </w:r>
                    <w:r>
                      <w:rPr>
                        <w:rFonts w:hint="eastAsia" w:ascii="宋体" w:hAnsi="宋体"/>
                        <w:b/>
                        <w:bCs/>
                      </w:rPr>
                      <w:fldChar w:fldCharType="separate"/>
                    </w:r>
                    <w:r>
                      <w:rPr>
                        <w:rFonts w:ascii="宋体" w:hAnsi="宋体"/>
                        <w:b/>
                        <w:bCs/>
                      </w:rPr>
                      <w:t>2</w:t>
                    </w:r>
                    <w:r>
                      <w:rPr>
                        <w:rFonts w:hint="eastAsia" w:ascii="宋体" w:hAnsi="宋体"/>
                        <w:b/>
                        <w:bCs/>
                      </w:rPr>
                      <w:fldChar w:fldCharType="end"/>
                    </w:r>
                    <w:r>
                      <w:rPr>
                        <w:rFonts w:hint="eastAsia" w:ascii="宋体" w:hAnsi="宋体"/>
                        <w:b/>
                        <w:bCs/>
                      </w:rPr>
                      <w:t xml:space="preserve"> 页 共 </w:t>
                    </w:r>
                    <w:r>
                      <w:rPr>
                        <w:rFonts w:hint="eastAsia" w:ascii="宋体" w:hAnsi="宋体"/>
                        <w:b/>
                        <w:bCs/>
                      </w:rPr>
                      <w:fldChar w:fldCharType="begin"/>
                    </w:r>
                    <w:r>
                      <w:rPr>
                        <w:rFonts w:hint="eastAsia" w:ascii="宋体" w:hAnsi="宋体"/>
                        <w:b/>
                        <w:bCs/>
                      </w:rPr>
                      <w:instrText xml:space="preserve"> NUMPAGES  \* MERGEFORMAT </w:instrText>
                    </w:r>
                    <w:r>
                      <w:rPr>
                        <w:rFonts w:hint="eastAsia" w:ascii="宋体" w:hAnsi="宋体"/>
                        <w:b/>
                        <w:bCs/>
                      </w:rPr>
                      <w:fldChar w:fldCharType="separate"/>
                    </w:r>
                    <w:r>
                      <w:rPr>
                        <w:rFonts w:ascii="宋体" w:hAnsi="宋体"/>
                        <w:b/>
                        <w:bCs/>
                      </w:rPr>
                      <w:t>63</w:t>
                    </w:r>
                    <w:r>
                      <w:rPr>
                        <w:rFonts w:hint="eastAsia" w:ascii="宋体" w:hAnsi="宋体"/>
                        <w:b/>
                        <w:bCs/>
                      </w:rPr>
                      <w:fldChar w:fldCharType="end"/>
                    </w:r>
                    <w:r>
                      <w:rPr>
                        <w:rFonts w:hint="eastAsia" w:ascii="宋体" w:hAnsi="宋体"/>
                        <w:b/>
                        <w:bCs/>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720" w:firstLine="180" w:firstLineChars="100"/>
      <w:jc w:val="center"/>
      <w:rPr>
        <w:sz w:val="21"/>
        <w:szCs w:val="21"/>
      </w:rPr>
    </w:pPr>
    <w:r>
      <w:drawing>
        <wp:anchor distT="0" distB="0" distL="114300" distR="114300" simplePos="0" relativeHeight="251666432" behindDoc="1" locked="0" layoutInCell="1" allowOverlap="1">
          <wp:simplePos x="0" y="0"/>
          <wp:positionH relativeFrom="column">
            <wp:posOffset>23495</wp:posOffset>
          </wp:positionH>
          <wp:positionV relativeFrom="paragraph">
            <wp:posOffset>167005</wp:posOffset>
          </wp:positionV>
          <wp:extent cx="927735" cy="160020"/>
          <wp:effectExtent l="0" t="0" r="5715" b="11430"/>
          <wp:wrapTight wrapText="bothSides">
            <wp:wrapPolygon>
              <wp:start x="0" y="0"/>
              <wp:lineTo x="0" y="19200"/>
              <wp:lineTo x="21290" y="19200"/>
              <wp:lineTo x="21290" y="0"/>
              <wp:lineTo x="0" y="0"/>
            </wp:wrapPolygon>
          </wp:wrapTight>
          <wp:docPr id="1" name="图片 5" descr="1660788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1660788654(1)"/>
                  <pic:cNvPicPr>
                    <a:picLocks noChangeAspect="1"/>
                  </pic:cNvPicPr>
                </pic:nvPicPr>
                <pic:blipFill>
                  <a:blip r:embed="rId1"/>
                  <a:stretch>
                    <a:fillRect/>
                  </a:stretch>
                </pic:blipFill>
                <pic:spPr>
                  <a:xfrm>
                    <a:off x="0" y="0"/>
                    <a:ext cx="927735" cy="160020"/>
                  </a:xfrm>
                  <a:prstGeom prst="rect">
                    <a:avLst/>
                  </a:prstGeom>
                  <a:noFill/>
                  <a:ln>
                    <a:no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margin">
                <wp:posOffset>2357120</wp:posOffset>
              </wp:positionH>
              <wp:positionV relativeFrom="paragraph">
                <wp:posOffset>16510</wp:posOffset>
              </wp:positionV>
              <wp:extent cx="1286510" cy="327025"/>
              <wp:effectExtent l="0" t="0" r="0" b="0"/>
              <wp:wrapNone/>
              <wp:docPr id="10" name="文本框 2"/>
              <wp:cNvGraphicFramePr/>
              <a:graphic xmlns:a="http://schemas.openxmlformats.org/drawingml/2006/main">
                <a:graphicData uri="http://schemas.microsoft.com/office/word/2010/wordprocessingShape">
                  <wps:wsp>
                    <wps:cNvSpPr txBox="1"/>
                    <wps:spPr>
                      <a:xfrm flipV="1">
                        <a:off x="0" y="0"/>
                        <a:ext cx="1286510" cy="327025"/>
                      </a:xfrm>
                      <a:prstGeom prst="rect">
                        <a:avLst/>
                      </a:prstGeom>
                      <a:noFill/>
                      <a:ln w="6350">
                        <a:noFill/>
                      </a:ln>
                    </wps:spPr>
                    <wps:txbx>
                      <w:txbxContent>
                        <w:p>
                          <w:pPr>
                            <w:pStyle w:val="27"/>
                            <w:ind w:firstLine="361"/>
                            <w:rPr>
                              <w:rFonts w:ascii="宋体"/>
                              <w:b/>
                              <w:bCs/>
                            </w:rPr>
                          </w:pPr>
                          <w:r>
                            <w:rPr>
                              <w:rFonts w:hint="eastAsia" w:ascii="宋体" w:hAnsi="宋体"/>
                              <w:b/>
                              <w:bCs/>
                            </w:rPr>
                            <w:t>第</w:t>
                          </w:r>
                          <w:r>
                            <w:rPr>
                              <w:rFonts w:ascii="宋体" w:hAnsi="宋体"/>
                              <w:b/>
                              <w:bCs/>
                            </w:rPr>
                            <w:t xml:space="preserve"> </w:t>
                          </w:r>
                          <w:r>
                            <w:rPr>
                              <w:rFonts w:ascii="宋体" w:hAnsi="宋体"/>
                              <w:b/>
                              <w:bCs/>
                            </w:rPr>
                            <w:fldChar w:fldCharType="begin"/>
                          </w:r>
                          <w:r>
                            <w:rPr>
                              <w:rFonts w:ascii="宋体" w:hAnsi="宋体"/>
                              <w:b/>
                              <w:bCs/>
                            </w:rPr>
                            <w:instrText xml:space="preserve"> PAGE  \* MERGEFORMAT </w:instrText>
                          </w:r>
                          <w:r>
                            <w:rPr>
                              <w:rFonts w:ascii="宋体" w:hAnsi="宋体"/>
                              <w:b/>
                              <w:bCs/>
                            </w:rPr>
                            <w:fldChar w:fldCharType="separate"/>
                          </w:r>
                          <w:r>
                            <w:rPr>
                              <w:rFonts w:ascii="宋体" w:hAnsi="宋体"/>
                              <w:b/>
                              <w:bCs/>
                            </w:rPr>
                            <w:t>19</w:t>
                          </w:r>
                          <w:r>
                            <w:rPr>
                              <w:rFonts w:ascii="宋体" w:hAnsi="宋体"/>
                              <w:b/>
                              <w:bCs/>
                            </w:rPr>
                            <w:fldChar w:fldCharType="end"/>
                          </w:r>
                          <w:r>
                            <w:rPr>
                              <w:rFonts w:ascii="宋体" w:hAnsi="宋体"/>
                              <w:b/>
                              <w:bCs/>
                            </w:rPr>
                            <w:t xml:space="preserve"> </w:t>
                          </w:r>
                          <w:r>
                            <w:rPr>
                              <w:rFonts w:hint="eastAsia" w:ascii="宋体" w:hAnsi="宋体"/>
                              <w:b/>
                              <w:bCs/>
                            </w:rPr>
                            <w:t>页</w:t>
                          </w:r>
                          <w:r>
                            <w:rPr>
                              <w:rFonts w:ascii="宋体" w:hAnsi="宋体"/>
                              <w:b/>
                              <w:bCs/>
                            </w:rPr>
                            <w:t xml:space="preserve"> </w:t>
                          </w:r>
                          <w:r>
                            <w:rPr>
                              <w:rFonts w:hint="eastAsia" w:ascii="宋体" w:hAnsi="宋体"/>
                              <w:b/>
                              <w:bCs/>
                            </w:rPr>
                            <w:t>共</w:t>
                          </w:r>
                          <w:r>
                            <w:rPr>
                              <w:rFonts w:ascii="宋体" w:hAnsi="宋体"/>
                              <w:b/>
                              <w:bCs/>
                            </w:rPr>
                            <w:t xml:space="preserve"> </w:t>
                          </w:r>
                          <w:r>
                            <w:fldChar w:fldCharType="begin"/>
                          </w:r>
                          <w:r>
                            <w:instrText xml:space="preserve"> NUMPAGES  \* MERGEFORMAT </w:instrText>
                          </w:r>
                          <w:r>
                            <w:fldChar w:fldCharType="separate"/>
                          </w:r>
                          <w:r>
                            <w:rPr>
                              <w:rFonts w:ascii="宋体" w:hAnsi="宋体"/>
                              <w:b/>
                              <w:bCs/>
                            </w:rPr>
                            <w:t>48</w:t>
                          </w:r>
                          <w:r>
                            <w:rPr>
                              <w:rFonts w:ascii="宋体" w:hAnsi="宋体"/>
                              <w:b/>
                              <w:bCs/>
                            </w:rPr>
                            <w:fldChar w:fldCharType="end"/>
                          </w:r>
                          <w:r>
                            <w:rPr>
                              <w:rFonts w:ascii="宋体" w:hAnsi="宋体"/>
                              <w:b/>
                              <w:bCs/>
                            </w:rPr>
                            <w:t xml:space="preserve"> </w:t>
                          </w:r>
                          <w:r>
                            <w:rPr>
                              <w:rFonts w:hint="eastAsia" w:ascii="宋体" w:hAnsi="宋体"/>
                              <w:b/>
                              <w:bCs/>
                            </w:rPr>
                            <w:t>页</w:t>
                          </w:r>
                        </w:p>
                      </w:txbxContent>
                    </wps:txbx>
                    <wps:bodyPr lIns="0" tIns="0" rIns="0" bIns="0" upright="1"/>
                  </wps:wsp>
                </a:graphicData>
              </a:graphic>
            </wp:anchor>
          </w:drawing>
        </mc:Choice>
        <mc:Fallback>
          <w:pict>
            <v:shape id="文本框 2" o:spid="_x0000_s1026" o:spt="202" type="#_x0000_t202" style="position:absolute;left:0pt;flip:y;margin-left:185.6pt;margin-top:1.3pt;height:25.75pt;width:101.3pt;mso-position-horizontal-relative:margin;z-index:251660288;mso-width-relative:page;mso-height-relative:page;" filled="f" stroked="f" coordsize="21600,21600" o:gfxdata="UEsDBAoAAAAAAIdO4kAAAAAAAAAAAAAAAAAEAAAAZHJzL1BLAwQUAAAACACHTuJAI2JdTdgAAAAI&#10;AQAADwAAAGRycy9kb3ducmV2LnhtbE2PwU7DMBBE70j8g7VI3KidFNoqxOkBhBAnRIsK3Jx4G0fE&#10;6yh20/L3LKdy29WMZt6U65PvxYRj7AJpyGYKBFITbEethvft080KREyGrOkDoYYfjLCuLi9KU9hw&#10;pDecNqkVHEKxMBpcSkMhZWwcehNnYUBibR9GbxK/YyvtaI4c7nuZK7WQ3nTEDc4M+OCw+d4cPPeq&#10;L7l7fNnVqyl8erd9nvb241Xr66tM3YNIeEpnM/zhMzpUzFSHA9koeg3zZZazVUO+AMH63XLOU2o+&#10;bjOQVSn/D6h+AVBLAwQUAAAACACHTuJAXKkwwsgBAACGAwAADgAAAGRycy9lMm9Eb2MueG1srVNL&#10;btswEN0X6B0I7mspCuwGguUAgZEgQNEWSJM9TZEWAf7AoS35Au0Nuuqm+57L5+iQspwi3WSRjTCc&#10;eXwz7w21vB6MJnsRQDnb0ItZSYmw3LXKbhv6+O32wxUlEJltmXZWNPQggF6v3r9b9r4WleucbkUg&#10;SGKh7n1Duxh9XRTAO2EYzJwXFovSBcMiHsO2aAPrkd3ooirLRdG70PrguADA7Hos0hNjeA2hk1Jx&#10;sXZ8Z4SNI2sQmkWUBJ3yQFd5WikFj1+kBBGJbigqjfmLTTDepG+xWrJ6G5jvFD+NwF4zwgtNhimL&#10;Tc9UaxYZ2QX1H5VRPDhwMs64M8UoJDuCKi7KF948dMyLrAWtBn82Hd6Oln/efw1EtfgS0BLLDG78&#10;+PPH8def4+/vpEr+9B5qhD14BMbhxg2InfKAySR7kMEQqZV/SsWUQWkEkUh6OPsshkh4ul5dLeap&#10;H8faZfWxrOaJsBh50m0fIN4JZ0gKGhpwj5mV7T9BHKETJMGtu1Va511qS/qGLi7nZb5wriC5ttgj&#10;qRmnTlEcNsNJ4sa1B1So7y3ai7PFKQhTsJmCnQ9q2+Fc2YdMievJAk5PKe3/33Nu/Pz7rP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2JdTdgAAAAIAQAADwAAAAAAAAABACAAAAAiAAAAZHJzL2Rv&#10;d25yZXYueG1sUEsBAhQAFAAAAAgAh07iQFypMMLIAQAAhgMAAA4AAAAAAAAAAQAgAAAAJwEAAGRy&#10;cy9lMm9Eb2MueG1sUEsFBgAAAAAGAAYAWQEAAGEFAAAAAA==&#10;">
              <v:fill on="f" focussize="0,0"/>
              <v:stroke on="f" weight="0.5pt"/>
              <v:imagedata o:title=""/>
              <o:lock v:ext="edit" aspectratio="f"/>
              <v:textbox inset="0mm,0mm,0mm,0mm">
                <w:txbxContent>
                  <w:p>
                    <w:pPr>
                      <w:pStyle w:val="27"/>
                      <w:ind w:firstLine="361"/>
                      <w:rPr>
                        <w:rFonts w:ascii="宋体"/>
                        <w:b/>
                        <w:bCs/>
                      </w:rPr>
                    </w:pPr>
                    <w:r>
                      <w:rPr>
                        <w:rFonts w:hint="eastAsia" w:ascii="宋体" w:hAnsi="宋体"/>
                        <w:b/>
                        <w:bCs/>
                      </w:rPr>
                      <w:t>第</w:t>
                    </w:r>
                    <w:r>
                      <w:rPr>
                        <w:rFonts w:ascii="宋体" w:hAnsi="宋体"/>
                        <w:b/>
                        <w:bCs/>
                      </w:rPr>
                      <w:t xml:space="preserve"> </w:t>
                    </w:r>
                    <w:r>
                      <w:rPr>
                        <w:rFonts w:ascii="宋体" w:hAnsi="宋体"/>
                        <w:b/>
                        <w:bCs/>
                      </w:rPr>
                      <w:fldChar w:fldCharType="begin"/>
                    </w:r>
                    <w:r>
                      <w:rPr>
                        <w:rFonts w:ascii="宋体" w:hAnsi="宋体"/>
                        <w:b/>
                        <w:bCs/>
                      </w:rPr>
                      <w:instrText xml:space="preserve"> PAGE  \* MERGEFORMAT </w:instrText>
                    </w:r>
                    <w:r>
                      <w:rPr>
                        <w:rFonts w:ascii="宋体" w:hAnsi="宋体"/>
                        <w:b/>
                        <w:bCs/>
                      </w:rPr>
                      <w:fldChar w:fldCharType="separate"/>
                    </w:r>
                    <w:r>
                      <w:rPr>
                        <w:rFonts w:ascii="宋体" w:hAnsi="宋体"/>
                        <w:b/>
                        <w:bCs/>
                      </w:rPr>
                      <w:t>19</w:t>
                    </w:r>
                    <w:r>
                      <w:rPr>
                        <w:rFonts w:ascii="宋体" w:hAnsi="宋体"/>
                        <w:b/>
                        <w:bCs/>
                      </w:rPr>
                      <w:fldChar w:fldCharType="end"/>
                    </w:r>
                    <w:r>
                      <w:rPr>
                        <w:rFonts w:ascii="宋体" w:hAnsi="宋体"/>
                        <w:b/>
                        <w:bCs/>
                      </w:rPr>
                      <w:t xml:space="preserve"> </w:t>
                    </w:r>
                    <w:r>
                      <w:rPr>
                        <w:rFonts w:hint="eastAsia" w:ascii="宋体" w:hAnsi="宋体"/>
                        <w:b/>
                        <w:bCs/>
                      </w:rPr>
                      <w:t>页</w:t>
                    </w:r>
                    <w:r>
                      <w:rPr>
                        <w:rFonts w:ascii="宋体" w:hAnsi="宋体"/>
                        <w:b/>
                        <w:bCs/>
                      </w:rPr>
                      <w:t xml:space="preserve"> </w:t>
                    </w:r>
                    <w:r>
                      <w:rPr>
                        <w:rFonts w:hint="eastAsia" w:ascii="宋体" w:hAnsi="宋体"/>
                        <w:b/>
                        <w:bCs/>
                      </w:rPr>
                      <w:t>共</w:t>
                    </w:r>
                    <w:r>
                      <w:rPr>
                        <w:rFonts w:ascii="宋体" w:hAnsi="宋体"/>
                        <w:b/>
                        <w:bCs/>
                      </w:rPr>
                      <w:t xml:space="preserve"> </w:t>
                    </w:r>
                    <w:r>
                      <w:fldChar w:fldCharType="begin"/>
                    </w:r>
                    <w:r>
                      <w:instrText xml:space="preserve"> NUMPAGES  \* MERGEFORMAT </w:instrText>
                    </w:r>
                    <w:r>
                      <w:fldChar w:fldCharType="separate"/>
                    </w:r>
                    <w:r>
                      <w:rPr>
                        <w:rFonts w:ascii="宋体" w:hAnsi="宋体"/>
                        <w:b/>
                        <w:bCs/>
                      </w:rPr>
                      <w:t>48</w:t>
                    </w:r>
                    <w:r>
                      <w:rPr>
                        <w:rFonts w:ascii="宋体" w:hAnsi="宋体"/>
                        <w:b/>
                        <w:bCs/>
                      </w:rPr>
                      <w:fldChar w:fldCharType="end"/>
                    </w:r>
                    <w:r>
                      <w:rPr>
                        <w:rFonts w:ascii="宋体" w:hAnsi="宋体"/>
                        <w:b/>
                        <w:bCs/>
                      </w:rPr>
                      <w:t xml:space="preserve"> </w:t>
                    </w:r>
                    <w:r>
                      <w:rPr>
                        <w:rFonts w:hint="eastAsia" w:ascii="宋体" w:hAnsi="宋体"/>
                        <w:b/>
                        <w:bCs/>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drawing>
        <wp:anchor distT="0" distB="0" distL="114300" distR="114300" simplePos="0" relativeHeight="251659264" behindDoc="1" locked="0" layoutInCell="1" allowOverlap="1">
          <wp:simplePos x="0" y="0"/>
          <wp:positionH relativeFrom="column">
            <wp:posOffset>18415</wp:posOffset>
          </wp:positionH>
          <wp:positionV relativeFrom="page">
            <wp:posOffset>10081260</wp:posOffset>
          </wp:positionV>
          <wp:extent cx="927735" cy="176530"/>
          <wp:effectExtent l="0" t="0" r="5715" b="13970"/>
          <wp:wrapTight wrapText="bothSides">
            <wp:wrapPolygon>
              <wp:start x="0" y="0"/>
              <wp:lineTo x="0" y="19269"/>
              <wp:lineTo x="21290" y="19269"/>
              <wp:lineTo x="21290" y="0"/>
              <wp:lineTo x="0" y="0"/>
            </wp:wrapPolygon>
          </wp:wrapTight>
          <wp:docPr id="8" name="图片 1658531853" descr="1660788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58531853" descr="1660788654(1)"/>
                  <pic:cNvPicPr>
                    <a:picLocks noChangeAspect="1"/>
                  </pic:cNvPicPr>
                </pic:nvPicPr>
                <pic:blipFill>
                  <a:blip r:embed="rId1"/>
                  <a:stretch>
                    <a:fillRect/>
                  </a:stretch>
                </pic:blipFill>
                <pic:spPr>
                  <a:xfrm>
                    <a:off x="0" y="0"/>
                    <a:ext cx="927735" cy="176530"/>
                  </a:xfrm>
                  <a:prstGeom prst="rect">
                    <a:avLst/>
                  </a:prstGeom>
                  <a:noFill/>
                  <a:ln>
                    <a:noFill/>
                  </a:ln>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margin">
                <wp:posOffset>2395220</wp:posOffset>
              </wp:positionH>
              <wp:positionV relativeFrom="paragraph">
                <wp:posOffset>6985</wp:posOffset>
              </wp:positionV>
              <wp:extent cx="1258570" cy="316865"/>
              <wp:effectExtent l="0" t="0" r="0" b="0"/>
              <wp:wrapNone/>
              <wp:docPr id="7" name="文本框 3"/>
              <wp:cNvGraphicFramePr/>
              <a:graphic xmlns:a="http://schemas.openxmlformats.org/drawingml/2006/main">
                <a:graphicData uri="http://schemas.microsoft.com/office/word/2010/wordprocessingShape">
                  <wps:wsp>
                    <wps:cNvSpPr txBox="1"/>
                    <wps:spPr>
                      <a:xfrm>
                        <a:off x="0" y="0"/>
                        <a:ext cx="1258570" cy="316865"/>
                      </a:xfrm>
                      <a:prstGeom prst="rect">
                        <a:avLst/>
                      </a:prstGeom>
                      <a:noFill/>
                      <a:ln w="6350">
                        <a:noFill/>
                      </a:ln>
                    </wps:spPr>
                    <wps:txbx>
                      <w:txbxContent>
                        <w:p>
                          <w:pPr>
                            <w:pStyle w:val="27"/>
                            <w:ind w:firstLine="361"/>
                            <w:rPr>
                              <w:rFonts w:ascii="宋体"/>
                              <w:b/>
                              <w:bCs/>
                            </w:rPr>
                          </w:pPr>
                          <w:r>
                            <w:rPr>
                              <w:rFonts w:hint="eastAsia" w:ascii="宋体" w:hAnsi="宋体"/>
                              <w:b/>
                              <w:bCs/>
                            </w:rPr>
                            <w:t>第</w:t>
                          </w:r>
                          <w:r>
                            <w:rPr>
                              <w:rFonts w:ascii="宋体" w:hAnsi="宋体"/>
                              <w:b/>
                              <w:bCs/>
                            </w:rPr>
                            <w:t xml:space="preserve"> </w:t>
                          </w:r>
                          <w:r>
                            <w:rPr>
                              <w:rFonts w:ascii="宋体" w:hAnsi="宋体"/>
                              <w:b/>
                              <w:bCs/>
                            </w:rPr>
                            <w:fldChar w:fldCharType="begin"/>
                          </w:r>
                          <w:r>
                            <w:rPr>
                              <w:rFonts w:ascii="宋体" w:hAnsi="宋体"/>
                              <w:b/>
                              <w:bCs/>
                            </w:rPr>
                            <w:instrText xml:space="preserve"> PAGE  \* MERGEFORMAT </w:instrText>
                          </w:r>
                          <w:r>
                            <w:rPr>
                              <w:rFonts w:ascii="宋体" w:hAnsi="宋体"/>
                              <w:b/>
                              <w:bCs/>
                            </w:rPr>
                            <w:fldChar w:fldCharType="separate"/>
                          </w:r>
                          <w:r>
                            <w:rPr>
                              <w:rFonts w:ascii="宋体" w:hAnsi="宋体"/>
                              <w:b/>
                              <w:bCs/>
                            </w:rPr>
                            <w:t>1</w:t>
                          </w:r>
                          <w:r>
                            <w:rPr>
                              <w:rFonts w:ascii="宋体" w:hAnsi="宋体"/>
                              <w:b/>
                              <w:bCs/>
                            </w:rPr>
                            <w:fldChar w:fldCharType="end"/>
                          </w:r>
                          <w:r>
                            <w:rPr>
                              <w:rFonts w:ascii="宋体" w:hAnsi="宋体"/>
                              <w:b/>
                              <w:bCs/>
                            </w:rPr>
                            <w:t xml:space="preserve"> </w:t>
                          </w:r>
                          <w:r>
                            <w:rPr>
                              <w:rFonts w:hint="eastAsia" w:ascii="宋体" w:hAnsi="宋体"/>
                              <w:b/>
                              <w:bCs/>
                            </w:rPr>
                            <w:t>页</w:t>
                          </w:r>
                          <w:r>
                            <w:rPr>
                              <w:rFonts w:ascii="宋体" w:hAnsi="宋体"/>
                              <w:b/>
                              <w:bCs/>
                            </w:rPr>
                            <w:t xml:space="preserve"> </w:t>
                          </w:r>
                          <w:r>
                            <w:rPr>
                              <w:rFonts w:hint="eastAsia" w:ascii="宋体" w:hAnsi="宋体"/>
                              <w:b/>
                              <w:bCs/>
                            </w:rPr>
                            <w:t>共</w:t>
                          </w:r>
                          <w:r>
                            <w:rPr>
                              <w:rFonts w:ascii="宋体" w:hAnsi="宋体"/>
                              <w:b/>
                              <w:bCs/>
                            </w:rPr>
                            <w:t xml:space="preserve"> </w:t>
                          </w:r>
                          <w:r>
                            <w:fldChar w:fldCharType="begin"/>
                          </w:r>
                          <w:r>
                            <w:instrText xml:space="preserve"> NUMPAGES  \* MERGEFORMAT </w:instrText>
                          </w:r>
                          <w:r>
                            <w:fldChar w:fldCharType="separate"/>
                          </w:r>
                          <w:r>
                            <w:rPr>
                              <w:rFonts w:ascii="宋体" w:hAnsi="宋体"/>
                              <w:b/>
                              <w:bCs/>
                            </w:rPr>
                            <w:t>47</w:t>
                          </w:r>
                          <w:r>
                            <w:rPr>
                              <w:rFonts w:ascii="宋体" w:hAnsi="宋体"/>
                              <w:b/>
                              <w:bCs/>
                            </w:rPr>
                            <w:fldChar w:fldCharType="end"/>
                          </w:r>
                          <w:r>
                            <w:rPr>
                              <w:rFonts w:ascii="宋体" w:hAnsi="宋体"/>
                              <w:b/>
                              <w:bCs/>
                            </w:rPr>
                            <w:t xml:space="preserve"> </w:t>
                          </w:r>
                          <w:r>
                            <w:rPr>
                              <w:rFonts w:hint="eastAsia" w:ascii="宋体" w:hAnsi="宋体"/>
                              <w:b/>
                              <w:bCs/>
                            </w:rPr>
                            <w:t>页</w:t>
                          </w:r>
                        </w:p>
                      </w:txbxContent>
                    </wps:txbx>
                    <wps:bodyPr lIns="0" tIns="0" rIns="0" bIns="0" upright="1"/>
                  </wps:wsp>
                </a:graphicData>
              </a:graphic>
            </wp:anchor>
          </w:drawing>
        </mc:Choice>
        <mc:Fallback>
          <w:pict>
            <v:shape id="文本框 3" o:spid="_x0000_s1026" o:spt="202" type="#_x0000_t202" style="position:absolute;left:0pt;margin-left:188.6pt;margin-top:0.55pt;height:24.95pt;width:99.1pt;mso-position-horizontal-relative:margin;z-index:251661312;mso-width-relative:page;mso-height-relative:page;" filled="f" stroked="f" coordsize="21600,21600" o:gfxdata="UEsDBAoAAAAAAIdO4kAAAAAAAAAAAAAAAAAEAAAAZHJzL1BLAwQUAAAACACHTuJA+E41T9YAAAAI&#10;AQAADwAAAGRycy9kb3ducmV2LnhtbE2Py07DMBBF90j8gzVI7KjtQkkV4nTBY8ezFAl2TmySCHsc&#10;2U5a/p5hBbsZnas7Z6rNwTs225iGgArkQgCz2AYzYKdg93p3tgaWskajXUCr4Nsm2NTHR5UuTdjj&#10;i523uWNUgqnUCvqcx5Lz1PbW67QIo0VinyF6nWmNHTdR76ncO74U4pJ7PSBd6PVor3vbfm0nr8C9&#10;p3jfiPwx33QP+fmJT2+38lGp0xMproBle8h/YfjVJ3WoyakJE5rEnILzolhSlIAERnxVrC6ANTRI&#10;Abyu+P8H6h9QSwMEFAAAAAgAh07iQGnr4kfCAQAAewMAAA4AAABkcnMvZTJvRG9jLnhtbK1TS27b&#10;MBDdF8gdCO5ryTbsGILlAIWRoECRFkh7AJoiLQIkhyBpS75AeoOuuum+5/I5OqQsp0g3WXRDDefz&#10;Zt4ban3XG02OwgcFtqbTSUmJsBwaZfc1/fb1/v2KkhCZbZgGK2p6EoHebW7erTtXiRm0oBvhCYLY&#10;UHWupm2MriqKwFthWJiAExaDErxhEa9+XzSedYhudDEry2XRgW+cBy5CQO92CNILon8LIEipuNgC&#10;Pxhh44DqhWYRKYVWuUA3eVopBY+fpQwiEl1TZBrziU3Q3qWz2KxZtffMtYpfRmBvGeEVJ8OUxaZX&#10;qC2LjBy8+gfKKO4hgIwTDqYYiGRFkMW0fKXNU8ucyFxQ6uCuoof/B8sfj188UU1NbymxzODCzz++&#10;n3/+Pv96JvMkT+dChVlPDvNi/wF6fDSjP6Azse6lN+mLfAjGUdzTVVzRR8JT0WyxWtxiiGNsPl2u&#10;losEU7xUOx/igwBDklFTj8vLmrLjpxCH1DElNbNwr7TOC9SWdDVdzhdlLrhGEFxb7JE4DLMmK/a7&#10;/kJsB80JeemPFjVN72M0/GjsRuPgvNq3OFdmnyFxJ5nA5f2kpf99z41f/pnN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hONU/WAAAACAEAAA8AAAAAAAAAAQAgAAAAIgAAAGRycy9kb3ducmV2Lnht&#10;bFBLAQIUABQAAAAIAIdO4kBp6+JHwgEAAHsDAAAOAAAAAAAAAAEAIAAAACUBAABkcnMvZTJvRG9j&#10;LnhtbFBLBQYAAAAABgAGAFkBAABZBQAAAAA=&#10;">
              <v:fill on="f" focussize="0,0"/>
              <v:stroke on="f" weight="0.5pt"/>
              <v:imagedata o:title=""/>
              <o:lock v:ext="edit" aspectratio="f"/>
              <v:textbox inset="0mm,0mm,0mm,0mm">
                <w:txbxContent>
                  <w:p>
                    <w:pPr>
                      <w:pStyle w:val="27"/>
                      <w:ind w:firstLine="361"/>
                      <w:rPr>
                        <w:rFonts w:ascii="宋体"/>
                        <w:b/>
                        <w:bCs/>
                      </w:rPr>
                    </w:pPr>
                    <w:r>
                      <w:rPr>
                        <w:rFonts w:hint="eastAsia" w:ascii="宋体" w:hAnsi="宋体"/>
                        <w:b/>
                        <w:bCs/>
                      </w:rPr>
                      <w:t>第</w:t>
                    </w:r>
                    <w:r>
                      <w:rPr>
                        <w:rFonts w:ascii="宋体" w:hAnsi="宋体"/>
                        <w:b/>
                        <w:bCs/>
                      </w:rPr>
                      <w:t xml:space="preserve"> </w:t>
                    </w:r>
                    <w:r>
                      <w:rPr>
                        <w:rFonts w:ascii="宋体" w:hAnsi="宋体"/>
                        <w:b/>
                        <w:bCs/>
                      </w:rPr>
                      <w:fldChar w:fldCharType="begin"/>
                    </w:r>
                    <w:r>
                      <w:rPr>
                        <w:rFonts w:ascii="宋体" w:hAnsi="宋体"/>
                        <w:b/>
                        <w:bCs/>
                      </w:rPr>
                      <w:instrText xml:space="preserve"> PAGE  \* MERGEFORMAT </w:instrText>
                    </w:r>
                    <w:r>
                      <w:rPr>
                        <w:rFonts w:ascii="宋体" w:hAnsi="宋体"/>
                        <w:b/>
                        <w:bCs/>
                      </w:rPr>
                      <w:fldChar w:fldCharType="separate"/>
                    </w:r>
                    <w:r>
                      <w:rPr>
                        <w:rFonts w:ascii="宋体" w:hAnsi="宋体"/>
                        <w:b/>
                        <w:bCs/>
                      </w:rPr>
                      <w:t>1</w:t>
                    </w:r>
                    <w:r>
                      <w:rPr>
                        <w:rFonts w:ascii="宋体" w:hAnsi="宋体"/>
                        <w:b/>
                        <w:bCs/>
                      </w:rPr>
                      <w:fldChar w:fldCharType="end"/>
                    </w:r>
                    <w:r>
                      <w:rPr>
                        <w:rFonts w:ascii="宋体" w:hAnsi="宋体"/>
                        <w:b/>
                        <w:bCs/>
                      </w:rPr>
                      <w:t xml:space="preserve"> </w:t>
                    </w:r>
                    <w:r>
                      <w:rPr>
                        <w:rFonts w:hint="eastAsia" w:ascii="宋体" w:hAnsi="宋体"/>
                        <w:b/>
                        <w:bCs/>
                      </w:rPr>
                      <w:t>页</w:t>
                    </w:r>
                    <w:r>
                      <w:rPr>
                        <w:rFonts w:ascii="宋体" w:hAnsi="宋体"/>
                        <w:b/>
                        <w:bCs/>
                      </w:rPr>
                      <w:t xml:space="preserve"> </w:t>
                    </w:r>
                    <w:r>
                      <w:rPr>
                        <w:rFonts w:hint="eastAsia" w:ascii="宋体" w:hAnsi="宋体"/>
                        <w:b/>
                        <w:bCs/>
                      </w:rPr>
                      <w:t>共</w:t>
                    </w:r>
                    <w:r>
                      <w:rPr>
                        <w:rFonts w:ascii="宋体" w:hAnsi="宋体"/>
                        <w:b/>
                        <w:bCs/>
                      </w:rPr>
                      <w:t xml:space="preserve"> </w:t>
                    </w:r>
                    <w:r>
                      <w:fldChar w:fldCharType="begin"/>
                    </w:r>
                    <w:r>
                      <w:instrText xml:space="preserve"> NUMPAGES  \* MERGEFORMAT </w:instrText>
                    </w:r>
                    <w:r>
                      <w:fldChar w:fldCharType="separate"/>
                    </w:r>
                    <w:r>
                      <w:rPr>
                        <w:rFonts w:ascii="宋体" w:hAnsi="宋体"/>
                        <w:b/>
                        <w:bCs/>
                      </w:rPr>
                      <w:t>47</w:t>
                    </w:r>
                    <w:r>
                      <w:rPr>
                        <w:rFonts w:ascii="宋体" w:hAnsi="宋体"/>
                        <w:b/>
                        <w:bCs/>
                      </w:rPr>
                      <w:fldChar w:fldCharType="end"/>
                    </w:r>
                    <w:r>
                      <w:rPr>
                        <w:rFonts w:ascii="宋体" w:hAnsi="宋体"/>
                        <w:b/>
                        <w:bCs/>
                      </w:rPr>
                      <w:t xml:space="preserve"> </w:t>
                    </w:r>
                    <w:r>
                      <w:rPr>
                        <w:rFonts w:hint="eastAsia" w:ascii="宋体" w:hAnsi="宋体"/>
                        <w:b/>
                        <w:bCs/>
                      </w:rPr>
                      <w:t>页</w:t>
                    </w:r>
                  </w:p>
                </w:txbxContent>
              </v:textbox>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ind w:firstLine="0" w:firstLineChars="0"/>
      <w:jc w:val="left"/>
    </w:pPr>
    <w:r>
      <w:rPr>
        <w:rFonts w:hint="eastAsia" w:ascii="宋体" w:hAnsi="宋体"/>
        <w:bCs/>
        <w:sz w:val="16"/>
        <w:szCs w:val="16"/>
        <w:lang w:eastAsia="zh-CN"/>
      </w:rPr>
      <w:t>2024年龙游县河西街、飞云路农贸市场保洁外包项目</w:t>
    </w:r>
    <w:r>
      <w:rPr>
        <w:rFonts w:hint="eastAsia" w:ascii="宋体" w:hAnsi="宋体"/>
        <w:bCs/>
        <w:sz w:val="16"/>
        <w:szCs w:val="16"/>
      </w:rPr>
      <w:t xml:space="preserve">的竞争性磋商文件           </w:t>
    </w:r>
    <w:r>
      <w:rPr>
        <w:rFonts w:hint="eastAsia" w:ascii="宋体" w:hAnsi="宋体"/>
        <w:bCs/>
        <w:sz w:val="16"/>
        <w:szCs w:val="16"/>
        <w:lang w:val="en-US" w:eastAsia="zh-CN"/>
      </w:rPr>
      <w:t xml:space="preserve">                                 </w:t>
    </w:r>
    <w:r>
      <w:rPr>
        <w:rFonts w:hint="eastAsia" w:ascii="宋体" w:hAnsi="宋体"/>
        <w:bCs/>
        <w:sz w:val="16"/>
        <w:szCs w:val="16"/>
        <w:lang w:eastAsia="zh-CN"/>
      </w:rPr>
      <w:t>LYCG2024YX-046</w:t>
    </w:r>
    <w:r>
      <w:rPr>
        <w:rFonts w:hint="eastAsia" w:ascii="宋体" w:hAnsi="宋体"/>
        <w:bCs/>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ind w:firstLine="0" w:firstLineChars="0"/>
      <w:jc w:val="left"/>
    </w:pPr>
    <w:r>
      <w:rPr>
        <w:rFonts w:hint="eastAsia" w:ascii="宋体" w:hAnsi="宋体"/>
        <w:bCs/>
        <w:sz w:val="16"/>
        <w:szCs w:val="16"/>
        <w:lang w:eastAsia="zh-CN"/>
      </w:rPr>
      <w:t>2024年龙游县河西街、飞云路农贸市场保洁外包项目</w:t>
    </w:r>
    <w:r>
      <w:rPr>
        <w:rFonts w:hint="eastAsia" w:ascii="宋体" w:hAnsi="宋体"/>
        <w:bCs/>
        <w:sz w:val="16"/>
        <w:szCs w:val="16"/>
      </w:rPr>
      <w:t xml:space="preserve">的竞争性磋商文件           </w:t>
    </w:r>
    <w:r>
      <w:rPr>
        <w:rFonts w:hint="eastAsia" w:ascii="宋体" w:hAnsi="宋体"/>
        <w:bCs/>
        <w:sz w:val="16"/>
        <w:szCs w:val="16"/>
        <w:lang w:val="en-US" w:eastAsia="zh-CN"/>
      </w:rPr>
      <w:t xml:space="preserve">                              </w:t>
    </w:r>
    <w:r>
      <w:rPr>
        <w:rFonts w:hint="eastAsia" w:ascii="宋体" w:hAnsi="宋体"/>
        <w:bCs/>
        <w:sz w:val="16"/>
        <w:szCs w:val="16"/>
        <w:lang w:eastAsia="zh-CN"/>
      </w:rPr>
      <w:t>LYCG2024YX-046</w:t>
    </w:r>
    <w:r>
      <w:rPr>
        <w:rFonts w:hint="eastAsia" w:ascii="宋体" w:hAnsi="宋体"/>
        <w:bCs/>
        <w:sz w:val="16"/>
        <w:szCs w:val="16"/>
        <w:lang w:val="en-US" w:eastAsia="zh-CN"/>
      </w:rPr>
      <w:t xml:space="preserve">                 </w:t>
    </w:r>
    <w:r>
      <w:rPr>
        <w:rFonts w:hint="eastAsia" w:ascii="宋体" w:hAnsi="宋体"/>
        <w:bCs/>
        <w:sz w:val="16"/>
        <w:szCs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0" w:firstLineChars="0"/>
      <w:jc w:val="left"/>
      <w:rPr>
        <w:rFonts w:hint="eastAsia" w:ascii="宋体" w:eastAsia="宋体"/>
        <w:lang w:eastAsia="zh-CN"/>
      </w:rPr>
    </w:pPr>
    <w:r>
      <w:rPr>
        <w:rFonts w:hint="eastAsia" w:ascii="宋体" w:hAnsi="宋体"/>
        <w:bCs/>
        <w:sz w:val="16"/>
        <w:szCs w:val="16"/>
        <w:lang w:eastAsia="zh-CN"/>
      </w:rPr>
      <w:t>2024年龙游县河西街、飞云路农贸市场保洁外包项目</w:t>
    </w:r>
    <w:r>
      <w:rPr>
        <w:rFonts w:hint="eastAsia" w:ascii="宋体" w:hAnsi="宋体"/>
        <w:bCs/>
        <w:sz w:val="16"/>
        <w:szCs w:val="16"/>
      </w:rPr>
      <w:t xml:space="preserve">的竞争性磋商文件           </w:t>
    </w:r>
    <w:r>
      <w:rPr>
        <w:rFonts w:hint="eastAsia" w:ascii="宋体" w:hAnsi="宋体"/>
        <w:bCs/>
        <w:sz w:val="16"/>
        <w:szCs w:val="16"/>
        <w:lang w:val="en-US" w:eastAsia="zh-CN"/>
      </w:rPr>
      <w:t xml:space="preserve">                                  </w:t>
    </w:r>
    <w:r>
      <w:rPr>
        <w:rFonts w:hint="eastAsia" w:ascii="宋体" w:hAnsi="宋体"/>
        <w:bCs/>
        <w:sz w:val="16"/>
        <w:szCs w:val="16"/>
        <w:lang w:eastAsia="zh-CN"/>
      </w:rPr>
      <w:t>LYCG2024YX-046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0" w:firstLineChars="0"/>
      <w:jc w:val="left"/>
      <w:rPr>
        <w:rFonts w:hint="eastAsia" w:ascii="宋体" w:hAnsi="宋体"/>
        <w:lang w:eastAsia="zh-CN"/>
      </w:rPr>
    </w:pPr>
    <w:r>
      <w:rPr>
        <w:rFonts w:hint="eastAsia" w:ascii="宋体" w:hAnsi="宋体"/>
        <w:lang w:val="zh-CN"/>
      </w:rPr>
      <w:t>2024年龙游县河西街、飞云路农贸市场保洁外包项目</w:t>
    </w:r>
    <w:r>
      <w:rPr>
        <w:rFonts w:hint="eastAsia" w:ascii="宋体" w:hAnsi="宋体"/>
      </w:rPr>
      <w:t>的竞争性磋商文件</w:t>
    </w:r>
    <w:r>
      <w:rPr>
        <w:rFonts w:ascii="宋体" w:hAnsi="宋体"/>
      </w:rPr>
      <w:t xml:space="preserve">                        </w:t>
    </w:r>
    <w:r>
      <w:rPr>
        <w:rFonts w:hint="eastAsia" w:ascii="宋体" w:hAnsi="宋体"/>
        <w:lang w:eastAsia="zh-CN"/>
      </w:rPr>
      <w:t xml:space="preserve"> LYCG2024YX-046</w:t>
    </w:r>
  </w:p>
  <w:p>
    <w:pPr>
      <w:pStyle w:val="28"/>
      <w:pBdr>
        <w:bottom w:val="none" w:color="auto" w:sz="0" w:space="0"/>
      </w:pBdr>
      <w:ind w:firstLine="0" w:firstLineChars="0"/>
      <w:jc w:val="left"/>
      <w:rPr>
        <w:rFonts w:hint="eastAsia" w:ascii="宋体" w:hAnsi="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B42B29"/>
    <w:multiLevelType w:val="singleLevel"/>
    <w:tmpl w:val="DDB42B29"/>
    <w:lvl w:ilvl="0" w:tentative="0">
      <w:start w:val="2"/>
      <w:numFmt w:val="chineseCounting"/>
      <w:suff w:val="space"/>
      <w:lvlText w:val="第%1章"/>
      <w:lvlJc w:val="left"/>
      <w:rPr>
        <w:rFonts w:hint="eastAsia"/>
      </w:rPr>
    </w:lvl>
  </w:abstractNum>
  <w:abstractNum w:abstractNumId="1">
    <w:nsid w:val="00000002"/>
    <w:multiLevelType w:val="multilevel"/>
    <w:tmpl w:val="00000002"/>
    <w:lvl w:ilvl="0" w:tentative="0">
      <w:start w:val="1"/>
      <w:numFmt w:val="decimal"/>
      <w:suff w:val="space"/>
      <w:lvlText w:val="第%1章"/>
      <w:lvlJc w:val="left"/>
      <w:pPr>
        <w:ind w:left="4537" w:hanging="425"/>
      </w:pPr>
      <w:rPr>
        <w:rFonts w:hint="eastAsia"/>
      </w:rPr>
    </w:lvl>
    <w:lvl w:ilvl="1" w:tentative="0">
      <w:start w:val="1"/>
      <w:numFmt w:val="decimal"/>
      <w:suff w:val="space"/>
      <w:lvlText w:val="%1.%2."/>
      <w:lvlJc w:val="left"/>
      <w:pPr>
        <w:ind w:left="7274" w:hanging="5430"/>
      </w:pPr>
      <w:rPr>
        <w:rFonts w:hint="eastAsia"/>
        <w:color w:val="333333"/>
      </w:rPr>
    </w:lvl>
    <w:lvl w:ilvl="2" w:tentative="0">
      <w:start w:val="1"/>
      <w:numFmt w:val="decimal"/>
      <w:pStyle w:val="5"/>
      <w:suff w:val="space"/>
      <w:lvlText w:val="%1.%2.%3. "/>
      <w:lvlJc w:val="left"/>
      <w:pPr>
        <w:ind w:left="1400" w:hanging="1400"/>
      </w:pPr>
      <w:rPr>
        <w:rFonts w:hint="eastAsia"/>
        <w:color w:val="auto"/>
      </w:rPr>
    </w:lvl>
    <w:lvl w:ilvl="3" w:tentative="0">
      <w:start w:val="1"/>
      <w:numFmt w:val="decimal"/>
      <w:suff w:val="space"/>
      <w:lvlText w:val="%1.%2.%3.%4."/>
      <w:lvlJc w:val="left"/>
      <w:pPr>
        <w:ind w:left="1277" w:hanging="851"/>
      </w:pPr>
      <w:rPr>
        <w:rFonts w:hint="eastAsia" w:ascii="宋体" w:hAnsi="宋体" w:eastAsia="宋体"/>
      </w:rPr>
    </w:lvl>
    <w:lvl w:ilvl="4" w:tentative="0">
      <w:start w:val="1"/>
      <w:numFmt w:val="decimal"/>
      <w:lvlText w:val="%1.%2.%3.%4.%5."/>
      <w:lvlJc w:val="left"/>
      <w:pPr>
        <w:tabs>
          <w:tab w:val="left" w:pos="992"/>
        </w:tabs>
        <w:ind w:left="0" w:firstLine="0"/>
      </w:pPr>
      <w:rPr>
        <w:rFonts w:hint="eastAsia"/>
        <w:color w:val="auto"/>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0" w:firstLine="0"/>
      </w:pPr>
      <w:rPr>
        <w:rFonts w:hint="eastAsia"/>
      </w:rPr>
    </w:lvl>
    <w:lvl w:ilvl="8" w:tentative="0">
      <w:start w:val="1"/>
      <w:numFmt w:val="decimal"/>
      <w:lvlText w:val="%1.%2.%3.%4.%5.%6.%7.%8.%9."/>
      <w:lvlJc w:val="left"/>
      <w:pPr>
        <w:tabs>
          <w:tab w:val="left" w:pos="1559"/>
        </w:tabs>
        <w:ind w:left="0" w:firstLine="0"/>
      </w:pPr>
      <w:rPr>
        <w:rFonts w:hint="eastAsia"/>
      </w:rPr>
    </w:lvl>
  </w:abstractNum>
  <w:abstractNum w:abstractNumId="2">
    <w:nsid w:val="00000005"/>
    <w:multiLevelType w:val="multilevel"/>
    <w:tmpl w:val="00000005"/>
    <w:lvl w:ilvl="0" w:tentative="0">
      <w:start w:val="1"/>
      <w:numFmt w:val="decimal"/>
      <w:suff w:val="nothing"/>
      <w:lvlText w:val="%1."/>
      <w:lvlJc w:val="left"/>
      <w:pPr>
        <w:tabs>
          <w:tab w:val="left" w:pos="0"/>
        </w:tabs>
        <w:ind w:left="0" w:hanging="425"/>
      </w:pPr>
      <w:rPr>
        <w:rFonts w:hint="default" w:ascii="宋体" w:hAnsi="宋体" w:eastAsia="宋体" w:cs="宋体"/>
        <w:spacing w:val="28"/>
        <w:sz w:val="24"/>
        <w:szCs w:val="24"/>
      </w:rPr>
    </w:lvl>
    <w:lvl w:ilvl="1" w:tentative="0">
      <w:start w:val="1"/>
      <w:numFmt w:val="decimal"/>
      <w:lvlText w:val="%1.%2."/>
      <w:lvlJc w:val="left"/>
      <w:pPr>
        <w:ind w:left="-298" w:hanging="567"/>
      </w:pPr>
      <w:rPr>
        <w:rFonts w:hint="default"/>
      </w:rPr>
    </w:lvl>
    <w:lvl w:ilvl="2" w:tentative="0">
      <w:start w:val="1"/>
      <w:numFmt w:val="decimal"/>
      <w:lvlText w:val="%1.%2.%3."/>
      <w:lvlJc w:val="left"/>
      <w:pPr>
        <w:ind w:left="-156" w:hanging="709"/>
      </w:pPr>
      <w:rPr>
        <w:rFonts w:hint="default"/>
      </w:rPr>
    </w:lvl>
    <w:lvl w:ilvl="3" w:tentative="0">
      <w:start w:val="1"/>
      <w:numFmt w:val="decimal"/>
      <w:lvlText w:val="%1.%2.%3.%4."/>
      <w:lvlJc w:val="left"/>
      <w:pPr>
        <w:ind w:left="-15" w:hanging="850"/>
      </w:pPr>
      <w:rPr>
        <w:rFonts w:hint="default"/>
      </w:rPr>
    </w:lvl>
    <w:lvl w:ilvl="4" w:tentative="0">
      <w:start w:val="1"/>
      <w:numFmt w:val="decimal"/>
      <w:lvlText w:val="%1.%2.%3.%4.%5."/>
      <w:lvlJc w:val="left"/>
      <w:pPr>
        <w:ind w:left="126" w:hanging="991"/>
      </w:pPr>
      <w:rPr>
        <w:rFonts w:hint="default"/>
      </w:rPr>
    </w:lvl>
    <w:lvl w:ilvl="5" w:tentative="0">
      <w:start w:val="1"/>
      <w:numFmt w:val="decimal"/>
      <w:lvlText w:val="%1.%2.%3.%4.%5.%6."/>
      <w:lvlJc w:val="left"/>
      <w:pPr>
        <w:ind w:left="269" w:hanging="1134"/>
      </w:pPr>
      <w:rPr>
        <w:rFonts w:hint="default"/>
      </w:rPr>
    </w:lvl>
    <w:lvl w:ilvl="6" w:tentative="0">
      <w:start w:val="1"/>
      <w:numFmt w:val="decimal"/>
      <w:lvlText w:val="%1.%2.%3.%4.%5.%6.%7."/>
      <w:lvlJc w:val="left"/>
      <w:pPr>
        <w:ind w:left="410" w:hanging="1275"/>
      </w:pPr>
      <w:rPr>
        <w:rFonts w:hint="default"/>
      </w:rPr>
    </w:lvl>
    <w:lvl w:ilvl="7" w:tentative="0">
      <w:start w:val="1"/>
      <w:numFmt w:val="decimal"/>
      <w:lvlText w:val="%1.%2.%3.%4.%5.%6.%7.%8."/>
      <w:lvlJc w:val="left"/>
      <w:pPr>
        <w:ind w:left="553" w:hanging="1418"/>
      </w:pPr>
      <w:rPr>
        <w:rFonts w:hint="default"/>
      </w:rPr>
    </w:lvl>
    <w:lvl w:ilvl="8" w:tentative="0">
      <w:start w:val="1"/>
      <w:numFmt w:val="decimal"/>
      <w:lvlText w:val="%1.%2.%3.%4.%5.%6.%7.%8.%9."/>
      <w:lvlJc w:val="left"/>
      <w:pPr>
        <w:ind w:left="693" w:hanging="1558"/>
      </w:pPr>
      <w:rPr>
        <w:rFonts w:hint="default"/>
      </w:rPr>
    </w:lvl>
  </w:abstractNum>
  <w:abstractNum w:abstractNumId="3">
    <w:nsid w:val="00000009"/>
    <w:multiLevelType w:val="multilevel"/>
    <w:tmpl w:val="00000009"/>
    <w:lvl w:ilvl="0" w:tentative="0">
      <w:start w:val="1"/>
      <w:numFmt w:val="decimal"/>
      <w:lvlText w:val="第%1条"/>
      <w:lvlJc w:val="left"/>
      <w:pPr>
        <w:tabs>
          <w:tab w:val="left" w:pos="5117"/>
        </w:tabs>
        <w:ind w:left="5117" w:hanging="1418"/>
      </w:pPr>
      <w:rPr>
        <w:rFonts w:hint="eastAsia"/>
      </w:rPr>
    </w:lvl>
    <w:lvl w:ilvl="1" w:tentative="0">
      <w:start w:val="1"/>
      <w:numFmt w:val="decimal"/>
      <w:lvlText w:val="%1.%2"/>
      <w:lvlJc w:val="left"/>
      <w:pPr>
        <w:ind w:left="638" w:hanging="624"/>
      </w:pPr>
      <w:rPr>
        <w:rFonts w:hint="eastAsia" w:ascii="Times New Roman" w:hAnsi="Times New Roman" w:cs="Times New Roman"/>
        <w:b/>
        <w:bCs w:val="0"/>
        <w:i w:val="0"/>
        <w:iCs w:val="0"/>
        <w:caps w:val="0"/>
        <w:smallCaps w:val="0"/>
        <w:vanish w:val="0"/>
        <w:color w:val="000000"/>
        <w:spacing w:val="0"/>
        <w:kern w:val="0"/>
        <w:position w:val="0"/>
        <w:sz w:val="28"/>
        <w:szCs w:val="28"/>
        <w:u w:val="none"/>
        <w:vertAlign w:val="baseline"/>
      </w:rPr>
    </w:lvl>
    <w:lvl w:ilvl="2" w:tentative="0">
      <w:start w:val="1"/>
      <w:numFmt w:val="decimal"/>
      <w:lvlText w:val="%1.%2.%3"/>
      <w:lvlJc w:val="left"/>
      <w:pPr>
        <w:tabs>
          <w:tab w:val="left" w:pos="2837"/>
        </w:tabs>
        <w:ind w:left="2240" w:hanging="680"/>
      </w:pPr>
      <w:rPr>
        <w:rFonts w:hint="eastAsia" w:ascii="Times New Roman" w:hAnsi="Times New Roman" w:cs="Times New Roman"/>
        <w:b w:val="0"/>
        <w:bCs w:val="0"/>
        <w:i w:val="0"/>
        <w:iCs w:val="0"/>
        <w:caps w:val="0"/>
        <w:smallCaps w:val="0"/>
        <w:vanish w:val="0"/>
        <w:color w:val="auto"/>
        <w:spacing w:val="0"/>
        <w:kern w:val="0"/>
        <w:position w:val="0"/>
        <w:u w:val="none"/>
        <w:vertAlign w:val="baseline"/>
      </w:rPr>
    </w:lvl>
    <w:lvl w:ilvl="3" w:tentative="0">
      <w:start w:val="1"/>
      <w:numFmt w:val="lowerLetter"/>
      <w:pStyle w:val="6"/>
      <w:lvlText w:val="(%4)"/>
      <w:lvlJc w:val="left"/>
      <w:pPr>
        <w:ind w:left="5359" w:hanging="397"/>
      </w:pPr>
      <w:rPr>
        <w:rFonts w:hint="default" w:ascii="Times New Roman" w:hAnsi="Times New Roman" w:cs="Times New Roman"/>
      </w:rPr>
    </w:lvl>
    <w:lvl w:ilvl="4" w:tentative="0">
      <w:start w:val="1"/>
      <w:numFmt w:val="lowerRoman"/>
      <w:pStyle w:val="7"/>
      <w:lvlText w:val="(%5)"/>
      <w:lvlJc w:val="left"/>
      <w:pPr>
        <w:ind w:left="2297" w:hanging="312"/>
      </w:pPr>
      <w:rPr>
        <w:rFonts w:hint="eastAsia"/>
      </w:rPr>
    </w:lvl>
    <w:lvl w:ilvl="5" w:tentative="0">
      <w:start w:val="1"/>
      <w:numFmt w:val="decimal"/>
      <w:lvlText w:val="%1.%2.%3.%4.%5.%6"/>
      <w:lvlJc w:val="left"/>
      <w:pPr>
        <w:ind w:left="3274" w:hanging="1134"/>
      </w:pPr>
      <w:rPr>
        <w:rFonts w:hint="eastAsia"/>
      </w:rPr>
    </w:lvl>
    <w:lvl w:ilvl="6" w:tentative="0">
      <w:start w:val="1"/>
      <w:numFmt w:val="decimal"/>
      <w:lvlText w:val="%1.%2.%3.%4.%5.%6.%7"/>
      <w:lvlJc w:val="left"/>
      <w:pPr>
        <w:ind w:left="3841" w:hanging="1276"/>
      </w:pPr>
      <w:rPr>
        <w:rFonts w:hint="eastAsia"/>
      </w:rPr>
    </w:lvl>
    <w:lvl w:ilvl="7" w:tentative="0">
      <w:start w:val="1"/>
      <w:numFmt w:val="decimal"/>
      <w:lvlText w:val="%1.%2.%3.%4.%5.%6.%7.%8"/>
      <w:lvlJc w:val="left"/>
      <w:pPr>
        <w:ind w:left="4408" w:hanging="1418"/>
      </w:pPr>
      <w:rPr>
        <w:rFonts w:hint="eastAsia"/>
      </w:rPr>
    </w:lvl>
    <w:lvl w:ilvl="8" w:tentative="0">
      <w:start w:val="1"/>
      <w:numFmt w:val="decimal"/>
      <w:lvlText w:val="%1.%2.%3.%4.%5.%6.%7.%8.%9"/>
      <w:lvlJc w:val="left"/>
      <w:pPr>
        <w:ind w:left="5116" w:hanging="1700"/>
      </w:pPr>
      <w:rPr>
        <w:rFonts w:hint="eastAsia"/>
      </w:rPr>
    </w:lvl>
  </w:abstractNum>
  <w:abstractNum w:abstractNumId="4">
    <w:nsid w:val="5937B5F1"/>
    <w:multiLevelType w:val="singleLevel"/>
    <w:tmpl w:val="5937B5F1"/>
    <w:lvl w:ilvl="0" w:tentative="0">
      <w:start w:val="1"/>
      <w:numFmt w:val="chineseCounting"/>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bordersDoNotSurroundHeader w:val="1"/>
  <w:bordersDoNotSurroundFooter w:val="1"/>
  <w:trackRevisions w:val="1"/>
  <w:documentProtection w:enforcement="0"/>
  <w:defaultTabStop w:val="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BhZDQ5ZWM5NWUzMTM3YzBlMGYyYzM4ZDhlOTYifQ=="/>
    <w:docVar w:name="KSO_WPS_MARK_KEY" w:val="5874be44-f437-4f00-b33b-018fa8eddbdd"/>
  </w:docVars>
  <w:rsids>
    <w:rsidRoot w:val="00172A27"/>
    <w:rsid w:val="000021A5"/>
    <w:rsid w:val="00071213"/>
    <w:rsid w:val="00093C72"/>
    <w:rsid w:val="000A6FA3"/>
    <w:rsid w:val="0010727D"/>
    <w:rsid w:val="00144473"/>
    <w:rsid w:val="00145155"/>
    <w:rsid w:val="00153D93"/>
    <w:rsid w:val="0017420B"/>
    <w:rsid w:val="001D0C3C"/>
    <w:rsid w:val="00246D1E"/>
    <w:rsid w:val="002B3B59"/>
    <w:rsid w:val="0045156B"/>
    <w:rsid w:val="004664BD"/>
    <w:rsid w:val="00480917"/>
    <w:rsid w:val="005178EE"/>
    <w:rsid w:val="00584461"/>
    <w:rsid w:val="005867C1"/>
    <w:rsid w:val="006140F3"/>
    <w:rsid w:val="00634887"/>
    <w:rsid w:val="00637B91"/>
    <w:rsid w:val="00683A16"/>
    <w:rsid w:val="00693B17"/>
    <w:rsid w:val="006B2574"/>
    <w:rsid w:val="00703510"/>
    <w:rsid w:val="007A148D"/>
    <w:rsid w:val="007C4B75"/>
    <w:rsid w:val="007E132F"/>
    <w:rsid w:val="007F6C6F"/>
    <w:rsid w:val="00807864"/>
    <w:rsid w:val="00830D52"/>
    <w:rsid w:val="00852625"/>
    <w:rsid w:val="008929ED"/>
    <w:rsid w:val="008E07AE"/>
    <w:rsid w:val="00945D42"/>
    <w:rsid w:val="009C76E3"/>
    <w:rsid w:val="00A6082D"/>
    <w:rsid w:val="00B56A85"/>
    <w:rsid w:val="00C14B91"/>
    <w:rsid w:val="00C30AC0"/>
    <w:rsid w:val="00C5386F"/>
    <w:rsid w:val="00CA73E4"/>
    <w:rsid w:val="00CC1D7C"/>
    <w:rsid w:val="00D34C8B"/>
    <w:rsid w:val="00D3629E"/>
    <w:rsid w:val="00D468BB"/>
    <w:rsid w:val="00D60067"/>
    <w:rsid w:val="00E15234"/>
    <w:rsid w:val="00E533EB"/>
    <w:rsid w:val="00F44F67"/>
    <w:rsid w:val="00F66057"/>
    <w:rsid w:val="00FA1F9C"/>
    <w:rsid w:val="00FA21BB"/>
    <w:rsid w:val="00FB15EA"/>
    <w:rsid w:val="010805F1"/>
    <w:rsid w:val="010C0502"/>
    <w:rsid w:val="010D37CA"/>
    <w:rsid w:val="01137640"/>
    <w:rsid w:val="01186439"/>
    <w:rsid w:val="011949CD"/>
    <w:rsid w:val="011A3B3E"/>
    <w:rsid w:val="01413308"/>
    <w:rsid w:val="01535E53"/>
    <w:rsid w:val="015A3730"/>
    <w:rsid w:val="01725415"/>
    <w:rsid w:val="017D5318"/>
    <w:rsid w:val="018E53BB"/>
    <w:rsid w:val="019329D2"/>
    <w:rsid w:val="019E0F5D"/>
    <w:rsid w:val="01BF37C7"/>
    <w:rsid w:val="01C10859"/>
    <w:rsid w:val="01C34939"/>
    <w:rsid w:val="01C81F50"/>
    <w:rsid w:val="01DB4BFD"/>
    <w:rsid w:val="01F114A6"/>
    <w:rsid w:val="01F6325B"/>
    <w:rsid w:val="01F66ABD"/>
    <w:rsid w:val="01FE6DF2"/>
    <w:rsid w:val="01FF3BC3"/>
    <w:rsid w:val="020E2058"/>
    <w:rsid w:val="02117D9A"/>
    <w:rsid w:val="02151639"/>
    <w:rsid w:val="023F0464"/>
    <w:rsid w:val="02417F3D"/>
    <w:rsid w:val="024C2B81"/>
    <w:rsid w:val="02520FC1"/>
    <w:rsid w:val="026E0D49"/>
    <w:rsid w:val="0299478B"/>
    <w:rsid w:val="029A38EC"/>
    <w:rsid w:val="029D33DC"/>
    <w:rsid w:val="02C34EEE"/>
    <w:rsid w:val="02C46BBB"/>
    <w:rsid w:val="02CA745A"/>
    <w:rsid w:val="02CB619B"/>
    <w:rsid w:val="02D037B2"/>
    <w:rsid w:val="02D7406D"/>
    <w:rsid w:val="02DD1A2B"/>
    <w:rsid w:val="02F96C9D"/>
    <w:rsid w:val="02FB694F"/>
    <w:rsid w:val="030568CC"/>
    <w:rsid w:val="030A6712"/>
    <w:rsid w:val="030B2A3C"/>
    <w:rsid w:val="03152839"/>
    <w:rsid w:val="03200295"/>
    <w:rsid w:val="03266AD1"/>
    <w:rsid w:val="032F4ADE"/>
    <w:rsid w:val="03423014"/>
    <w:rsid w:val="03547F3F"/>
    <w:rsid w:val="03561432"/>
    <w:rsid w:val="035717DD"/>
    <w:rsid w:val="03595555"/>
    <w:rsid w:val="035A7749"/>
    <w:rsid w:val="03600F23"/>
    <w:rsid w:val="037E3B5A"/>
    <w:rsid w:val="03802AE2"/>
    <w:rsid w:val="03866E32"/>
    <w:rsid w:val="0389110B"/>
    <w:rsid w:val="038B3EE8"/>
    <w:rsid w:val="03976088"/>
    <w:rsid w:val="039E11BA"/>
    <w:rsid w:val="03B77A2E"/>
    <w:rsid w:val="03CC5D27"/>
    <w:rsid w:val="03DB525E"/>
    <w:rsid w:val="03E05C76"/>
    <w:rsid w:val="03E6032D"/>
    <w:rsid w:val="03EF7C67"/>
    <w:rsid w:val="04267B2D"/>
    <w:rsid w:val="042B1DDB"/>
    <w:rsid w:val="04405D6F"/>
    <w:rsid w:val="044665DA"/>
    <w:rsid w:val="045E663F"/>
    <w:rsid w:val="04610FA8"/>
    <w:rsid w:val="046B19E4"/>
    <w:rsid w:val="0476578F"/>
    <w:rsid w:val="049031F8"/>
    <w:rsid w:val="04C503B9"/>
    <w:rsid w:val="04C80BE4"/>
    <w:rsid w:val="04D4739B"/>
    <w:rsid w:val="04DC0AA0"/>
    <w:rsid w:val="04F41D37"/>
    <w:rsid w:val="04F80D9E"/>
    <w:rsid w:val="04FE46FF"/>
    <w:rsid w:val="04FF212C"/>
    <w:rsid w:val="05032CAF"/>
    <w:rsid w:val="052A7DC9"/>
    <w:rsid w:val="052E656D"/>
    <w:rsid w:val="05377B18"/>
    <w:rsid w:val="053D119E"/>
    <w:rsid w:val="05404C1F"/>
    <w:rsid w:val="0556121D"/>
    <w:rsid w:val="0557019C"/>
    <w:rsid w:val="0564542A"/>
    <w:rsid w:val="056458C1"/>
    <w:rsid w:val="05687CD1"/>
    <w:rsid w:val="05761554"/>
    <w:rsid w:val="057E12A3"/>
    <w:rsid w:val="05816FE5"/>
    <w:rsid w:val="05840C01"/>
    <w:rsid w:val="05947C79"/>
    <w:rsid w:val="0599432F"/>
    <w:rsid w:val="05A0746B"/>
    <w:rsid w:val="05A15BA4"/>
    <w:rsid w:val="05A848E9"/>
    <w:rsid w:val="05B146DA"/>
    <w:rsid w:val="05B64EE1"/>
    <w:rsid w:val="05B8129E"/>
    <w:rsid w:val="05DD06BF"/>
    <w:rsid w:val="05DE1D42"/>
    <w:rsid w:val="05E01F80"/>
    <w:rsid w:val="05E602ED"/>
    <w:rsid w:val="05E732EC"/>
    <w:rsid w:val="05F6352F"/>
    <w:rsid w:val="060769A0"/>
    <w:rsid w:val="060C3956"/>
    <w:rsid w:val="06154247"/>
    <w:rsid w:val="06180B16"/>
    <w:rsid w:val="062005AC"/>
    <w:rsid w:val="062A5508"/>
    <w:rsid w:val="062E0F1B"/>
    <w:rsid w:val="063F2283"/>
    <w:rsid w:val="066B4501"/>
    <w:rsid w:val="067A4160"/>
    <w:rsid w:val="067B393C"/>
    <w:rsid w:val="067E4274"/>
    <w:rsid w:val="06805FE8"/>
    <w:rsid w:val="068E19BA"/>
    <w:rsid w:val="06C76C7A"/>
    <w:rsid w:val="06D959FD"/>
    <w:rsid w:val="06E72E78"/>
    <w:rsid w:val="06E96BF0"/>
    <w:rsid w:val="07183962"/>
    <w:rsid w:val="071D585F"/>
    <w:rsid w:val="072F4F4B"/>
    <w:rsid w:val="0730597B"/>
    <w:rsid w:val="0736472E"/>
    <w:rsid w:val="073F4394"/>
    <w:rsid w:val="07416A2C"/>
    <w:rsid w:val="0747317D"/>
    <w:rsid w:val="07504BA7"/>
    <w:rsid w:val="07585B24"/>
    <w:rsid w:val="075B263E"/>
    <w:rsid w:val="075E709C"/>
    <w:rsid w:val="07627E39"/>
    <w:rsid w:val="07695F38"/>
    <w:rsid w:val="07707311"/>
    <w:rsid w:val="07727B34"/>
    <w:rsid w:val="077E79EA"/>
    <w:rsid w:val="07927288"/>
    <w:rsid w:val="07A7609C"/>
    <w:rsid w:val="07AE0529"/>
    <w:rsid w:val="07B436A2"/>
    <w:rsid w:val="07CD4764"/>
    <w:rsid w:val="07D17DB0"/>
    <w:rsid w:val="07D96C64"/>
    <w:rsid w:val="07DE24CD"/>
    <w:rsid w:val="07F77101"/>
    <w:rsid w:val="07FE609C"/>
    <w:rsid w:val="07FE66CB"/>
    <w:rsid w:val="08033FB5"/>
    <w:rsid w:val="0806458B"/>
    <w:rsid w:val="080D38E6"/>
    <w:rsid w:val="081D2FF5"/>
    <w:rsid w:val="08290296"/>
    <w:rsid w:val="082C7CFC"/>
    <w:rsid w:val="083D65AA"/>
    <w:rsid w:val="085441FA"/>
    <w:rsid w:val="086005A0"/>
    <w:rsid w:val="0869607B"/>
    <w:rsid w:val="087E6281"/>
    <w:rsid w:val="08892439"/>
    <w:rsid w:val="08907D33"/>
    <w:rsid w:val="0895702F"/>
    <w:rsid w:val="08993539"/>
    <w:rsid w:val="089F4BFB"/>
    <w:rsid w:val="08A07782"/>
    <w:rsid w:val="08A560A9"/>
    <w:rsid w:val="08A92ADB"/>
    <w:rsid w:val="08B446C5"/>
    <w:rsid w:val="08B576D2"/>
    <w:rsid w:val="08BA4CE8"/>
    <w:rsid w:val="08C6530F"/>
    <w:rsid w:val="08E104C7"/>
    <w:rsid w:val="08E43B13"/>
    <w:rsid w:val="08F04239"/>
    <w:rsid w:val="08F52346"/>
    <w:rsid w:val="08F558FB"/>
    <w:rsid w:val="08FC0E5C"/>
    <w:rsid w:val="092108C3"/>
    <w:rsid w:val="09271C52"/>
    <w:rsid w:val="092C7268"/>
    <w:rsid w:val="093B2407"/>
    <w:rsid w:val="09414834"/>
    <w:rsid w:val="09491BC8"/>
    <w:rsid w:val="094C607F"/>
    <w:rsid w:val="09594501"/>
    <w:rsid w:val="09646A02"/>
    <w:rsid w:val="09664528"/>
    <w:rsid w:val="09866978"/>
    <w:rsid w:val="098D5C05"/>
    <w:rsid w:val="09954D8D"/>
    <w:rsid w:val="099D3C99"/>
    <w:rsid w:val="09B74D83"/>
    <w:rsid w:val="09B94F9F"/>
    <w:rsid w:val="09C65DCB"/>
    <w:rsid w:val="09C86F91"/>
    <w:rsid w:val="09CA2D09"/>
    <w:rsid w:val="09D20727"/>
    <w:rsid w:val="09D65B51"/>
    <w:rsid w:val="09E051CB"/>
    <w:rsid w:val="09E638BB"/>
    <w:rsid w:val="09E71B0D"/>
    <w:rsid w:val="09EF48CE"/>
    <w:rsid w:val="0A026946"/>
    <w:rsid w:val="0A1162CB"/>
    <w:rsid w:val="0A287A2F"/>
    <w:rsid w:val="0A417EAB"/>
    <w:rsid w:val="0A4931A5"/>
    <w:rsid w:val="0A4E292F"/>
    <w:rsid w:val="0A501A3C"/>
    <w:rsid w:val="0A546A76"/>
    <w:rsid w:val="0A586A4D"/>
    <w:rsid w:val="0A6071C9"/>
    <w:rsid w:val="0A6A44EC"/>
    <w:rsid w:val="0A79472F"/>
    <w:rsid w:val="0A7C73DE"/>
    <w:rsid w:val="0A8628A4"/>
    <w:rsid w:val="0A870BFA"/>
    <w:rsid w:val="0A883515"/>
    <w:rsid w:val="0A951569"/>
    <w:rsid w:val="0A9F49EC"/>
    <w:rsid w:val="0AA66C44"/>
    <w:rsid w:val="0AA84FB8"/>
    <w:rsid w:val="0AAE262A"/>
    <w:rsid w:val="0AAE2FD3"/>
    <w:rsid w:val="0AB539B9"/>
    <w:rsid w:val="0ABD0ABF"/>
    <w:rsid w:val="0AC110ED"/>
    <w:rsid w:val="0ACA2D4B"/>
    <w:rsid w:val="0AD904A9"/>
    <w:rsid w:val="0AE55920"/>
    <w:rsid w:val="0AEE0C79"/>
    <w:rsid w:val="0AFE2D44"/>
    <w:rsid w:val="0B005469"/>
    <w:rsid w:val="0B0567B5"/>
    <w:rsid w:val="0B0F299D"/>
    <w:rsid w:val="0B204BAA"/>
    <w:rsid w:val="0B277817"/>
    <w:rsid w:val="0B3643CE"/>
    <w:rsid w:val="0B4D11AD"/>
    <w:rsid w:val="0B5273A7"/>
    <w:rsid w:val="0B7F5D75"/>
    <w:rsid w:val="0B8767EA"/>
    <w:rsid w:val="0B8909A2"/>
    <w:rsid w:val="0B9D61FB"/>
    <w:rsid w:val="0BB17E3F"/>
    <w:rsid w:val="0BB7550F"/>
    <w:rsid w:val="0BBA4FFF"/>
    <w:rsid w:val="0BC300F8"/>
    <w:rsid w:val="0BE1258C"/>
    <w:rsid w:val="0BE5207C"/>
    <w:rsid w:val="0BF56DA2"/>
    <w:rsid w:val="0C1A5F83"/>
    <w:rsid w:val="0C300E1D"/>
    <w:rsid w:val="0C366586"/>
    <w:rsid w:val="0C3C77C2"/>
    <w:rsid w:val="0C422B59"/>
    <w:rsid w:val="0C442BB5"/>
    <w:rsid w:val="0C4B6D63"/>
    <w:rsid w:val="0C637445"/>
    <w:rsid w:val="0C6531BD"/>
    <w:rsid w:val="0CA24F56"/>
    <w:rsid w:val="0CA37841"/>
    <w:rsid w:val="0CAA7290"/>
    <w:rsid w:val="0CAC19A4"/>
    <w:rsid w:val="0CC021C4"/>
    <w:rsid w:val="0CC53C5B"/>
    <w:rsid w:val="0CCC6D98"/>
    <w:rsid w:val="0CCD6E01"/>
    <w:rsid w:val="0CD6163A"/>
    <w:rsid w:val="0CD93EC5"/>
    <w:rsid w:val="0CDD09B3"/>
    <w:rsid w:val="0CF167FE"/>
    <w:rsid w:val="0CF54541"/>
    <w:rsid w:val="0CFA68BB"/>
    <w:rsid w:val="0D1129FD"/>
    <w:rsid w:val="0D554FDF"/>
    <w:rsid w:val="0D5D466A"/>
    <w:rsid w:val="0D6C3835"/>
    <w:rsid w:val="0D7840AA"/>
    <w:rsid w:val="0D9F0B3B"/>
    <w:rsid w:val="0DA77735"/>
    <w:rsid w:val="0DC74CC3"/>
    <w:rsid w:val="0DEF71E2"/>
    <w:rsid w:val="0DFC41C9"/>
    <w:rsid w:val="0E00002B"/>
    <w:rsid w:val="0E04203D"/>
    <w:rsid w:val="0E0C2011"/>
    <w:rsid w:val="0E0D58BA"/>
    <w:rsid w:val="0E4B7C54"/>
    <w:rsid w:val="0E4E414E"/>
    <w:rsid w:val="0E4F4361"/>
    <w:rsid w:val="0E6D695C"/>
    <w:rsid w:val="0E745939"/>
    <w:rsid w:val="0E772D33"/>
    <w:rsid w:val="0E7D259C"/>
    <w:rsid w:val="0E811E04"/>
    <w:rsid w:val="0E8D69FB"/>
    <w:rsid w:val="0E9858DF"/>
    <w:rsid w:val="0E9D7C0C"/>
    <w:rsid w:val="0EBF1938"/>
    <w:rsid w:val="0ECC12D1"/>
    <w:rsid w:val="0ED1410A"/>
    <w:rsid w:val="0EEC54CF"/>
    <w:rsid w:val="0EF73E51"/>
    <w:rsid w:val="0EF80318"/>
    <w:rsid w:val="0EFB5712"/>
    <w:rsid w:val="0F0036B2"/>
    <w:rsid w:val="0F0D4A89"/>
    <w:rsid w:val="0F181979"/>
    <w:rsid w:val="0F227143"/>
    <w:rsid w:val="0F2509E1"/>
    <w:rsid w:val="0F3B5E7E"/>
    <w:rsid w:val="0F470E98"/>
    <w:rsid w:val="0F503CB0"/>
    <w:rsid w:val="0F7F00F1"/>
    <w:rsid w:val="0FB6788B"/>
    <w:rsid w:val="0FB96F8C"/>
    <w:rsid w:val="0FC45FDA"/>
    <w:rsid w:val="0FC603E2"/>
    <w:rsid w:val="0FDD78C1"/>
    <w:rsid w:val="0FE05770"/>
    <w:rsid w:val="0FFF7484"/>
    <w:rsid w:val="100E1475"/>
    <w:rsid w:val="10184D43"/>
    <w:rsid w:val="101A5EED"/>
    <w:rsid w:val="102266BA"/>
    <w:rsid w:val="102A2753"/>
    <w:rsid w:val="102B35EA"/>
    <w:rsid w:val="103B23E7"/>
    <w:rsid w:val="104430E9"/>
    <w:rsid w:val="106D2640"/>
    <w:rsid w:val="107A1722"/>
    <w:rsid w:val="108A6CCB"/>
    <w:rsid w:val="109B60C0"/>
    <w:rsid w:val="10B254EE"/>
    <w:rsid w:val="10BF3769"/>
    <w:rsid w:val="10C138F3"/>
    <w:rsid w:val="10C67F94"/>
    <w:rsid w:val="10E70644"/>
    <w:rsid w:val="10F863AD"/>
    <w:rsid w:val="10FE7482"/>
    <w:rsid w:val="1105353C"/>
    <w:rsid w:val="11073A7F"/>
    <w:rsid w:val="110A700B"/>
    <w:rsid w:val="11195E41"/>
    <w:rsid w:val="111F1247"/>
    <w:rsid w:val="11224C53"/>
    <w:rsid w:val="112E5A79"/>
    <w:rsid w:val="112F5B47"/>
    <w:rsid w:val="113D118D"/>
    <w:rsid w:val="114063F2"/>
    <w:rsid w:val="11544EAF"/>
    <w:rsid w:val="115D060D"/>
    <w:rsid w:val="11641C95"/>
    <w:rsid w:val="11674BFA"/>
    <w:rsid w:val="11692E07"/>
    <w:rsid w:val="11735051"/>
    <w:rsid w:val="118205E1"/>
    <w:rsid w:val="11A33015"/>
    <w:rsid w:val="11AF6C09"/>
    <w:rsid w:val="11E872F0"/>
    <w:rsid w:val="11FE0A14"/>
    <w:rsid w:val="11FE6E0B"/>
    <w:rsid w:val="121E62E8"/>
    <w:rsid w:val="12260CDB"/>
    <w:rsid w:val="12343ED2"/>
    <w:rsid w:val="12381244"/>
    <w:rsid w:val="124318AA"/>
    <w:rsid w:val="125735A8"/>
    <w:rsid w:val="12633CFA"/>
    <w:rsid w:val="126407FA"/>
    <w:rsid w:val="12741746"/>
    <w:rsid w:val="12865E55"/>
    <w:rsid w:val="12A16D11"/>
    <w:rsid w:val="12A4173C"/>
    <w:rsid w:val="12A4440D"/>
    <w:rsid w:val="12A71ECD"/>
    <w:rsid w:val="12A915BD"/>
    <w:rsid w:val="12AD766B"/>
    <w:rsid w:val="12C55CEB"/>
    <w:rsid w:val="12D6183D"/>
    <w:rsid w:val="12D65981"/>
    <w:rsid w:val="12D71423"/>
    <w:rsid w:val="12E50BB3"/>
    <w:rsid w:val="12EF1A32"/>
    <w:rsid w:val="12FE3A23"/>
    <w:rsid w:val="131519D9"/>
    <w:rsid w:val="133E6515"/>
    <w:rsid w:val="13511DA5"/>
    <w:rsid w:val="135950FD"/>
    <w:rsid w:val="135A334F"/>
    <w:rsid w:val="135B0E75"/>
    <w:rsid w:val="136E6DFB"/>
    <w:rsid w:val="137439B9"/>
    <w:rsid w:val="137D7AA1"/>
    <w:rsid w:val="137F4B64"/>
    <w:rsid w:val="13815438"/>
    <w:rsid w:val="13856EC8"/>
    <w:rsid w:val="1391403E"/>
    <w:rsid w:val="13961581"/>
    <w:rsid w:val="139B28D9"/>
    <w:rsid w:val="13B74194"/>
    <w:rsid w:val="13BE7816"/>
    <w:rsid w:val="13C1778D"/>
    <w:rsid w:val="13E71FA6"/>
    <w:rsid w:val="14045069"/>
    <w:rsid w:val="14157152"/>
    <w:rsid w:val="14184FB8"/>
    <w:rsid w:val="141A488D"/>
    <w:rsid w:val="14221993"/>
    <w:rsid w:val="14553B17"/>
    <w:rsid w:val="145C30F7"/>
    <w:rsid w:val="146975C2"/>
    <w:rsid w:val="146A0859"/>
    <w:rsid w:val="146B2BE1"/>
    <w:rsid w:val="1478409D"/>
    <w:rsid w:val="147E12BF"/>
    <w:rsid w:val="149B3E2D"/>
    <w:rsid w:val="14A64372"/>
    <w:rsid w:val="14B103A0"/>
    <w:rsid w:val="14B4569B"/>
    <w:rsid w:val="14C8078D"/>
    <w:rsid w:val="14DF3DBF"/>
    <w:rsid w:val="14E41E8D"/>
    <w:rsid w:val="14EF5080"/>
    <w:rsid w:val="14F25809"/>
    <w:rsid w:val="150247A5"/>
    <w:rsid w:val="150C0477"/>
    <w:rsid w:val="15165E93"/>
    <w:rsid w:val="15267261"/>
    <w:rsid w:val="152E3E8B"/>
    <w:rsid w:val="1548072A"/>
    <w:rsid w:val="154A7175"/>
    <w:rsid w:val="155418F7"/>
    <w:rsid w:val="155B7D98"/>
    <w:rsid w:val="15727625"/>
    <w:rsid w:val="15853F88"/>
    <w:rsid w:val="158E4330"/>
    <w:rsid w:val="15A27412"/>
    <w:rsid w:val="15B14D7D"/>
    <w:rsid w:val="15C50828"/>
    <w:rsid w:val="15D00050"/>
    <w:rsid w:val="15F5735F"/>
    <w:rsid w:val="15FA4976"/>
    <w:rsid w:val="160B0931"/>
    <w:rsid w:val="161355EE"/>
    <w:rsid w:val="16135A37"/>
    <w:rsid w:val="161411E2"/>
    <w:rsid w:val="161A6908"/>
    <w:rsid w:val="16254F36"/>
    <w:rsid w:val="1634043E"/>
    <w:rsid w:val="16343DB8"/>
    <w:rsid w:val="163A1216"/>
    <w:rsid w:val="163A6417"/>
    <w:rsid w:val="165822AD"/>
    <w:rsid w:val="1667171F"/>
    <w:rsid w:val="16687B01"/>
    <w:rsid w:val="16770515"/>
    <w:rsid w:val="16842491"/>
    <w:rsid w:val="16873DFC"/>
    <w:rsid w:val="168D16A5"/>
    <w:rsid w:val="16AD5DAE"/>
    <w:rsid w:val="16B86E23"/>
    <w:rsid w:val="16C240F4"/>
    <w:rsid w:val="16CA453D"/>
    <w:rsid w:val="16DC051F"/>
    <w:rsid w:val="170610F8"/>
    <w:rsid w:val="170D4891"/>
    <w:rsid w:val="171E61E9"/>
    <w:rsid w:val="172B1DE1"/>
    <w:rsid w:val="173E2016"/>
    <w:rsid w:val="17516817"/>
    <w:rsid w:val="17575DF8"/>
    <w:rsid w:val="17775A26"/>
    <w:rsid w:val="17824C23"/>
    <w:rsid w:val="178E6C6C"/>
    <w:rsid w:val="17960BA7"/>
    <w:rsid w:val="179907EF"/>
    <w:rsid w:val="17A07B0E"/>
    <w:rsid w:val="17A821AF"/>
    <w:rsid w:val="17C47877"/>
    <w:rsid w:val="17D22989"/>
    <w:rsid w:val="1805593D"/>
    <w:rsid w:val="18160762"/>
    <w:rsid w:val="18297794"/>
    <w:rsid w:val="183A374F"/>
    <w:rsid w:val="18440947"/>
    <w:rsid w:val="187A1D9E"/>
    <w:rsid w:val="187C6518"/>
    <w:rsid w:val="18803790"/>
    <w:rsid w:val="18826F82"/>
    <w:rsid w:val="18891FE1"/>
    <w:rsid w:val="18962D37"/>
    <w:rsid w:val="189866C8"/>
    <w:rsid w:val="18B232E6"/>
    <w:rsid w:val="18CC7AD3"/>
    <w:rsid w:val="18CE4886"/>
    <w:rsid w:val="18CE61F2"/>
    <w:rsid w:val="18D314AE"/>
    <w:rsid w:val="18DB7BA3"/>
    <w:rsid w:val="190858DF"/>
    <w:rsid w:val="192E7960"/>
    <w:rsid w:val="193463F1"/>
    <w:rsid w:val="1942020C"/>
    <w:rsid w:val="194559EE"/>
    <w:rsid w:val="195B397D"/>
    <w:rsid w:val="197D39A0"/>
    <w:rsid w:val="198376A1"/>
    <w:rsid w:val="199724DC"/>
    <w:rsid w:val="19985BD2"/>
    <w:rsid w:val="19BD0194"/>
    <w:rsid w:val="19CC2AA0"/>
    <w:rsid w:val="19D90D46"/>
    <w:rsid w:val="19E22AC8"/>
    <w:rsid w:val="19ED6CCD"/>
    <w:rsid w:val="19FB2E2A"/>
    <w:rsid w:val="19FD67E3"/>
    <w:rsid w:val="1A0C3E6B"/>
    <w:rsid w:val="1A0E4AA5"/>
    <w:rsid w:val="1A101E04"/>
    <w:rsid w:val="1A252FCC"/>
    <w:rsid w:val="1A295829"/>
    <w:rsid w:val="1A2975D8"/>
    <w:rsid w:val="1A2E575B"/>
    <w:rsid w:val="1A3F60BE"/>
    <w:rsid w:val="1A453660"/>
    <w:rsid w:val="1A484140"/>
    <w:rsid w:val="1A4C22FE"/>
    <w:rsid w:val="1A554870"/>
    <w:rsid w:val="1A641850"/>
    <w:rsid w:val="1A6E76E0"/>
    <w:rsid w:val="1A8B1CC3"/>
    <w:rsid w:val="1A9829AF"/>
    <w:rsid w:val="1AB86BAD"/>
    <w:rsid w:val="1AC05CAC"/>
    <w:rsid w:val="1AC9116B"/>
    <w:rsid w:val="1AD12A73"/>
    <w:rsid w:val="1AE4474F"/>
    <w:rsid w:val="1AE819C8"/>
    <w:rsid w:val="1AEE2FA0"/>
    <w:rsid w:val="1B0911B7"/>
    <w:rsid w:val="1B0D3053"/>
    <w:rsid w:val="1B1464DA"/>
    <w:rsid w:val="1B231DBE"/>
    <w:rsid w:val="1B2B737F"/>
    <w:rsid w:val="1B2D1349"/>
    <w:rsid w:val="1B2F50C2"/>
    <w:rsid w:val="1B326FD1"/>
    <w:rsid w:val="1B3426D8"/>
    <w:rsid w:val="1B4D379A"/>
    <w:rsid w:val="1B5924D5"/>
    <w:rsid w:val="1B6B1E72"/>
    <w:rsid w:val="1B710103"/>
    <w:rsid w:val="1B76513B"/>
    <w:rsid w:val="1B794464"/>
    <w:rsid w:val="1B7A3E63"/>
    <w:rsid w:val="1B803B6F"/>
    <w:rsid w:val="1B813253"/>
    <w:rsid w:val="1B8167F4"/>
    <w:rsid w:val="1B8711D0"/>
    <w:rsid w:val="1B9F38C9"/>
    <w:rsid w:val="1BA04429"/>
    <w:rsid w:val="1BA12927"/>
    <w:rsid w:val="1BA15893"/>
    <w:rsid w:val="1BA809D0"/>
    <w:rsid w:val="1BAE2AB2"/>
    <w:rsid w:val="1BB7152E"/>
    <w:rsid w:val="1BC11A92"/>
    <w:rsid w:val="1BC53330"/>
    <w:rsid w:val="1BD22012"/>
    <w:rsid w:val="1BDE0896"/>
    <w:rsid w:val="1BE70956"/>
    <w:rsid w:val="1C080702"/>
    <w:rsid w:val="1C0A168B"/>
    <w:rsid w:val="1C1B3898"/>
    <w:rsid w:val="1C1E2A01"/>
    <w:rsid w:val="1C2269D4"/>
    <w:rsid w:val="1C322003"/>
    <w:rsid w:val="1C4F57A1"/>
    <w:rsid w:val="1C52438D"/>
    <w:rsid w:val="1C546BAA"/>
    <w:rsid w:val="1C640D9B"/>
    <w:rsid w:val="1C677318"/>
    <w:rsid w:val="1C7D2DCC"/>
    <w:rsid w:val="1C931680"/>
    <w:rsid w:val="1CB735C0"/>
    <w:rsid w:val="1CB87339"/>
    <w:rsid w:val="1CD4427F"/>
    <w:rsid w:val="1CDE64F7"/>
    <w:rsid w:val="1CE343B6"/>
    <w:rsid w:val="1CF069ED"/>
    <w:rsid w:val="1D022A36"/>
    <w:rsid w:val="1D190CB9"/>
    <w:rsid w:val="1D295B40"/>
    <w:rsid w:val="1D2E13A9"/>
    <w:rsid w:val="1D343BCB"/>
    <w:rsid w:val="1D3758A2"/>
    <w:rsid w:val="1D3F5364"/>
    <w:rsid w:val="1D511F16"/>
    <w:rsid w:val="1D580342"/>
    <w:rsid w:val="1D5C1A72"/>
    <w:rsid w:val="1D5D54B3"/>
    <w:rsid w:val="1D5F5A06"/>
    <w:rsid w:val="1D63222D"/>
    <w:rsid w:val="1D6628F1"/>
    <w:rsid w:val="1D6A15D9"/>
    <w:rsid w:val="1D6F03EA"/>
    <w:rsid w:val="1D6F5C49"/>
    <w:rsid w:val="1D8B05A9"/>
    <w:rsid w:val="1D8C3BA4"/>
    <w:rsid w:val="1D8F0666"/>
    <w:rsid w:val="1D9572F6"/>
    <w:rsid w:val="1D9751A0"/>
    <w:rsid w:val="1DA17DCD"/>
    <w:rsid w:val="1DB40A19"/>
    <w:rsid w:val="1DBA2C3C"/>
    <w:rsid w:val="1DBC69B5"/>
    <w:rsid w:val="1DC93E21"/>
    <w:rsid w:val="1DD91315"/>
    <w:rsid w:val="1DDC0E05"/>
    <w:rsid w:val="1DDE6DCB"/>
    <w:rsid w:val="1DE67372"/>
    <w:rsid w:val="1DF443A0"/>
    <w:rsid w:val="1E14572D"/>
    <w:rsid w:val="1E180811"/>
    <w:rsid w:val="1E227571"/>
    <w:rsid w:val="1E2527AC"/>
    <w:rsid w:val="1E432C32"/>
    <w:rsid w:val="1E51534F"/>
    <w:rsid w:val="1E6257AE"/>
    <w:rsid w:val="1E655B0F"/>
    <w:rsid w:val="1E766B63"/>
    <w:rsid w:val="1E8B705A"/>
    <w:rsid w:val="1E9F1C12"/>
    <w:rsid w:val="1EA96F39"/>
    <w:rsid w:val="1EC91389"/>
    <w:rsid w:val="1ED46C62"/>
    <w:rsid w:val="1EDA1BF1"/>
    <w:rsid w:val="1EE55049"/>
    <w:rsid w:val="1EE80B44"/>
    <w:rsid w:val="1F010B23"/>
    <w:rsid w:val="1F0564CD"/>
    <w:rsid w:val="1F085043"/>
    <w:rsid w:val="1F264A2D"/>
    <w:rsid w:val="1F274302"/>
    <w:rsid w:val="1F376557"/>
    <w:rsid w:val="1F4F606E"/>
    <w:rsid w:val="1F5350F7"/>
    <w:rsid w:val="1F7171A3"/>
    <w:rsid w:val="1F770DE5"/>
    <w:rsid w:val="1F9B4EE5"/>
    <w:rsid w:val="1FA94D17"/>
    <w:rsid w:val="1FB02549"/>
    <w:rsid w:val="1FB262C1"/>
    <w:rsid w:val="1FB42039"/>
    <w:rsid w:val="1FC4516E"/>
    <w:rsid w:val="1FD5226C"/>
    <w:rsid w:val="1FDC6E9A"/>
    <w:rsid w:val="1FE84EE0"/>
    <w:rsid w:val="1FF02946"/>
    <w:rsid w:val="1FF33059"/>
    <w:rsid w:val="1FF91B45"/>
    <w:rsid w:val="200118BA"/>
    <w:rsid w:val="20207629"/>
    <w:rsid w:val="202645B9"/>
    <w:rsid w:val="20347977"/>
    <w:rsid w:val="20392E91"/>
    <w:rsid w:val="20482782"/>
    <w:rsid w:val="206B5FD1"/>
    <w:rsid w:val="20713A86"/>
    <w:rsid w:val="2081311F"/>
    <w:rsid w:val="20992FDD"/>
    <w:rsid w:val="209A3FEE"/>
    <w:rsid w:val="209B1AB6"/>
    <w:rsid w:val="20B10327"/>
    <w:rsid w:val="20B16579"/>
    <w:rsid w:val="20BA3D0A"/>
    <w:rsid w:val="20C0450A"/>
    <w:rsid w:val="20CE082F"/>
    <w:rsid w:val="20D06E6A"/>
    <w:rsid w:val="20D82B44"/>
    <w:rsid w:val="20F54D49"/>
    <w:rsid w:val="21020B82"/>
    <w:rsid w:val="210466A8"/>
    <w:rsid w:val="21117017"/>
    <w:rsid w:val="21132D8F"/>
    <w:rsid w:val="213571AA"/>
    <w:rsid w:val="2136082C"/>
    <w:rsid w:val="213F5933"/>
    <w:rsid w:val="214848ED"/>
    <w:rsid w:val="214F2303"/>
    <w:rsid w:val="216E465B"/>
    <w:rsid w:val="217B1982"/>
    <w:rsid w:val="21863561"/>
    <w:rsid w:val="218E2416"/>
    <w:rsid w:val="218E442B"/>
    <w:rsid w:val="219451D5"/>
    <w:rsid w:val="219D6288"/>
    <w:rsid w:val="21BE719F"/>
    <w:rsid w:val="21C1459A"/>
    <w:rsid w:val="21C83B7A"/>
    <w:rsid w:val="21D249F9"/>
    <w:rsid w:val="21D472BF"/>
    <w:rsid w:val="21E96C9A"/>
    <w:rsid w:val="21ED021A"/>
    <w:rsid w:val="21EF00AC"/>
    <w:rsid w:val="21F769B4"/>
    <w:rsid w:val="21F77FBB"/>
    <w:rsid w:val="220A5F40"/>
    <w:rsid w:val="2211698F"/>
    <w:rsid w:val="221F0316"/>
    <w:rsid w:val="22342FBD"/>
    <w:rsid w:val="22396826"/>
    <w:rsid w:val="223B10BA"/>
    <w:rsid w:val="223B31B1"/>
    <w:rsid w:val="224A7974"/>
    <w:rsid w:val="22534671"/>
    <w:rsid w:val="225406A1"/>
    <w:rsid w:val="225C42C2"/>
    <w:rsid w:val="2261718A"/>
    <w:rsid w:val="2265331F"/>
    <w:rsid w:val="22664DEC"/>
    <w:rsid w:val="22741E52"/>
    <w:rsid w:val="22813D29"/>
    <w:rsid w:val="228D6B72"/>
    <w:rsid w:val="22995058"/>
    <w:rsid w:val="22A140A3"/>
    <w:rsid w:val="22A4542C"/>
    <w:rsid w:val="22AE7535"/>
    <w:rsid w:val="22D36C7A"/>
    <w:rsid w:val="22DB1C8D"/>
    <w:rsid w:val="22FA68B7"/>
    <w:rsid w:val="22FD3746"/>
    <w:rsid w:val="230C3FDD"/>
    <w:rsid w:val="23117BD8"/>
    <w:rsid w:val="2314549D"/>
    <w:rsid w:val="231F4893"/>
    <w:rsid w:val="2322375E"/>
    <w:rsid w:val="23343382"/>
    <w:rsid w:val="23366E19"/>
    <w:rsid w:val="23536A45"/>
    <w:rsid w:val="235F050E"/>
    <w:rsid w:val="23700025"/>
    <w:rsid w:val="23751ADF"/>
    <w:rsid w:val="2379775D"/>
    <w:rsid w:val="237F295E"/>
    <w:rsid w:val="23825FAA"/>
    <w:rsid w:val="239A243B"/>
    <w:rsid w:val="23BC34D9"/>
    <w:rsid w:val="23C12442"/>
    <w:rsid w:val="23DA5DE6"/>
    <w:rsid w:val="23F549CE"/>
    <w:rsid w:val="23F83815"/>
    <w:rsid w:val="24102D33"/>
    <w:rsid w:val="2412732E"/>
    <w:rsid w:val="241A739C"/>
    <w:rsid w:val="24207C9D"/>
    <w:rsid w:val="242F7EE0"/>
    <w:rsid w:val="243A24C3"/>
    <w:rsid w:val="24480FA2"/>
    <w:rsid w:val="245C2C9F"/>
    <w:rsid w:val="246C2EE2"/>
    <w:rsid w:val="248916CD"/>
    <w:rsid w:val="248F097F"/>
    <w:rsid w:val="24956D28"/>
    <w:rsid w:val="24967F76"/>
    <w:rsid w:val="24A97628"/>
    <w:rsid w:val="24B0204F"/>
    <w:rsid w:val="24B10123"/>
    <w:rsid w:val="24B50D41"/>
    <w:rsid w:val="24B73F20"/>
    <w:rsid w:val="24D10F97"/>
    <w:rsid w:val="24E07A3C"/>
    <w:rsid w:val="24F654C3"/>
    <w:rsid w:val="25011468"/>
    <w:rsid w:val="25081377"/>
    <w:rsid w:val="250C6474"/>
    <w:rsid w:val="251A689D"/>
    <w:rsid w:val="25492600"/>
    <w:rsid w:val="25500501"/>
    <w:rsid w:val="2575691F"/>
    <w:rsid w:val="25857CF7"/>
    <w:rsid w:val="258B1155"/>
    <w:rsid w:val="258C4EBE"/>
    <w:rsid w:val="25C44658"/>
    <w:rsid w:val="25C66E29"/>
    <w:rsid w:val="25C776EF"/>
    <w:rsid w:val="25DA71B4"/>
    <w:rsid w:val="25DD4100"/>
    <w:rsid w:val="25F051B0"/>
    <w:rsid w:val="25F412DD"/>
    <w:rsid w:val="25F528B6"/>
    <w:rsid w:val="25FB64A4"/>
    <w:rsid w:val="260E0D4B"/>
    <w:rsid w:val="26141F7E"/>
    <w:rsid w:val="26153106"/>
    <w:rsid w:val="261E2FC0"/>
    <w:rsid w:val="2623733E"/>
    <w:rsid w:val="262B728D"/>
    <w:rsid w:val="26437C73"/>
    <w:rsid w:val="264D6C20"/>
    <w:rsid w:val="26510AD9"/>
    <w:rsid w:val="2676689B"/>
    <w:rsid w:val="2690510D"/>
    <w:rsid w:val="26916BE7"/>
    <w:rsid w:val="26927623"/>
    <w:rsid w:val="26951BEF"/>
    <w:rsid w:val="26B866BF"/>
    <w:rsid w:val="26C37DBA"/>
    <w:rsid w:val="26CD496D"/>
    <w:rsid w:val="26E054C2"/>
    <w:rsid w:val="26EC59FF"/>
    <w:rsid w:val="26FE3B9A"/>
    <w:rsid w:val="270A253F"/>
    <w:rsid w:val="270B7843"/>
    <w:rsid w:val="27175F98"/>
    <w:rsid w:val="2729330D"/>
    <w:rsid w:val="275A481F"/>
    <w:rsid w:val="275C3AAA"/>
    <w:rsid w:val="276460F3"/>
    <w:rsid w:val="27653C19"/>
    <w:rsid w:val="277D5407"/>
    <w:rsid w:val="27802801"/>
    <w:rsid w:val="279E7A32"/>
    <w:rsid w:val="27A010FA"/>
    <w:rsid w:val="27C13FD0"/>
    <w:rsid w:val="27D35027"/>
    <w:rsid w:val="27D56FF1"/>
    <w:rsid w:val="27DA1D38"/>
    <w:rsid w:val="27DF1C1D"/>
    <w:rsid w:val="27E94B28"/>
    <w:rsid w:val="27EA6525"/>
    <w:rsid w:val="280A60D5"/>
    <w:rsid w:val="280B6A13"/>
    <w:rsid w:val="281318C7"/>
    <w:rsid w:val="28131A9F"/>
    <w:rsid w:val="282910EA"/>
    <w:rsid w:val="282B09BF"/>
    <w:rsid w:val="28347D91"/>
    <w:rsid w:val="283F446A"/>
    <w:rsid w:val="28550131"/>
    <w:rsid w:val="28681C7B"/>
    <w:rsid w:val="286B1703"/>
    <w:rsid w:val="289C7610"/>
    <w:rsid w:val="28BA7250"/>
    <w:rsid w:val="28BF5B5B"/>
    <w:rsid w:val="28C00ECC"/>
    <w:rsid w:val="28C45A34"/>
    <w:rsid w:val="28CA642A"/>
    <w:rsid w:val="28D23530"/>
    <w:rsid w:val="28E05C4D"/>
    <w:rsid w:val="28F90ABD"/>
    <w:rsid w:val="29037B8D"/>
    <w:rsid w:val="2927562A"/>
    <w:rsid w:val="294A16A7"/>
    <w:rsid w:val="297B601E"/>
    <w:rsid w:val="297B7724"/>
    <w:rsid w:val="298E3094"/>
    <w:rsid w:val="29915D92"/>
    <w:rsid w:val="29946A38"/>
    <w:rsid w:val="29A31B2B"/>
    <w:rsid w:val="29A924E3"/>
    <w:rsid w:val="29B82726"/>
    <w:rsid w:val="29D42EB3"/>
    <w:rsid w:val="29DC1755"/>
    <w:rsid w:val="29E21551"/>
    <w:rsid w:val="29E67293"/>
    <w:rsid w:val="29EC5063"/>
    <w:rsid w:val="2A094D30"/>
    <w:rsid w:val="2A0C2A72"/>
    <w:rsid w:val="2A104310"/>
    <w:rsid w:val="2A13296A"/>
    <w:rsid w:val="2A202079"/>
    <w:rsid w:val="2A247DBB"/>
    <w:rsid w:val="2A270868"/>
    <w:rsid w:val="2A2B2EF8"/>
    <w:rsid w:val="2A37754B"/>
    <w:rsid w:val="2A3C4666"/>
    <w:rsid w:val="2A427B2F"/>
    <w:rsid w:val="2A435ACB"/>
    <w:rsid w:val="2A473453"/>
    <w:rsid w:val="2A4E6BE6"/>
    <w:rsid w:val="2A4F781B"/>
    <w:rsid w:val="2A567526"/>
    <w:rsid w:val="2A680A6E"/>
    <w:rsid w:val="2A750ED8"/>
    <w:rsid w:val="2A792D41"/>
    <w:rsid w:val="2A803E8E"/>
    <w:rsid w:val="2A8F6D4E"/>
    <w:rsid w:val="2A952A67"/>
    <w:rsid w:val="2AA54483"/>
    <w:rsid w:val="2AA902C1"/>
    <w:rsid w:val="2AD03A9F"/>
    <w:rsid w:val="2AD5038A"/>
    <w:rsid w:val="2AD510B6"/>
    <w:rsid w:val="2ADD2052"/>
    <w:rsid w:val="2AE73352"/>
    <w:rsid w:val="2AF24219"/>
    <w:rsid w:val="2AF92FF6"/>
    <w:rsid w:val="2AFD2362"/>
    <w:rsid w:val="2B053749"/>
    <w:rsid w:val="2B0929F4"/>
    <w:rsid w:val="2B141B7C"/>
    <w:rsid w:val="2B1B08C2"/>
    <w:rsid w:val="2B2720CA"/>
    <w:rsid w:val="2B2A17CC"/>
    <w:rsid w:val="2B2B6F28"/>
    <w:rsid w:val="2B4B6F96"/>
    <w:rsid w:val="2B54647E"/>
    <w:rsid w:val="2B6B72B7"/>
    <w:rsid w:val="2B6F47C4"/>
    <w:rsid w:val="2B7408CF"/>
    <w:rsid w:val="2B762638"/>
    <w:rsid w:val="2B7B47B0"/>
    <w:rsid w:val="2B8E1990"/>
    <w:rsid w:val="2B9F3B9D"/>
    <w:rsid w:val="2BA50A88"/>
    <w:rsid w:val="2BB1742D"/>
    <w:rsid w:val="2BB32703"/>
    <w:rsid w:val="2BC23ED2"/>
    <w:rsid w:val="2BD50743"/>
    <w:rsid w:val="2BDF7757"/>
    <w:rsid w:val="2BE45A54"/>
    <w:rsid w:val="2BE47802"/>
    <w:rsid w:val="2BEE242F"/>
    <w:rsid w:val="2BF7758D"/>
    <w:rsid w:val="2C100E94"/>
    <w:rsid w:val="2C295D59"/>
    <w:rsid w:val="2C346626"/>
    <w:rsid w:val="2C35005E"/>
    <w:rsid w:val="2C3E4D25"/>
    <w:rsid w:val="2C416A03"/>
    <w:rsid w:val="2C4C2A40"/>
    <w:rsid w:val="2C4E7372"/>
    <w:rsid w:val="2C56507C"/>
    <w:rsid w:val="2C5801F0"/>
    <w:rsid w:val="2C5D4204"/>
    <w:rsid w:val="2C5D5807"/>
    <w:rsid w:val="2C6B3A80"/>
    <w:rsid w:val="2C77285C"/>
    <w:rsid w:val="2C8E3B73"/>
    <w:rsid w:val="2CAC6B00"/>
    <w:rsid w:val="2CB94637"/>
    <w:rsid w:val="2CBC220B"/>
    <w:rsid w:val="2CBF6DF5"/>
    <w:rsid w:val="2CC7597A"/>
    <w:rsid w:val="2CCD3F5D"/>
    <w:rsid w:val="2CD05FD9"/>
    <w:rsid w:val="2CD32D4A"/>
    <w:rsid w:val="2CD53706"/>
    <w:rsid w:val="2CE675AA"/>
    <w:rsid w:val="2CF021D7"/>
    <w:rsid w:val="2CF54DD8"/>
    <w:rsid w:val="2CF75313"/>
    <w:rsid w:val="2D047A30"/>
    <w:rsid w:val="2D07221A"/>
    <w:rsid w:val="2D14247A"/>
    <w:rsid w:val="2D336686"/>
    <w:rsid w:val="2D3576E1"/>
    <w:rsid w:val="2D377E06"/>
    <w:rsid w:val="2D39592C"/>
    <w:rsid w:val="2D472A54"/>
    <w:rsid w:val="2D4F50A7"/>
    <w:rsid w:val="2D597F0B"/>
    <w:rsid w:val="2D5B3AF4"/>
    <w:rsid w:val="2D652BC5"/>
    <w:rsid w:val="2D6642EF"/>
    <w:rsid w:val="2D6F75A0"/>
    <w:rsid w:val="2D7C1CBC"/>
    <w:rsid w:val="2D84136B"/>
    <w:rsid w:val="2D856DC3"/>
    <w:rsid w:val="2D8E211C"/>
    <w:rsid w:val="2D92328E"/>
    <w:rsid w:val="2D937732"/>
    <w:rsid w:val="2D980C6D"/>
    <w:rsid w:val="2DB129D5"/>
    <w:rsid w:val="2DB22C9D"/>
    <w:rsid w:val="2DB9548A"/>
    <w:rsid w:val="2DBE7855"/>
    <w:rsid w:val="2DC07DFB"/>
    <w:rsid w:val="2DD12008"/>
    <w:rsid w:val="2DD81875"/>
    <w:rsid w:val="2DEA4174"/>
    <w:rsid w:val="2DF81343"/>
    <w:rsid w:val="2E0A72C8"/>
    <w:rsid w:val="2E1979ED"/>
    <w:rsid w:val="2E275695"/>
    <w:rsid w:val="2E2A1718"/>
    <w:rsid w:val="2E2B09B5"/>
    <w:rsid w:val="2E3600BD"/>
    <w:rsid w:val="2E465B48"/>
    <w:rsid w:val="2E500A96"/>
    <w:rsid w:val="2E566258"/>
    <w:rsid w:val="2E584CA5"/>
    <w:rsid w:val="2E5E248D"/>
    <w:rsid w:val="2E5F13C2"/>
    <w:rsid w:val="2E6A2182"/>
    <w:rsid w:val="2E6E0227"/>
    <w:rsid w:val="2E6E7857"/>
    <w:rsid w:val="2E6F2C34"/>
    <w:rsid w:val="2E7B67B8"/>
    <w:rsid w:val="2E840E29"/>
    <w:rsid w:val="2E906AEA"/>
    <w:rsid w:val="2E9A5C9D"/>
    <w:rsid w:val="2EB060C2"/>
    <w:rsid w:val="2EB15996"/>
    <w:rsid w:val="2EBF6305"/>
    <w:rsid w:val="2ECD27D0"/>
    <w:rsid w:val="2EDF26F1"/>
    <w:rsid w:val="2EF20488"/>
    <w:rsid w:val="2F004A06"/>
    <w:rsid w:val="2F1E302B"/>
    <w:rsid w:val="2F287C43"/>
    <w:rsid w:val="2F3E191F"/>
    <w:rsid w:val="2F462582"/>
    <w:rsid w:val="2F542EF1"/>
    <w:rsid w:val="2F544C9F"/>
    <w:rsid w:val="2F816F8C"/>
    <w:rsid w:val="2F8207D1"/>
    <w:rsid w:val="2F8A6500"/>
    <w:rsid w:val="2F911A4F"/>
    <w:rsid w:val="2F9A5B87"/>
    <w:rsid w:val="2F9C03F4"/>
    <w:rsid w:val="2FAA7EAA"/>
    <w:rsid w:val="2FE04785"/>
    <w:rsid w:val="2FEE50F3"/>
    <w:rsid w:val="2FF67AD2"/>
    <w:rsid w:val="2FF80CC3"/>
    <w:rsid w:val="2FFE4C0B"/>
    <w:rsid w:val="3011493E"/>
    <w:rsid w:val="301E79F3"/>
    <w:rsid w:val="30242677"/>
    <w:rsid w:val="302E54F0"/>
    <w:rsid w:val="302F1268"/>
    <w:rsid w:val="30403475"/>
    <w:rsid w:val="304445EB"/>
    <w:rsid w:val="30495115"/>
    <w:rsid w:val="304D5FF1"/>
    <w:rsid w:val="305A357B"/>
    <w:rsid w:val="30647C47"/>
    <w:rsid w:val="30672CAF"/>
    <w:rsid w:val="30943EA7"/>
    <w:rsid w:val="30963423"/>
    <w:rsid w:val="30A55232"/>
    <w:rsid w:val="30B05881"/>
    <w:rsid w:val="30B11943"/>
    <w:rsid w:val="30B16C8D"/>
    <w:rsid w:val="30C95219"/>
    <w:rsid w:val="30CC4D09"/>
    <w:rsid w:val="30D836AE"/>
    <w:rsid w:val="30EA77A0"/>
    <w:rsid w:val="30FE71F8"/>
    <w:rsid w:val="3102072B"/>
    <w:rsid w:val="31126BC0"/>
    <w:rsid w:val="31197F4E"/>
    <w:rsid w:val="31476781"/>
    <w:rsid w:val="314D3E18"/>
    <w:rsid w:val="314D7BF8"/>
    <w:rsid w:val="31615CE3"/>
    <w:rsid w:val="317433D6"/>
    <w:rsid w:val="31802A6D"/>
    <w:rsid w:val="31923297"/>
    <w:rsid w:val="3192615F"/>
    <w:rsid w:val="319A1263"/>
    <w:rsid w:val="31A423F5"/>
    <w:rsid w:val="31A83080"/>
    <w:rsid w:val="31B17224"/>
    <w:rsid w:val="31CF43D8"/>
    <w:rsid w:val="31FE0E56"/>
    <w:rsid w:val="32026C34"/>
    <w:rsid w:val="32075FF9"/>
    <w:rsid w:val="32087FC3"/>
    <w:rsid w:val="321331F9"/>
    <w:rsid w:val="323139C0"/>
    <w:rsid w:val="3234394C"/>
    <w:rsid w:val="323D7C6C"/>
    <w:rsid w:val="3247245F"/>
    <w:rsid w:val="3251196A"/>
    <w:rsid w:val="32543208"/>
    <w:rsid w:val="3259209E"/>
    <w:rsid w:val="326575F4"/>
    <w:rsid w:val="3291620A"/>
    <w:rsid w:val="329830F5"/>
    <w:rsid w:val="32AC0F0B"/>
    <w:rsid w:val="32C43EEA"/>
    <w:rsid w:val="32DB1233"/>
    <w:rsid w:val="32DB74D3"/>
    <w:rsid w:val="32E53E60"/>
    <w:rsid w:val="32E77BD8"/>
    <w:rsid w:val="32F32A21"/>
    <w:rsid w:val="3300481C"/>
    <w:rsid w:val="33042538"/>
    <w:rsid w:val="330B0F68"/>
    <w:rsid w:val="33165633"/>
    <w:rsid w:val="3321121B"/>
    <w:rsid w:val="33226E62"/>
    <w:rsid w:val="332843CF"/>
    <w:rsid w:val="332C1A8F"/>
    <w:rsid w:val="332D1494"/>
    <w:rsid w:val="332D5F33"/>
    <w:rsid w:val="332E5BDE"/>
    <w:rsid w:val="33305A23"/>
    <w:rsid w:val="334943EF"/>
    <w:rsid w:val="336B6A5B"/>
    <w:rsid w:val="33760873"/>
    <w:rsid w:val="337625B1"/>
    <w:rsid w:val="3388714A"/>
    <w:rsid w:val="3395038F"/>
    <w:rsid w:val="33953AD8"/>
    <w:rsid w:val="33A50B8F"/>
    <w:rsid w:val="33A7222A"/>
    <w:rsid w:val="33BA464A"/>
    <w:rsid w:val="33BA52ED"/>
    <w:rsid w:val="33BF7073"/>
    <w:rsid w:val="33C1667B"/>
    <w:rsid w:val="33CB1BCD"/>
    <w:rsid w:val="33D33597"/>
    <w:rsid w:val="33D53ED4"/>
    <w:rsid w:val="33DF6B01"/>
    <w:rsid w:val="33FE167D"/>
    <w:rsid w:val="341D7D55"/>
    <w:rsid w:val="343E1A7A"/>
    <w:rsid w:val="345724F8"/>
    <w:rsid w:val="34931DC5"/>
    <w:rsid w:val="34983880"/>
    <w:rsid w:val="349B6ECC"/>
    <w:rsid w:val="34A75871"/>
    <w:rsid w:val="34BC6862"/>
    <w:rsid w:val="34D17160"/>
    <w:rsid w:val="34D20A0C"/>
    <w:rsid w:val="34E601E2"/>
    <w:rsid w:val="34EC597A"/>
    <w:rsid w:val="34FC1F63"/>
    <w:rsid w:val="34FD777C"/>
    <w:rsid w:val="35022113"/>
    <w:rsid w:val="35043AE4"/>
    <w:rsid w:val="35062AA2"/>
    <w:rsid w:val="350E3A9F"/>
    <w:rsid w:val="35201AA1"/>
    <w:rsid w:val="353F37D3"/>
    <w:rsid w:val="35441312"/>
    <w:rsid w:val="354B1C79"/>
    <w:rsid w:val="35521C81"/>
    <w:rsid w:val="35552472"/>
    <w:rsid w:val="35584DBD"/>
    <w:rsid w:val="35591954"/>
    <w:rsid w:val="356A7FCC"/>
    <w:rsid w:val="35734AA0"/>
    <w:rsid w:val="35AC20A7"/>
    <w:rsid w:val="35B423F0"/>
    <w:rsid w:val="35B53C53"/>
    <w:rsid w:val="35BC534C"/>
    <w:rsid w:val="35CF507F"/>
    <w:rsid w:val="35DA5F5F"/>
    <w:rsid w:val="35F204C7"/>
    <w:rsid w:val="35F221F7"/>
    <w:rsid w:val="35F76A1B"/>
    <w:rsid w:val="35FB74F0"/>
    <w:rsid w:val="36162CAE"/>
    <w:rsid w:val="3618529B"/>
    <w:rsid w:val="36252EF1"/>
    <w:rsid w:val="363B212B"/>
    <w:rsid w:val="363B6426"/>
    <w:rsid w:val="36715FC4"/>
    <w:rsid w:val="36821714"/>
    <w:rsid w:val="369D6F2B"/>
    <w:rsid w:val="36AC121C"/>
    <w:rsid w:val="36D76430"/>
    <w:rsid w:val="36FA0940"/>
    <w:rsid w:val="36FF1994"/>
    <w:rsid w:val="37181AD8"/>
    <w:rsid w:val="37232007"/>
    <w:rsid w:val="37270EEB"/>
    <w:rsid w:val="375C6DE7"/>
    <w:rsid w:val="3781684D"/>
    <w:rsid w:val="37865C12"/>
    <w:rsid w:val="37895702"/>
    <w:rsid w:val="37AC4588"/>
    <w:rsid w:val="37B87D95"/>
    <w:rsid w:val="37BC1633"/>
    <w:rsid w:val="37CF580A"/>
    <w:rsid w:val="37D306C9"/>
    <w:rsid w:val="3809025F"/>
    <w:rsid w:val="381B101D"/>
    <w:rsid w:val="38305B7D"/>
    <w:rsid w:val="383E2AD2"/>
    <w:rsid w:val="38430E13"/>
    <w:rsid w:val="38657F1D"/>
    <w:rsid w:val="38741F0E"/>
    <w:rsid w:val="388163D9"/>
    <w:rsid w:val="388F7709"/>
    <w:rsid w:val="38B16CBE"/>
    <w:rsid w:val="38B64561"/>
    <w:rsid w:val="38B85892"/>
    <w:rsid w:val="38B90269"/>
    <w:rsid w:val="38BE13DB"/>
    <w:rsid w:val="38C70290"/>
    <w:rsid w:val="38DB20AB"/>
    <w:rsid w:val="38E248D3"/>
    <w:rsid w:val="38E726E0"/>
    <w:rsid w:val="38E804FF"/>
    <w:rsid w:val="38EB3584"/>
    <w:rsid w:val="38F44DFD"/>
    <w:rsid w:val="3900365A"/>
    <w:rsid w:val="390B0AC4"/>
    <w:rsid w:val="3917662C"/>
    <w:rsid w:val="3927319D"/>
    <w:rsid w:val="394144E6"/>
    <w:rsid w:val="395E234F"/>
    <w:rsid w:val="39781D2F"/>
    <w:rsid w:val="39817BDB"/>
    <w:rsid w:val="398D6777"/>
    <w:rsid w:val="39A171AA"/>
    <w:rsid w:val="39A710FE"/>
    <w:rsid w:val="39C8164D"/>
    <w:rsid w:val="39D560AC"/>
    <w:rsid w:val="39D76BF8"/>
    <w:rsid w:val="39DC7D6B"/>
    <w:rsid w:val="39EA6C14"/>
    <w:rsid w:val="39F028E9"/>
    <w:rsid w:val="39F56F2D"/>
    <w:rsid w:val="39FB3654"/>
    <w:rsid w:val="3A0461D9"/>
    <w:rsid w:val="3A051BD9"/>
    <w:rsid w:val="3A082D15"/>
    <w:rsid w:val="3A0904C9"/>
    <w:rsid w:val="3A0B12D9"/>
    <w:rsid w:val="3A0D1616"/>
    <w:rsid w:val="3A0D233E"/>
    <w:rsid w:val="3A1B6272"/>
    <w:rsid w:val="3A3810E1"/>
    <w:rsid w:val="3A400359"/>
    <w:rsid w:val="3A684643"/>
    <w:rsid w:val="3A816B64"/>
    <w:rsid w:val="3A8B1791"/>
    <w:rsid w:val="3A9B3CB1"/>
    <w:rsid w:val="3AA426BE"/>
    <w:rsid w:val="3AAD5BAB"/>
    <w:rsid w:val="3AB420D8"/>
    <w:rsid w:val="3ABB3E24"/>
    <w:rsid w:val="3ABD174D"/>
    <w:rsid w:val="3ABE089D"/>
    <w:rsid w:val="3AC16F61"/>
    <w:rsid w:val="3ACF6188"/>
    <w:rsid w:val="3AE8273F"/>
    <w:rsid w:val="3AF10EE3"/>
    <w:rsid w:val="3AFE0E69"/>
    <w:rsid w:val="3B001416"/>
    <w:rsid w:val="3B037579"/>
    <w:rsid w:val="3B0E4089"/>
    <w:rsid w:val="3B0F4170"/>
    <w:rsid w:val="3B305D8D"/>
    <w:rsid w:val="3B3E6803"/>
    <w:rsid w:val="3B413BDE"/>
    <w:rsid w:val="3B46460B"/>
    <w:rsid w:val="3B625369"/>
    <w:rsid w:val="3B9C1EA7"/>
    <w:rsid w:val="3BAE1BDB"/>
    <w:rsid w:val="3BB23479"/>
    <w:rsid w:val="3BB80364"/>
    <w:rsid w:val="3BC13451"/>
    <w:rsid w:val="3BC14FB6"/>
    <w:rsid w:val="3BC62A80"/>
    <w:rsid w:val="3BCC47DA"/>
    <w:rsid w:val="3BEE1FD7"/>
    <w:rsid w:val="3BF63484"/>
    <w:rsid w:val="3C037E6A"/>
    <w:rsid w:val="3C0B6B50"/>
    <w:rsid w:val="3C111071"/>
    <w:rsid w:val="3C12462C"/>
    <w:rsid w:val="3C2123AD"/>
    <w:rsid w:val="3C256697"/>
    <w:rsid w:val="3C277297"/>
    <w:rsid w:val="3C4273D9"/>
    <w:rsid w:val="3C5067EE"/>
    <w:rsid w:val="3C522566"/>
    <w:rsid w:val="3C5C1637"/>
    <w:rsid w:val="3C603D5A"/>
    <w:rsid w:val="3C885C2D"/>
    <w:rsid w:val="3C8A61A4"/>
    <w:rsid w:val="3C984A93"/>
    <w:rsid w:val="3CA01523"/>
    <w:rsid w:val="3CA440E8"/>
    <w:rsid w:val="3CB02484"/>
    <w:rsid w:val="3CC5466D"/>
    <w:rsid w:val="3CDB07AE"/>
    <w:rsid w:val="3CEF002C"/>
    <w:rsid w:val="3D0521A2"/>
    <w:rsid w:val="3D0761C5"/>
    <w:rsid w:val="3D0F3DAA"/>
    <w:rsid w:val="3D1837B0"/>
    <w:rsid w:val="3D1D0DC6"/>
    <w:rsid w:val="3D2739F3"/>
    <w:rsid w:val="3D356C89"/>
    <w:rsid w:val="3D4C1E7B"/>
    <w:rsid w:val="3D65451B"/>
    <w:rsid w:val="3D68241D"/>
    <w:rsid w:val="3D6C119D"/>
    <w:rsid w:val="3D6D5956"/>
    <w:rsid w:val="3D6E33D0"/>
    <w:rsid w:val="3D8E0840"/>
    <w:rsid w:val="3DAA0180"/>
    <w:rsid w:val="3DB64D77"/>
    <w:rsid w:val="3DB80357"/>
    <w:rsid w:val="3DB972C3"/>
    <w:rsid w:val="3DC009F0"/>
    <w:rsid w:val="3DC74499"/>
    <w:rsid w:val="3DD11BB1"/>
    <w:rsid w:val="3DD27E02"/>
    <w:rsid w:val="3DD61496"/>
    <w:rsid w:val="3DE81DFE"/>
    <w:rsid w:val="3DF064DB"/>
    <w:rsid w:val="3DFE00AC"/>
    <w:rsid w:val="3E1C72D0"/>
    <w:rsid w:val="3E314BCD"/>
    <w:rsid w:val="3E3321A7"/>
    <w:rsid w:val="3E336859"/>
    <w:rsid w:val="3E495BEB"/>
    <w:rsid w:val="3E4B7F93"/>
    <w:rsid w:val="3E500AE7"/>
    <w:rsid w:val="3E587D39"/>
    <w:rsid w:val="3E6A003B"/>
    <w:rsid w:val="3E752133"/>
    <w:rsid w:val="3ECA5368"/>
    <w:rsid w:val="3ED30267"/>
    <w:rsid w:val="3EF210C8"/>
    <w:rsid w:val="3EF913BF"/>
    <w:rsid w:val="3F185CE9"/>
    <w:rsid w:val="3F1D32FF"/>
    <w:rsid w:val="3F1F0427"/>
    <w:rsid w:val="3F1F2AFF"/>
    <w:rsid w:val="3F38478D"/>
    <w:rsid w:val="3F3B725B"/>
    <w:rsid w:val="3F584337"/>
    <w:rsid w:val="3F5B5BD6"/>
    <w:rsid w:val="3F6A7BC7"/>
    <w:rsid w:val="3F73699C"/>
    <w:rsid w:val="3F917849"/>
    <w:rsid w:val="3F942E96"/>
    <w:rsid w:val="3F991D2D"/>
    <w:rsid w:val="3FA605EF"/>
    <w:rsid w:val="3FAA2A9A"/>
    <w:rsid w:val="3FAE21A9"/>
    <w:rsid w:val="3FB728E8"/>
    <w:rsid w:val="3FCC262F"/>
    <w:rsid w:val="3FD12164"/>
    <w:rsid w:val="3FDA1A36"/>
    <w:rsid w:val="3FEC2CD2"/>
    <w:rsid w:val="3FF5523D"/>
    <w:rsid w:val="40247C3E"/>
    <w:rsid w:val="402C30CE"/>
    <w:rsid w:val="402E32EA"/>
    <w:rsid w:val="402F4312"/>
    <w:rsid w:val="40350A66"/>
    <w:rsid w:val="40425CF1"/>
    <w:rsid w:val="405014B2"/>
    <w:rsid w:val="40646D0C"/>
    <w:rsid w:val="40652DEC"/>
    <w:rsid w:val="4068695F"/>
    <w:rsid w:val="406C6A5B"/>
    <w:rsid w:val="406E36E7"/>
    <w:rsid w:val="406F1E04"/>
    <w:rsid w:val="40700C2D"/>
    <w:rsid w:val="40E90FBF"/>
    <w:rsid w:val="41021D26"/>
    <w:rsid w:val="41165A48"/>
    <w:rsid w:val="41171FD0"/>
    <w:rsid w:val="411835E5"/>
    <w:rsid w:val="411B68D8"/>
    <w:rsid w:val="41220FF0"/>
    <w:rsid w:val="413A1437"/>
    <w:rsid w:val="414D4738"/>
    <w:rsid w:val="416061DE"/>
    <w:rsid w:val="41714917"/>
    <w:rsid w:val="417239FA"/>
    <w:rsid w:val="41736831"/>
    <w:rsid w:val="4185518C"/>
    <w:rsid w:val="41874A60"/>
    <w:rsid w:val="418E2292"/>
    <w:rsid w:val="419B6942"/>
    <w:rsid w:val="419E19D4"/>
    <w:rsid w:val="41A25734"/>
    <w:rsid w:val="41AF3E0D"/>
    <w:rsid w:val="41B14C08"/>
    <w:rsid w:val="41BB295C"/>
    <w:rsid w:val="41DB6C24"/>
    <w:rsid w:val="41F45E6E"/>
    <w:rsid w:val="42047A67"/>
    <w:rsid w:val="42077567"/>
    <w:rsid w:val="42295B17"/>
    <w:rsid w:val="423D7540"/>
    <w:rsid w:val="4249440B"/>
    <w:rsid w:val="4258464E"/>
    <w:rsid w:val="425863FC"/>
    <w:rsid w:val="425E6B2B"/>
    <w:rsid w:val="426B0B13"/>
    <w:rsid w:val="42806D30"/>
    <w:rsid w:val="42823A7B"/>
    <w:rsid w:val="4283791D"/>
    <w:rsid w:val="428B2495"/>
    <w:rsid w:val="428D7969"/>
    <w:rsid w:val="42A03AB3"/>
    <w:rsid w:val="42A31130"/>
    <w:rsid w:val="42AD06AB"/>
    <w:rsid w:val="42B549E2"/>
    <w:rsid w:val="42B75819"/>
    <w:rsid w:val="42B75BFA"/>
    <w:rsid w:val="42C03047"/>
    <w:rsid w:val="42C73ED4"/>
    <w:rsid w:val="42E83C24"/>
    <w:rsid w:val="42EF4FB3"/>
    <w:rsid w:val="432F3601"/>
    <w:rsid w:val="436A63E7"/>
    <w:rsid w:val="437A441A"/>
    <w:rsid w:val="438A59C4"/>
    <w:rsid w:val="43963680"/>
    <w:rsid w:val="439873F8"/>
    <w:rsid w:val="43A01E09"/>
    <w:rsid w:val="43AA4AD2"/>
    <w:rsid w:val="43AD109A"/>
    <w:rsid w:val="43B92000"/>
    <w:rsid w:val="43C53F65"/>
    <w:rsid w:val="43C6583F"/>
    <w:rsid w:val="43CB1944"/>
    <w:rsid w:val="43CE16C3"/>
    <w:rsid w:val="43DA1EAE"/>
    <w:rsid w:val="43DD4E0B"/>
    <w:rsid w:val="43E33F16"/>
    <w:rsid w:val="43EF0FE2"/>
    <w:rsid w:val="43F2579F"/>
    <w:rsid w:val="43FD54AD"/>
    <w:rsid w:val="441427F7"/>
    <w:rsid w:val="441533B6"/>
    <w:rsid w:val="441A1D24"/>
    <w:rsid w:val="441B1EAF"/>
    <w:rsid w:val="442003D6"/>
    <w:rsid w:val="44254A04"/>
    <w:rsid w:val="44314417"/>
    <w:rsid w:val="4431722A"/>
    <w:rsid w:val="444A3B26"/>
    <w:rsid w:val="444D151C"/>
    <w:rsid w:val="44574B66"/>
    <w:rsid w:val="446472DA"/>
    <w:rsid w:val="44652202"/>
    <w:rsid w:val="446E19C5"/>
    <w:rsid w:val="447926CC"/>
    <w:rsid w:val="44801C3A"/>
    <w:rsid w:val="44973E88"/>
    <w:rsid w:val="44AB1B81"/>
    <w:rsid w:val="44B20F16"/>
    <w:rsid w:val="44B46ACB"/>
    <w:rsid w:val="44B55D88"/>
    <w:rsid w:val="44E53256"/>
    <w:rsid w:val="44EE2822"/>
    <w:rsid w:val="44F00B6E"/>
    <w:rsid w:val="4503689F"/>
    <w:rsid w:val="45073F4E"/>
    <w:rsid w:val="451413E5"/>
    <w:rsid w:val="451B472F"/>
    <w:rsid w:val="452A22D2"/>
    <w:rsid w:val="452B429C"/>
    <w:rsid w:val="454837A5"/>
    <w:rsid w:val="456F4189"/>
    <w:rsid w:val="45703A5D"/>
    <w:rsid w:val="458F615D"/>
    <w:rsid w:val="459736E0"/>
    <w:rsid w:val="45B22572"/>
    <w:rsid w:val="45B64647"/>
    <w:rsid w:val="45B9633F"/>
    <w:rsid w:val="45C35B4C"/>
    <w:rsid w:val="45CC5137"/>
    <w:rsid w:val="45D53A12"/>
    <w:rsid w:val="45DF42F9"/>
    <w:rsid w:val="45F41845"/>
    <w:rsid w:val="45FC2A11"/>
    <w:rsid w:val="46062204"/>
    <w:rsid w:val="46143ECB"/>
    <w:rsid w:val="461865CE"/>
    <w:rsid w:val="46192347"/>
    <w:rsid w:val="46362EF9"/>
    <w:rsid w:val="464C3419"/>
    <w:rsid w:val="46771813"/>
    <w:rsid w:val="469D7A0C"/>
    <w:rsid w:val="46A271AA"/>
    <w:rsid w:val="46A66AE4"/>
    <w:rsid w:val="46AA2F9F"/>
    <w:rsid w:val="46B02CAB"/>
    <w:rsid w:val="46B07A99"/>
    <w:rsid w:val="46B502C1"/>
    <w:rsid w:val="46DD752E"/>
    <w:rsid w:val="46E14C12"/>
    <w:rsid w:val="46E31F31"/>
    <w:rsid w:val="46E666CD"/>
    <w:rsid w:val="46EA1BC3"/>
    <w:rsid w:val="46EB3CE3"/>
    <w:rsid w:val="46FC1A4C"/>
    <w:rsid w:val="4703102D"/>
    <w:rsid w:val="470B1C8F"/>
    <w:rsid w:val="470E1780"/>
    <w:rsid w:val="47170634"/>
    <w:rsid w:val="474B29D4"/>
    <w:rsid w:val="475278BE"/>
    <w:rsid w:val="47567456"/>
    <w:rsid w:val="47571378"/>
    <w:rsid w:val="475E7F2C"/>
    <w:rsid w:val="476870E2"/>
    <w:rsid w:val="47705F96"/>
    <w:rsid w:val="477E4B57"/>
    <w:rsid w:val="4783201A"/>
    <w:rsid w:val="47870686"/>
    <w:rsid w:val="47A60AB3"/>
    <w:rsid w:val="47D06858"/>
    <w:rsid w:val="47E8402A"/>
    <w:rsid w:val="48091993"/>
    <w:rsid w:val="480D759E"/>
    <w:rsid w:val="4812652E"/>
    <w:rsid w:val="48260B79"/>
    <w:rsid w:val="482A2A30"/>
    <w:rsid w:val="483671E0"/>
    <w:rsid w:val="48451ED2"/>
    <w:rsid w:val="485475D7"/>
    <w:rsid w:val="48581F4C"/>
    <w:rsid w:val="488012DD"/>
    <w:rsid w:val="488F68F0"/>
    <w:rsid w:val="48C41A79"/>
    <w:rsid w:val="48CA4C16"/>
    <w:rsid w:val="48D01517"/>
    <w:rsid w:val="48DC7D87"/>
    <w:rsid w:val="48DE5DD2"/>
    <w:rsid w:val="49521DF7"/>
    <w:rsid w:val="498F4DFA"/>
    <w:rsid w:val="499D7E0E"/>
    <w:rsid w:val="49A73A62"/>
    <w:rsid w:val="49AE609E"/>
    <w:rsid w:val="49C5081B"/>
    <w:rsid w:val="49E1317B"/>
    <w:rsid w:val="49E7203E"/>
    <w:rsid w:val="4A0330F2"/>
    <w:rsid w:val="4A1C7C0D"/>
    <w:rsid w:val="4A203ECA"/>
    <w:rsid w:val="4A301A0D"/>
    <w:rsid w:val="4A38723F"/>
    <w:rsid w:val="4A413C1A"/>
    <w:rsid w:val="4A631DE2"/>
    <w:rsid w:val="4A6C6EE9"/>
    <w:rsid w:val="4A6E0B49"/>
    <w:rsid w:val="4A75688F"/>
    <w:rsid w:val="4A7638C4"/>
    <w:rsid w:val="4A7A27F3"/>
    <w:rsid w:val="4A911C8D"/>
    <w:rsid w:val="4A956670"/>
    <w:rsid w:val="4AA50588"/>
    <w:rsid w:val="4ACA3C0F"/>
    <w:rsid w:val="4AE72A13"/>
    <w:rsid w:val="4AF62C56"/>
    <w:rsid w:val="4AF869CF"/>
    <w:rsid w:val="4B0343DF"/>
    <w:rsid w:val="4B2B2900"/>
    <w:rsid w:val="4B3774F7"/>
    <w:rsid w:val="4B4065AF"/>
    <w:rsid w:val="4B410375"/>
    <w:rsid w:val="4B505594"/>
    <w:rsid w:val="4B55037B"/>
    <w:rsid w:val="4B58746D"/>
    <w:rsid w:val="4B5A712B"/>
    <w:rsid w:val="4B5C6F5D"/>
    <w:rsid w:val="4B6040B1"/>
    <w:rsid w:val="4B700C5B"/>
    <w:rsid w:val="4B83125E"/>
    <w:rsid w:val="4B893F89"/>
    <w:rsid w:val="4BB46D99"/>
    <w:rsid w:val="4BB52B12"/>
    <w:rsid w:val="4BB7203F"/>
    <w:rsid w:val="4BD765A8"/>
    <w:rsid w:val="4BD765E4"/>
    <w:rsid w:val="4C0849DC"/>
    <w:rsid w:val="4C11583C"/>
    <w:rsid w:val="4C455C43"/>
    <w:rsid w:val="4C667968"/>
    <w:rsid w:val="4C6E4D65"/>
    <w:rsid w:val="4C7B3413"/>
    <w:rsid w:val="4C8147A2"/>
    <w:rsid w:val="4C865556"/>
    <w:rsid w:val="4C887A3C"/>
    <w:rsid w:val="4C8F3363"/>
    <w:rsid w:val="4CAD36A2"/>
    <w:rsid w:val="4CC065F7"/>
    <w:rsid w:val="4CC07FD7"/>
    <w:rsid w:val="4CC877D9"/>
    <w:rsid w:val="4CE216E4"/>
    <w:rsid w:val="4CEE0089"/>
    <w:rsid w:val="4CFE521D"/>
    <w:rsid w:val="4D063625"/>
    <w:rsid w:val="4D0A2E03"/>
    <w:rsid w:val="4D2324BD"/>
    <w:rsid w:val="4D2609ED"/>
    <w:rsid w:val="4D2F39D8"/>
    <w:rsid w:val="4D32215D"/>
    <w:rsid w:val="4D3E3400"/>
    <w:rsid w:val="4D40640B"/>
    <w:rsid w:val="4D422183"/>
    <w:rsid w:val="4D422BEC"/>
    <w:rsid w:val="4D61085B"/>
    <w:rsid w:val="4D73160D"/>
    <w:rsid w:val="4D8C1650"/>
    <w:rsid w:val="4D8E53C8"/>
    <w:rsid w:val="4D9B55DB"/>
    <w:rsid w:val="4D9C6209"/>
    <w:rsid w:val="4DA44CDC"/>
    <w:rsid w:val="4DAB41CC"/>
    <w:rsid w:val="4DAE5A6A"/>
    <w:rsid w:val="4DD077BB"/>
    <w:rsid w:val="4DD51C8D"/>
    <w:rsid w:val="4DF3347D"/>
    <w:rsid w:val="4E0336C0"/>
    <w:rsid w:val="4E1242A9"/>
    <w:rsid w:val="4E244990"/>
    <w:rsid w:val="4E3E0B9C"/>
    <w:rsid w:val="4E524648"/>
    <w:rsid w:val="4E573C33"/>
    <w:rsid w:val="4E5A52AA"/>
    <w:rsid w:val="4E994025"/>
    <w:rsid w:val="4EA815FA"/>
    <w:rsid w:val="4EAB591A"/>
    <w:rsid w:val="4EC56BC8"/>
    <w:rsid w:val="4EC92B5C"/>
    <w:rsid w:val="4EFE20DA"/>
    <w:rsid w:val="4F006F9C"/>
    <w:rsid w:val="4F027E1C"/>
    <w:rsid w:val="4F05774D"/>
    <w:rsid w:val="4F247D92"/>
    <w:rsid w:val="4F2558B8"/>
    <w:rsid w:val="4F271630"/>
    <w:rsid w:val="4F426946"/>
    <w:rsid w:val="4F4A3571"/>
    <w:rsid w:val="4F4B3C4B"/>
    <w:rsid w:val="4F4E4E0F"/>
    <w:rsid w:val="4F4F2935"/>
    <w:rsid w:val="4F530677"/>
    <w:rsid w:val="4F5543EF"/>
    <w:rsid w:val="4F6C7839"/>
    <w:rsid w:val="4F6E3703"/>
    <w:rsid w:val="4F77611B"/>
    <w:rsid w:val="4F860A4D"/>
    <w:rsid w:val="4F894099"/>
    <w:rsid w:val="4F8B7E11"/>
    <w:rsid w:val="4FA26F09"/>
    <w:rsid w:val="4FB44097"/>
    <w:rsid w:val="4FBA06F6"/>
    <w:rsid w:val="4FBA6948"/>
    <w:rsid w:val="4FCE7A0A"/>
    <w:rsid w:val="4FF0236A"/>
    <w:rsid w:val="4FF754A7"/>
    <w:rsid w:val="500205D5"/>
    <w:rsid w:val="50101F00"/>
    <w:rsid w:val="50106916"/>
    <w:rsid w:val="501A2F43"/>
    <w:rsid w:val="501F67AB"/>
    <w:rsid w:val="502630C9"/>
    <w:rsid w:val="504371E4"/>
    <w:rsid w:val="50546455"/>
    <w:rsid w:val="50602D42"/>
    <w:rsid w:val="506E5364"/>
    <w:rsid w:val="50782C11"/>
    <w:rsid w:val="507C59AC"/>
    <w:rsid w:val="508C1050"/>
    <w:rsid w:val="509021EF"/>
    <w:rsid w:val="509E7EB3"/>
    <w:rsid w:val="50A15412"/>
    <w:rsid w:val="50BF1283"/>
    <w:rsid w:val="50BF6765"/>
    <w:rsid w:val="50C4661B"/>
    <w:rsid w:val="50CD6207"/>
    <w:rsid w:val="50CE7637"/>
    <w:rsid w:val="50DB6B76"/>
    <w:rsid w:val="50EA0B67"/>
    <w:rsid w:val="50EC2B32"/>
    <w:rsid w:val="50F04C42"/>
    <w:rsid w:val="51121655"/>
    <w:rsid w:val="512F41D6"/>
    <w:rsid w:val="51340038"/>
    <w:rsid w:val="51510BE7"/>
    <w:rsid w:val="515F0DC2"/>
    <w:rsid w:val="51711289"/>
    <w:rsid w:val="517A7FEF"/>
    <w:rsid w:val="518E5997"/>
    <w:rsid w:val="519B2AC5"/>
    <w:rsid w:val="51A53A93"/>
    <w:rsid w:val="51A86C19"/>
    <w:rsid w:val="51BA6964"/>
    <w:rsid w:val="51C14E84"/>
    <w:rsid w:val="51D22468"/>
    <w:rsid w:val="51E81294"/>
    <w:rsid w:val="52075C20"/>
    <w:rsid w:val="5208399B"/>
    <w:rsid w:val="521168E9"/>
    <w:rsid w:val="52161998"/>
    <w:rsid w:val="52164031"/>
    <w:rsid w:val="52234810"/>
    <w:rsid w:val="522678BC"/>
    <w:rsid w:val="52397FF8"/>
    <w:rsid w:val="525D3538"/>
    <w:rsid w:val="526D1A50"/>
    <w:rsid w:val="526D7BE9"/>
    <w:rsid w:val="52911BE2"/>
    <w:rsid w:val="52BB0A0D"/>
    <w:rsid w:val="52BB3757"/>
    <w:rsid w:val="52BB785E"/>
    <w:rsid w:val="52C553E8"/>
    <w:rsid w:val="52CF6267"/>
    <w:rsid w:val="52F45CCD"/>
    <w:rsid w:val="53023148"/>
    <w:rsid w:val="530345C9"/>
    <w:rsid w:val="53114AD1"/>
    <w:rsid w:val="531363EC"/>
    <w:rsid w:val="531620E8"/>
    <w:rsid w:val="53542C10"/>
    <w:rsid w:val="53785677"/>
    <w:rsid w:val="537B63EF"/>
    <w:rsid w:val="537F5EDF"/>
    <w:rsid w:val="538B4884"/>
    <w:rsid w:val="538D3BC8"/>
    <w:rsid w:val="53AA3AEE"/>
    <w:rsid w:val="53B07B19"/>
    <w:rsid w:val="53BF1070"/>
    <w:rsid w:val="53C5766A"/>
    <w:rsid w:val="53CB2ED2"/>
    <w:rsid w:val="53D55AFF"/>
    <w:rsid w:val="53E10631"/>
    <w:rsid w:val="53E13641"/>
    <w:rsid w:val="53E977FC"/>
    <w:rsid w:val="53F02939"/>
    <w:rsid w:val="53F21C9D"/>
    <w:rsid w:val="53F41B45"/>
    <w:rsid w:val="54316AAD"/>
    <w:rsid w:val="54375B73"/>
    <w:rsid w:val="543A60FC"/>
    <w:rsid w:val="546E1AAF"/>
    <w:rsid w:val="547215A0"/>
    <w:rsid w:val="54724797"/>
    <w:rsid w:val="547C4225"/>
    <w:rsid w:val="547C7191"/>
    <w:rsid w:val="54864521"/>
    <w:rsid w:val="548A0C7D"/>
    <w:rsid w:val="548B08B3"/>
    <w:rsid w:val="549B522E"/>
    <w:rsid w:val="54AD2A8C"/>
    <w:rsid w:val="54AF6B6F"/>
    <w:rsid w:val="54CF20EB"/>
    <w:rsid w:val="54DC2EBD"/>
    <w:rsid w:val="54F1234B"/>
    <w:rsid w:val="54F2623D"/>
    <w:rsid w:val="55061CE8"/>
    <w:rsid w:val="550A2470"/>
    <w:rsid w:val="550E71AB"/>
    <w:rsid w:val="550F53E4"/>
    <w:rsid w:val="55110CEB"/>
    <w:rsid w:val="55114663"/>
    <w:rsid w:val="55195E84"/>
    <w:rsid w:val="551D5F9C"/>
    <w:rsid w:val="55214E93"/>
    <w:rsid w:val="552705DC"/>
    <w:rsid w:val="55306C45"/>
    <w:rsid w:val="555F60C6"/>
    <w:rsid w:val="556A671B"/>
    <w:rsid w:val="556E0BD7"/>
    <w:rsid w:val="557355CF"/>
    <w:rsid w:val="558A2919"/>
    <w:rsid w:val="559B2D78"/>
    <w:rsid w:val="559D264C"/>
    <w:rsid w:val="559E0172"/>
    <w:rsid w:val="55CE6CAA"/>
    <w:rsid w:val="55D6344D"/>
    <w:rsid w:val="55FA2E24"/>
    <w:rsid w:val="560426CB"/>
    <w:rsid w:val="56051409"/>
    <w:rsid w:val="56073F6A"/>
    <w:rsid w:val="5627460C"/>
    <w:rsid w:val="56393F09"/>
    <w:rsid w:val="563D5BDD"/>
    <w:rsid w:val="563E571F"/>
    <w:rsid w:val="564451BE"/>
    <w:rsid w:val="564669AA"/>
    <w:rsid w:val="56551179"/>
    <w:rsid w:val="565607A7"/>
    <w:rsid w:val="56596943"/>
    <w:rsid w:val="56622056"/>
    <w:rsid w:val="56645843"/>
    <w:rsid w:val="5670741F"/>
    <w:rsid w:val="5671159D"/>
    <w:rsid w:val="56796F35"/>
    <w:rsid w:val="569143DB"/>
    <w:rsid w:val="56981066"/>
    <w:rsid w:val="56A4175C"/>
    <w:rsid w:val="56AE2637"/>
    <w:rsid w:val="56B83768"/>
    <w:rsid w:val="56C97471"/>
    <w:rsid w:val="56CB4F97"/>
    <w:rsid w:val="56D20724"/>
    <w:rsid w:val="570404A9"/>
    <w:rsid w:val="57515644"/>
    <w:rsid w:val="576F173F"/>
    <w:rsid w:val="577D011A"/>
    <w:rsid w:val="578B2CBE"/>
    <w:rsid w:val="579420CB"/>
    <w:rsid w:val="579E08FE"/>
    <w:rsid w:val="57AF3A2D"/>
    <w:rsid w:val="57B217FC"/>
    <w:rsid w:val="57C15027"/>
    <w:rsid w:val="57FB2843"/>
    <w:rsid w:val="580C7B37"/>
    <w:rsid w:val="58112E7E"/>
    <w:rsid w:val="581168A0"/>
    <w:rsid w:val="581D136C"/>
    <w:rsid w:val="5822322A"/>
    <w:rsid w:val="58287701"/>
    <w:rsid w:val="582901C7"/>
    <w:rsid w:val="584414FA"/>
    <w:rsid w:val="584A1D7C"/>
    <w:rsid w:val="585A130E"/>
    <w:rsid w:val="58615BB3"/>
    <w:rsid w:val="586B1A2F"/>
    <w:rsid w:val="587753D7"/>
    <w:rsid w:val="587A6F3C"/>
    <w:rsid w:val="58853E48"/>
    <w:rsid w:val="58913FBE"/>
    <w:rsid w:val="589D1F31"/>
    <w:rsid w:val="58C20AB6"/>
    <w:rsid w:val="58C942E7"/>
    <w:rsid w:val="58D12EBF"/>
    <w:rsid w:val="58DC2FA9"/>
    <w:rsid w:val="58EE0FAF"/>
    <w:rsid w:val="58FF2A2C"/>
    <w:rsid w:val="59080725"/>
    <w:rsid w:val="590B0E34"/>
    <w:rsid w:val="59146777"/>
    <w:rsid w:val="592E7517"/>
    <w:rsid w:val="593E7CA2"/>
    <w:rsid w:val="59457283"/>
    <w:rsid w:val="594A4899"/>
    <w:rsid w:val="59592D2E"/>
    <w:rsid w:val="59605E6B"/>
    <w:rsid w:val="59617565"/>
    <w:rsid w:val="596310BC"/>
    <w:rsid w:val="59725B9E"/>
    <w:rsid w:val="59837DAB"/>
    <w:rsid w:val="598B6C60"/>
    <w:rsid w:val="599363C3"/>
    <w:rsid w:val="599B6EA3"/>
    <w:rsid w:val="599E6993"/>
    <w:rsid w:val="59DF76D7"/>
    <w:rsid w:val="59F214ED"/>
    <w:rsid w:val="59F842F5"/>
    <w:rsid w:val="5A0A5DD6"/>
    <w:rsid w:val="5A13761A"/>
    <w:rsid w:val="5A1A3FC7"/>
    <w:rsid w:val="5A1D1FAE"/>
    <w:rsid w:val="5A317807"/>
    <w:rsid w:val="5A4B6B1B"/>
    <w:rsid w:val="5A525665"/>
    <w:rsid w:val="5A6B0F6B"/>
    <w:rsid w:val="5A71375D"/>
    <w:rsid w:val="5A8731FC"/>
    <w:rsid w:val="5A89142B"/>
    <w:rsid w:val="5A8C0EE1"/>
    <w:rsid w:val="5A9702EF"/>
    <w:rsid w:val="5A98025F"/>
    <w:rsid w:val="5AA2724A"/>
    <w:rsid w:val="5AAB1367"/>
    <w:rsid w:val="5AB3646E"/>
    <w:rsid w:val="5ABA37AE"/>
    <w:rsid w:val="5ABD109B"/>
    <w:rsid w:val="5ACD3304"/>
    <w:rsid w:val="5AE3714B"/>
    <w:rsid w:val="5AED7BD2"/>
    <w:rsid w:val="5B1A029B"/>
    <w:rsid w:val="5B3550D5"/>
    <w:rsid w:val="5B3B4331"/>
    <w:rsid w:val="5B447CBA"/>
    <w:rsid w:val="5B48305A"/>
    <w:rsid w:val="5B595A32"/>
    <w:rsid w:val="5B6B6D49"/>
    <w:rsid w:val="5B7E082A"/>
    <w:rsid w:val="5B8878FB"/>
    <w:rsid w:val="5B991B08"/>
    <w:rsid w:val="5BAC5F7F"/>
    <w:rsid w:val="5BB62E71"/>
    <w:rsid w:val="5BB74794"/>
    <w:rsid w:val="5BC30933"/>
    <w:rsid w:val="5BC95A66"/>
    <w:rsid w:val="5BDB7A2A"/>
    <w:rsid w:val="5BF705DC"/>
    <w:rsid w:val="5C133668"/>
    <w:rsid w:val="5C1C07A4"/>
    <w:rsid w:val="5C246606"/>
    <w:rsid w:val="5C2C79C1"/>
    <w:rsid w:val="5C4F4537"/>
    <w:rsid w:val="5C626972"/>
    <w:rsid w:val="5C633279"/>
    <w:rsid w:val="5C7C0C62"/>
    <w:rsid w:val="5C8774B6"/>
    <w:rsid w:val="5C904CB9"/>
    <w:rsid w:val="5C922F53"/>
    <w:rsid w:val="5C9347A9"/>
    <w:rsid w:val="5C9702B9"/>
    <w:rsid w:val="5C9A1106"/>
    <w:rsid w:val="5CB169DD"/>
    <w:rsid w:val="5CB309A7"/>
    <w:rsid w:val="5CBB14EB"/>
    <w:rsid w:val="5CD81D32"/>
    <w:rsid w:val="5CE06B4F"/>
    <w:rsid w:val="5CE861E2"/>
    <w:rsid w:val="5CEB5E28"/>
    <w:rsid w:val="5CEE378D"/>
    <w:rsid w:val="5CF60894"/>
    <w:rsid w:val="5CFA45E8"/>
    <w:rsid w:val="5CFB395E"/>
    <w:rsid w:val="5D003069"/>
    <w:rsid w:val="5D042FB1"/>
    <w:rsid w:val="5D086F45"/>
    <w:rsid w:val="5D2418A5"/>
    <w:rsid w:val="5D2A2D58"/>
    <w:rsid w:val="5D35760E"/>
    <w:rsid w:val="5D481CA0"/>
    <w:rsid w:val="5D5932FD"/>
    <w:rsid w:val="5D5C2546"/>
    <w:rsid w:val="5D635F29"/>
    <w:rsid w:val="5D755C5D"/>
    <w:rsid w:val="5D7E7207"/>
    <w:rsid w:val="5D8B36D2"/>
    <w:rsid w:val="5D8D5962"/>
    <w:rsid w:val="5D9E6F62"/>
    <w:rsid w:val="5DAB5E1C"/>
    <w:rsid w:val="5DCA41FA"/>
    <w:rsid w:val="5DCF6A0F"/>
    <w:rsid w:val="5DD9761C"/>
    <w:rsid w:val="5DEF78BB"/>
    <w:rsid w:val="5DF173F4"/>
    <w:rsid w:val="5E1E62F4"/>
    <w:rsid w:val="5E2004A9"/>
    <w:rsid w:val="5E2F0501"/>
    <w:rsid w:val="5E4E6BDA"/>
    <w:rsid w:val="5E6A54C7"/>
    <w:rsid w:val="5E6F2A83"/>
    <w:rsid w:val="5E736640"/>
    <w:rsid w:val="5E9A5CF6"/>
    <w:rsid w:val="5EA54933"/>
    <w:rsid w:val="5EB22277"/>
    <w:rsid w:val="5EC34E37"/>
    <w:rsid w:val="5EC46E9C"/>
    <w:rsid w:val="5ED42B57"/>
    <w:rsid w:val="5EE27322"/>
    <w:rsid w:val="5EE27405"/>
    <w:rsid w:val="5EE96902"/>
    <w:rsid w:val="5EF54319"/>
    <w:rsid w:val="5EF7101F"/>
    <w:rsid w:val="5EF808F3"/>
    <w:rsid w:val="5EFE2F8D"/>
    <w:rsid w:val="5F0279C4"/>
    <w:rsid w:val="5F1D2BF5"/>
    <w:rsid w:val="5F281585"/>
    <w:rsid w:val="5F2D2C93"/>
    <w:rsid w:val="5F41345D"/>
    <w:rsid w:val="5F443B39"/>
    <w:rsid w:val="5F49114F"/>
    <w:rsid w:val="5F492E1F"/>
    <w:rsid w:val="5F516A6F"/>
    <w:rsid w:val="5F683370"/>
    <w:rsid w:val="5F7B17BB"/>
    <w:rsid w:val="5F7F1215"/>
    <w:rsid w:val="5F803C39"/>
    <w:rsid w:val="5FB707AE"/>
    <w:rsid w:val="5FBE7D8F"/>
    <w:rsid w:val="5FCD1D80"/>
    <w:rsid w:val="5FD44968"/>
    <w:rsid w:val="5FDE3F8D"/>
    <w:rsid w:val="5FEE3180"/>
    <w:rsid w:val="5FF92B75"/>
    <w:rsid w:val="60042BEA"/>
    <w:rsid w:val="600B3F50"/>
    <w:rsid w:val="60182735"/>
    <w:rsid w:val="602A2D2E"/>
    <w:rsid w:val="603F1F82"/>
    <w:rsid w:val="6041169C"/>
    <w:rsid w:val="604275EE"/>
    <w:rsid w:val="604A1D31"/>
    <w:rsid w:val="60503921"/>
    <w:rsid w:val="609043B3"/>
    <w:rsid w:val="609D79A4"/>
    <w:rsid w:val="60A36672"/>
    <w:rsid w:val="60A84A3B"/>
    <w:rsid w:val="60C2740B"/>
    <w:rsid w:val="60CA62C0"/>
    <w:rsid w:val="60CE558E"/>
    <w:rsid w:val="60D761B5"/>
    <w:rsid w:val="60D92CC8"/>
    <w:rsid w:val="60DF1D6B"/>
    <w:rsid w:val="60E24670"/>
    <w:rsid w:val="60E70AC6"/>
    <w:rsid w:val="60EF3399"/>
    <w:rsid w:val="60FA0165"/>
    <w:rsid w:val="61120392"/>
    <w:rsid w:val="61584155"/>
    <w:rsid w:val="615C73CE"/>
    <w:rsid w:val="61AC042B"/>
    <w:rsid w:val="61B90B30"/>
    <w:rsid w:val="61BC378A"/>
    <w:rsid w:val="61C97B82"/>
    <w:rsid w:val="61CB7F54"/>
    <w:rsid w:val="61D45648"/>
    <w:rsid w:val="61D701E7"/>
    <w:rsid w:val="61DC1E4F"/>
    <w:rsid w:val="61E3588B"/>
    <w:rsid w:val="61EB716D"/>
    <w:rsid w:val="61ED7675"/>
    <w:rsid w:val="61F1384C"/>
    <w:rsid w:val="62057AA6"/>
    <w:rsid w:val="62076FEE"/>
    <w:rsid w:val="62144B45"/>
    <w:rsid w:val="62206F6E"/>
    <w:rsid w:val="62400655"/>
    <w:rsid w:val="624327CD"/>
    <w:rsid w:val="6255051B"/>
    <w:rsid w:val="62662018"/>
    <w:rsid w:val="6271733B"/>
    <w:rsid w:val="62737B1F"/>
    <w:rsid w:val="627F270B"/>
    <w:rsid w:val="628920EB"/>
    <w:rsid w:val="628E69F6"/>
    <w:rsid w:val="62913539"/>
    <w:rsid w:val="62B84840"/>
    <w:rsid w:val="62B86D17"/>
    <w:rsid w:val="62CE1DCE"/>
    <w:rsid w:val="62D17DD9"/>
    <w:rsid w:val="62EA7BC4"/>
    <w:rsid w:val="62F41A14"/>
    <w:rsid w:val="630430DC"/>
    <w:rsid w:val="63461422"/>
    <w:rsid w:val="6355290C"/>
    <w:rsid w:val="63584057"/>
    <w:rsid w:val="63691ADB"/>
    <w:rsid w:val="63783630"/>
    <w:rsid w:val="63957059"/>
    <w:rsid w:val="639F7A23"/>
    <w:rsid w:val="63BA261B"/>
    <w:rsid w:val="63BF40D6"/>
    <w:rsid w:val="63C43A85"/>
    <w:rsid w:val="63CA447C"/>
    <w:rsid w:val="63DC4DF7"/>
    <w:rsid w:val="63E10FFC"/>
    <w:rsid w:val="64104931"/>
    <w:rsid w:val="641F6922"/>
    <w:rsid w:val="642A77A1"/>
    <w:rsid w:val="64410F8F"/>
    <w:rsid w:val="6449557A"/>
    <w:rsid w:val="64824575"/>
    <w:rsid w:val="64833457"/>
    <w:rsid w:val="64990483"/>
    <w:rsid w:val="64A62BA0"/>
    <w:rsid w:val="64A7393C"/>
    <w:rsid w:val="64EE1744"/>
    <w:rsid w:val="64F30445"/>
    <w:rsid w:val="64F3269A"/>
    <w:rsid w:val="64FE71DF"/>
    <w:rsid w:val="650C334B"/>
    <w:rsid w:val="6530009A"/>
    <w:rsid w:val="653308D7"/>
    <w:rsid w:val="6535184E"/>
    <w:rsid w:val="653A1C66"/>
    <w:rsid w:val="653F54CE"/>
    <w:rsid w:val="654C3747"/>
    <w:rsid w:val="654F3237"/>
    <w:rsid w:val="65615108"/>
    <w:rsid w:val="6563794C"/>
    <w:rsid w:val="65660CAD"/>
    <w:rsid w:val="6593581A"/>
    <w:rsid w:val="65BE11E8"/>
    <w:rsid w:val="65BF03BD"/>
    <w:rsid w:val="65DB75C4"/>
    <w:rsid w:val="65F84859"/>
    <w:rsid w:val="65F979E4"/>
    <w:rsid w:val="65FE1814"/>
    <w:rsid w:val="660364FC"/>
    <w:rsid w:val="661C21B4"/>
    <w:rsid w:val="662231B9"/>
    <w:rsid w:val="662F5543"/>
    <w:rsid w:val="664D06D4"/>
    <w:rsid w:val="664D3720"/>
    <w:rsid w:val="666323AC"/>
    <w:rsid w:val="666963AA"/>
    <w:rsid w:val="666B26BD"/>
    <w:rsid w:val="6672542F"/>
    <w:rsid w:val="667747F4"/>
    <w:rsid w:val="667A112A"/>
    <w:rsid w:val="66A55805"/>
    <w:rsid w:val="66AD46B9"/>
    <w:rsid w:val="66B03CE4"/>
    <w:rsid w:val="66C37A39"/>
    <w:rsid w:val="66DB1226"/>
    <w:rsid w:val="66E856F1"/>
    <w:rsid w:val="66F422E8"/>
    <w:rsid w:val="66FA6A70"/>
    <w:rsid w:val="66FC0397"/>
    <w:rsid w:val="670342D9"/>
    <w:rsid w:val="671464E6"/>
    <w:rsid w:val="67193AFD"/>
    <w:rsid w:val="67196FE5"/>
    <w:rsid w:val="672704EA"/>
    <w:rsid w:val="672F1572"/>
    <w:rsid w:val="67310E46"/>
    <w:rsid w:val="673301B4"/>
    <w:rsid w:val="67346B89"/>
    <w:rsid w:val="67386FDB"/>
    <w:rsid w:val="67423054"/>
    <w:rsid w:val="675114E9"/>
    <w:rsid w:val="67626A2D"/>
    <w:rsid w:val="676D4DD7"/>
    <w:rsid w:val="677D0530"/>
    <w:rsid w:val="677D408C"/>
    <w:rsid w:val="677F7E04"/>
    <w:rsid w:val="67862CC9"/>
    <w:rsid w:val="6795405C"/>
    <w:rsid w:val="6798214F"/>
    <w:rsid w:val="679F04A6"/>
    <w:rsid w:val="67A7735B"/>
    <w:rsid w:val="67B57CC9"/>
    <w:rsid w:val="67B6134C"/>
    <w:rsid w:val="67C95F8E"/>
    <w:rsid w:val="67E4235D"/>
    <w:rsid w:val="67E57BB0"/>
    <w:rsid w:val="67F83953"/>
    <w:rsid w:val="67FC76A6"/>
    <w:rsid w:val="680A64E9"/>
    <w:rsid w:val="68394EE6"/>
    <w:rsid w:val="683D7703"/>
    <w:rsid w:val="68476448"/>
    <w:rsid w:val="68580655"/>
    <w:rsid w:val="685E6B5F"/>
    <w:rsid w:val="686275F2"/>
    <w:rsid w:val="68882CE8"/>
    <w:rsid w:val="689D6067"/>
    <w:rsid w:val="68B11755"/>
    <w:rsid w:val="68B60853"/>
    <w:rsid w:val="68BA38D3"/>
    <w:rsid w:val="68BC7338"/>
    <w:rsid w:val="68EF720B"/>
    <w:rsid w:val="68F465CD"/>
    <w:rsid w:val="68FB795E"/>
    <w:rsid w:val="690F6F65"/>
    <w:rsid w:val="69194288"/>
    <w:rsid w:val="69200DE4"/>
    <w:rsid w:val="69286279"/>
    <w:rsid w:val="693C6962"/>
    <w:rsid w:val="69493DE9"/>
    <w:rsid w:val="695928D6"/>
    <w:rsid w:val="696236D6"/>
    <w:rsid w:val="696B638F"/>
    <w:rsid w:val="69703B14"/>
    <w:rsid w:val="697602C0"/>
    <w:rsid w:val="69763F72"/>
    <w:rsid w:val="698536CB"/>
    <w:rsid w:val="698C05B6"/>
    <w:rsid w:val="69A00505"/>
    <w:rsid w:val="69B007BE"/>
    <w:rsid w:val="69C1772D"/>
    <w:rsid w:val="69D04F81"/>
    <w:rsid w:val="69D41F5D"/>
    <w:rsid w:val="69DD3507"/>
    <w:rsid w:val="69E623BC"/>
    <w:rsid w:val="69EC54F9"/>
    <w:rsid w:val="6A2007D0"/>
    <w:rsid w:val="6A2507B3"/>
    <w:rsid w:val="6A342458"/>
    <w:rsid w:val="6A425C68"/>
    <w:rsid w:val="6A503CD9"/>
    <w:rsid w:val="6A55599E"/>
    <w:rsid w:val="6A5C6501"/>
    <w:rsid w:val="6A635322"/>
    <w:rsid w:val="6A6C5D44"/>
    <w:rsid w:val="6A6F2D39"/>
    <w:rsid w:val="6A7A0D56"/>
    <w:rsid w:val="6A8614A9"/>
    <w:rsid w:val="6A954DBA"/>
    <w:rsid w:val="6AA80BCD"/>
    <w:rsid w:val="6AC344AB"/>
    <w:rsid w:val="6ACD615D"/>
    <w:rsid w:val="6AEF5A9A"/>
    <w:rsid w:val="6AF57124"/>
    <w:rsid w:val="6B0D5727"/>
    <w:rsid w:val="6B0F2BA4"/>
    <w:rsid w:val="6B144D07"/>
    <w:rsid w:val="6B204A1A"/>
    <w:rsid w:val="6B2920F3"/>
    <w:rsid w:val="6B2F1B41"/>
    <w:rsid w:val="6B4E646B"/>
    <w:rsid w:val="6B4F5AA9"/>
    <w:rsid w:val="6B594C63"/>
    <w:rsid w:val="6B5E57DE"/>
    <w:rsid w:val="6B623CC4"/>
    <w:rsid w:val="6B64148A"/>
    <w:rsid w:val="6B6B1AF8"/>
    <w:rsid w:val="6B7457A6"/>
    <w:rsid w:val="6B814558"/>
    <w:rsid w:val="6BA20565"/>
    <w:rsid w:val="6BA77929"/>
    <w:rsid w:val="6BAC4F3F"/>
    <w:rsid w:val="6BB169FA"/>
    <w:rsid w:val="6BBE265D"/>
    <w:rsid w:val="6BD14751"/>
    <w:rsid w:val="6BF84629"/>
    <w:rsid w:val="6C1F1BB5"/>
    <w:rsid w:val="6C553829"/>
    <w:rsid w:val="6C6A21DC"/>
    <w:rsid w:val="6C6A6A7A"/>
    <w:rsid w:val="6C852CE3"/>
    <w:rsid w:val="6C9A50B5"/>
    <w:rsid w:val="6C9F70F3"/>
    <w:rsid w:val="6CA1081C"/>
    <w:rsid w:val="6CAB63EA"/>
    <w:rsid w:val="6CB5251A"/>
    <w:rsid w:val="6CB95B66"/>
    <w:rsid w:val="6CBC0AB6"/>
    <w:rsid w:val="6CC0345F"/>
    <w:rsid w:val="6CC60283"/>
    <w:rsid w:val="6CD94E77"/>
    <w:rsid w:val="6CE93F71"/>
    <w:rsid w:val="6CF02338"/>
    <w:rsid w:val="6D0B2D0D"/>
    <w:rsid w:val="6D190660"/>
    <w:rsid w:val="6D2248D0"/>
    <w:rsid w:val="6D2531FB"/>
    <w:rsid w:val="6D2862D3"/>
    <w:rsid w:val="6D2A0812"/>
    <w:rsid w:val="6D433682"/>
    <w:rsid w:val="6D4B15AD"/>
    <w:rsid w:val="6D547D1C"/>
    <w:rsid w:val="6D5540D1"/>
    <w:rsid w:val="6D5A2643"/>
    <w:rsid w:val="6D695390"/>
    <w:rsid w:val="6D7E3C8F"/>
    <w:rsid w:val="6DAC1227"/>
    <w:rsid w:val="6DB636EC"/>
    <w:rsid w:val="6DB8406F"/>
    <w:rsid w:val="6DBE71AC"/>
    <w:rsid w:val="6DC5053A"/>
    <w:rsid w:val="6DDE1315"/>
    <w:rsid w:val="6DE309C1"/>
    <w:rsid w:val="6DE36C13"/>
    <w:rsid w:val="6DE54DB4"/>
    <w:rsid w:val="6DF227EA"/>
    <w:rsid w:val="6DF6676A"/>
    <w:rsid w:val="6E076EF0"/>
    <w:rsid w:val="6E0E3D2F"/>
    <w:rsid w:val="6E297DE6"/>
    <w:rsid w:val="6E2D283C"/>
    <w:rsid w:val="6E461717"/>
    <w:rsid w:val="6E4A0A40"/>
    <w:rsid w:val="6E511DCE"/>
    <w:rsid w:val="6E58315D"/>
    <w:rsid w:val="6E600263"/>
    <w:rsid w:val="6E662264"/>
    <w:rsid w:val="6E6C6C08"/>
    <w:rsid w:val="6E737F96"/>
    <w:rsid w:val="6E784EA5"/>
    <w:rsid w:val="6E7A7577"/>
    <w:rsid w:val="6E851A78"/>
    <w:rsid w:val="6E934195"/>
    <w:rsid w:val="6EAF4BC1"/>
    <w:rsid w:val="6EB16810"/>
    <w:rsid w:val="6EBC78AC"/>
    <w:rsid w:val="6EBD27B8"/>
    <w:rsid w:val="6ECB1B80"/>
    <w:rsid w:val="6ECD0364"/>
    <w:rsid w:val="6EE21E54"/>
    <w:rsid w:val="6EF530A1"/>
    <w:rsid w:val="6F03595C"/>
    <w:rsid w:val="6F28705A"/>
    <w:rsid w:val="6F475D90"/>
    <w:rsid w:val="6F4B2CC1"/>
    <w:rsid w:val="6F741BF4"/>
    <w:rsid w:val="6F771D08"/>
    <w:rsid w:val="6F8D2548"/>
    <w:rsid w:val="6F9C149C"/>
    <w:rsid w:val="6FB40867"/>
    <w:rsid w:val="6FC07FF2"/>
    <w:rsid w:val="6FD12EBC"/>
    <w:rsid w:val="6FF47C38"/>
    <w:rsid w:val="70063A19"/>
    <w:rsid w:val="70107109"/>
    <w:rsid w:val="7019691C"/>
    <w:rsid w:val="701B2694"/>
    <w:rsid w:val="70344BA7"/>
    <w:rsid w:val="703B2D36"/>
    <w:rsid w:val="703F2826"/>
    <w:rsid w:val="704054A7"/>
    <w:rsid w:val="7043255C"/>
    <w:rsid w:val="70552753"/>
    <w:rsid w:val="70553DF8"/>
    <w:rsid w:val="70634FAC"/>
    <w:rsid w:val="70741DA4"/>
    <w:rsid w:val="707B5963"/>
    <w:rsid w:val="70AB1AAA"/>
    <w:rsid w:val="70B00C3E"/>
    <w:rsid w:val="70B84386"/>
    <w:rsid w:val="70C00B5C"/>
    <w:rsid w:val="70D07922"/>
    <w:rsid w:val="70EC72BE"/>
    <w:rsid w:val="70FC24C5"/>
    <w:rsid w:val="71154596"/>
    <w:rsid w:val="7121017E"/>
    <w:rsid w:val="71282F7E"/>
    <w:rsid w:val="713A123F"/>
    <w:rsid w:val="713E488C"/>
    <w:rsid w:val="717C6045"/>
    <w:rsid w:val="718C2D82"/>
    <w:rsid w:val="71926986"/>
    <w:rsid w:val="71BC7EA6"/>
    <w:rsid w:val="71C04EF7"/>
    <w:rsid w:val="71C11019"/>
    <w:rsid w:val="71CD4AA6"/>
    <w:rsid w:val="71FE170B"/>
    <w:rsid w:val="720601E6"/>
    <w:rsid w:val="720C6738"/>
    <w:rsid w:val="720F320B"/>
    <w:rsid w:val="72121874"/>
    <w:rsid w:val="7219208E"/>
    <w:rsid w:val="722021E3"/>
    <w:rsid w:val="72245F9C"/>
    <w:rsid w:val="722A12B4"/>
    <w:rsid w:val="722E4900"/>
    <w:rsid w:val="72345C8F"/>
    <w:rsid w:val="723B701D"/>
    <w:rsid w:val="727D5888"/>
    <w:rsid w:val="728704B4"/>
    <w:rsid w:val="72890CA4"/>
    <w:rsid w:val="72961521"/>
    <w:rsid w:val="72AC1CC9"/>
    <w:rsid w:val="72B85E53"/>
    <w:rsid w:val="72BA2638"/>
    <w:rsid w:val="72BB3CBA"/>
    <w:rsid w:val="72C23632"/>
    <w:rsid w:val="72CE5F36"/>
    <w:rsid w:val="72DE2E02"/>
    <w:rsid w:val="730257AA"/>
    <w:rsid w:val="73061A67"/>
    <w:rsid w:val="731C1E36"/>
    <w:rsid w:val="73200FB6"/>
    <w:rsid w:val="7328111C"/>
    <w:rsid w:val="73430839"/>
    <w:rsid w:val="734700CA"/>
    <w:rsid w:val="734A545E"/>
    <w:rsid w:val="73520AC2"/>
    <w:rsid w:val="73610D05"/>
    <w:rsid w:val="7363682B"/>
    <w:rsid w:val="736B3908"/>
    <w:rsid w:val="737427E7"/>
    <w:rsid w:val="737C78ED"/>
    <w:rsid w:val="737D338C"/>
    <w:rsid w:val="738E13CF"/>
    <w:rsid w:val="73950743"/>
    <w:rsid w:val="73B01E4B"/>
    <w:rsid w:val="73E55492"/>
    <w:rsid w:val="73FC0A2E"/>
    <w:rsid w:val="73FE6554"/>
    <w:rsid w:val="7401100D"/>
    <w:rsid w:val="74065409"/>
    <w:rsid w:val="74130AAA"/>
    <w:rsid w:val="7417122B"/>
    <w:rsid w:val="74373814"/>
    <w:rsid w:val="74470000"/>
    <w:rsid w:val="74700476"/>
    <w:rsid w:val="7491561A"/>
    <w:rsid w:val="74947BB0"/>
    <w:rsid w:val="74AE06F9"/>
    <w:rsid w:val="74C432FA"/>
    <w:rsid w:val="74C9493D"/>
    <w:rsid w:val="74E10D62"/>
    <w:rsid w:val="74F6722B"/>
    <w:rsid w:val="750363F7"/>
    <w:rsid w:val="7510034A"/>
    <w:rsid w:val="752B1F37"/>
    <w:rsid w:val="753D1FB4"/>
    <w:rsid w:val="754377AA"/>
    <w:rsid w:val="75475CD9"/>
    <w:rsid w:val="75483F2B"/>
    <w:rsid w:val="754E29F1"/>
    <w:rsid w:val="75792336"/>
    <w:rsid w:val="759B27F7"/>
    <w:rsid w:val="75A44ED9"/>
    <w:rsid w:val="75B248A8"/>
    <w:rsid w:val="75BA294F"/>
    <w:rsid w:val="75CE0FC7"/>
    <w:rsid w:val="75E12ACA"/>
    <w:rsid w:val="75F8096D"/>
    <w:rsid w:val="7601232C"/>
    <w:rsid w:val="760C31AA"/>
    <w:rsid w:val="760F46FF"/>
    <w:rsid w:val="76382A92"/>
    <w:rsid w:val="763C3364"/>
    <w:rsid w:val="763F37BF"/>
    <w:rsid w:val="76447C78"/>
    <w:rsid w:val="764741E2"/>
    <w:rsid w:val="765E777E"/>
    <w:rsid w:val="766104F4"/>
    <w:rsid w:val="76683A56"/>
    <w:rsid w:val="76685F07"/>
    <w:rsid w:val="7677439C"/>
    <w:rsid w:val="7687371E"/>
    <w:rsid w:val="76AF1D88"/>
    <w:rsid w:val="76CB2DAE"/>
    <w:rsid w:val="76CC3B1E"/>
    <w:rsid w:val="76DB2B7D"/>
    <w:rsid w:val="76FA1255"/>
    <w:rsid w:val="77071BC4"/>
    <w:rsid w:val="770A3175"/>
    <w:rsid w:val="770A5210"/>
    <w:rsid w:val="770D027A"/>
    <w:rsid w:val="77216F4A"/>
    <w:rsid w:val="7758279B"/>
    <w:rsid w:val="77656090"/>
    <w:rsid w:val="7771703D"/>
    <w:rsid w:val="77866F8C"/>
    <w:rsid w:val="778925D9"/>
    <w:rsid w:val="778B30D0"/>
    <w:rsid w:val="778D20C9"/>
    <w:rsid w:val="778F07A7"/>
    <w:rsid w:val="7798707D"/>
    <w:rsid w:val="779C3C16"/>
    <w:rsid w:val="77A17922"/>
    <w:rsid w:val="77D12AA5"/>
    <w:rsid w:val="77DE57E8"/>
    <w:rsid w:val="77E0289B"/>
    <w:rsid w:val="77E6609C"/>
    <w:rsid w:val="77EB261B"/>
    <w:rsid w:val="77ED2B68"/>
    <w:rsid w:val="77EF34B5"/>
    <w:rsid w:val="77F62490"/>
    <w:rsid w:val="780F6F82"/>
    <w:rsid w:val="781045FF"/>
    <w:rsid w:val="781B53B2"/>
    <w:rsid w:val="78267E28"/>
    <w:rsid w:val="782A202B"/>
    <w:rsid w:val="78343356"/>
    <w:rsid w:val="78432810"/>
    <w:rsid w:val="7857203E"/>
    <w:rsid w:val="785A455E"/>
    <w:rsid w:val="785B21C7"/>
    <w:rsid w:val="785E3A65"/>
    <w:rsid w:val="786848E4"/>
    <w:rsid w:val="787768D5"/>
    <w:rsid w:val="788A6608"/>
    <w:rsid w:val="788B3F35"/>
    <w:rsid w:val="7892370F"/>
    <w:rsid w:val="78BC26E5"/>
    <w:rsid w:val="78C31B1A"/>
    <w:rsid w:val="78CC0EE5"/>
    <w:rsid w:val="78D14237"/>
    <w:rsid w:val="78EF290F"/>
    <w:rsid w:val="78EF5ED9"/>
    <w:rsid w:val="78F85C68"/>
    <w:rsid w:val="78F92F1B"/>
    <w:rsid w:val="78FB07BE"/>
    <w:rsid w:val="78FB46A2"/>
    <w:rsid w:val="79004B1D"/>
    <w:rsid w:val="79022643"/>
    <w:rsid w:val="791365FE"/>
    <w:rsid w:val="79334EF2"/>
    <w:rsid w:val="794C38BE"/>
    <w:rsid w:val="79532E9E"/>
    <w:rsid w:val="795C03E3"/>
    <w:rsid w:val="796F747D"/>
    <w:rsid w:val="79976821"/>
    <w:rsid w:val="7998503A"/>
    <w:rsid w:val="79994CC3"/>
    <w:rsid w:val="79BF0534"/>
    <w:rsid w:val="79C72734"/>
    <w:rsid w:val="79D044EF"/>
    <w:rsid w:val="79DE26BC"/>
    <w:rsid w:val="79E1494E"/>
    <w:rsid w:val="79E43AB9"/>
    <w:rsid w:val="79EB30D7"/>
    <w:rsid w:val="79EE00C8"/>
    <w:rsid w:val="79EE0E19"/>
    <w:rsid w:val="79FF081E"/>
    <w:rsid w:val="7A146AD1"/>
    <w:rsid w:val="7A195E96"/>
    <w:rsid w:val="7A240A53"/>
    <w:rsid w:val="7A28432B"/>
    <w:rsid w:val="7A2E5CC4"/>
    <w:rsid w:val="7A513882"/>
    <w:rsid w:val="7A6C06BC"/>
    <w:rsid w:val="7A8A6D94"/>
    <w:rsid w:val="7A987BAE"/>
    <w:rsid w:val="7A9E30E3"/>
    <w:rsid w:val="7AA55685"/>
    <w:rsid w:val="7AAC12CB"/>
    <w:rsid w:val="7AB51D1A"/>
    <w:rsid w:val="7AB92158"/>
    <w:rsid w:val="7AC44D7B"/>
    <w:rsid w:val="7ACA3455"/>
    <w:rsid w:val="7AD46261"/>
    <w:rsid w:val="7AE5221C"/>
    <w:rsid w:val="7AF661D7"/>
    <w:rsid w:val="7AFE07D7"/>
    <w:rsid w:val="7B095F0A"/>
    <w:rsid w:val="7B0E3521"/>
    <w:rsid w:val="7B1149CD"/>
    <w:rsid w:val="7B161C8C"/>
    <w:rsid w:val="7B2C1BF9"/>
    <w:rsid w:val="7B350CD3"/>
    <w:rsid w:val="7B4A02D1"/>
    <w:rsid w:val="7B6A2721"/>
    <w:rsid w:val="7B6D1B0B"/>
    <w:rsid w:val="7B737549"/>
    <w:rsid w:val="7B7C3047"/>
    <w:rsid w:val="7B8B4B71"/>
    <w:rsid w:val="7BB2745E"/>
    <w:rsid w:val="7BBD4D71"/>
    <w:rsid w:val="7BC51F86"/>
    <w:rsid w:val="7BD007D6"/>
    <w:rsid w:val="7BD1454E"/>
    <w:rsid w:val="7BD25A4D"/>
    <w:rsid w:val="7BD5403F"/>
    <w:rsid w:val="7BDB2785"/>
    <w:rsid w:val="7BDD1145"/>
    <w:rsid w:val="7BFA1CF7"/>
    <w:rsid w:val="7C070AEE"/>
    <w:rsid w:val="7C3638B0"/>
    <w:rsid w:val="7C43662D"/>
    <w:rsid w:val="7C4E3880"/>
    <w:rsid w:val="7C6D74B4"/>
    <w:rsid w:val="7C7575D0"/>
    <w:rsid w:val="7C827F39"/>
    <w:rsid w:val="7C846CD6"/>
    <w:rsid w:val="7C8E41ED"/>
    <w:rsid w:val="7C920181"/>
    <w:rsid w:val="7C9C4B5C"/>
    <w:rsid w:val="7CA67983"/>
    <w:rsid w:val="7CA80E11"/>
    <w:rsid w:val="7CCA791B"/>
    <w:rsid w:val="7CD24A22"/>
    <w:rsid w:val="7CD6629B"/>
    <w:rsid w:val="7D012C11"/>
    <w:rsid w:val="7D1961AD"/>
    <w:rsid w:val="7D1B031A"/>
    <w:rsid w:val="7D1F00CB"/>
    <w:rsid w:val="7D3E0C41"/>
    <w:rsid w:val="7D4423A0"/>
    <w:rsid w:val="7D4551F4"/>
    <w:rsid w:val="7D462D04"/>
    <w:rsid w:val="7D4A45B8"/>
    <w:rsid w:val="7D4C0330"/>
    <w:rsid w:val="7D562F5D"/>
    <w:rsid w:val="7D584F27"/>
    <w:rsid w:val="7D5D42EC"/>
    <w:rsid w:val="7D5D4F91"/>
    <w:rsid w:val="7D652932"/>
    <w:rsid w:val="7D690EE2"/>
    <w:rsid w:val="7D7B29C4"/>
    <w:rsid w:val="7D80447E"/>
    <w:rsid w:val="7D87580C"/>
    <w:rsid w:val="7D935CC6"/>
    <w:rsid w:val="7D99109C"/>
    <w:rsid w:val="7DB25D11"/>
    <w:rsid w:val="7DB501B6"/>
    <w:rsid w:val="7DBB6394"/>
    <w:rsid w:val="7DC324CA"/>
    <w:rsid w:val="7DCC76C3"/>
    <w:rsid w:val="7DD810CD"/>
    <w:rsid w:val="7DDC25D4"/>
    <w:rsid w:val="7DDC4C8B"/>
    <w:rsid w:val="7DF05160"/>
    <w:rsid w:val="7DF12C86"/>
    <w:rsid w:val="7E00368E"/>
    <w:rsid w:val="7E123328"/>
    <w:rsid w:val="7E260B81"/>
    <w:rsid w:val="7E2663FB"/>
    <w:rsid w:val="7E3512BA"/>
    <w:rsid w:val="7E464D80"/>
    <w:rsid w:val="7E470AE8"/>
    <w:rsid w:val="7E5E4C1D"/>
    <w:rsid w:val="7E635932"/>
    <w:rsid w:val="7E6478FC"/>
    <w:rsid w:val="7E941F8F"/>
    <w:rsid w:val="7E95493E"/>
    <w:rsid w:val="7EAB72D9"/>
    <w:rsid w:val="7EB75F5C"/>
    <w:rsid w:val="7ED92098"/>
    <w:rsid w:val="7EDD7D0C"/>
    <w:rsid w:val="7EE06F82"/>
    <w:rsid w:val="7EF5076D"/>
    <w:rsid w:val="7F044BBB"/>
    <w:rsid w:val="7F164D3F"/>
    <w:rsid w:val="7F382028"/>
    <w:rsid w:val="7F437511"/>
    <w:rsid w:val="7F473382"/>
    <w:rsid w:val="7F532767"/>
    <w:rsid w:val="7F547A82"/>
    <w:rsid w:val="7F5E5C36"/>
    <w:rsid w:val="7F6126BB"/>
    <w:rsid w:val="7F74591C"/>
    <w:rsid w:val="7F9B6490"/>
    <w:rsid w:val="7FA02BB5"/>
    <w:rsid w:val="7FA91A6A"/>
    <w:rsid w:val="7FB32706"/>
    <w:rsid w:val="7FBC5DE7"/>
    <w:rsid w:val="7FC06DB4"/>
    <w:rsid w:val="7FCF6FF7"/>
    <w:rsid w:val="7FD30895"/>
    <w:rsid w:val="7FDC6F33"/>
    <w:rsid w:val="7FDF04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00" w:lineRule="exact"/>
      <w:ind w:firstLine="360" w:firstLineChars="200"/>
      <w:jc w:val="both"/>
    </w:pPr>
    <w:rPr>
      <w:rFonts w:ascii="Times New Roman" w:hAnsi="Times New Roman" w:eastAsia="宋体" w:cs="宋体"/>
      <w:kern w:val="2"/>
      <w:sz w:val="24"/>
      <w:szCs w:val="24"/>
      <w:lang w:val="en-US" w:eastAsia="zh-CN" w:bidi="ar-SA"/>
    </w:rPr>
  </w:style>
  <w:style w:type="paragraph" w:styleId="3">
    <w:name w:val="heading 1"/>
    <w:basedOn w:val="1"/>
    <w:next w:val="1"/>
    <w:link w:val="143"/>
    <w:autoRedefine/>
    <w:qFormat/>
    <w:uiPriority w:val="0"/>
    <w:pPr>
      <w:tabs>
        <w:tab w:val="left" w:pos="480"/>
      </w:tabs>
      <w:spacing w:beforeLines="100" w:afterLines="100"/>
      <w:outlineLvl w:val="0"/>
    </w:pPr>
    <w:rPr>
      <w:b/>
      <w:sz w:val="36"/>
      <w:szCs w:val="20"/>
    </w:rPr>
  </w:style>
  <w:style w:type="paragraph" w:styleId="4">
    <w:name w:val="heading 2"/>
    <w:basedOn w:val="1"/>
    <w:next w:val="1"/>
    <w:link w:val="77"/>
    <w:autoRedefine/>
    <w:qFormat/>
    <w:uiPriority w:val="0"/>
    <w:pPr>
      <w:keepNext/>
      <w:keepLines/>
      <w:tabs>
        <w:tab w:val="left" w:pos="480"/>
      </w:tabs>
      <w:spacing w:beforeLines="50" w:afterLines="50"/>
      <w:jc w:val="center"/>
      <w:outlineLvl w:val="1"/>
    </w:pPr>
    <w:rPr>
      <w:rFonts w:ascii="Arial" w:hAnsi="Arial"/>
      <w:bCs/>
      <w:sz w:val="30"/>
      <w:szCs w:val="32"/>
    </w:rPr>
  </w:style>
  <w:style w:type="paragraph" w:styleId="5">
    <w:name w:val="heading 3"/>
    <w:basedOn w:val="1"/>
    <w:next w:val="1"/>
    <w:link w:val="118"/>
    <w:autoRedefine/>
    <w:qFormat/>
    <w:uiPriority w:val="0"/>
    <w:pPr>
      <w:keepNext/>
      <w:keepLines/>
      <w:numPr>
        <w:ilvl w:val="2"/>
        <w:numId w:val="1"/>
      </w:numPr>
      <w:tabs>
        <w:tab w:val="left" w:pos="2651"/>
      </w:tabs>
      <w:spacing w:line="240" w:lineRule="auto"/>
      <w:ind w:left="0" w:firstLine="480"/>
      <w:jc w:val="left"/>
      <w:outlineLvl w:val="2"/>
    </w:pPr>
    <w:rPr>
      <w:rFonts w:ascii="仿宋_GB2312" w:hAnsi="仿宋_GB2312"/>
      <w:b/>
      <w:bCs/>
      <w:kern w:val="0"/>
      <w:sz w:val="28"/>
      <w:szCs w:val="20"/>
    </w:rPr>
  </w:style>
  <w:style w:type="paragraph" w:styleId="6">
    <w:name w:val="heading 4"/>
    <w:basedOn w:val="1"/>
    <w:next w:val="1"/>
    <w:autoRedefine/>
    <w:qFormat/>
    <w:uiPriority w:val="0"/>
    <w:pPr>
      <w:keepNext/>
      <w:keepLines/>
      <w:numPr>
        <w:ilvl w:val="3"/>
        <w:numId w:val="2"/>
      </w:numPr>
      <w:spacing w:line="372" w:lineRule="auto"/>
      <w:ind w:firstLine="0" w:firstLineChars="0"/>
      <w:outlineLvl w:val="3"/>
    </w:pPr>
    <w:rPr>
      <w:rFonts w:ascii="Arial" w:hAnsi="Arial" w:eastAsia="黑体"/>
      <w:b/>
      <w:sz w:val="28"/>
    </w:rPr>
  </w:style>
  <w:style w:type="paragraph" w:styleId="7">
    <w:name w:val="heading 5"/>
    <w:basedOn w:val="1"/>
    <w:next w:val="1"/>
    <w:autoRedefine/>
    <w:qFormat/>
    <w:uiPriority w:val="0"/>
    <w:pPr>
      <w:keepNext/>
      <w:keepLines/>
      <w:numPr>
        <w:ilvl w:val="4"/>
        <w:numId w:val="2"/>
      </w:numPr>
      <w:spacing w:line="372" w:lineRule="auto"/>
      <w:ind w:firstLine="0" w:firstLineChars="0"/>
      <w:outlineLvl w:val="4"/>
    </w:pPr>
    <w:rPr>
      <w:b/>
      <w:sz w:val="28"/>
    </w:rPr>
  </w:style>
  <w:style w:type="paragraph" w:styleId="8">
    <w:name w:val="heading 6"/>
    <w:basedOn w:val="1"/>
    <w:next w:val="1"/>
    <w:autoRedefine/>
    <w:qFormat/>
    <w:uiPriority w:val="0"/>
    <w:pPr>
      <w:keepNext/>
      <w:keepLines/>
      <w:spacing w:before="240" w:after="64" w:line="320" w:lineRule="auto"/>
      <w:outlineLvl w:val="5"/>
    </w:pPr>
    <w:rPr>
      <w:rFonts w:ascii="Arial" w:hAnsi="Arial" w:eastAsia="黑体"/>
      <w:b/>
      <w:bCs/>
      <w:szCs w:val="32"/>
    </w:rPr>
  </w:style>
  <w:style w:type="paragraph" w:styleId="9">
    <w:name w:val="heading 7"/>
    <w:basedOn w:val="1"/>
    <w:next w:val="1"/>
    <w:autoRedefine/>
    <w:unhideWhenUsed/>
    <w:qFormat/>
    <w:uiPriority w:val="9"/>
    <w:pPr>
      <w:keepNext/>
      <w:keepLines/>
      <w:spacing w:before="240" w:after="64" w:line="320" w:lineRule="auto"/>
      <w:outlineLvl w:val="6"/>
    </w:pPr>
    <w:rPr>
      <w:b/>
      <w:bCs/>
    </w:rPr>
  </w:style>
  <w:style w:type="paragraph" w:styleId="10">
    <w:name w:val="heading 8"/>
    <w:basedOn w:val="1"/>
    <w:next w:val="1"/>
    <w:autoRedefine/>
    <w:qFormat/>
    <w:uiPriority w:val="1"/>
    <w:pPr>
      <w:autoSpaceDE w:val="0"/>
      <w:autoSpaceDN w:val="0"/>
      <w:ind w:left="570"/>
      <w:jc w:val="left"/>
      <w:outlineLvl w:val="7"/>
    </w:pPr>
    <w:rPr>
      <w:rFonts w:ascii="宋体" w:hAnsi="宋体"/>
      <w:kern w:val="0"/>
      <w:lang w:eastAsia="en-US"/>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oc 1"/>
    <w:basedOn w:val="1"/>
    <w:next w:val="1"/>
    <w:autoRedefine/>
    <w:qFormat/>
    <w:uiPriority w:val="0"/>
    <w:pPr>
      <w:tabs>
        <w:tab w:val="right" w:leader="hyphen" w:pos="9628"/>
      </w:tabs>
      <w:spacing w:line="800" w:lineRule="exact"/>
      <w:jc w:val="left"/>
    </w:pPr>
    <w:rPr>
      <w:rFonts w:ascii="新宋体" w:hAnsi="新宋体" w:eastAsia="新宋体"/>
      <w:b/>
      <w:bCs/>
      <w:caps/>
      <w:sz w:val="28"/>
      <w:szCs w:val="28"/>
    </w:rPr>
  </w:style>
  <w:style w:type="paragraph" w:styleId="11">
    <w:name w:val="Normal Indent"/>
    <w:basedOn w:val="1"/>
    <w:next w:val="1"/>
    <w:autoRedefine/>
    <w:qFormat/>
    <w:uiPriority w:val="0"/>
    <w:pPr>
      <w:keepNext w:val="0"/>
      <w:keepLines w:val="0"/>
      <w:widowControl w:val="0"/>
      <w:suppressLineNumbers w:val="0"/>
      <w:spacing w:before="0" w:beforeAutospacing="0" w:after="0" w:afterAutospacing="0" w:line="500" w:lineRule="exact"/>
      <w:ind w:left="0" w:right="0" w:firstLine="420" w:firstLineChars="200"/>
      <w:jc w:val="both"/>
    </w:pPr>
    <w:rPr>
      <w:rFonts w:hint="default" w:ascii="Times New Roman" w:hAnsi="Times New Roman" w:eastAsia="宋体" w:cs="宋体"/>
      <w:kern w:val="2"/>
      <w:sz w:val="24"/>
      <w:szCs w:val="24"/>
      <w:lang w:val="en-US" w:eastAsia="zh-CN" w:bidi="ar"/>
    </w:rPr>
  </w:style>
  <w:style w:type="paragraph" w:styleId="12">
    <w:name w:val="caption"/>
    <w:basedOn w:val="1"/>
    <w:next w:val="1"/>
    <w:autoRedefine/>
    <w:qFormat/>
    <w:uiPriority w:val="0"/>
    <w:rPr>
      <w:rFonts w:ascii="Arial" w:hAnsi="Arial" w:eastAsia="黑体" w:cs="Arial"/>
      <w:sz w:val="20"/>
      <w:szCs w:val="20"/>
    </w:rPr>
  </w:style>
  <w:style w:type="paragraph" w:styleId="13">
    <w:name w:val="toa heading"/>
    <w:basedOn w:val="1"/>
    <w:next w:val="1"/>
    <w:autoRedefine/>
    <w:qFormat/>
    <w:uiPriority w:val="99"/>
    <w:pPr>
      <w:spacing w:before="120"/>
    </w:pPr>
    <w:rPr>
      <w:rFonts w:ascii="Arial" w:hAnsi="Arial"/>
      <w:szCs w:val="20"/>
    </w:rPr>
  </w:style>
  <w:style w:type="paragraph" w:styleId="14">
    <w:name w:val="annotation text"/>
    <w:basedOn w:val="1"/>
    <w:link w:val="120"/>
    <w:autoRedefine/>
    <w:qFormat/>
    <w:uiPriority w:val="0"/>
    <w:pPr>
      <w:jc w:val="left"/>
    </w:pPr>
    <w:rPr>
      <w:rFonts w:cs="Times New Roman"/>
    </w:rPr>
  </w:style>
  <w:style w:type="paragraph" w:styleId="15">
    <w:name w:val="Body Text 3"/>
    <w:basedOn w:val="1"/>
    <w:autoRedefine/>
    <w:qFormat/>
    <w:uiPriority w:val="0"/>
    <w:pPr>
      <w:snapToGrid w:val="0"/>
    </w:pPr>
  </w:style>
  <w:style w:type="paragraph" w:styleId="16">
    <w:name w:val="Body Text"/>
    <w:basedOn w:val="1"/>
    <w:next w:val="17"/>
    <w:link w:val="62"/>
    <w:autoRedefine/>
    <w:qFormat/>
    <w:uiPriority w:val="0"/>
    <w:pPr>
      <w:jc w:val="left"/>
    </w:pPr>
    <w:rPr>
      <w:bCs/>
    </w:rPr>
  </w:style>
  <w:style w:type="paragraph" w:styleId="17">
    <w:name w:val="Body Text First Indent 2"/>
    <w:basedOn w:val="18"/>
    <w:next w:val="1"/>
    <w:autoRedefine/>
    <w:qFormat/>
    <w:uiPriority w:val="0"/>
    <w:pPr>
      <w:snapToGrid w:val="0"/>
      <w:spacing w:after="120" w:line="240" w:lineRule="auto"/>
      <w:ind w:firstLine="420"/>
    </w:pPr>
    <w:rPr>
      <w:rFonts w:hint="eastAsia" w:ascii="宋体"/>
      <w:kern w:val="0"/>
      <w:sz w:val="21"/>
      <w:szCs w:val="21"/>
    </w:rPr>
  </w:style>
  <w:style w:type="paragraph" w:styleId="18">
    <w:name w:val="Body Text Indent"/>
    <w:basedOn w:val="1"/>
    <w:next w:val="11"/>
    <w:link w:val="84"/>
    <w:autoRedefine/>
    <w:qFormat/>
    <w:uiPriority w:val="0"/>
    <w:pPr>
      <w:ind w:left="420" w:leftChars="200"/>
    </w:pPr>
  </w:style>
  <w:style w:type="paragraph" w:styleId="19">
    <w:name w:val="List 2"/>
    <w:basedOn w:val="1"/>
    <w:autoRedefine/>
    <w:qFormat/>
    <w:uiPriority w:val="99"/>
    <w:pPr>
      <w:ind w:left="100" w:leftChars="200" w:hanging="200" w:hangingChars="200"/>
      <w:contextualSpacing/>
    </w:pPr>
  </w:style>
  <w:style w:type="paragraph" w:styleId="20">
    <w:name w:val="toc 5"/>
    <w:basedOn w:val="1"/>
    <w:next w:val="1"/>
    <w:autoRedefine/>
    <w:qFormat/>
    <w:uiPriority w:val="0"/>
    <w:pPr>
      <w:ind w:left="1680" w:leftChars="800"/>
    </w:pPr>
  </w:style>
  <w:style w:type="paragraph" w:styleId="21">
    <w:name w:val="toc 3"/>
    <w:basedOn w:val="1"/>
    <w:next w:val="1"/>
    <w:autoRedefine/>
    <w:qFormat/>
    <w:uiPriority w:val="0"/>
    <w:pPr>
      <w:ind w:left="840" w:leftChars="400"/>
    </w:pPr>
  </w:style>
  <w:style w:type="paragraph" w:styleId="22">
    <w:name w:val="Plain Text"/>
    <w:basedOn w:val="1"/>
    <w:next w:val="23"/>
    <w:autoRedefine/>
    <w:qFormat/>
    <w:uiPriority w:val="0"/>
    <w:rPr>
      <w:rFonts w:ascii="宋体" w:hAnsi="Courier New"/>
      <w:szCs w:val="20"/>
    </w:rPr>
  </w:style>
  <w:style w:type="paragraph" w:styleId="23">
    <w:name w:val="toc 2"/>
    <w:basedOn w:val="1"/>
    <w:next w:val="1"/>
    <w:autoRedefine/>
    <w:qFormat/>
    <w:uiPriority w:val="0"/>
    <w:pPr>
      <w:tabs>
        <w:tab w:val="right" w:leader="hyphen" w:pos="9628"/>
      </w:tabs>
      <w:spacing w:line="800" w:lineRule="exact"/>
      <w:ind w:left="420" w:leftChars="200"/>
      <w:jc w:val="left"/>
    </w:pPr>
    <w:rPr>
      <w:rFonts w:ascii="宋体" w:hAnsi="宋体"/>
      <w:b/>
      <w:smallCaps/>
    </w:rPr>
  </w:style>
  <w:style w:type="paragraph" w:styleId="24">
    <w:name w:val="Date"/>
    <w:basedOn w:val="1"/>
    <w:next w:val="1"/>
    <w:autoRedefine/>
    <w:qFormat/>
    <w:uiPriority w:val="0"/>
    <w:rPr>
      <w:rFonts w:ascii="楷体_GB2312" w:eastAsia="楷体_GB2312"/>
      <w:b/>
      <w:sz w:val="28"/>
    </w:rPr>
  </w:style>
  <w:style w:type="paragraph" w:styleId="25">
    <w:name w:val="Body Text Indent 2"/>
    <w:basedOn w:val="1"/>
    <w:next w:val="17"/>
    <w:autoRedefine/>
    <w:qFormat/>
    <w:uiPriority w:val="0"/>
    <w:pPr>
      <w:spacing w:line="432" w:lineRule="auto"/>
      <w:ind w:firstLine="480"/>
    </w:pPr>
    <w:rPr>
      <w:szCs w:val="21"/>
    </w:rPr>
  </w:style>
  <w:style w:type="paragraph" w:styleId="26">
    <w:name w:val="Balloon Text"/>
    <w:basedOn w:val="1"/>
    <w:link w:val="83"/>
    <w:autoRedefine/>
    <w:qFormat/>
    <w:uiPriority w:val="0"/>
    <w:pPr>
      <w:spacing w:line="240" w:lineRule="auto"/>
    </w:pPr>
    <w:rPr>
      <w:sz w:val="18"/>
      <w:szCs w:val="18"/>
    </w:rPr>
  </w:style>
  <w:style w:type="paragraph" w:styleId="27">
    <w:name w:val="footer"/>
    <w:basedOn w:val="1"/>
    <w:autoRedefine/>
    <w:qFormat/>
    <w:uiPriority w:val="0"/>
    <w:pPr>
      <w:tabs>
        <w:tab w:val="center" w:pos="4153"/>
        <w:tab w:val="right" w:pos="8306"/>
      </w:tabs>
      <w:snapToGrid w:val="0"/>
      <w:jc w:val="left"/>
    </w:pPr>
    <w:rPr>
      <w:sz w:val="18"/>
      <w:szCs w:val="18"/>
    </w:rPr>
  </w:style>
  <w:style w:type="paragraph" w:styleId="28">
    <w:name w:val="header"/>
    <w:basedOn w:val="1"/>
    <w:autoRedefine/>
    <w:qFormat/>
    <w:uiPriority w:val="0"/>
    <w:pPr>
      <w:pBdr>
        <w:bottom w:val="single" w:color="auto" w:sz="6" w:space="1"/>
      </w:pBdr>
      <w:tabs>
        <w:tab w:val="center" w:pos="4153"/>
        <w:tab w:val="right" w:pos="8306"/>
      </w:tabs>
      <w:snapToGrid w:val="0"/>
      <w:jc w:val="center"/>
    </w:pPr>
    <w:rPr>
      <w:b/>
      <w:sz w:val="18"/>
      <w:szCs w:val="18"/>
    </w:rPr>
  </w:style>
  <w:style w:type="paragraph" w:styleId="29">
    <w:name w:val="toc 6"/>
    <w:basedOn w:val="1"/>
    <w:next w:val="1"/>
    <w:autoRedefine/>
    <w:qFormat/>
    <w:uiPriority w:val="39"/>
    <w:pPr>
      <w:spacing w:line="240" w:lineRule="auto"/>
      <w:ind w:left="1050" w:firstLine="0" w:firstLineChars="0"/>
      <w:jc w:val="left"/>
    </w:pPr>
    <w:rPr>
      <w:szCs w:val="21"/>
    </w:rPr>
  </w:style>
  <w:style w:type="paragraph" w:styleId="30">
    <w:name w:val="Body Text 2"/>
    <w:basedOn w:val="1"/>
    <w:autoRedefine/>
    <w:qFormat/>
    <w:uiPriority w:val="0"/>
    <w:pPr>
      <w:spacing w:after="120" w:line="480" w:lineRule="auto"/>
    </w:pPr>
  </w:style>
  <w:style w:type="paragraph" w:styleId="31">
    <w:name w:val="HTML Preformatted"/>
    <w:basedOn w:val="1"/>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style>
  <w:style w:type="paragraph" w:styleId="32">
    <w:name w:val="Normal (Web)"/>
    <w:basedOn w:val="1"/>
    <w:autoRedefine/>
    <w:qFormat/>
    <w:uiPriority w:val="0"/>
    <w:pPr>
      <w:widowControl/>
      <w:spacing w:before="100" w:beforeAutospacing="1" w:after="100" w:afterAutospacing="1"/>
      <w:jc w:val="left"/>
    </w:pPr>
    <w:rPr>
      <w:rFonts w:ascii="宋体" w:hAnsi="宋体"/>
      <w:kern w:val="0"/>
    </w:rPr>
  </w:style>
  <w:style w:type="paragraph" w:styleId="33">
    <w:name w:val="Title"/>
    <w:basedOn w:val="1"/>
    <w:next w:val="1"/>
    <w:autoRedefine/>
    <w:qFormat/>
    <w:uiPriority w:val="0"/>
    <w:pPr>
      <w:spacing w:before="240" w:after="60"/>
      <w:jc w:val="center"/>
      <w:outlineLvl w:val="0"/>
    </w:pPr>
    <w:rPr>
      <w:rFonts w:ascii="Arial" w:hAnsi="Arial" w:cs="Arial"/>
      <w:b/>
      <w:bCs/>
      <w:sz w:val="32"/>
      <w:szCs w:val="32"/>
    </w:rPr>
  </w:style>
  <w:style w:type="paragraph" w:styleId="34">
    <w:name w:val="annotation subject"/>
    <w:basedOn w:val="14"/>
    <w:next w:val="14"/>
    <w:link w:val="121"/>
    <w:autoRedefine/>
    <w:qFormat/>
    <w:uiPriority w:val="0"/>
    <w:rPr>
      <w:b/>
      <w:bCs/>
    </w:rPr>
  </w:style>
  <w:style w:type="paragraph" w:styleId="35">
    <w:name w:val="Body Text First Indent"/>
    <w:basedOn w:val="1"/>
    <w:next w:val="1"/>
    <w:autoRedefine/>
    <w:qFormat/>
    <w:uiPriority w:val="0"/>
    <w:pPr>
      <w:keepNext w:val="0"/>
      <w:keepLines w:val="0"/>
      <w:widowControl w:val="0"/>
      <w:suppressLineNumbers w:val="0"/>
      <w:spacing w:before="0" w:beforeAutospacing="0" w:after="0" w:afterAutospacing="0" w:line="500" w:lineRule="exact"/>
      <w:ind w:left="0" w:right="0" w:firstLine="420" w:firstLineChars="100"/>
      <w:jc w:val="left"/>
    </w:pPr>
    <w:rPr>
      <w:rFonts w:hint="default" w:ascii="Times New Roman" w:hAnsi="Times New Roman" w:eastAsia="宋体" w:cs="宋体"/>
      <w:kern w:val="2"/>
      <w:sz w:val="24"/>
      <w:szCs w:val="24"/>
      <w:lang w:val="en-US" w:eastAsia="zh-CN" w:bidi="ar"/>
    </w:rPr>
  </w:style>
  <w:style w:type="table" w:styleId="37">
    <w:name w:val="Table Grid"/>
    <w:basedOn w:val="3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basedOn w:val="38"/>
    <w:autoRedefine/>
    <w:qFormat/>
    <w:uiPriority w:val="0"/>
    <w:rPr>
      <w:b/>
      <w:bCs/>
    </w:rPr>
  </w:style>
  <w:style w:type="character" w:styleId="40">
    <w:name w:val="page number"/>
    <w:basedOn w:val="38"/>
    <w:autoRedefine/>
    <w:qFormat/>
    <w:uiPriority w:val="99"/>
  </w:style>
  <w:style w:type="character" w:styleId="41">
    <w:name w:val="Emphasis"/>
    <w:basedOn w:val="38"/>
    <w:autoRedefine/>
    <w:qFormat/>
    <w:uiPriority w:val="0"/>
    <w:rPr>
      <w:i/>
    </w:rPr>
  </w:style>
  <w:style w:type="character" w:styleId="42">
    <w:name w:val="Hyperlink"/>
    <w:basedOn w:val="38"/>
    <w:autoRedefine/>
    <w:qFormat/>
    <w:uiPriority w:val="0"/>
    <w:rPr>
      <w:color w:val="0000FF"/>
      <w:u w:val="single"/>
    </w:rPr>
  </w:style>
  <w:style w:type="character" w:styleId="43">
    <w:name w:val="annotation reference"/>
    <w:basedOn w:val="38"/>
    <w:autoRedefine/>
    <w:qFormat/>
    <w:uiPriority w:val="0"/>
    <w:rPr>
      <w:sz w:val="21"/>
      <w:szCs w:val="21"/>
    </w:rPr>
  </w:style>
  <w:style w:type="paragraph" w:customStyle="1" w:styleId="44">
    <w:name w:val="样式1"/>
    <w:basedOn w:val="1"/>
    <w:autoRedefine/>
    <w:qFormat/>
    <w:uiPriority w:val="0"/>
    <w:pPr>
      <w:spacing w:line="360" w:lineRule="exact"/>
      <w:ind w:firstLine="200"/>
    </w:pPr>
    <w:rPr>
      <w:rFonts w:ascii="Arial" w:hAnsi="Arial"/>
    </w:rPr>
  </w:style>
  <w:style w:type="paragraph" w:customStyle="1" w:styleId="45">
    <w:name w:val="文章正文"/>
    <w:basedOn w:val="1"/>
    <w:next w:val="46"/>
    <w:autoRedefine/>
    <w:qFormat/>
    <w:uiPriority w:val="0"/>
    <w:pPr>
      <w:spacing w:line="360" w:lineRule="auto"/>
      <w:ind w:firstLine="200"/>
    </w:pPr>
    <w:rPr>
      <w:rFonts w:ascii="Calibri" w:hAnsi="Calibri" w:cs="Times New Roman"/>
    </w:rPr>
  </w:style>
  <w:style w:type="paragraph" w:customStyle="1" w:styleId="46">
    <w:name w:val="公式样式 变量"/>
    <w:autoRedefine/>
    <w:qFormat/>
    <w:uiPriority w:val="0"/>
    <w:rPr>
      <w:rFonts w:ascii="Times New Roman" w:hAnsi="Times New Roman" w:eastAsia="宋体" w:cs="Times New Roman"/>
      <w:i/>
      <w:lang w:val="en-US" w:eastAsia="zh-CN" w:bidi="ar-SA"/>
    </w:rPr>
  </w:style>
  <w:style w:type="paragraph" w:customStyle="1" w:styleId="47">
    <w:name w:val="样式 表格正文 + 两端对齐"/>
    <w:basedOn w:val="1"/>
    <w:next w:val="48"/>
    <w:autoRedefine/>
    <w:qFormat/>
    <w:uiPriority w:val="0"/>
    <w:pPr>
      <w:spacing w:line="300" w:lineRule="auto"/>
      <w:ind w:firstLine="0"/>
    </w:pPr>
  </w:style>
  <w:style w:type="paragraph" w:customStyle="1" w:styleId="48">
    <w:name w:val="正文1"/>
    <w:basedOn w:val="21"/>
    <w:next w:val="49"/>
    <w:autoRedefine/>
    <w:qFormat/>
    <w:uiPriority w:val="0"/>
    <w:pPr>
      <w:widowControl/>
      <w:snapToGrid w:val="0"/>
      <w:ind w:firstLine="567"/>
    </w:pPr>
    <w:rPr>
      <w:rFonts w:ascii="楷体_GB2312" w:eastAsia="楷体_GB2312"/>
      <w:kern w:val="0"/>
      <w:sz w:val="28"/>
      <w:szCs w:val="20"/>
    </w:rPr>
  </w:style>
  <w:style w:type="paragraph" w:customStyle="1" w:styleId="49">
    <w:name w:val="自动更正"/>
    <w:next w:val="5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xl39"/>
    <w:basedOn w:val="1"/>
    <w:next w:val="51"/>
    <w:autoRedefine/>
    <w:qFormat/>
    <w:uiPriority w:val="0"/>
    <w:pPr>
      <w:widowControl/>
      <w:pBdr>
        <w:top w:val="single" w:color="auto" w:sz="4" w:space="0"/>
        <w:bottom w:val="single" w:color="auto" w:sz="4" w:space="0"/>
        <w:right w:val="single" w:color="auto" w:sz="4" w:space="0"/>
      </w:pBdr>
      <w:spacing w:before="100" w:after="100"/>
      <w:jc w:val="left"/>
      <w:textAlignment w:val="center"/>
    </w:pPr>
    <w:rPr>
      <w:kern w:val="0"/>
      <w:szCs w:val="20"/>
    </w:rPr>
  </w:style>
  <w:style w:type="paragraph" w:customStyle="1" w:styleId="51">
    <w:name w:val="分手多日，近况如何？"/>
    <w:next w:val="1"/>
    <w:autoRedefine/>
    <w:qFormat/>
    <w:uiPriority w:val="0"/>
    <w:pPr>
      <w:widowControl w:val="0"/>
      <w:jc w:val="both"/>
    </w:pPr>
    <w:rPr>
      <w:rFonts w:ascii="Times New Roman" w:hAnsi="Times New Roman" w:eastAsia="宋体" w:cs="Times New Roman"/>
      <w:sz w:val="21"/>
      <w:lang w:val="en-US" w:eastAsia="zh-CN" w:bidi="ar-SA"/>
    </w:rPr>
  </w:style>
  <w:style w:type="paragraph" w:customStyle="1" w:styleId="52">
    <w:name w:val="正"/>
    <w:autoRedefine/>
    <w:qFormat/>
    <w:uiPriority w:val="0"/>
    <w:pPr>
      <w:widowControl w:val="0"/>
      <w:spacing w:line="360" w:lineRule="auto"/>
      <w:ind w:firstLine="480" w:firstLineChars="200"/>
      <w:contextualSpacing/>
      <w:jc w:val="both"/>
    </w:pPr>
    <w:rPr>
      <w:rFonts w:ascii="Times New Roman" w:hAnsi="Times New Roman" w:eastAsia="宋体" w:cs="Times New Roman"/>
      <w:sz w:val="24"/>
      <w:szCs w:val="24"/>
      <w:lang w:val="en-US" w:eastAsia="zh-CN" w:bidi="ar-SA"/>
    </w:rPr>
  </w:style>
  <w:style w:type="paragraph" w:customStyle="1" w:styleId="53">
    <w:name w:val="正文文本首行缩进 2"/>
    <w:basedOn w:val="18"/>
    <w:autoRedefine/>
    <w:qFormat/>
    <w:uiPriority w:val="0"/>
    <w:pPr>
      <w:spacing w:line="360" w:lineRule="auto"/>
      <w:ind w:firstLine="0"/>
    </w:pPr>
    <w:rPr>
      <w:rFonts w:cs="Times New Roman"/>
      <w:lang w:val="zh-CN"/>
    </w:rPr>
  </w:style>
  <w:style w:type="paragraph" w:customStyle="1" w:styleId="54">
    <w:name w:val="Heading2"/>
    <w:basedOn w:val="1"/>
    <w:next w:val="1"/>
    <w:autoRedefine/>
    <w:qFormat/>
    <w:uiPriority w:val="0"/>
    <w:pPr>
      <w:keepNext/>
      <w:keepLines/>
      <w:spacing w:before="260" w:after="260" w:line="416" w:lineRule="auto"/>
    </w:pPr>
    <w:rPr>
      <w:rFonts w:ascii="Cambria" w:hAnsi="Cambria"/>
      <w:sz w:val="32"/>
      <w:szCs w:val="32"/>
    </w:rPr>
  </w:style>
  <w:style w:type="paragraph" w:customStyle="1" w:styleId="55">
    <w:name w:val="正文文本 31"/>
    <w:basedOn w:val="1"/>
    <w:autoRedefine/>
    <w:qFormat/>
    <w:uiPriority w:val="0"/>
    <w:rPr>
      <w:sz w:val="16"/>
      <w:szCs w:val="16"/>
    </w:rPr>
  </w:style>
  <w:style w:type="paragraph" w:customStyle="1" w:styleId="56">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57">
    <w:name w:val="EP投标正文"/>
    <w:basedOn w:val="1"/>
    <w:autoRedefine/>
    <w:qFormat/>
    <w:uiPriority w:val="0"/>
    <w:pPr>
      <w:spacing w:before="120" w:after="120" w:line="360" w:lineRule="auto"/>
      <w:ind w:firstLine="425" w:firstLineChars="177"/>
    </w:pPr>
    <w:rPr>
      <w:rFonts w:ascii="Calibri" w:hAnsi="Calibri" w:cs="Times New Roman"/>
    </w:rPr>
  </w:style>
  <w:style w:type="paragraph" w:customStyle="1" w:styleId="58">
    <w:name w:val="DAS正文"/>
    <w:basedOn w:val="1"/>
    <w:autoRedefine/>
    <w:qFormat/>
    <w:uiPriority w:val="0"/>
    <w:pPr>
      <w:spacing w:line="360" w:lineRule="auto"/>
      <w:ind w:right="181" w:firstLine="480"/>
    </w:pPr>
    <w:rPr>
      <w:rFonts w:ascii="Verdana" w:hAnsi="Verdana"/>
    </w:rPr>
  </w:style>
  <w:style w:type="paragraph" w:customStyle="1" w:styleId="59">
    <w:name w:val="表格文字"/>
    <w:basedOn w:val="22"/>
    <w:next w:val="16"/>
    <w:autoRedefine/>
    <w:qFormat/>
    <w:uiPriority w:val="0"/>
    <w:pPr>
      <w:adjustRightInd w:val="0"/>
      <w:spacing w:line="420" w:lineRule="atLeast"/>
      <w:jc w:val="left"/>
      <w:textAlignment w:val="baseline"/>
    </w:pPr>
    <w:rPr>
      <w:kern w:val="0"/>
    </w:rPr>
  </w:style>
  <w:style w:type="paragraph" w:styleId="60">
    <w:name w:val="No Spacing"/>
    <w:autoRedefine/>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61">
    <w:name w:val="标题 2 Char"/>
    <w:basedOn w:val="38"/>
    <w:autoRedefine/>
    <w:qFormat/>
    <w:uiPriority w:val="0"/>
    <w:rPr>
      <w:rFonts w:ascii="Arial" w:hAnsi="Arial" w:eastAsia="宋体" w:cs="宋体"/>
      <w:b/>
      <w:bCs/>
      <w:sz w:val="28"/>
      <w:szCs w:val="32"/>
    </w:rPr>
  </w:style>
  <w:style w:type="character" w:customStyle="1" w:styleId="62">
    <w:name w:val="正文文本 Char"/>
    <w:basedOn w:val="38"/>
    <w:link w:val="16"/>
    <w:autoRedefine/>
    <w:qFormat/>
    <w:uiPriority w:val="99"/>
    <w:rPr>
      <w:rFonts w:ascii="Calibri" w:hAnsi="Calibri" w:eastAsia="仿宋" w:cs="Times New Roman"/>
      <w:sz w:val="24"/>
    </w:rPr>
  </w:style>
  <w:style w:type="paragraph" w:customStyle="1" w:styleId="63">
    <w:name w:val="章正文"/>
    <w:basedOn w:val="1"/>
    <w:autoRedefine/>
    <w:qFormat/>
    <w:uiPriority w:val="0"/>
    <w:pPr>
      <w:spacing w:before="156" w:beforeLines="50" w:after="120" w:line="300" w:lineRule="auto"/>
      <w:ind w:firstLine="480"/>
    </w:pPr>
    <w:rPr>
      <w:rFonts w:ascii="Helvetica" w:hAnsi="Helvetica"/>
      <w:kern w:val="0"/>
    </w:rPr>
  </w:style>
  <w:style w:type="paragraph" w:customStyle="1" w:styleId="64">
    <w:name w:val="Char Char1 Char"/>
    <w:basedOn w:val="1"/>
    <w:autoRedefine/>
    <w:qFormat/>
    <w:uiPriority w:val="0"/>
  </w:style>
  <w:style w:type="character" w:customStyle="1" w:styleId="65">
    <w:name w:val="标题 3 Char"/>
    <w:autoRedefine/>
    <w:qFormat/>
    <w:uiPriority w:val="9"/>
    <w:rPr>
      <w:rFonts w:ascii="仿宋_GB2312" w:hAnsi="仿宋_GB2312" w:eastAsia="宋体" w:cs="宋体"/>
      <w:b/>
      <w:bCs/>
      <w:sz w:val="28"/>
      <w:szCs w:val="20"/>
    </w:rPr>
  </w:style>
  <w:style w:type="character" w:customStyle="1" w:styleId="66">
    <w:name w:val="标题 1 Char"/>
    <w:autoRedefine/>
    <w:qFormat/>
    <w:uiPriority w:val="99"/>
    <w:rPr>
      <w:rFonts w:ascii="Times New Roman" w:hAnsi="Times New Roman" w:eastAsia="宋体" w:cs="宋体"/>
      <w:b/>
      <w:sz w:val="36"/>
      <w:szCs w:val="20"/>
    </w:rPr>
  </w:style>
  <w:style w:type="paragraph" w:customStyle="1" w:styleId="67">
    <w:name w:val="普通(网站)1"/>
    <w:basedOn w:val="1"/>
    <w:autoRedefine/>
    <w:qFormat/>
    <w:uiPriority w:val="0"/>
    <w:pPr>
      <w:widowControl/>
      <w:spacing w:beforeAutospacing="1" w:afterAutospacing="1"/>
      <w:jc w:val="left"/>
    </w:pPr>
    <w:rPr>
      <w:rFonts w:ascii="宋体" w:hAnsi="宋体"/>
      <w:kern w:val="0"/>
      <w:szCs w:val="20"/>
    </w:rPr>
  </w:style>
  <w:style w:type="paragraph" w:customStyle="1" w:styleId="68">
    <w:name w:val="索引 11"/>
    <w:basedOn w:val="1"/>
    <w:next w:val="1"/>
    <w:autoRedefine/>
    <w:qFormat/>
    <w:uiPriority w:val="0"/>
    <w:pPr>
      <w:snapToGrid w:val="0"/>
    </w:pPr>
    <w:rPr>
      <w:szCs w:val="21"/>
    </w:rPr>
  </w:style>
  <w:style w:type="character" w:customStyle="1" w:styleId="69">
    <w:name w:val="large1"/>
    <w:autoRedefine/>
    <w:qFormat/>
    <w:uiPriority w:val="0"/>
    <w:rPr>
      <w:rFonts w:hint="eastAsia" w:ascii="宋体" w:hAnsi="宋体" w:eastAsia="宋体"/>
      <w:sz w:val="21"/>
      <w:szCs w:val="21"/>
    </w:rPr>
  </w:style>
  <w:style w:type="paragraph" w:customStyle="1" w:styleId="70">
    <w:name w:val="List Paragraph1"/>
    <w:basedOn w:val="1"/>
    <w:autoRedefine/>
    <w:qFormat/>
    <w:uiPriority w:val="0"/>
    <w:pPr>
      <w:widowControl/>
      <w:ind w:firstLine="420"/>
      <w:jc w:val="left"/>
    </w:pPr>
    <w:rPr>
      <w:rFonts w:ascii="Calibri" w:hAnsi="Calibri"/>
      <w:szCs w:val="22"/>
    </w:rPr>
  </w:style>
  <w:style w:type="paragraph" w:customStyle="1" w:styleId="71">
    <w:name w:val="Default"/>
    <w:next w:val="72"/>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目录 71"/>
    <w:next w:val="1"/>
    <w:autoRedefine/>
    <w:qFormat/>
    <w:uiPriority w:val="0"/>
    <w:pPr>
      <w:wordWrap w:val="0"/>
      <w:ind w:left="2550"/>
      <w:jc w:val="both"/>
    </w:pPr>
    <w:rPr>
      <w:rFonts w:ascii="Calibri" w:hAnsi="Calibri" w:eastAsia="宋体" w:cs="Times New Roman"/>
      <w:sz w:val="21"/>
      <w:szCs w:val="22"/>
      <w:lang w:val="en-US" w:eastAsia="zh-CN" w:bidi="ar-SA"/>
    </w:rPr>
  </w:style>
  <w:style w:type="paragraph" w:customStyle="1" w:styleId="73">
    <w:name w:val="无间隔1"/>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74">
    <w:name w:val="正文_17"/>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75">
    <w:name w:val="DG正文"/>
    <w:basedOn w:val="1"/>
    <w:autoRedefine/>
    <w:qFormat/>
    <w:uiPriority w:val="0"/>
    <w:pPr>
      <w:widowControl/>
      <w:spacing w:line="360" w:lineRule="auto"/>
      <w:ind w:right="142" w:firstLine="640"/>
      <w:jc w:val="left"/>
    </w:pPr>
    <w:rPr>
      <w:rFonts w:ascii="Calibri" w:hAnsi="Calibri" w:cs="Calibri"/>
    </w:rPr>
  </w:style>
  <w:style w:type="paragraph" w:customStyle="1" w:styleId="76">
    <w:name w:val="正文 A"/>
    <w:autoRedefine/>
    <w:qFormat/>
    <w:uiPriority w:val="0"/>
    <w:rPr>
      <w:rFonts w:ascii="Times New Roman" w:hAnsi="Times New Roman" w:eastAsia="ヒラギノ角ゴ Pro W3" w:cs="Times New Roman"/>
      <w:color w:val="000000"/>
      <w:sz w:val="24"/>
      <w:szCs w:val="22"/>
      <w:lang w:val="en-US" w:eastAsia="zh-CN" w:bidi="ar-SA"/>
    </w:rPr>
  </w:style>
  <w:style w:type="character" w:customStyle="1" w:styleId="77">
    <w:name w:val="标题 2 Char1"/>
    <w:basedOn w:val="38"/>
    <w:link w:val="4"/>
    <w:autoRedefine/>
    <w:qFormat/>
    <w:uiPriority w:val="0"/>
    <w:rPr>
      <w:rFonts w:ascii="Arial" w:hAnsi="Arial" w:eastAsia="宋体"/>
      <w:bCs/>
      <w:kern w:val="2"/>
      <w:sz w:val="30"/>
      <w:szCs w:val="32"/>
      <w:lang w:val="en-US" w:eastAsia="zh-CN" w:bidi="ar-SA"/>
    </w:rPr>
  </w:style>
  <w:style w:type="paragraph" w:customStyle="1" w:styleId="78">
    <w:name w:val="Proposals body"/>
    <w:basedOn w:val="1"/>
    <w:next w:val="1"/>
    <w:autoRedefine/>
    <w:qFormat/>
    <w:uiPriority w:val="0"/>
    <w:pPr>
      <w:widowControl/>
      <w:spacing w:line="360" w:lineRule="auto"/>
      <w:jc w:val="left"/>
    </w:pPr>
    <w:rPr>
      <w:rFonts w:ascii="宋体" w:eastAsia="仿宋_GB2312"/>
      <w:snapToGrid w:val="0"/>
      <w:color w:val="000000"/>
      <w:kern w:val="0"/>
      <w:szCs w:val="20"/>
    </w:rPr>
  </w:style>
  <w:style w:type="paragraph" w:customStyle="1" w:styleId="79">
    <w:name w:val="列出段落1"/>
    <w:basedOn w:val="1"/>
    <w:autoRedefine/>
    <w:qFormat/>
    <w:uiPriority w:val="34"/>
    <w:pPr>
      <w:ind w:firstLine="420"/>
    </w:pPr>
  </w:style>
  <w:style w:type="paragraph" w:customStyle="1" w:styleId="80">
    <w:name w:val="L正文"/>
    <w:basedOn w:val="1"/>
    <w:autoRedefine/>
    <w:qFormat/>
    <w:uiPriority w:val="0"/>
    <w:pPr>
      <w:spacing w:afterLines="50" w:line="240" w:lineRule="auto"/>
      <w:ind w:left="160" w:leftChars="160"/>
    </w:pPr>
    <w:rPr>
      <w:rFonts w:cs="Times New Roman"/>
      <w:sz w:val="21"/>
    </w:rPr>
  </w:style>
  <w:style w:type="paragraph" w:customStyle="1" w:styleId="81">
    <w:name w:val="列出段落11"/>
    <w:basedOn w:val="1"/>
    <w:autoRedefine/>
    <w:qFormat/>
    <w:uiPriority w:val="34"/>
    <w:pPr>
      <w:spacing w:line="240" w:lineRule="auto"/>
      <w:ind w:firstLine="420"/>
    </w:pPr>
    <w:rPr>
      <w:sz w:val="21"/>
      <w:szCs w:val="21"/>
    </w:rPr>
  </w:style>
  <w:style w:type="paragraph" w:customStyle="1" w:styleId="82">
    <w:name w:val="Char"/>
    <w:basedOn w:val="1"/>
    <w:next w:val="1"/>
    <w:autoRedefine/>
    <w:qFormat/>
    <w:uiPriority w:val="0"/>
    <w:rPr>
      <w:rFonts w:ascii="Tahoma" w:hAnsi="Tahoma"/>
      <w:szCs w:val="20"/>
    </w:rPr>
  </w:style>
  <w:style w:type="character" w:customStyle="1" w:styleId="83">
    <w:name w:val="批注框文本 Char"/>
    <w:basedOn w:val="38"/>
    <w:link w:val="26"/>
    <w:autoRedefine/>
    <w:qFormat/>
    <w:uiPriority w:val="0"/>
    <w:rPr>
      <w:rFonts w:ascii="Times New Roman" w:hAnsi="Times New Roman" w:cs="宋体"/>
      <w:kern w:val="2"/>
      <w:sz w:val="18"/>
      <w:szCs w:val="18"/>
    </w:rPr>
  </w:style>
  <w:style w:type="character" w:customStyle="1" w:styleId="84">
    <w:name w:val="正文文本缩进 Char"/>
    <w:basedOn w:val="38"/>
    <w:link w:val="18"/>
    <w:autoRedefine/>
    <w:qFormat/>
    <w:uiPriority w:val="0"/>
    <w:rPr>
      <w:rFonts w:ascii="Times New Roman" w:hAnsi="Times New Roman" w:cs="宋体"/>
      <w:kern w:val="2"/>
      <w:sz w:val="24"/>
      <w:szCs w:val="24"/>
    </w:rPr>
  </w:style>
  <w:style w:type="character" w:customStyle="1" w:styleId="85">
    <w:name w:val="未命名4"/>
    <w:basedOn w:val="38"/>
    <w:autoRedefine/>
    <w:qFormat/>
    <w:uiPriority w:val="0"/>
  </w:style>
  <w:style w:type="paragraph" w:customStyle="1" w:styleId="86">
    <w:name w:val="reader-word-layer reader-word-s27-4"/>
    <w:basedOn w:val="1"/>
    <w:autoRedefine/>
    <w:qFormat/>
    <w:uiPriority w:val="99"/>
    <w:pPr>
      <w:widowControl/>
      <w:spacing w:before="100" w:beforeAutospacing="1" w:after="100" w:afterAutospacing="1" w:line="440" w:lineRule="exact"/>
      <w:ind w:firstLine="1040"/>
      <w:jc w:val="left"/>
    </w:pPr>
    <w:rPr>
      <w:rFonts w:ascii="宋体" w:hAnsi="宋体" w:eastAsia="微软雅黑"/>
      <w:kern w:val="0"/>
    </w:rPr>
  </w:style>
  <w:style w:type="character" w:customStyle="1" w:styleId="87">
    <w:name w:val="font81"/>
    <w:basedOn w:val="38"/>
    <w:autoRedefine/>
    <w:qFormat/>
    <w:uiPriority w:val="0"/>
    <w:rPr>
      <w:rFonts w:hint="default" w:ascii="Times New Roman" w:hAnsi="Times New Roman" w:cs="Times New Roman"/>
      <w:color w:val="000000"/>
      <w:sz w:val="24"/>
      <w:szCs w:val="24"/>
      <w:u w:val="none"/>
    </w:rPr>
  </w:style>
  <w:style w:type="paragraph" w:customStyle="1" w:styleId="88">
    <w:name w:val="WPSOffice手动目录 1"/>
    <w:autoRedefine/>
    <w:qFormat/>
    <w:uiPriority w:val="0"/>
    <w:rPr>
      <w:rFonts w:ascii="Times New Roman" w:hAnsi="Times New Roman" w:eastAsia="宋体" w:cs="Times New Roman"/>
      <w:lang w:val="en-US" w:eastAsia="zh-CN" w:bidi="ar-SA"/>
    </w:rPr>
  </w:style>
  <w:style w:type="paragraph" w:customStyle="1" w:styleId="89">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90">
    <w:name w:val="普通(网站)2"/>
    <w:basedOn w:val="1"/>
    <w:autoRedefine/>
    <w:qFormat/>
    <w:uiPriority w:val="0"/>
    <w:pPr>
      <w:widowControl/>
      <w:spacing w:before="100" w:beforeAutospacing="1" w:after="100" w:afterAutospacing="1"/>
      <w:jc w:val="left"/>
    </w:pPr>
    <w:rPr>
      <w:rFonts w:ascii="宋体" w:hAnsi="宋体"/>
      <w:kern w:val="0"/>
      <w:szCs w:val="20"/>
    </w:rPr>
  </w:style>
  <w:style w:type="paragraph" w:customStyle="1" w:styleId="91">
    <w:name w:val="保留正文"/>
    <w:basedOn w:val="16"/>
    <w:autoRedefine/>
    <w:qFormat/>
    <w:uiPriority w:val="0"/>
    <w:pPr>
      <w:keepNext/>
      <w:spacing w:after="160"/>
    </w:pPr>
    <w:rPr>
      <w:sz w:val="21"/>
    </w:rPr>
  </w:style>
  <w:style w:type="paragraph" w:customStyle="1" w:styleId="92">
    <w:name w:val="首行缩进"/>
    <w:basedOn w:val="1"/>
    <w:autoRedefine/>
    <w:qFormat/>
    <w:uiPriority w:val="0"/>
    <w:pPr>
      <w:spacing w:line="360" w:lineRule="auto"/>
      <w:ind w:firstLine="420"/>
    </w:pPr>
    <w:rPr>
      <w:rFonts w:ascii="宋体" w:hAnsi="宋体"/>
    </w:rPr>
  </w:style>
  <w:style w:type="character" w:customStyle="1" w:styleId="93">
    <w:name w:val="标题 3 Char1"/>
    <w:autoRedefine/>
    <w:qFormat/>
    <w:uiPriority w:val="9"/>
    <w:rPr>
      <w:rFonts w:ascii="仿宋_GB2312" w:hAnsi="仿宋_GB2312" w:eastAsia="仿宋" w:cs="Times New Roman"/>
      <w:b/>
      <w:bCs/>
      <w:sz w:val="24"/>
      <w:szCs w:val="20"/>
    </w:rPr>
  </w:style>
  <w:style w:type="paragraph" w:customStyle="1" w:styleId="94">
    <w:name w:val="BodyText1I"/>
    <w:basedOn w:val="95"/>
    <w:autoRedefine/>
    <w:qFormat/>
    <w:uiPriority w:val="0"/>
    <w:pPr>
      <w:spacing w:after="120"/>
      <w:ind w:firstLine="420"/>
    </w:pPr>
    <w:rPr>
      <w:rFonts w:ascii="仿宋_GB2312" w:hAnsi="Times New Roman" w:eastAsia="仿宋_GB2312"/>
      <w:sz w:val="28"/>
      <w:lang w:bidi="ar-SA"/>
    </w:rPr>
  </w:style>
  <w:style w:type="paragraph" w:customStyle="1" w:styleId="95">
    <w:name w:val="BodyText"/>
    <w:basedOn w:val="1"/>
    <w:autoRedefine/>
    <w:qFormat/>
    <w:uiPriority w:val="0"/>
    <w:pPr>
      <w:textAlignment w:val="baseline"/>
    </w:pPr>
    <w:rPr>
      <w:rFonts w:ascii="仿宋" w:hAnsi="仿宋" w:eastAsia="仿宋"/>
      <w:lang w:val="zh-CN" w:bidi="zh-CN"/>
    </w:rPr>
  </w:style>
  <w:style w:type="paragraph" w:customStyle="1" w:styleId="96">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97">
    <w:name w:val="font31"/>
    <w:basedOn w:val="38"/>
    <w:autoRedefine/>
    <w:qFormat/>
    <w:uiPriority w:val="0"/>
    <w:rPr>
      <w:rFonts w:hint="eastAsia" w:ascii="微软雅黑" w:hAnsi="微软雅黑" w:eastAsia="微软雅黑" w:cs="微软雅黑"/>
      <w:color w:val="000000"/>
      <w:sz w:val="22"/>
      <w:szCs w:val="22"/>
      <w:u w:val="none"/>
    </w:rPr>
  </w:style>
  <w:style w:type="character" w:customStyle="1" w:styleId="98">
    <w:name w:val="font71"/>
    <w:basedOn w:val="38"/>
    <w:autoRedefine/>
    <w:qFormat/>
    <w:uiPriority w:val="0"/>
    <w:rPr>
      <w:rFonts w:hint="eastAsia" w:ascii="微软雅黑" w:hAnsi="微软雅黑" w:eastAsia="微软雅黑" w:cs="微软雅黑"/>
      <w:color w:val="000000"/>
      <w:sz w:val="22"/>
      <w:szCs w:val="22"/>
      <w:u w:val="none"/>
      <w:vertAlign w:val="superscript"/>
    </w:rPr>
  </w:style>
  <w:style w:type="character" w:customStyle="1" w:styleId="99">
    <w:name w:val="font21"/>
    <w:basedOn w:val="38"/>
    <w:autoRedefine/>
    <w:qFormat/>
    <w:uiPriority w:val="0"/>
    <w:rPr>
      <w:rFonts w:hint="eastAsia" w:ascii="微软雅黑" w:hAnsi="微软雅黑" w:eastAsia="微软雅黑" w:cs="微软雅黑"/>
      <w:color w:val="000000"/>
      <w:sz w:val="22"/>
      <w:szCs w:val="22"/>
      <w:u w:val="none"/>
    </w:rPr>
  </w:style>
  <w:style w:type="character" w:customStyle="1" w:styleId="100">
    <w:name w:val="font61"/>
    <w:basedOn w:val="38"/>
    <w:autoRedefine/>
    <w:qFormat/>
    <w:uiPriority w:val="0"/>
    <w:rPr>
      <w:rFonts w:hint="eastAsia" w:ascii="微软雅黑" w:hAnsi="微软雅黑" w:eastAsia="微软雅黑" w:cs="微软雅黑"/>
      <w:color w:val="000000"/>
      <w:sz w:val="22"/>
      <w:szCs w:val="22"/>
      <w:u w:val="none"/>
      <w:vertAlign w:val="superscript"/>
    </w:rPr>
  </w:style>
  <w:style w:type="character" w:customStyle="1" w:styleId="101">
    <w:name w:val="font01"/>
    <w:basedOn w:val="38"/>
    <w:autoRedefine/>
    <w:qFormat/>
    <w:uiPriority w:val="0"/>
    <w:rPr>
      <w:rFonts w:hint="eastAsia" w:ascii="宋体" w:hAnsi="宋体" w:eastAsia="宋体" w:cs="宋体"/>
      <w:color w:val="000000"/>
      <w:sz w:val="22"/>
      <w:szCs w:val="22"/>
      <w:u w:val="none"/>
    </w:rPr>
  </w:style>
  <w:style w:type="paragraph" w:customStyle="1" w:styleId="102">
    <w:name w:val="p0"/>
    <w:basedOn w:val="1"/>
    <w:autoRedefine/>
    <w:qFormat/>
    <w:uiPriority w:val="0"/>
    <w:pPr>
      <w:widowControl/>
    </w:pPr>
    <w:rPr>
      <w:kern w:val="0"/>
      <w:szCs w:val="21"/>
    </w:rPr>
  </w:style>
  <w:style w:type="paragraph" w:customStyle="1" w:styleId="103">
    <w:name w:val="表头文字"/>
    <w:basedOn w:val="1"/>
    <w:autoRedefine/>
    <w:qFormat/>
    <w:uiPriority w:val="0"/>
    <w:pPr>
      <w:widowControl/>
      <w:jc w:val="left"/>
    </w:pPr>
    <w:rPr>
      <w:rFonts w:eastAsia="仿宋"/>
      <w:b/>
      <w:kern w:val="0"/>
      <w:szCs w:val="21"/>
    </w:rPr>
  </w:style>
  <w:style w:type="character" w:customStyle="1" w:styleId="104">
    <w:name w:val="font41"/>
    <w:basedOn w:val="38"/>
    <w:autoRedefine/>
    <w:qFormat/>
    <w:uiPriority w:val="0"/>
    <w:rPr>
      <w:rFonts w:hint="eastAsia" w:ascii="微软雅黑" w:hAnsi="微软雅黑" w:eastAsia="微软雅黑" w:cs="微软雅黑"/>
      <w:color w:val="000000"/>
      <w:sz w:val="20"/>
      <w:szCs w:val="20"/>
      <w:u w:val="none"/>
    </w:rPr>
  </w:style>
  <w:style w:type="character" w:customStyle="1" w:styleId="105">
    <w:name w:val="font111"/>
    <w:basedOn w:val="38"/>
    <w:autoRedefine/>
    <w:qFormat/>
    <w:uiPriority w:val="0"/>
    <w:rPr>
      <w:rFonts w:hint="eastAsia" w:ascii="微软雅黑" w:hAnsi="微软雅黑" w:eastAsia="微软雅黑" w:cs="微软雅黑"/>
      <w:color w:val="000000"/>
      <w:sz w:val="20"/>
      <w:szCs w:val="20"/>
      <w:u w:val="none"/>
      <w:vertAlign w:val="superscript"/>
    </w:rPr>
  </w:style>
  <w:style w:type="character" w:customStyle="1" w:styleId="106">
    <w:name w:val="font101"/>
    <w:basedOn w:val="38"/>
    <w:autoRedefine/>
    <w:qFormat/>
    <w:uiPriority w:val="0"/>
    <w:rPr>
      <w:rFonts w:hint="eastAsia" w:ascii="微软雅黑" w:hAnsi="微软雅黑" w:eastAsia="微软雅黑" w:cs="微软雅黑"/>
      <w:color w:val="000000"/>
      <w:sz w:val="20"/>
      <w:szCs w:val="20"/>
      <w:u w:val="none"/>
      <w:vertAlign w:val="superscript"/>
    </w:rPr>
  </w:style>
  <w:style w:type="character" w:customStyle="1" w:styleId="107">
    <w:name w:val="font122"/>
    <w:basedOn w:val="38"/>
    <w:autoRedefine/>
    <w:qFormat/>
    <w:uiPriority w:val="0"/>
    <w:rPr>
      <w:rFonts w:hint="eastAsia" w:ascii="宋体" w:hAnsi="宋体" w:eastAsia="宋体" w:cs="宋体"/>
      <w:b/>
      <w:bCs/>
      <w:color w:val="FF0000"/>
      <w:sz w:val="22"/>
      <w:szCs w:val="22"/>
      <w:u w:val="none"/>
    </w:rPr>
  </w:style>
  <w:style w:type="character" w:customStyle="1" w:styleId="108">
    <w:name w:val="font91"/>
    <w:basedOn w:val="38"/>
    <w:autoRedefine/>
    <w:qFormat/>
    <w:uiPriority w:val="0"/>
    <w:rPr>
      <w:rFonts w:hint="eastAsia" w:ascii="宋体" w:hAnsi="宋体" w:eastAsia="宋体" w:cs="宋体"/>
      <w:color w:val="000000"/>
      <w:sz w:val="22"/>
      <w:szCs w:val="22"/>
      <w:u w:val="none"/>
    </w:rPr>
  </w:style>
  <w:style w:type="character" w:customStyle="1" w:styleId="109">
    <w:name w:val="font51"/>
    <w:basedOn w:val="38"/>
    <w:autoRedefine/>
    <w:qFormat/>
    <w:uiPriority w:val="0"/>
    <w:rPr>
      <w:rFonts w:hint="eastAsia" w:ascii="微软雅黑" w:hAnsi="微软雅黑" w:eastAsia="微软雅黑" w:cs="微软雅黑"/>
      <w:color w:val="000000"/>
      <w:sz w:val="20"/>
      <w:szCs w:val="20"/>
      <w:u w:val="none"/>
      <w:vertAlign w:val="superscript"/>
    </w:rPr>
  </w:style>
  <w:style w:type="character" w:customStyle="1" w:styleId="110">
    <w:name w:val="font112"/>
    <w:basedOn w:val="38"/>
    <w:autoRedefine/>
    <w:qFormat/>
    <w:uiPriority w:val="0"/>
    <w:rPr>
      <w:rFonts w:hint="eastAsia" w:ascii="宋体" w:hAnsi="宋体" w:eastAsia="宋体" w:cs="宋体"/>
      <w:color w:val="000000"/>
      <w:sz w:val="24"/>
      <w:szCs w:val="24"/>
      <w:u w:val="none"/>
    </w:rPr>
  </w:style>
  <w:style w:type="paragraph" w:customStyle="1" w:styleId="111">
    <w:name w:val="No Spacing_7e509324-65a2-4ed7-bf10-9eaa9c0383f4"/>
    <w:autoRedefine/>
    <w:qFormat/>
    <w:uiPriority w:val="1"/>
    <w:rPr>
      <w:rFonts w:ascii="Times New Roman" w:hAnsi="Times New Roman" w:eastAsia="宋体" w:cs="Times New Roman"/>
      <w:sz w:val="22"/>
      <w:szCs w:val="22"/>
      <w:lang w:val="en-US" w:eastAsia="en-US" w:bidi="en-US"/>
    </w:rPr>
  </w:style>
  <w:style w:type="paragraph" w:customStyle="1" w:styleId="112">
    <w:name w:val="_Style 1"/>
    <w:basedOn w:val="1"/>
    <w:autoRedefine/>
    <w:qFormat/>
    <w:uiPriority w:val="0"/>
    <w:pPr>
      <w:widowControl/>
      <w:jc w:val="left"/>
    </w:pPr>
    <w:rPr>
      <w:rFonts w:ascii="Calibri" w:hAnsi="Calibri"/>
      <w:sz w:val="28"/>
      <w:szCs w:val="28"/>
    </w:rPr>
  </w:style>
  <w:style w:type="paragraph" w:customStyle="1" w:styleId="113">
    <w:name w:val="Table Paragraph"/>
    <w:basedOn w:val="1"/>
    <w:autoRedefine/>
    <w:qFormat/>
    <w:uiPriority w:val="99"/>
    <w:rPr>
      <w:rFonts w:ascii="宋体" w:hAnsi="宋体"/>
      <w:lang w:val="zh-CN"/>
    </w:rPr>
  </w:style>
  <w:style w:type="character" w:customStyle="1" w:styleId="114">
    <w:name w:val="NormalCharacter"/>
    <w:autoRedefine/>
    <w:qFormat/>
    <w:uiPriority w:val="0"/>
  </w:style>
  <w:style w:type="paragraph" w:customStyle="1" w:styleId="115">
    <w:name w:val="标准正文"/>
    <w:basedOn w:val="1"/>
    <w:autoRedefine/>
    <w:qFormat/>
    <w:uiPriority w:val="0"/>
    <w:pPr>
      <w:spacing w:line="360" w:lineRule="auto"/>
      <w:ind w:firstLine="200"/>
    </w:pPr>
    <w:rPr>
      <w:szCs w:val="20"/>
    </w:rPr>
  </w:style>
  <w:style w:type="character" w:customStyle="1" w:styleId="116">
    <w:name w:val="标题 1 Char1"/>
    <w:basedOn w:val="38"/>
    <w:link w:val="3"/>
    <w:autoRedefine/>
    <w:qFormat/>
    <w:uiPriority w:val="99"/>
    <w:rPr>
      <w:rFonts w:ascii="宋体" w:hAnsi="宋体" w:eastAsia="宋体" w:cs="宋体"/>
      <w:b/>
      <w:bCs/>
      <w:kern w:val="36"/>
      <w:sz w:val="48"/>
      <w:szCs w:val="48"/>
    </w:rPr>
  </w:style>
  <w:style w:type="paragraph" w:customStyle="1" w:styleId="117">
    <w:name w:val="正文文本缩进1"/>
    <w:basedOn w:val="1"/>
    <w:autoRedefine/>
    <w:qFormat/>
    <w:uiPriority w:val="0"/>
    <w:pPr>
      <w:spacing w:line="360" w:lineRule="auto"/>
      <w:ind w:firstLine="435"/>
    </w:pPr>
    <w:rPr>
      <w:sz w:val="28"/>
    </w:rPr>
  </w:style>
  <w:style w:type="character" w:customStyle="1" w:styleId="118">
    <w:name w:val="标题 3 Char2"/>
    <w:link w:val="5"/>
    <w:autoRedefine/>
    <w:qFormat/>
    <w:uiPriority w:val="9"/>
    <w:rPr>
      <w:rFonts w:ascii="仿宋_GB2312" w:hAnsi="仿宋_GB2312" w:eastAsia="仿宋" w:cs="Times New Roman"/>
      <w:b/>
      <w:bCs/>
      <w:sz w:val="24"/>
      <w:szCs w:val="20"/>
    </w:rPr>
  </w:style>
  <w:style w:type="paragraph" w:customStyle="1" w:styleId="119">
    <w:name w:val="修订1"/>
    <w:autoRedefine/>
    <w:hidden/>
    <w:semiHidden/>
    <w:qFormat/>
    <w:uiPriority w:val="99"/>
    <w:rPr>
      <w:rFonts w:ascii="Times New Roman" w:hAnsi="Times New Roman" w:eastAsia="宋体" w:cs="宋体"/>
      <w:kern w:val="2"/>
      <w:sz w:val="24"/>
      <w:szCs w:val="24"/>
      <w:lang w:val="en-US" w:eastAsia="zh-CN" w:bidi="ar-SA"/>
    </w:rPr>
  </w:style>
  <w:style w:type="character" w:customStyle="1" w:styleId="120">
    <w:name w:val="批注文字 Char"/>
    <w:basedOn w:val="38"/>
    <w:link w:val="14"/>
    <w:autoRedefine/>
    <w:qFormat/>
    <w:uiPriority w:val="0"/>
    <w:rPr>
      <w:rFonts w:cs="宋体"/>
      <w:kern w:val="2"/>
      <w:sz w:val="24"/>
      <w:szCs w:val="24"/>
    </w:rPr>
  </w:style>
  <w:style w:type="character" w:customStyle="1" w:styleId="121">
    <w:name w:val="批注主题 Char"/>
    <w:basedOn w:val="120"/>
    <w:link w:val="34"/>
    <w:autoRedefine/>
    <w:qFormat/>
    <w:uiPriority w:val="0"/>
    <w:rPr>
      <w:rFonts w:cs="宋体"/>
      <w:b/>
      <w:bCs/>
      <w:kern w:val="2"/>
      <w:sz w:val="24"/>
      <w:szCs w:val="24"/>
    </w:rPr>
  </w:style>
  <w:style w:type="paragraph" w:customStyle="1" w:styleId="122">
    <w:name w:val="[Normal]"/>
    <w:autoRedefine/>
    <w:qFormat/>
    <w:uiPriority w:val="0"/>
    <w:rPr>
      <w:rFonts w:ascii="宋体" w:hAnsi="宋体" w:eastAsia="宋体" w:cs="Times New Roman"/>
      <w:sz w:val="24"/>
      <w:szCs w:val="22"/>
      <w:lang w:val="zh-CN" w:eastAsia="zh-CN" w:bidi="ar-SA"/>
    </w:rPr>
  </w:style>
  <w:style w:type="character" w:customStyle="1" w:styleId="123">
    <w:name w:val="font121"/>
    <w:autoRedefine/>
    <w:qFormat/>
    <w:uiPriority w:val="0"/>
    <w:rPr>
      <w:rFonts w:hint="default" w:ascii="Times New Roman" w:hAnsi="Times New Roman" w:eastAsia="宋体" w:cs="Times New Roman"/>
      <w:color w:val="000000"/>
      <w:sz w:val="22"/>
      <w:szCs w:val="22"/>
      <w:u w:val="none"/>
    </w:rPr>
  </w:style>
  <w:style w:type="paragraph" w:customStyle="1" w:styleId="124">
    <w:name w:val="表格"/>
    <w:basedOn w:val="1"/>
    <w:autoRedefine/>
    <w:qFormat/>
    <w:uiPriority w:val="0"/>
    <w:pPr>
      <w:adjustRightInd w:val="0"/>
      <w:spacing w:line="240" w:lineRule="auto"/>
      <w:ind w:firstLine="0" w:firstLineChars="0"/>
    </w:pPr>
    <w:rPr>
      <w:rFonts w:hint="eastAsia" w:ascii="宋体" w:hAnsi="宋体"/>
      <w:bCs/>
    </w:rPr>
  </w:style>
  <w:style w:type="paragraph" w:customStyle="1" w:styleId="125">
    <w:name w:val="Body text|21"/>
    <w:basedOn w:val="1"/>
    <w:link w:val="127"/>
    <w:autoRedefine/>
    <w:qFormat/>
    <w:uiPriority w:val="0"/>
    <w:pPr>
      <w:shd w:val="clear" w:color="auto" w:fill="FFFFFF"/>
      <w:spacing w:after="240" w:line="200" w:lineRule="exact"/>
      <w:jc w:val="distribute"/>
    </w:pPr>
    <w:rPr>
      <w:rFonts w:ascii="PMingLiU_x0004_falt" w:hAnsi="PMingLiU_x0004_falt" w:eastAsia="PMingLiU_x0004_falt"/>
      <w:b/>
      <w:kern w:val="0"/>
      <w:sz w:val="20"/>
      <w:szCs w:val="20"/>
    </w:rPr>
  </w:style>
  <w:style w:type="character" w:customStyle="1" w:styleId="126">
    <w:name w:val="Body text|2"/>
    <w:basedOn w:val="127"/>
    <w:autoRedefine/>
    <w:qFormat/>
    <w:uiPriority w:val="0"/>
    <w:rPr>
      <w:rFonts w:ascii="PMingLiU_x0004_falt" w:hAnsi="PMingLiU_x0004_falt" w:eastAsia="PMingLiU_x0004_falt"/>
      <w:color w:val="000000"/>
      <w:spacing w:val="0"/>
      <w:w w:val="100"/>
      <w:kern w:val="0"/>
      <w:position w:val="0"/>
      <w:sz w:val="20"/>
      <w:szCs w:val="20"/>
      <w:lang w:val="zh-CN" w:eastAsia="zh-CN"/>
    </w:rPr>
  </w:style>
  <w:style w:type="character" w:customStyle="1" w:styleId="127">
    <w:name w:val="Body text|2_"/>
    <w:basedOn w:val="38"/>
    <w:link w:val="125"/>
    <w:autoRedefine/>
    <w:qFormat/>
    <w:uiPriority w:val="0"/>
    <w:rPr>
      <w:rFonts w:ascii="PMingLiU_x0004_falt" w:hAnsi="PMingLiU_x0004_falt" w:eastAsia="PMingLiU_x0004_falt"/>
      <w:b/>
      <w:kern w:val="0"/>
      <w:sz w:val="20"/>
      <w:szCs w:val="20"/>
    </w:rPr>
  </w:style>
  <w:style w:type="table" w:customStyle="1" w:styleId="128">
    <w:name w:val="Table Normal"/>
    <w:autoRedefine/>
    <w:semiHidden/>
    <w:unhideWhenUsed/>
    <w:qFormat/>
    <w:uiPriority w:val="0"/>
    <w:tblPr>
      <w:tblCellMar>
        <w:top w:w="0" w:type="dxa"/>
        <w:left w:w="0" w:type="dxa"/>
        <w:bottom w:w="0" w:type="dxa"/>
        <w:right w:w="0" w:type="dxa"/>
      </w:tblCellMar>
    </w:tblPr>
  </w:style>
  <w:style w:type="character" w:customStyle="1" w:styleId="129">
    <w:name w:val="无"/>
    <w:autoRedefine/>
    <w:qFormat/>
    <w:uiPriority w:val="0"/>
  </w:style>
  <w:style w:type="character" w:customStyle="1" w:styleId="130">
    <w:name w:val="15"/>
    <w:basedOn w:val="38"/>
    <w:autoRedefine/>
    <w:qFormat/>
    <w:uiPriority w:val="0"/>
    <w:rPr>
      <w:rFonts w:hint="default" w:ascii="Times New Roman" w:hAnsi="Times New Roman" w:cs="Times New Roman"/>
      <w:b/>
      <w:bCs/>
    </w:rPr>
  </w:style>
  <w:style w:type="paragraph" w:styleId="131">
    <w:name w:val="List Paragraph"/>
    <w:basedOn w:val="1"/>
    <w:autoRedefine/>
    <w:qFormat/>
    <w:uiPriority w:val="34"/>
    <w:pPr>
      <w:ind w:firstLine="420"/>
      <w:jc w:val="left"/>
    </w:pPr>
    <w:rPr>
      <w:rFonts w:ascii="宋体" w:hAnsi="宋体"/>
      <w:color w:val="000000"/>
      <w:szCs w:val="21"/>
    </w:rPr>
  </w:style>
  <w:style w:type="paragraph" w:customStyle="1" w:styleId="132">
    <w:name w:val="正文_1"/>
    <w:next w:val="133"/>
    <w:autoRedefine/>
    <w:qFormat/>
    <w:uiPriority w:val="1"/>
    <w:pPr>
      <w:jc w:val="both"/>
    </w:pPr>
    <w:rPr>
      <w:rFonts w:ascii="Times New Roman" w:hAnsi="Times New Roman" w:eastAsia="宋体" w:cs="Times New Roman"/>
      <w:sz w:val="21"/>
      <w:szCs w:val="21"/>
      <w:lang w:val="en-US" w:eastAsia="zh-CN" w:bidi="ar-SA"/>
    </w:rPr>
  </w:style>
  <w:style w:type="paragraph" w:customStyle="1" w:styleId="133">
    <w:name w:val="标题 2_1"/>
    <w:basedOn w:val="134"/>
    <w:next w:val="132"/>
    <w:autoRedefine/>
    <w:qFormat/>
    <w:uiPriority w:val="8"/>
    <w:pPr>
      <w:keepNext/>
      <w:keepLines/>
      <w:outlineLvl w:val="1"/>
    </w:pPr>
    <w:rPr>
      <w:rFonts w:ascii="Arial" w:hAnsi="Arial" w:eastAsia="Arial"/>
      <w:b/>
      <w:sz w:val="24"/>
      <w:szCs w:val="24"/>
    </w:rPr>
  </w:style>
  <w:style w:type="paragraph" w:customStyle="1" w:styleId="134">
    <w:name w:val="正文_5_0"/>
    <w:autoRedefine/>
    <w:qFormat/>
    <w:uiPriority w:val="1"/>
    <w:pPr>
      <w:jc w:val="both"/>
    </w:pPr>
    <w:rPr>
      <w:rFonts w:ascii="等线" w:hAnsi="等线" w:eastAsia="等线" w:cs="Times New Roman"/>
      <w:sz w:val="21"/>
      <w:szCs w:val="21"/>
      <w:lang w:val="en-US" w:eastAsia="zh-CN" w:bidi="ar-SA"/>
    </w:rPr>
  </w:style>
  <w:style w:type="paragraph" w:customStyle="1" w:styleId="135">
    <w:name w:val="正文_1_1"/>
    <w:next w:val="136"/>
    <w:autoRedefine/>
    <w:qFormat/>
    <w:uiPriority w:val="1"/>
    <w:pPr>
      <w:jc w:val="both"/>
    </w:pPr>
    <w:rPr>
      <w:rFonts w:ascii="Times New Roman" w:hAnsi="Times New Roman" w:eastAsia="宋体" w:cs="Times New Roman"/>
      <w:sz w:val="21"/>
      <w:szCs w:val="21"/>
      <w:lang w:val="en-US" w:eastAsia="zh-CN" w:bidi="ar-SA"/>
    </w:rPr>
  </w:style>
  <w:style w:type="paragraph" w:customStyle="1" w:styleId="136">
    <w:name w:val="正文首行缩进_1_0"/>
    <w:basedOn w:val="137"/>
    <w:next w:val="135"/>
    <w:autoRedefine/>
    <w:qFormat/>
    <w:uiPriority w:val="0"/>
    <w:pPr>
      <w:ind w:firstLine="420"/>
    </w:pPr>
  </w:style>
  <w:style w:type="paragraph" w:customStyle="1" w:styleId="137">
    <w:name w:val="正文文本_1_0"/>
    <w:basedOn w:val="138"/>
    <w:next w:val="136"/>
    <w:autoRedefine/>
    <w:unhideWhenUsed/>
    <w:qFormat/>
    <w:uiPriority w:val="0"/>
    <w:pPr>
      <w:spacing w:after="120"/>
    </w:pPr>
    <w:rPr>
      <w:sz w:val="20"/>
    </w:rPr>
  </w:style>
  <w:style w:type="paragraph" w:customStyle="1" w:styleId="138">
    <w:name w:val="正文_1_0"/>
    <w:next w:val="137"/>
    <w:autoRedefine/>
    <w:qFormat/>
    <w:uiPriority w:val="1"/>
    <w:pPr>
      <w:jc w:val="both"/>
    </w:pPr>
    <w:rPr>
      <w:rFonts w:ascii="Times New Roman" w:hAnsi="Times New Roman" w:eastAsia="宋体" w:cs="Times New Roman"/>
      <w:sz w:val="21"/>
      <w:szCs w:val="21"/>
      <w:lang w:val="en-US" w:eastAsia="zh-CN" w:bidi="ar-SA"/>
    </w:rPr>
  </w:style>
  <w:style w:type="paragraph" w:customStyle="1" w:styleId="139">
    <w:name w:val="列表段落1"/>
    <w:basedOn w:val="1"/>
    <w:autoRedefine/>
    <w:qFormat/>
    <w:uiPriority w:val="34"/>
    <w:pPr>
      <w:ind w:firstLine="420"/>
    </w:pPr>
    <w:rPr>
      <w:rFonts w:ascii="Calibri" w:hAnsi="Calibri" w:cs="Times New Roman"/>
    </w:rPr>
  </w:style>
  <w:style w:type="paragraph" w:customStyle="1" w:styleId="140">
    <w:name w:val="正文段"/>
    <w:basedOn w:val="1"/>
    <w:autoRedefine/>
    <w:qFormat/>
    <w:uiPriority w:val="99"/>
    <w:pPr>
      <w:widowControl/>
      <w:snapToGrid w:val="0"/>
      <w:spacing w:afterLines="50"/>
      <w:ind w:firstLine="200" w:firstLineChars="200"/>
    </w:pPr>
    <w:rPr>
      <w:kern w:val="0"/>
      <w:sz w:val="24"/>
      <w:szCs w:val="24"/>
    </w:rPr>
  </w:style>
  <w:style w:type="paragraph" w:customStyle="1" w:styleId="141">
    <w:name w:val="Plain Text"/>
    <w:basedOn w:val="1"/>
    <w:next w:val="1"/>
    <w:autoRedefine/>
    <w:qFormat/>
    <w:uiPriority w:val="0"/>
    <w:pPr>
      <w:spacing w:before="156" w:beforeLines="50" w:after="156" w:afterLines="50" w:line="400" w:lineRule="exact"/>
    </w:pPr>
    <w:rPr>
      <w:rFonts w:ascii="宋体" w:hAnsi="Courier New" w:eastAsia="宋体" w:cs="Times New Roman"/>
      <w:kern w:val="2"/>
      <w:sz w:val="24"/>
      <w:lang w:val="en-US" w:eastAsia="zh-CN"/>
    </w:rPr>
  </w:style>
  <w:style w:type="paragraph" w:customStyle="1" w:styleId="142">
    <w:name w:val="pa-1"/>
    <w:basedOn w:val="1"/>
    <w:autoRedefine/>
    <w:qFormat/>
    <w:uiPriority w:val="99"/>
    <w:pPr>
      <w:widowControl/>
      <w:spacing w:line="320" w:lineRule="atLeast"/>
      <w:ind w:firstLine="560"/>
    </w:pPr>
    <w:rPr>
      <w:rFonts w:ascii="宋体" w:hAnsi="宋体" w:cs="宋体"/>
      <w:kern w:val="0"/>
      <w:sz w:val="24"/>
    </w:rPr>
  </w:style>
  <w:style w:type="character" w:customStyle="1" w:styleId="143">
    <w:name w:val="标题 1 字符"/>
    <w:basedOn w:val="38"/>
    <w:link w:val="3"/>
    <w:autoRedefine/>
    <w:qFormat/>
    <w:locked/>
    <w:uiPriority w:val="99"/>
    <w:rPr>
      <w:rFonts w:ascii="宋体" w:hAnsi="宋体" w:eastAsia="宋体" w:cs="宋体"/>
      <w:b/>
      <w:bCs/>
      <w:kern w:val="36"/>
      <w:sz w:val="48"/>
      <w:szCs w:val="48"/>
    </w:rPr>
  </w:style>
  <w:style w:type="character" w:customStyle="1" w:styleId="144">
    <w:name w:val="font11"/>
    <w:basedOn w:val="38"/>
    <w:autoRedefine/>
    <w:qFormat/>
    <w:uiPriority w:val="0"/>
    <w:rPr>
      <w:rFonts w:hint="eastAsia" w:ascii="宋体" w:hAnsi="宋体" w:eastAsia="宋体" w:cs="宋体"/>
      <w:color w:val="000000"/>
      <w:sz w:val="24"/>
      <w:szCs w:val="24"/>
      <w:u w:val="none"/>
    </w:rPr>
  </w:style>
  <w:style w:type="table" w:customStyle="1" w:styleId="145">
    <w:name w:val="无格式表格 11"/>
    <w:basedOn w:val="36"/>
    <w:autoRedefine/>
    <w:qFormat/>
    <w:uiPriority w:val="41"/>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paragraph" w:customStyle="1" w:styleId="146">
    <w:name w:val="Body text|1"/>
    <w:basedOn w:val="1"/>
    <w:autoRedefine/>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paragraph" w:customStyle="1" w:styleId="147">
    <w:name w:val="Body text|5"/>
    <w:basedOn w:val="1"/>
    <w:autoRedefine/>
    <w:qFormat/>
    <w:uiPriority w:val="0"/>
    <w:pPr>
      <w:widowControl w:val="0"/>
      <w:shd w:val="clear" w:color="auto" w:fill="auto"/>
      <w:ind w:hanging="1640"/>
    </w:pPr>
    <w:rPr>
      <w:rFonts w:ascii="宋体" w:hAnsi="宋体" w:eastAsia="宋体" w:cs="宋体"/>
      <w:sz w:val="22"/>
      <w:szCs w:val="22"/>
      <w:u w:val="single"/>
      <w:shd w:val="clear" w:color="auto" w:fill="auto"/>
      <w:lang w:val="zh-CN"/>
    </w:rPr>
  </w:style>
  <w:style w:type="paragraph" w:customStyle="1" w:styleId="148">
    <w:name w:val="Body text|3"/>
    <w:basedOn w:val="1"/>
    <w:autoRedefine/>
    <w:qFormat/>
    <w:uiPriority w:val="0"/>
    <w:pPr>
      <w:widowControl w:val="0"/>
      <w:shd w:val="clear" w:color="auto" w:fill="auto"/>
    </w:pPr>
    <w:rPr>
      <w:rFonts w:ascii="宋体" w:hAnsi="宋体" w:eastAsia="宋体" w:cs="宋体"/>
      <w:sz w:val="17"/>
      <w:szCs w:val="17"/>
      <w:u w:val="none"/>
      <w:shd w:val="clear" w:color="auto" w:fill="auto"/>
      <w:lang w:val="zh-TW" w:eastAsia="zh-TW" w:bidi="zh-TW"/>
    </w:rPr>
  </w:style>
  <w:style w:type="paragraph" w:customStyle="1" w:styleId="149">
    <w:name w:val="pa-3"/>
    <w:basedOn w:val="1"/>
    <w:autoRedefine/>
    <w:qFormat/>
    <w:uiPriority w:val="99"/>
    <w:pPr>
      <w:widowControl/>
      <w:spacing w:before="100" w:beforeAutospacing="1" w:after="100" w:afterAutospacing="1"/>
      <w:jc w:val="left"/>
    </w:pPr>
    <w:rPr>
      <w:rFonts w:ascii="宋体" w:hAnsi="宋体"/>
      <w:kern w:val="0"/>
    </w:rPr>
  </w:style>
  <w:style w:type="character" w:customStyle="1" w:styleId="150">
    <w:name w:val="16"/>
    <w:basedOn w:val="38"/>
    <w:autoRedefine/>
    <w:qFormat/>
    <w:uiPriority w:val="0"/>
    <w:rPr>
      <w:rFonts w:hint="default" w:ascii="Times New Roman" w:hAnsi="Times New Roman" w:cs="Times New Roman"/>
    </w:rPr>
  </w:style>
  <w:style w:type="paragraph" w:customStyle="1" w:styleId="151">
    <w:name w:val="普通(网站)_0"/>
    <w:autoRedefine/>
    <w:qFormat/>
    <w:uiPriority w:val="0"/>
    <w:pPr>
      <w:widowControl/>
      <w:spacing w:before="100" w:beforeAutospacing="1" w:after="100" w:afterAutospacing="1"/>
      <w:jc w:val="left"/>
    </w:pPr>
    <w:rPr>
      <w:rFonts w:ascii="宋体" w:hAnsi="Times New Roman" w:eastAsia="宋体" w:cs="Times New Roman"/>
      <w:kern w:val="0"/>
      <w:sz w:val="24"/>
      <w:szCs w:val="22"/>
      <w:lang w:val="en-US" w:eastAsia="zh-CN" w:bidi="ar-SA"/>
    </w:rPr>
  </w:style>
  <w:style w:type="paragraph" w:customStyle="1" w:styleId="152">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Heading1"/>
    <w:basedOn w:val="1"/>
    <w:next w:val="1"/>
    <w:autoRedefine/>
    <w:qFormat/>
    <w:uiPriority w:val="0"/>
    <w:pPr>
      <w:keepNext/>
      <w:keepLines/>
      <w:spacing w:before="340" w:after="330" w:line="576" w:lineRule="auto"/>
      <w:textAlignment w:val="baseline"/>
    </w:pPr>
    <w:rPr>
      <w:b/>
      <w:bCs/>
      <w:kern w:val="44"/>
      <w:sz w:val="44"/>
      <w:szCs w:val="44"/>
    </w:rPr>
  </w:style>
  <w:style w:type="paragraph" w:customStyle="1" w:styleId="154">
    <w:name w:val="表格格式"/>
    <w:basedOn w:val="1"/>
    <w:autoRedefine/>
    <w:qFormat/>
    <w:uiPriority w:val="0"/>
    <w:rPr>
      <w:rFonts w:ascii="宋体" w:hAnsi="宋体"/>
      <w:b/>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footer" Target="footer3.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8B369-E77D-4FFD-A15F-692970A73E2A}">
  <ds:schemaRefs/>
</ds:datastoreItem>
</file>

<file path=docProps/app.xml><?xml version="1.0" encoding="utf-8"?>
<Properties xmlns="http://schemas.openxmlformats.org/officeDocument/2006/extended-properties" xmlns:vt="http://schemas.openxmlformats.org/officeDocument/2006/docPropsVTypes">
  <Template>Normal</Template>
  <Pages>55</Pages>
  <Words>31702</Words>
  <Characters>34339</Characters>
  <Lines>1</Lines>
  <Paragraphs>1</Paragraphs>
  <TotalTime>62</TotalTime>
  <ScaleCrop>false</ScaleCrop>
  <LinksUpToDate>false</LinksUpToDate>
  <CharactersWithSpaces>36551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2019-07-09T11:14:00Z</dcterms:created>
  <dc:creator>宇正-王</dc:creator>
  <cp:lastModifiedBy>Administrator</cp:lastModifiedBy>
  <cp:lastPrinted>2023-02-28T05:49:00Z</cp:lastPrinted>
  <dcterms:modified xsi:type="dcterms:W3CDTF">2024-07-01T02:28:15Z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593B101F8D504435B61BCBBB196DD038_13</vt:lpwstr>
  </property>
</Properties>
</file>