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val="0"/>
        <w:bidi w:val="0"/>
        <w:adjustRightInd/>
        <w:snapToGrid/>
        <w:spacing w:line="240" w:lineRule="auto"/>
        <w:jc w:val="left"/>
        <w:textAlignment w:val="auto"/>
        <w:rPr>
          <w:rFonts w:hint="eastAsia" w:ascii="仿宋" w:hAnsi="仿宋" w:eastAsia="仿宋" w:cs="仿宋"/>
          <w:b/>
          <w:bCs/>
          <w:sz w:val="24"/>
          <w:szCs w:val="24"/>
          <w:lang w:val="en-US" w:eastAsia="zh-CN"/>
        </w:rPr>
      </w:pPr>
    </w:p>
    <w:p>
      <w:pPr>
        <w:keepNext w:val="0"/>
        <w:keepLines w:val="0"/>
        <w:pageBreakBefore w:val="0"/>
        <w:widowControl w:val="0"/>
        <w:kinsoku/>
        <w:overflowPunct/>
        <w:topLinePunct w:val="0"/>
        <w:autoSpaceDE/>
        <w:autoSpaceDN w:val="0"/>
        <w:bidi w:val="0"/>
        <w:adjustRightInd/>
        <w:snapToGrid/>
        <w:spacing w:line="24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滨江区污水第二通道长河泵站出水管下穿沪昆绕行线工程</w:t>
      </w:r>
    </w:p>
    <w:p>
      <w:pPr>
        <w:keepNext w:val="0"/>
        <w:keepLines w:val="0"/>
        <w:pageBreakBefore w:val="0"/>
        <w:widowControl w:val="0"/>
        <w:kinsoku/>
        <w:overflowPunct/>
        <w:topLinePunct w:val="0"/>
        <w:autoSpaceDE/>
        <w:autoSpaceDN w:val="0"/>
        <w:bidi w:val="0"/>
        <w:adjustRightInd/>
        <w:snapToGrid/>
        <w:spacing w:line="24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涉铁工程测量、物探、航拍及地质勘察调查服务</w:t>
      </w:r>
      <w:r>
        <w:rPr>
          <w:rFonts w:hint="eastAsia" w:ascii="仿宋" w:hAnsi="仿宋" w:eastAsia="仿宋" w:cs="仿宋"/>
          <w:b/>
          <w:bCs/>
          <w:sz w:val="30"/>
          <w:szCs w:val="30"/>
          <w:lang w:val="en-US"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-466725</wp:posOffset>
            </wp:positionV>
            <wp:extent cx="5419090" cy="476250"/>
            <wp:effectExtent l="0" t="0" r="10160" b="0"/>
            <wp:wrapTopAndBottom/>
            <wp:docPr id="2" name="图片 3" descr="4066562001627887652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066562001627887652225.png"/>
                    <pic:cNvPicPr>
                      <a:picLocks noChangeAspect="1"/>
                    </pic:cNvPicPr>
                  </pic:nvPicPr>
                  <pic:blipFill>
                    <a:blip r:embed="rId4"/>
                    <a:stretch>
                      <a:fillRect/>
                    </a:stretch>
                  </pic:blipFill>
                  <pic:spPr>
                    <a:xfrm>
                      <a:off x="0" y="0"/>
                      <a:ext cx="5419090" cy="476250"/>
                    </a:xfrm>
                    <a:prstGeom prst="rect">
                      <a:avLst/>
                    </a:prstGeom>
                    <a:noFill/>
                    <a:ln>
                      <a:noFill/>
                    </a:ln>
                  </pic:spPr>
                </pic:pic>
              </a:graphicData>
            </a:graphic>
          </wp:anchor>
        </w:drawing>
      </w:r>
      <w:r>
        <w:rPr>
          <w:rFonts w:hint="eastAsia" w:ascii="仿宋" w:hAnsi="仿宋" w:eastAsia="仿宋" w:cs="仿宋"/>
          <w:b/>
          <w:bCs/>
          <w:sz w:val="30"/>
          <w:szCs w:val="30"/>
          <w:lang w:val="en-US" w:eastAsia="zh-CN"/>
        </w:rPr>
        <w:t>询</w:t>
      </w:r>
      <w:r>
        <w:rPr>
          <w:rFonts w:hint="eastAsia" w:ascii="仿宋" w:hAnsi="仿宋" w:eastAsia="仿宋" w:cs="仿宋"/>
          <w:b/>
          <w:bCs/>
          <w:sz w:val="30"/>
          <w:szCs w:val="30"/>
        </w:rPr>
        <w:t>价函</w:t>
      </w:r>
    </w:p>
    <w:p>
      <w:pPr>
        <w:keepNext w:val="0"/>
        <w:keepLines w:val="0"/>
        <w:pageBreakBefore w:val="0"/>
        <w:widowControl w:val="0"/>
        <w:kinsoku/>
        <w:overflowPunct/>
        <w:topLinePunct w:val="0"/>
        <w:autoSpaceDE/>
        <w:bidi w:val="0"/>
        <w:adjustRightInd/>
        <w:snapToGrid/>
        <w:spacing w:line="240" w:lineRule="auto"/>
        <w:ind w:right="-359" w:firstLine="360" w:firstLineChars="150"/>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bidi w:val="0"/>
        <w:adjustRightInd/>
        <w:snapToGrid/>
        <w:spacing w:line="240" w:lineRule="auto"/>
        <w:ind w:right="-359"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您好！根据我司采购需要，贵单位如符合下列要求，欢迎报价咨询。具体如下：</w:t>
      </w:r>
    </w:p>
    <w:p>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需  方：</w:t>
      </w:r>
      <w:r>
        <w:rPr>
          <w:rFonts w:hint="eastAsia" w:ascii="仿宋" w:hAnsi="仿宋" w:eastAsia="仿宋" w:cs="仿宋"/>
          <w:sz w:val="24"/>
          <w:szCs w:val="24"/>
          <w:u w:val="single"/>
          <w:lang w:val="en-US" w:eastAsia="zh-CN"/>
        </w:rPr>
        <w:t>杭州滨江水务有限公司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  方：</w:t>
      </w:r>
      <w:r>
        <w:rPr>
          <w:rFonts w:hint="eastAsia" w:ascii="仿宋" w:hAnsi="仿宋" w:eastAsia="仿宋" w:cs="仿宋"/>
          <w:sz w:val="24"/>
          <w:szCs w:val="24"/>
          <w:u w:val="single"/>
        </w:rPr>
        <w:t xml:space="preserve">                                </w:t>
      </w:r>
    </w:p>
    <w:p>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0571-56033675；13735528978</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  话：</w:t>
      </w:r>
      <w:r>
        <w:rPr>
          <w:rFonts w:hint="eastAsia" w:ascii="仿宋" w:hAnsi="仿宋" w:eastAsia="仿宋" w:cs="仿宋"/>
          <w:sz w:val="24"/>
          <w:szCs w:val="24"/>
          <w:u w:val="single"/>
        </w:rPr>
        <w:t xml:space="preserve">                             </w:t>
      </w:r>
    </w:p>
    <w:p>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经办人：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刘行知</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经办人：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pacing w:val="-20"/>
          <w:sz w:val="24"/>
          <w:szCs w:val="24"/>
          <w:u w:val="single"/>
          <w:lang w:val="en-US" w:eastAsia="zh-CN"/>
        </w:rPr>
        <w:t>杭州市滨江区火炬南路1699号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bidi w:val="0"/>
        <w:adjustRightInd/>
        <w:snapToGrid/>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一、供货产品的名称、品牌、规格、数量及价格：</w:t>
      </w:r>
    </w:p>
    <w:tbl>
      <w:tblPr>
        <w:tblStyle w:val="4"/>
        <w:tblpPr w:leftFromText="144" w:rightFromText="144" w:vertAnchor="text" w:horzAnchor="page" w:tblpX="1508" w:tblpY="243"/>
        <w:tblOverlap w:val="never"/>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330"/>
        <w:gridCol w:w="1380"/>
        <w:gridCol w:w="967"/>
        <w:gridCol w:w="1222"/>
        <w:gridCol w:w="176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3"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序号</w:t>
            </w:r>
          </w:p>
        </w:tc>
        <w:tc>
          <w:tcPr>
            <w:tcW w:w="2330"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品名</w:t>
            </w:r>
          </w:p>
        </w:tc>
        <w:tc>
          <w:tcPr>
            <w:tcW w:w="1380"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型号/规格</w:t>
            </w:r>
          </w:p>
        </w:tc>
        <w:tc>
          <w:tcPr>
            <w:tcW w:w="967"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数量</w:t>
            </w:r>
          </w:p>
        </w:tc>
        <w:tc>
          <w:tcPr>
            <w:tcW w:w="1222"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工程估算投资额（万元）</w:t>
            </w:r>
          </w:p>
        </w:tc>
        <w:tc>
          <w:tcPr>
            <w:tcW w:w="1765"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服务最高限价</w:t>
            </w:r>
            <w:r>
              <w:rPr>
                <w:rFonts w:hint="eastAsia" w:ascii="仿宋" w:hAnsi="仿宋" w:eastAsia="仿宋" w:cs="仿宋"/>
                <w:b w:val="0"/>
                <w:bCs w:val="0"/>
                <w:color w:val="000000"/>
                <w:sz w:val="24"/>
                <w:szCs w:val="24"/>
                <w:lang w:val="en-US" w:eastAsia="zh-CN"/>
              </w:rPr>
              <w:t>（万元）</w:t>
            </w:r>
          </w:p>
        </w:tc>
        <w:tc>
          <w:tcPr>
            <w:tcW w:w="1220"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3"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330" w:type="dxa"/>
            <w:noWrap w:val="0"/>
            <w:vAlign w:val="center"/>
          </w:tcPr>
          <w:p>
            <w:pPr>
              <w:keepNext w:val="0"/>
              <w:keepLines w:val="0"/>
              <w:pageBreakBefore w:val="0"/>
              <w:widowControl w:val="0"/>
              <w:kinsoku/>
              <w:overflowPunct/>
              <w:topLinePunct w:val="0"/>
              <w:autoSpaceDE/>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滨江区污水第二通道长河泵站出水管下穿沪昆绕行线工程涉铁工程测量、物探、航拍及地质勘察调查服务</w:t>
            </w:r>
          </w:p>
        </w:tc>
        <w:tc>
          <w:tcPr>
            <w:tcW w:w="1380"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67"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222"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2100</w:t>
            </w:r>
          </w:p>
        </w:tc>
        <w:tc>
          <w:tcPr>
            <w:tcW w:w="1765"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12.8570</w:t>
            </w:r>
          </w:p>
        </w:tc>
        <w:tc>
          <w:tcPr>
            <w:tcW w:w="1220" w:type="dxa"/>
            <w:noWrap w:val="0"/>
            <w:vAlign w:val="center"/>
          </w:tcPr>
          <w:p>
            <w:pPr>
              <w:keepNext w:val="0"/>
              <w:keepLines w:val="0"/>
              <w:pageBreakBefore w:val="0"/>
              <w:widowControl w:val="0"/>
              <w:kinsoku/>
              <w:overflowPunct/>
              <w:topLinePunct w:val="0"/>
              <w:autoSpaceDE/>
              <w:bidi w:val="0"/>
              <w:adjustRightInd/>
              <w:snapToGrid/>
              <w:spacing w:line="240" w:lineRule="auto"/>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工作量及限价说明详见附件</w:t>
            </w:r>
          </w:p>
        </w:tc>
      </w:tr>
    </w:tbl>
    <w:p>
      <w:pPr>
        <w:keepNext w:val="0"/>
        <w:keepLines w:val="0"/>
        <w:pageBreakBefore w:val="0"/>
        <w:widowControl w:val="0"/>
        <w:numPr>
          <w:ilvl w:val="0"/>
          <w:numId w:val="0"/>
        </w:numPr>
        <w:kinsoku/>
        <w:overflowPunct/>
        <w:topLinePunct w:val="0"/>
        <w:autoSpaceDE/>
        <w:bidi w:val="0"/>
        <w:adjustRightInd/>
        <w:snapToGrid/>
        <w:spacing w:line="240" w:lineRule="auto"/>
        <w:ind w:right="-359" w:rightChars="0"/>
        <w:textAlignment w:val="auto"/>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120" w:firstLineChars="5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lang w:val="en-US" w:eastAsia="zh-CN"/>
        </w:rPr>
        <w:t>报价人资格要求：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营业执照复印件（经营范围中有工程勘察、工程测量或测绘等相关经营范围许可）。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工程勘察专业类（岩土工程（勘察））甲级及以上资质和测绘乙级及以上资质。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报价人未被列入失信被执行人名单、重大税收违法案件当事人名单、政府采购严重违法失信行为记录名单，信用信息以报价截止日信用中国网站（www.creditchina.gov.cn）、中国政府采购网（</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HYPERLINK "http://www.ccgp.gov.cn）公布为准"</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www.ccgp.gov.cn）公布为准</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p>
    <w:p>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120" w:firstLineChars="5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sz w:val="24"/>
          <w:szCs w:val="24"/>
          <w:lang w:val="en-US" w:eastAsia="zh-CN"/>
        </w:rPr>
        <w:t>报价所需资料：</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报价函</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法定代表人授权委托书（非法人适用）</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代表人身份证复印件</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lang w:val="en-US" w:eastAsia="zh-CN"/>
        </w:rPr>
        <w:t>营业执照复印件</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lang w:val="en-US" w:eastAsia="zh-CN"/>
        </w:rPr>
        <w:t>工程勘察专业类（岩土工程（勘察）、工程测量）甲级及以上资质和测绘乙级及以上资质复印件</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以上资料（需加盖公章）提供不全或未提供，作废标处理。</w:t>
      </w:r>
    </w:p>
    <w:p>
      <w:pPr>
        <w:pStyle w:val="2"/>
        <w:keepNext w:val="0"/>
        <w:keepLines w:val="0"/>
        <w:pageBreakBefore w:val="0"/>
        <w:widowControl w:val="0"/>
        <w:numPr>
          <w:ilvl w:val="0"/>
          <w:numId w:val="0"/>
        </w:numPr>
        <w:kinsoku/>
        <w:overflowPunct/>
        <w:topLinePunct w:val="0"/>
        <w:autoSpaceDE/>
        <w:bidi w:val="0"/>
        <w:adjustRightInd/>
        <w:snapToGrid/>
        <w:spacing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rPr>
        <w:t>质量要求：</w:t>
      </w:r>
      <w:r>
        <w:rPr>
          <w:rFonts w:hint="eastAsia" w:ascii="仿宋" w:hAnsi="仿宋" w:eastAsia="仿宋" w:cs="仿宋"/>
          <w:b w:val="0"/>
          <w:bCs w:val="0"/>
          <w:sz w:val="24"/>
          <w:szCs w:val="24"/>
        </w:rPr>
        <w:t>产品要求质量合格，符合</w:t>
      </w:r>
      <w:r>
        <w:rPr>
          <w:rFonts w:hint="eastAsia" w:ascii="仿宋" w:hAnsi="仿宋" w:eastAsia="仿宋" w:cs="仿宋"/>
          <w:b w:val="0"/>
          <w:bCs w:val="0"/>
          <w:sz w:val="24"/>
          <w:szCs w:val="24"/>
          <w:u w:val="single"/>
          <w:lang w:val="en-US" w:eastAsia="zh-CN"/>
        </w:rPr>
        <w:t>下穿铁路顶管工程可研方案编制、设计需要，进行铁路范围内工程测量、管线探测、航拍及地质勘察调查（要求于承接任务后两周内完成铁路保护范围内外业作业），成果符合涉铁工程方案设计、施工图设计需求</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使用要求</w:t>
      </w:r>
      <w:r>
        <w:rPr>
          <w:rFonts w:hint="eastAsia" w:ascii="仿宋" w:hAnsi="仿宋" w:eastAsia="仿宋" w:cs="仿宋"/>
          <w:b w:val="0"/>
          <w:bCs w:val="0"/>
          <w:sz w:val="24"/>
          <w:szCs w:val="24"/>
          <w:lang w:eastAsia="zh-CN"/>
        </w:rPr>
        <w:t>。</w:t>
      </w:r>
    </w:p>
    <w:p>
      <w:pPr>
        <w:pStyle w:val="2"/>
        <w:keepNext w:val="0"/>
        <w:keepLines w:val="0"/>
        <w:pageBreakBefore w:val="0"/>
        <w:widowControl w:val="0"/>
        <w:numPr>
          <w:ilvl w:val="0"/>
          <w:numId w:val="0"/>
        </w:numPr>
        <w:kinsoku/>
        <w:overflowPunct/>
        <w:topLinePunct w:val="0"/>
        <w:autoSpaceDE/>
        <w:bidi w:val="0"/>
        <w:adjustRightInd/>
        <w:snapToGrid/>
        <w:spacing w:line="24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kern w:val="2"/>
          <w:sz w:val="24"/>
          <w:szCs w:val="32"/>
          <w:lang w:val="en-US" w:eastAsia="zh-CN" w:bidi="ar-SA"/>
        </w:rPr>
        <w:t>1.</w:t>
      </w:r>
      <w:r>
        <w:rPr>
          <w:rFonts w:hint="eastAsia" w:ascii="仿宋" w:hAnsi="仿宋" w:eastAsia="仿宋" w:cs="仿宋"/>
          <w:sz w:val="24"/>
          <w:szCs w:val="32"/>
          <w:lang w:val="en-US" w:eastAsia="zh-CN"/>
        </w:rPr>
        <w:t>根据国家有关编制规范和标准编制，保证资料完整、真实准确、数据无误、图表清晰、结论有据、建议合理、便于使用和适宜长期保存，并应因地制宜，重点突出，有明确的工程针对性。成果报告符合甲方及相关职能部门要求。</w:t>
      </w:r>
    </w:p>
    <w:p>
      <w:pPr>
        <w:keepNext w:val="0"/>
        <w:keepLines w:val="0"/>
        <w:pageBreakBefore w:val="0"/>
        <w:widowControl w:val="0"/>
        <w:kinsoku/>
        <w:overflowPunct/>
        <w:topLinePunct w:val="0"/>
        <w:autoSpaceDE/>
        <w:bidi w:val="0"/>
        <w:adjustRightInd/>
        <w:snapToGrid/>
        <w:spacing w:line="240" w:lineRule="auto"/>
        <w:ind w:right="-359"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2.成果报告书纸质版10</w:t>
      </w:r>
      <w:bookmarkStart w:id="0" w:name="_GoBack"/>
      <w:bookmarkEnd w:id="0"/>
      <w:r>
        <w:rPr>
          <w:rFonts w:hint="eastAsia" w:ascii="仿宋" w:hAnsi="仿宋" w:eastAsia="仿宋" w:cs="仿宋"/>
          <w:sz w:val="24"/>
          <w:szCs w:val="32"/>
          <w:lang w:val="en-US" w:eastAsia="zh-CN"/>
        </w:rPr>
        <w:t>套，电子版2套</w:t>
      </w:r>
    </w:p>
    <w:p>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120" w:firstLineChars="5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五、</w:t>
      </w:r>
      <w:r>
        <w:rPr>
          <w:rFonts w:hint="eastAsia" w:ascii="仿宋" w:hAnsi="仿宋" w:eastAsia="仿宋" w:cs="仿宋"/>
          <w:b/>
          <w:bCs/>
          <w:sz w:val="24"/>
          <w:szCs w:val="24"/>
          <w:lang w:val="en-US" w:eastAsia="zh-CN"/>
        </w:rPr>
        <w:t>服务期及安全责任：</w:t>
      </w:r>
    </w:p>
    <w:p>
      <w:pPr>
        <w:keepNext w:val="0"/>
        <w:keepLines w:val="0"/>
        <w:pageBreakBefore w:val="0"/>
        <w:widowControl w:val="0"/>
        <w:kinsoku/>
        <w:overflowPunct/>
        <w:topLinePunct w:val="0"/>
        <w:autoSpaceDE/>
        <w:bidi w:val="0"/>
        <w:adjustRightInd/>
        <w:snapToGrid/>
        <w:spacing w:line="240" w:lineRule="auto"/>
        <w:ind w:right="-359"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1.服务期要求：合同签订后两周内完成铁路保护范围内外业作业。</w:t>
      </w:r>
    </w:p>
    <w:p>
      <w:pPr>
        <w:keepNext w:val="0"/>
        <w:keepLines w:val="0"/>
        <w:pageBreakBefore w:val="0"/>
        <w:widowControl w:val="0"/>
        <w:kinsoku/>
        <w:overflowPunct/>
        <w:topLinePunct w:val="0"/>
        <w:autoSpaceDE/>
        <w:bidi w:val="0"/>
        <w:adjustRightInd/>
        <w:snapToGrid/>
        <w:spacing w:line="240" w:lineRule="auto"/>
        <w:ind w:right="-359"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2.安全责任：乙方承担服务过程中投入的仪器设备的毁损、灭失等和发生人身伤亡事故等风险和安全责任，并承担一切经济损失和法律责任。</w:t>
      </w:r>
    </w:p>
    <w:p>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六、乙方义务 </w:t>
      </w:r>
    </w:p>
    <w:p>
      <w:pPr>
        <w:keepNext w:val="0"/>
        <w:keepLines w:val="0"/>
        <w:pageBreakBefore w:val="0"/>
        <w:widowControl w:val="0"/>
        <w:kinsoku/>
        <w:overflowPunct/>
        <w:topLinePunct w:val="0"/>
        <w:autoSpaceDE/>
        <w:bidi w:val="0"/>
        <w:adjustRightInd/>
        <w:snapToGrid/>
        <w:spacing w:line="240" w:lineRule="auto"/>
        <w:ind w:left="-274" w:leftChars="-114" w:right="-359" w:firstLine="840" w:firstLineChars="350"/>
        <w:textAlignment w:val="auto"/>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1.乙方工作中产生的沟通及协调费用自行解决。</w:t>
      </w:r>
    </w:p>
    <w:p>
      <w:pPr>
        <w:keepNext w:val="0"/>
        <w:keepLines w:val="0"/>
        <w:pageBreakBefore w:val="0"/>
        <w:widowControl w:val="0"/>
        <w:kinsoku/>
        <w:overflowPunct/>
        <w:topLinePunct w:val="0"/>
        <w:autoSpaceDE/>
        <w:bidi w:val="0"/>
        <w:adjustRightInd/>
        <w:snapToGrid/>
        <w:spacing w:line="240" w:lineRule="auto"/>
        <w:ind w:left="-274" w:leftChars="-114" w:right="-359" w:firstLine="840" w:firstLineChars="350"/>
        <w:textAlignment w:val="auto"/>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2.前期的铁路部门、电力部门、城管、交警、绿化审批等工作由乙方办理并承担费用。</w:t>
      </w:r>
    </w:p>
    <w:p>
      <w:pPr>
        <w:keepNext w:val="0"/>
        <w:keepLines w:val="0"/>
        <w:pageBreakBefore w:val="0"/>
        <w:widowControl w:val="0"/>
        <w:kinsoku/>
        <w:overflowPunct/>
        <w:topLinePunct w:val="0"/>
        <w:autoSpaceDE/>
        <w:bidi w:val="0"/>
        <w:adjustRightInd/>
        <w:snapToGrid/>
        <w:spacing w:line="240" w:lineRule="auto"/>
        <w:ind w:left="-274" w:leftChars="-114" w:right="-359" w:firstLine="840" w:firstLineChars="350"/>
        <w:textAlignment w:val="auto"/>
        <w:rPr>
          <w:rFonts w:hint="eastAsia" w:ascii="仿宋" w:hAnsi="仿宋" w:eastAsia="仿宋" w:cs="仿宋"/>
          <w:sz w:val="24"/>
          <w:szCs w:val="24"/>
        </w:rPr>
      </w:pPr>
      <w:r>
        <w:rPr>
          <w:rFonts w:hint="eastAsia" w:ascii="仿宋" w:hAnsi="仿宋" w:eastAsia="仿宋" w:cs="仿宋"/>
          <w:sz w:val="24"/>
          <w:szCs w:val="32"/>
          <w:lang w:val="en-US" w:eastAsia="zh-CN"/>
        </w:rPr>
        <w:t>3.若乙方提供报告不合格的，须返工并承担相应费用。</w:t>
      </w: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、结算方式与时间：</w:t>
      </w:r>
      <w:r>
        <w:rPr>
          <w:rFonts w:hint="eastAsia" w:ascii="仿宋" w:hAnsi="仿宋" w:eastAsia="仿宋" w:cs="仿宋"/>
          <w:kern w:val="2"/>
          <w:sz w:val="24"/>
          <w:szCs w:val="24"/>
          <w:lang w:val="en-US" w:eastAsia="zh-CN" w:bidi="ar-SA"/>
        </w:rPr>
        <w:t xml:space="preserve">合同签订后，完成涉铁工程范围内工程测量、管线探测、航拍及地质勘察调查，成果符合设计需求，支付服务服用的70%，涉铁工程施工图设计完成后，支付服务费尾款。 </w:t>
      </w:r>
    </w:p>
    <w:p>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sz w:val="24"/>
          <w:szCs w:val="32"/>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评标方法</w:t>
      </w:r>
      <w:r>
        <w:rPr>
          <w:rFonts w:hint="eastAsia" w:ascii="仿宋" w:hAnsi="仿宋" w:eastAsia="仿宋" w:cs="仿宋"/>
          <w:b/>
          <w:bCs/>
          <w:sz w:val="24"/>
          <w:szCs w:val="24"/>
        </w:rPr>
        <w:t>：</w:t>
      </w:r>
      <w:r>
        <w:rPr>
          <w:rFonts w:hint="eastAsia" w:ascii="仿宋" w:hAnsi="仿宋" w:eastAsia="仿宋" w:cs="仿宋"/>
          <w:b/>
          <w:bCs/>
          <w:sz w:val="24"/>
          <w:szCs w:val="32"/>
          <w:lang w:val="en-US" w:eastAsia="zh-CN"/>
        </w:rPr>
        <w:t>符合采购需求、质量和服务相等且报价最低原则确定供应商。但当有效报价单位中，最高报价和最低报价之间的差价小于等于5%时，将采用抽签的方式确定成交供应商。</w:t>
      </w:r>
      <w:r>
        <w:rPr>
          <w:rFonts w:hint="eastAsia" w:ascii="仿宋" w:hAnsi="仿宋" w:eastAsia="仿宋" w:cs="仿宋"/>
          <w:sz w:val="24"/>
          <w:szCs w:val="32"/>
          <w:lang w:val="en-US" w:eastAsia="zh-CN"/>
        </w:rPr>
        <w:t>此项目最高限价为12.8570万元，超出最高限价为无效报价。经评审后的有效报价函少于三家时，本次询价失败。</w:t>
      </w:r>
    </w:p>
    <w:p>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九、其他事项：</w:t>
      </w:r>
      <w:r>
        <w:rPr>
          <w:rFonts w:hint="eastAsia" w:ascii="仿宋" w:hAnsi="仿宋" w:eastAsia="仿宋" w:cs="仿宋"/>
          <w:b w:val="0"/>
          <w:bCs w:val="0"/>
          <w:sz w:val="24"/>
          <w:szCs w:val="24"/>
          <w:lang w:val="en-US" w:eastAsia="zh-CN"/>
        </w:rPr>
        <w:t>本项目采用含税价报价，如遇国家税费调整，总价不变。</w:t>
      </w:r>
      <w:r>
        <w:rPr>
          <w:rFonts w:hint="eastAsia" w:ascii="仿宋" w:hAnsi="仿宋" w:eastAsia="仿宋" w:cs="仿宋"/>
          <w:b w:val="0"/>
          <w:bCs w:val="0"/>
          <w:sz w:val="24"/>
          <w:szCs w:val="24"/>
          <w:u w:val="single"/>
          <w:lang w:val="en-US" w:eastAsia="zh-CN"/>
        </w:rPr>
        <w:t>请报价人将报价材料密封后于询价有效期内送达或邮寄至需求方联系人处。</w:t>
      </w:r>
    </w:p>
    <w:p>
      <w:pPr>
        <w:keepNext w:val="0"/>
        <w:keepLines w:val="0"/>
        <w:pageBreakBefore w:val="0"/>
        <w:widowControl w:val="0"/>
        <w:kinsoku/>
        <w:wordWrap w:val="0"/>
        <w:overflowPunct/>
        <w:topLinePunct w:val="0"/>
        <w:autoSpaceDE/>
        <w:bidi w:val="0"/>
        <w:adjustRightInd/>
        <w:snapToGrid/>
        <w:spacing w:line="240" w:lineRule="auto"/>
        <w:ind w:right="-359"/>
        <w:jc w:val="both"/>
        <w:textAlignment w:val="auto"/>
        <w:rPr>
          <w:rFonts w:hint="eastAsia" w:ascii="仿宋" w:hAnsi="仿宋" w:eastAsia="仿宋" w:cs="仿宋"/>
          <w:sz w:val="24"/>
          <w:szCs w:val="24"/>
        </w:rPr>
      </w:pPr>
    </w:p>
    <w:p>
      <w:pPr>
        <w:pStyle w:val="6"/>
        <w:rPr>
          <w:rFonts w:hint="eastAsia" w:ascii="仿宋" w:hAnsi="仿宋" w:eastAsia="仿宋" w:cs="仿宋"/>
          <w:sz w:val="24"/>
          <w:szCs w:val="24"/>
        </w:rPr>
      </w:pPr>
    </w:p>
    <w:p>
      <w:pPr>
        <w:pStyle w:val="6"/>
        <w:rPr>
          <w:rFonts w:hint="eastAsia" w:ascii="仿宋" w:hAnsi="仿宋" w:eastAsia="仿宋" w:cs="仿宋"/>
          <w:sz w:val="24"/>
          <w:szCs w:val="24"/>
        </w:rPr>
      </w:pPr>
    </w:p>
    <w:p>
      <w:pPr>
        <w:pStyle w:val="6"/>
        <w:jc w:val="right"/>
        <w:rPr>
          <w:rFonts w:hint="eastAsia" w:ascii="仿宋" w:hAnsi="仿宋" w:eastAsia="仿宋" w:cs="仿宋"/>
          <w:sz w:val="24"/>
          <w:szCs w:val="24"/>
        </w:rPr>
      </w:pPr>
    </w:p>
    <w:p>
      <w:pPr>
        <w:keepNext w:val="0"/>
        <w:keepLines w:val="0"/>
        <w:pageBreakBefore w:val="0"/>
        <w:widowControl w:val="0"/>
        <w:kinsoku/>
        <w:wordWrap w:val="0"/>
        <w:overflowPunct/>
        <w:topLinePunct w:val="0"/>
        <w:autoSpaceDE/>
        <w:bidi w:val="0"/>
        <w:adjustRightInd/>
        <w:snapToGrid/>
        <w:spacing w:line="240" w:lineRule="auto"/>
        <w:ind w:right="-359" w:firstLine="480" w:firstLineChars="200"/>
        <w:jc w:val="right"/>
        <w:textAlignment w:val="auto"/>
        <w:rPr>
          <w:rFonts w:hint="eastAsia" w:ascii="仿宋" w:hAnsi="仿宋" w:eastAsia="仿宋" w:cs="仿宋"/>
          <w:b/>
          <w:bCs/>
          <w:sz w:val="24"/>
          <w:szCs w:val="24"/>
          <w:u w:val="single"/>
          <w:lang w:val="en-US" w:eastAsia="zh-CN"/>
        </w:rPr>
      </w:pPr>
      <w:r>
        <w:rPr>
          <w:rFonts w:hint="eastAsia" w:ascii="仿宋" w:hAnsi="仿宋" w:eastAsia="仿宋" w:cs="仿宋"/>
          <w:sz w:val="24"/>
          <w:szCs w:val="24"/>
        </w:rPr>
        <w:t>询价有效期自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r>
        <w:rPr>
          <w:rFonts w:hint="eastAsia" w:ascii="仿宋" w:hAnsi="仿宋" w:eastAsia="仿宋" w:cs="仿宋"/>
          <w:sz w:val="24"/>
          <w:szCs w:val="24"/>
          <w:lang w:val="en-US" w:eastAsia="zh-CN"/>
        </w:rPr>
        <w:t>04</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r>
        <w:rPr>
          <w:rFonts w:hint="eastAsia" w:ascii="仿宋" w:hAnsi="仿宋" w:eastAsia="仿宋" w:cs="仿宋"/>
          <w:sz w:val="24"/>
          <w:szCs w:val="24"/>
          <w:lang w:val="en-US" w:eastAsia="zh-CN"/>
        </w:rPr>
        <w:t>06</w:t>
      </w:r>
      <w:r>
        <w:rPr>
          <w:rFonts w:hint="eastAsia" w:ascii="仿宋" w:hAnsi="仿宋" w:eastAsia="仿宋" w:cs="仿宋"/>
          <w:sz w:val="24"/>
          <w:szCs w:val="24"/>
        </w:rPr>
        <w:t>日</w:t>
      </w:r>
      <w:r>
        <w:rPr>
          <w:rFonts w:hint="eastAsia" w:ascii="仿宋" w:hAnsi="仿宋" w:eastAsia="仿宋" w:cs="仿宋"/>
          <w:sz w:val="24"/>
          <w:szCs w:val="24"/>
          <w:lang w:eastAsia="zh-CN"/>
        </w:rPr>
        <w:t>。</w:t>
      </w:r>
    </w:p>
    <w:p>
      <w:pPr>
        <w:pStyle w:val="2"/>
        <w:keepNext w:val="0"/>
        <w:keepLines w:val="0"/>
        <w:pageBreakBefore w:val="0"/>
        <w:widowControl w:val="0"/>
        <w:kinsoku/>
        <w:overflowPunct/>
        <w:topLinePunct w:val="0"/>
        <w:autoSpaceDE/>
        <w:bidi w:val="0"/>
        <w:adjustRightInd/>
        <w:snapToGrid/>
        <w:spacing w:line="240" w:lineRule="auto"/>
        <w:textAlignment w:val="auto"/>
        <w:rPr>
          <w:rFonts w:hint="eastAsia" w:ascii="仿宋" w:hAnsi="仿宋" w:eastAsia="仿宋" w:cs="仿宋"/>
          <w:sz w:val="24"/>
          <w:szCs w:val="24"/>
        </w:rPr>
      </w:pPr>
    </w:p>
    <w:p>
      <w:pPr>
        <w:pStyle w:val="2"/>
        <w:keepNext w:val="0"/>
        <w:keepLines w:val="0"/>
        <w:pageBreakBefore w:val="0"/>
        <w:widowControl w:val="0"/>
        <w:kinsoku/>
        <w:overflowPunct/>
        <w:topLinePunct w:val="0"/>
        <w:autoSpaceDE/>
        <w:bidi w:val="0"/>
        <w:adjustRightInd/>
        <w:snapToGrid/>
        <w:spacing w:line="240" w:lineRule="auto"/>
        <w:textAlignment w:val="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6"/>
        <w:rPr>
          <w:rFonts w:hint="eastAsia"/>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b/>
          <w:bCs/>
          <w:sz w:val="24"/>
          <w:szCs w:val="24"/>
          <w:lang w:val="en-US" w:eastAsia="zh-CN"/>
        </w:rPr>
      </w:pPr>
      <w:r>
        <w:rPr>
          <w:rFonts w:hint="eastAsia"/>
          <w:b/>
          <w:bCs/>
          <w:sz w:val="24"/>
          <w:szCs w:val="24"/>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sz w:val="32"/>
          <w:szCs w:val="32"/>
          <w:lang w:val="en-US" w:eastAsia="zh-CN"/>
        </w:rPr>
      </w:pPr>
      <w:r>
        <w:rPr>
          <w:rFonts w:hint="eastAsia"/>
          <w:sz w:val="32"/>
          <w:szCs w:val="32"/>
          <w:lang w:val="en-US" w:eastAsia="zh-CN"/>
        </w:rPr>
        <w:t>关于滨江区污水第二通道长河泵站出水管下穿沪昆绕行线工程涉铁工程</w:t>
      </w:r>
    </w:p>
    <w:p>
      <w:pPr>
        <w:pStyle w:val="2"/>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sz w:val="32"/>
          <w:szCs w:val="32"/>
          <w:lang w:val="en-US" w:eastAsia="zh-CN"/>
        </w:rPr>
      </w:pPr>
      <w:r>
        <w:rPr>
          <w:rFonts w:hint="eastAsia"/>
          <w:sz w:val="32"/>
          <w:szCs w:val="32"/>
          <w:lang w:val="en-US" w:eastAsia="zh-CN"/>
        </w:rPr>
        <w:t>测量、物探、航拍及地质勘察调查服务最高限价的情况说明</w:t>
      </w: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sz w:val="28"/>
          <w:szCs w:val="28"/>
          <w:lang w:val="en-US" w:eastAsia="zh-CN"/>
        </w:rPr>
      </w:pPr>
      <w:r>
        <w:rPr>
          <w:rFonts w:hint="eastAsia"/>
          <w:sz w:val="28"/>
          <w:szCs w:val="28"/>
          <w:lang w:val="en-US" w:eastAsia="zh-CN"/>
        </w:rPr>
        <w:t xml:space="preserve">        </w:t>
      </w:r>
      <w:r>
        <w:rPr>
          <w:rFonts w:hint="eastAsia"/>
          <w:b/>
          <w:bCs/>
          <w:sz w:val="28"/>
          <w:szCs w:val="28"/>
          <w:lang w:val="en-US" w:eastAsia="zh-CN"/>
        </w:rPr>
        <w:t>一、工程测量、物探、航拍服务费用：</w:t>
      </w:r>
      <w:r>
        <w:rPr>
          <w:rFonts w:hint="eastAsia"/>
          <w:sz w:val="28"/>
          <w:szCs w:val="28"/>
          <w:lang w:val="en-US" w:eastAsia="zh-CN"/>
        </w:rPr>
        <w:t>参照集团小型工程项目建设管理办法（试行），“测绘、探测及监测费等……合同价格以不高于费用定额的80%确定”。本次测量、物探、航拍服务费用按80%限价。</w:t>
      </w: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sz w:val="28"/>
          <w:szCs w:val="28"/>
          <w:lang w:val="en-US" w:eastAsia="zh-CN"/>
        </w:rPr>
      </w:pPr>
    </w:p>
    <w:tbl>
      <w:tblPr>
        <w:tblStyle w:val="4"/>
        <w:tblW w:w="13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1266"/>
        <w:gridCol w:w="2798"/>
        <w:gridCol w:w="758"/>
        <w:gridCol w:w="1139"/>
        <w:gridCol w:w="1520"/>
        <w:gridCol w:w="1266"/>
        <w:gridCol w:w="1530"/>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130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36"/>
                <w:szCs w:val="36"/>
                <w:u w:val="none"/>
                <w:lang w:val="en-US"/>
              </w:rPr>
            </w:pPr>
            <w:r>
              <w:rPr>
                <w:rFonts w:hint="eastAsia" w:ascii="黑体" w:hAnsi="宋体" w:eastAsia="黑体" w:cs="黑体"/>
                <w:i w:val="0"/>
                <w:iCs w:val="0"/>
                <w:color w:val="000000"/>
                <w:kern w:val="0"/>
                <w:sz w:val="36"/>
                <w:szCs w:val="36"/>
                <w:u w:val="none"/>
                <w:lang w:val="en-US" w:eastAsia="zh-CN" w:bidi="ar"/>
              </w:rPr>
              <w:t>工程测量及管线探测费最高限价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6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工程名称：滨江区污水第二通道长河泵站出水管下穿沪昆绕行线工程（涉铁工程）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仿宋_GB2312" w:cs="Calibri"/>
                <w:i w:val="0"/>
                <w:iCs w:val="0"/>
                <w:color w:val="000000"/>
                <w:sz w:val="22"/>
                <w:szCs w:val="22"/>
                <w:u w:val="none"/>
              </w:rPr>
            </w:pPr>
            <w:r>
              <w:rPr>
                <w:rStyle w:val="8"/>
                <w:lang w:val="en-US" w:eastAsia="zh-CN" w:bidi="ar"/>
              </w:rPr>
              <w:t>控制测量</w:t>
            </w:r>
            <w:r>
              <w:rPr>
                <w:rStyle w:val="9"/>
                <w:rFonts w:eastAsia="仿宋_GB2312"/>
                <w:lang w:val="en-US" w:eastAsia="zh-CN" w:bidi="ar"/>
              </w:rPr>
              <w:t>-GPS</w:t>
            </w:r>
            <w:r>
              <w:rPr>
                <w:rStyle w:val="8"/>
                <w:lang w:val="en-US" w:eastAsia="zh-CN" w:bidi="ar"/>
              </w:rPr>
              <w:t>（</w:t>
            </w:r>
            <w:r>
              <w:rPr>
                <w:rStyle w:val="9"/>
                <w:rFonts w:eastAsia="仿宋_GB2312"/>
                <w:lang w:val="en-US" w:eastAsia="zh-CN" w:bidi="ar"/>
              </w:rPr>
              <w:t>E</w:t>
            </w:r>
            <w:r>
              <w:rPr>
                <w:rStyle w:val="8"/>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11284.00</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按简单收费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仿宋_GB2312" w:cs="Calibri"/>
                <w:i w:val="0"/>
                <w:iCs w:val="0"/>
                <w:color w:val="000000"/>
                <w:sz w:val="22"/>
                <w:szCs w:val="22"/>
                <w:u w:val="none"/>
              </w:rPr>
            </w:pPr>
            <w:r>
              <w:rPr>
                <w:rStyle w:val="8"/>
                <w:lang w:val="en-US" w:eastAsia="zh-CN" w:bidi="ar"/>
              </w:rPr>
              <w:t>控制测量</w:t>
            </w:r>
            <w:r>
              <w:rPr>
                <w:rStyle w:val="9"/>
                <w:rFonts w:eastAsia="仿宋_GB2312"/>
                <w:lang w:val="en-US" w:eastAsia="zh-CN" w:bidi="ar"/>
              </w:rPr>
              <w:t>-</w:t>
            </w:r>
            <w:r>
              <w:rPr>
                <w:rStyle w:val="8"/>
                <w:lang w:val="en-US" w:eastAsia="zh-CN" w:bidi="ar"/>
              </w:rPr>
              <w:t>四等水准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440.00</w:t>
            </w: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地形图测量（</w:t>
            </w:r>
            <w:r>
              <w:rPr>
                <w:rStyle w:val="9"/>
                <w:rFonts w:eastAsia="宋体"/>
                <w:lang w:val="en-US" w:eastAsia="zh-CN" w:bidi="ar"/>
              </w:rPr>
              <w:t>1</w:t>
            </w:r>
            <w:r>
              <w:rPr>
                <w:rStyle w:val="8"/>
                <w:lang w:val="en-US" w:eastAsia="zh-CN" w:bidi="ar"/>
              </w:rPr>
              <w:t>：</w:t>
            </w:r>
            <w:r>
              <w:rPr>
                <w:rStyle w:val="9"/>
                <w:rFonts w:eastAsia="宋体"/>
                <w:lang w:val="en-US" w:eastAsia="zh-CN" w:bidi="ar"/>
              </w:rPr>
              <w:t>500</w:t>
            </w:r>
            <w:r>
              <w:rPr>
                <w:rStyle w:val="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km</w:t>
            </w:r>
            <w:r>
              <w:rPr>
                <w:rStyle w:val="1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23501.28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建筑群区复杂程度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工程物探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地下管线探测（盲探）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m</w:t>
            </w:r>
            <w:r>
              <w:rPr>
                <w:rStyle w:val="1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铁路管线、设备设施探测及调查，不含市政及管线精探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3760.00</w:t>
            </w: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航空摄影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路径航拍视频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218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工程测量、工程物探实物工作费（以上1～6项合计）：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73985.28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工程测量、工程物探技术工作费（实物工作费*22%）：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16276.76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以上二项费用合计，本工程测量探测费预算为：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90262.04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仿宋_GB2312"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本工程测量及管线探测费最终按预算80%折优惠限价为: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¥72,200.00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仿宋_GB2312"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23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1.本工程测量收费依据《工程勘察设计收费标准》(2002版)第2章“工程测量”第2节“地面测量”相关条文规定及市场行情综合编制；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2.控制测量平面按GNSS-E级，高程按联测附近等级水准点组成闭合路线考虑，地面测量复杂程度按简单；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3.测区位于铁路两侧，附加调整系数按建筑群区(2.0)、带状(1.3)、覆盖或隐蔽(1.5)、数字化测绘(1.5)，累计为3.3,复杂程度类别为复杂；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4.铁路设备调查，包括铁路架空线路、铁路地下管线、铁路轨道里程、桥涵净空、梁底标高，参照地下管线测量,复杂程度类别为复杂；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5.以上收费含工程物探费用（铁路沿线管线探测），</w:t>
            </w:r>
            <w:r>
              <w:rPr>
                <w:rFonts w:hint="eastAsia" w:ascii="宋体" w:hAnsi="宋体" w:eastAsia="宋体" w:cs="宋体"/>
                <w:b/>
                <w:bCs/>
                <w:i w:val="0"/>
                <w:iCs w:val="0"/>
                <w:color w:val="000000"/>
                <w:kern w:val="0"/>
                <w:sz w:val="20"/>
                <w:szCs w:val="20"/>
                <w:u w:val="none"/>
                <w:lang w:val="en-US" w:eastAsia="zh-CN" w:bidi="ar"/>
              </w:rPr>
              <w:t>含涉铁工程方案成果送审专家评审费</w:t>
            </w:r>
            <w:r>
              <w:rPr>
                <w:rFonts w:hint="eastAsia" w:ascii="宋体" w:hAnsi="宋体" w:eastAsia="宋体" w:cs="宋体"/>
                <w:i w:val="0"/>
                <w:iCs w:val="0"/>
                <w:color w:val="000000"/>
                <w:kern w:val="0"/>
                <w:sz w:val="20"/>
                <w:szCs w:val="20"/>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sz w:val="28"/>
          <w:szCs w:val="28"/>
          <w:lang w:val="en-US" w:eastAsia="zh-CN"/>
        </w:rPr>
      </w:pPr>
      <w:r>
        <w:rPr>
          <w:rFonts w:hint="eastAsia"/>
          <w:b/>
          <w:bCs/>
          <w:sz w:val="28"/>
          <w:szCs w:val="28"/>
          <w:lang w:val="en-US" w:eastAsia="zh-CN"/>
        </w:rPr>
        <w:t>二、涉铁工程地质勘察调查服务费用：</w:t>
      </w:r>
      <w:r>
        <w:rPr>
          <w:rFonts w:hint="eastAsia"/>
          <w:sz w:val="28"/>
          <w:szCs w:val="28"/>
          <w:lang w:val="en-US" w:eastAsia="zh-CN"/>
        </w:rPr>
        <w:t>按照《关于印发&lt;杭州高新区（滨江）国有投资小型建设工程项目承发包指导意见（试行）&gt;的通知》区住建[2019]46号文件，勘察服务费优惠幅度可参照《工程勘察设计收费标准》收费标准的50%及以上。本次涉铁工程地质勘察调查服务收费按40%限价。</w:t>
      </w:r>
    </w:p>
    <w:tbl>
      <w:tblPr>
        <w:tblStyle w:val="4"/>
        <w:tblW w:w="13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4429"/>
        <w:gridCol w:w="904"/>
        <w:gridCol w:w="904"/>
        <w:gridCol w:w="1345"/>
        <w:gridCol w:w="1492"/>
        <w:gridCol w:w="1492"/>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3124" w:type="dxa"/>
            <w:gridSpan w:val="8"/>
            <w:tcBorders>
              <w:top w:val="nil"/>
              <w:left w:val="nil"/>
              <w:bottom w:val="nil"/>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黑体" w:hAnsi="宋体" w:eastAsia="黑体" w:cs="黑体"/>
                <w:i w:val="0"/>
                <w:iCs w:val="0"/>
                <w:color w:val="000000"/>
                <w:sz w:val="36"/>
                <w:szCs w:val="36"/>
                <w:u w:val="none"/>
                <w:lang w:val="en-US"/>
              </w:rPr>
            </w:pPr>
            <w:r>
              <w:rPr>
                <w:rFonts w:hint="eastAsia" w:ascii="黑体" w:hAnsi="宋体" w:eastAsia="黑体" w:cs="黑体"/>
                <w:i w:val="0"/>
                <w:iCs w:val="0"/>
                <w:color w:val="000000"/>
                <w:kern w:val="0"/>
                <w:sz w:val="28"/>
                <w:szCs w:val="28"/>
                <w:u w:val="none"/>
                <w:lang w:val="en-US" w:eastAsia="zh-CN" w:bidi="ar"/>
              </w:rPr>
              <w:t>工程地质勘察调查服务最高限价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1312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r>
              <w:rPr>
                <w:rFonts w:hint="eastAsia" w:ascii="宋体" w:hAnsi="宋体" w:eastAsia="宋体" w:cs="宋体"/>
                <w:b/>
                <w:bCs/>
                <w:i w:val="0"/>
                <w:iCs w:val="0"/>
                <w:color w:val="000000"/>
                <w:kern w:val="0"/>
                <w:sz w:val="22"/>
                <w:szCs w:val="22"/>
                <w:u w:val="none"/>
                <w:lang w:val="en-US" w:eastAsia="zh-CN" w:bidi="ar"/>
              </w:rPr>
              <w:t>滨江区污水第二通道长河泵站出水管下穿沪昆绕行线工程（涉铁工程）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收费名目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附加系数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04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1"/>
                <w:lang w:val="en-US" w:eastAsia="zh-CN" w:bidi="ar"/>
              </w:rPr>
              <w:t>钻探费</w:t>
            </w:r>
            <w:r>
              <w:rPr>
                <w:rStyle w:val="12"/>
                <w:lang w:val="en-US" w:eastAsia="zh-CN" w:bidi="ar"/>
              </w:rPr>
              <w:t>(共5孔/200.0m)(跟管钻进/泥浆护壁附加调整系数1.5)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26685.00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原状土样          （D≤30m）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扰动样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  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原位测试费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标准贯入试验费    （D≤20m）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室内试验实物工作费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直剪试验（固结快剪）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三轴UU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有机质含量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水质分析（简分析）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工程地质勘察实物工作费（一～四项合计）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46363.00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工程地质勘察技术工作费（实物工作费五×120%）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55635.60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本工程地质勘察费用预算合计（五+六项合计）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101998.60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本工程勘察费按预算40%折优惠限价，优惠后的费用限定为: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其他辅助费用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勘探点测量放样及高程测量(含复测)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勘探点挖探及恢复费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泥浆、渣土外运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工程地质验槽费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设备调遣费（含转场）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以上八～九项费用合计: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本工程工程地质勘察费最高限价为: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¥56370.00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1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注：1、本工程勘察收费依据《工程勘察设计收费标准》（2002）版第3章“岩土工程勘察”第3.3节相关规定及市场行情综合计费；涉铁顶管工程按甲级岩土工程勘察等级考虑。</w:t>
            </w:r>
          </w:p>
        </w:tc>
      </w:tr>
    </w:tbl>
    <w:p>
      <w:pPr>
        <w:pStyle w:val="6"/>
        <w:rPr>
          <w:rFonts w:hint="eastAsia"/>
        </w:rPr>
      </w:pPr>
    </w:p>
    <w:sectPr>
      <w:pgSz w:w="16840" w:h="11900" w:orient="landscape"/>
      <w:pgMar w:top="1633" w:right="1327" w:bottom="1519" w:left="1213"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DVjYmNkMTNkY2VjZGNmOGQ1NDI3ZThmM2Y4ZWIifQ=="/>
  </w:docVars>
  <w:rsids>
    <w:rsidRoot w:val="00000000"/>
    <w:rsid w:val="00DE7F18"/>
    <w:rsid w:val="02561432"/>
    <w:rsid w:val="03455F4E"/>
    <w:rsid w:val="03BE02A5"/>
    <w:rsid w:val="044F0706"/>
    <w:rsid w:val="05B7136E"/>
    <w:rsid w:val="05EF03F3"/>
    <w:rsid w:val="09DC2D55"/>
    <w:rsid w:val="0AED49F2"/>
    <w:rsid w:val="0B1C3A38"/>
    <w:rsid w:val="0BE1433A"/>
    <w:rsid w:val="0C805EAD"/>
    <w:rsid w:val="0DBD4932"/>
    <w:rsid w:val="0F301177"/>
    <w:rsid w:val="0FFC4699"/>
    <w:rsid w:val="104220FC"/>
    <w:rsid w:val="126C4516"/>
    <w:rsid w:val="1337394A"/>
    <w:rsid w:val="16A36133"/>
    <w:rsid w:val="18883AF9"/>
    <w:rsid w:val="1A417FD7"/>
    <w:rsid w:val="1E4B1135"/>
    <w:rsid w:val="1FEA6329"/>
    <w:rsid w:val="21EA7F94"/>
    <w:rsid w:val="227A5C1D"/>
    <w:rsid w:val="236A6FE7"/>
    <w:rsid w:val="24622253"/>
    <w:rsid w:val="24BC729A"/>
    <w:rsid w:val="26695AE7"/>
    <w:rsid w:val="28C87AD6"/>
    <w:rsid w:val="2A0C6DEB"/>
    <w:rsid w:val="2C3047F6"/>
    <w:rsid w:val="2C697576"/>
    <w:rsid w:val="2CAA1694"/>
    <w:rsid w:val="2D19172E"/>
    <w:rsid w:val="300D229F"/>
    <w:rsid w:val="312A2CF9"/>
    <w:rsid w:val="3139650D"/>
    <w:rsid w:val="3699743B"/>
    <w:rsid w:val="36DB3EF8"/>
    <w:rsid w:val="37C7555A"/>
    <w:rsid w:val="3A8E07D6"/>
    <w:rsid w:val="3BE64ED1"/>
    <w:rsid w:val="3C32169A"/>
    <w:rsid w:val="3CD64F45"/>
    <w:rsid w:val="3DFC507A"/>
    <w:rsid w:val="3F716856"/>
    <w:rsid w:val="3FB724CD"/>
    <w:rsid w:val="42333E44"/>
    <w:rsid w:val="427E76A6"/>
    <w:rsid w:val="431B316F"/>
    <w:rsid w:val="43BF0B2A"/>
    <w:rsid w:val="46202BF1"/>
    <w:rsid w:val="464E5D40"/>
    <w:rsid w:val="46BC13D0"/>
    <w:rsid w:val="477A5376"/>
    <w:rsid w:val="48A1213D"/>
    <w:rsid w:val="49357359"/>
    <w:rsid w:val="4D4E6D7A"/>
    <w:rsid w:val="4EE134E6"/>
    <w:rsid w:val="506348EA"/>
    <w:rsid w:val="50F9483E"/>
    <w:rsid w:val="55584710"/>
    <w:rsid w:val="55721A09"/>
    <w:rsid w:val="575B4230"/>
    <w:rsid w:val="59C26261"/>
    <w:rsid w:val="5BE95812"/>
    <w:rsid w:val="5F3F0632"/>
    <w:rsid w:val="5FBE0B1C"/>
    <w:rsid w:val="60BC54EE"/>
    <w:rsid w:val="61776447"/>
    <w:rsid w:val="61F42D77"/>
    <w:rsid w:val="631606DB"/>
    <w:rsid w:val="631B10AE"/>
    <w:rsid w:val="637975D5"/>
    <w:rsid w:val="664A2A08"/>
    <w:rsid w:val="668E212E"/>
    <w:rsid w:val="66F151B9"/>
    <w:rsid w:val="68012F0F"/>
    <w:rsid w:val="6978309B"/>
    <w:rsid w:val="6AF21906"/>
    <w:rsid w:val="6CA125CA"/>
    <w:rsid w:val="6E005A16"/>
    <w:rsid w:val="73413CDF"/>
    <w:rsid w:val="74F86FE9"/>
    <w:rsid w:val="75093A8C"/>
    <w:rsid w:val="77D01D36"/>
    <w:rsid w:val="7C6D2989"/>
    <w:rsid w:val="7CA058E3"/>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黑体"/>
      <w:kern w:val="2"/>
      <w:sz w:val="24"/>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6">
    <w:name w:val="Body Text First Indent 2"/>
    <w:basedOn w:val="7"/>
    <w:qFormat/>
    <w:uiPriority w:val="0"/>
    <w:pPr>
      <w:spacing w:after="0" w:afterLines="0" w:line="480" w:lineRule="exact"/>
      <w:ind w:left="0" w:leftChars="0" w:firstLine="420" w:firstLineChars="200"/>
    </w:pPr>
    <w:rPr>
      <w:rFonts w:ascii="宋体" w:hAnsi="Courier New" w:cs="宋体"/>
      <w:spacing w:val="-4"/>
      <w:kern w:val="0"/>
      <w:sz w:val="24"/>
      <w:szCs w:val="21"/>
      <w:lang w:val="zh-CN" w:eastAsia="zh-CN"/>
    </w:rPr>
  </w:style>
  <w:style w:type="paragraph" w:customStyle="1" w:styleId="7">
    <w:name w:val="Body Text Indent"/>
    <w:basedOn w:val="1"/>
    <w:qFormat/>
    <w:uiPriority w:val="0"/>
    <w:pPr>
      <w:spacing w:after="120" w:afterLines="0"/>
      <w:ind w:left="420" w:leftChars="200"/>
    </w:pPr>
  </w:style>
  <w:style w:type="character" w:customStyle="1" w:styleId="8">
    <w:name w:val="font41"/>
    <w:basedOn w:val="5"/>
    <w:uiPriority w:val="0"/>
    <w:rPr>
      <w:rFonts w:hint="eastAsia" w:ascii="宋体" w:hAnsi="宋体" w:eastAsia="宋体" w:cs="宋体"/>
      <w:color w:val="000000"/>
      <w:sz w:val="22"/>
      <w:szCs w:val="22"/>
      <w:u w:val="none"/>
    </w:rPr>
  </w:style>
  <w:style w:type="character" w:customStyle="1" w:styleId="9">
    <w:name w:val="font51"/>
    <w:basedOn w:val="5"/>
    <w:uiPriority w:val="0"/>
    <w:rPr>
      <w:rFonts w:hint="default" w:ascii="Calibri" w:hAnsi="Calibri" w:cs="Calibri"/>
      <w:color w:val="000000"/>
      <w:sz w:val="22"/>
      <w:szCs w:val="22"/>
      <w:u w:val="none"/>
    </w:rPr>
  </w:style>
  <w:style w:type="character" w:customStyle="1" w:styleId="10">
    <w:name w:val="font121"/>
    <w:basedOn w:val="5"/>
    <w:uiPriority w:val="0"/>
    <w:rPr>
      <w:rFonts w:hint="eastAsia" w:ascii="宋体" w:hAnsi="宋体" w:eastAsia="宋体" w:cs="宋体"/>
      <w:color w:val="000000"/>
      <w:sz w:val="22"/>
      <w:szCs w:val="22"/>
      <w:u w:val="none"/>
      <w:vertAlign w:val="superscript"/>
    </w:rPr>
  </w:style>
  <w:style w:type="character" w:customStyle="1" w:styleId="11">
    <w:name w:val="font81"/>
    <w:basedOn w:val="5"/>
    <w:autoRedefine/>
    <w:qFormat/>
    <w:uiPriority w:val="0"/>
    <w:rPr>
      <w:rFonts w:hint="eastAsia" w:ascii="宋体" w:hAnsi="宋体" w:eastAsia="宋体" w:cs="宋体"/>
      <w:b/>
      <w:bCs/>
      <w:color w:val="000000"/>
      <w:sz w:val="20"/>
      <w:szCs w:val="20"/>
      <w:u w:val="none"/>
    </w:rPr>
  </w:style>
  <w:style w:type="character" w:customStyle="1" w:styleId="12">
    <w:name w:val="font71"/>
    <w:basedOn w:val="5"/>
    <w:autoRedefine/>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956</Words>
  <Characters>1067</Characters>
  <Lines>0</Lines>
  <Paragraphs>0</Paragraphs>
  <TotalTime>2</TotalTime>
  <ScaleCrop>false</ScaleCrop>
  <LinksUpToDate>false</LinksUpToDate>
  <CharactersWithSpaces>1319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2023-02-15T02:15:00Z</dcterms:created>
  <dc:creator>Administrator</dc:creator>
  <cp:lastModifiedBy>刘行知</cp:lastModifiedBy>
  <cp:lastPrinted>2024-02-02T04:20:00Z</cp:lastPrinted>
  <dcterms:modified xsi:type="dcterms:W3CDTF">2024-02-02T05:27:43Z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1D3C9A3E39A24B2A9B1AFABECC58E96A</vt:lpwstr>
  </property>
</Properties>
</file>